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65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ind w:right="-659"/>
        <w:spacing w:after="0"/>
        <w:rPr>
          <w:sz w:val="20"/>
          <w:szCs w:val="20"/>
          <w:color w:val="auto"/>
        </w:rPr>
      </w:pPr>
      <w:r>
        <w:rPr>
          <w:rFonts w:ascii="Arial" w:cs="Arial" w:eastAsia="Arial" w:hAnsi="Arial"/>
          <w:sz w:val="24"/>
          <w:szCs w:val="24"/>
          <w:b w:val="1"/>
          <w:bCs w:val="1"/>
          <w:color w:val="auto"/>
        </w:rPr>
        <w:t>CURRENT REPORT</w:t>
      </w:r>
    </w:p>
    <w:p>
      <w:pPr>
        <w:spacing w:after="0" w:line="170" w:lineRule="exact"/>
        <w:rPr>
          <w:sz w:val="24"/>
          <w:szCs w:val="24"/>
          <w:color w:val="auto"/>
        </w:rPr>
      </w:pPr>
    </w:p>
    <w:p>
      <w:pPr>
        <w:jc w:val="center"/>
        <w:ind w:right="-659"/>
        <w:spacing w:after="0"/>
        <w:rPr>
          <w:sz w:val="20"/>
          <w:szCs w:val="20"/>
          <w:color w:val="auto"/>
        </w:rPr>
      </w:pPr>
      <w:r>
        <w:rPr>
          <w:rFonts w:ascii="Arial" w:cs="Arial" w:eastAsia="Arial" w:hAnsi="Arial"/>
          <w:sz w:val="21"/>
          <w:szCs w:val="21"/>
          <w:b w:val="1"/>
          <w:bCs w:val="1"/>
          <w:color w:val="auto"/>
        </w:rPr>
        <w:t>Pursuant to Section 13 or 15(d) of the Securities Exchange Act of 1934</w:t>
      </w:r>
    </w:p>
    <w:p>
      <w:pPr>
        <w:spacing w:after="0" w:line="205" w:lineRule="exact"/>
        <w:rPr>
          <w:sz w:val="24"/>
          <w:szCs w:val="24"/>
          <w:color w:val="auto"/>
        </w:rPr>
      </w:pPr>
    </w:p>
    <w:p>
      <w:pPr>
        <w:ind w:left="2600"/>
        <w:spacing w:after="0"/>
        <w:rPr>
          <w:sz w:val="20"/>
          <w:szCs w:val="20"/>
          <w:color w:val="auto"/>
        </w:rPr>
      </w:pPr>
      <w:r>
        <w:rPr>
          <w:rFonts w:ascii="Arial" w:cs="Arial" w:eastAsia="Arial" w:hAnsi="Arial"/>
          <w:sz w:val="21"/>
          <w:szCs w:val="21"/>
          <w:b w:val="1"/>
          <w:bCs w:val="1"/>
          <w:color w:val="auto"/>
        </w:rPr>
        <w:t>Date of Report (Date of earliest event reported) September 30, 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198755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659"/>
        <w:spacing w:after="0"/>
        <w:rPr>
          <w:sz w:val="20"/>
          <w:szCs w:val="20"/>
          <w:color w:val="auto"/>
        </w:rPr>
      </w:pPr>
      <w:r>
        <w:rPr>
          <w:rFonts w:ascii="Arial" w:cs="Arial" w:eastAsia="Arial" w:hAnsi="Arial"/>
          <w:sz w:val="43"/>
          <w:szCs w:val="43"/>
          <w:b w:val="1"/>
          <w:bCs w:val="1"/>
          <w:color w:val="auto"/>
        </w:rPr>
        <w:t>Federal Realty Investment Trust</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Maryland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320"/>
        <w:spacing w:after="0"/>
        <w:rPr>
          <w:sz w:val="20"/>
          <w:szCs w:val="20"/>
          <w:color w:val="auto"/>
        </w:rPr>
      </w:pPr>
      <w:r>
        <w:rPr>
          <w:rFonts w:ascii="Arial" w:cs="Arial" w:eastAsia="Arial" w:hAnsi="Arial"/>
          <w:sz w:val="16"/>
          <w:szCs w:val="16"/>
          <w:b w:val="1"/>
          <w:bCs w:val="1"/>
          <w:color w:val="auto"/>
        </w:rPr>
        <w:t>1-07533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52-0782497</w:t>
      </w:r>
    </w:p>
    <w:p>
      <w:pPr>
        <w:spacing w:after="0" w:line="46" w:lineRule="exact"/>
        <w:rPr>
          <w:sz w:val="24"/>
          <w:szCs w:val="24"/>
          <w:color w:val="auto"/>
        </w:rPr>
      </w:pPr>
    </w:p>
    <w:p>
      <w:pPr>
        <w:sectPr>
          <w:pgSz w:w="11900" w:h="16838" w:orient="portrait"/>
          <w:cols w:equalWidth="0" w:num="3">
            <w:col w:w="4820" w:space="720"/>
            <w:col w:w="2920" w:space="720"/>
            <w:col w:w="1580"/>
          </w:cols>
          <w:pgMar w:left="240" w:top="368" w:right="89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File Number)</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4"/>
          <w:szCs w:val="14"/>
          <w:b w:val="1"/>
          <w:bCs w:val="1"/>
          <w:color w:val="auto"/>
        </w:rPr>
        <w:t>(IRS Employer</w:t>
      </w:r>
    </w:p>
    <w:p>
      <w:pPr>
        <w:jc w:val="center"/>
        <w:ind w:right="640"/>
        <w:spacing w:after="0"/>
        <w:rPr>
          <w:sz w:val="20"/>
          <w:szCs w:val="20"/>
          <w:color w:val="auto"/>
        </w:rPr>
      </w:pPr>
      <w:r>
        <w:rPr>
          <w:rFonts w:ascii="Arial" w:cs="Arial" w:eastAsia="Arial" w:hAnsi="Arial"/>
          <w:sz w:val="12"/>
          <w:szCs w:val="12"/>
          <w:b w:val="1"/>
          <w:bCs w:val="1"/>
          <w:color w:val="auto"/>
        </w:rPr>
        <w:t>Identification No.)</w:t>
      </w:r>
    </w:p>
    <w:p>
      <w:pPr>
        <w:spacing w:after="0" w:line="211" w:lineRule="exact"/>
        <w:rPr>
          <w:sz w:val="24"/>
          <w:szCs w:val="24"/>
          <w:color w:val="auto"/>
        </w:rPr>
      </w:pPr>
    </w:p>
    <w:p>
      <w:pPr>
        <w:sectPr>
          <w:pgSz w:w="11900" w:h="16838" w:orient="portrait"/>
          <w:cols w:equalWidth="0" w:num="3">
            <w:col w:w="4740" w:space="720"/>
            <w:col w:w="2880" w:space="720"/>
            <w:col w:w="1700"/>
          </w:cols>
          <w:pgMar w:left="240" w:top="368" w:right="899" w:bottom="1440" w:gutter="0" w:footer="0" w:header="0"/>
          <w:type w:val="continuous"/>
        </w:sectPr>
      </w:pPr>
    </w:p>
    <w:p>
      <w:pPr>
        <w:ind w:left="1080"/>
        <w:spacing w:after="0"/>
        <w:rPr>
          <w:sz w:val="20"/>
          <w:szCs w:val="20"/>
          <w:color w:val="auto"/>
        </w:rPr>
      </w:pPr>
      <w:r>
        <w:rPr>
          <w:rFonts w:ascii="Arial" w:cs="Arial" w:eastAsia="Arial" w:hAnsi="Arial"/>
          <w:sz w:val="15"/>
          <w:szCs w:val="15"/>
          <w:b w:val="1"/>
          <w:bCs w:val="1"/>
          <w:color w:val="auto"/>
        </w:rPr>
        <w:t>1626 East Jefferson Street, Rockville, Maryland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20852-4041</w:t>
      </w:r>
    </w:p>
    <w:p>
      <w:pPr>
        <w:spacing w:after="0" w:line="56" w:lineRule="exact"/>
        <w:rPr>
          <w:sz w:val="24"/>
          <w:szCs w:val="24"/>
          <w:color w:val="auto"/>
        </w:rPr>
      </w:pPr>
    </w:p>
    <w:p>
      <w:pPr>
        <w:sectPr>
          <w:pgSz w:w="11900" w:h="16838" w:orient="portrait"/>
          <w:cols w:equalWidth="0" w:num="2">
            <w:col w:w="7540" w:space="720"/>
            <w:col w:w="2500"/>
          </w:cols>
          <w:pgMar w:left="240" w:top="368" w:right="899" w:bottom="1440" w:gutter="0" w:footer="0" w:header="0"/>
          <w:type w:val="continuous"/>
        </w:sectPr>
      </w:pPr>
    </w:p>
    <w:p>
      <w:pPr>
        <w:ind w:left="1740"/>
        <w:spacing w:after="0"/>
        <w:rPr>
          <w:sz w:val="20"/>
          <w:szCs w:val="20"/>
          <w:color w:val="auto"/>
        </w:rPr>
      </w:pPr>
      <w:r>
        <w:rPr>
          <w:rFonts w:ascii="Arial" w:cs="Arial" w:eastAsia="Arial" w:hAnsi="Arial"/>
          <w:sz w:val="11"/>
          <w:szCs w:val="11"/>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(Zip Code)</w:t>
      </w:r>
    </w:p>
    <w:p>
      <w:pPr>
        <w:spacing w:after="0" w:line="160" w:lineRule="exact"/>
        <w:rPr>
          <w:sz w:val="24"/>
          <w:szCs w:val="24"/>
          <w:color w:val="auto"/>
        </w:rPr>
      </w:pPr>
    </w:p>
    <w:p>
      <w:pPr>
        <w:sectPr>
          <w:pgSz w:w="11900" w:h="16838" w:orient="portrait"/>
          <w:cols w:equalWidth="0" w:num="2">
            <w:col w:w="7660" w:space="720"/>
            <w:col w:w="2380"/>
          </w:cols>
          <w:pgMar w:left="240" w:top="368" w:right="899" w:bottom="1440" w:gutter="0" w:footer="0" w:header="0"/>
          <w:type w:val="continuous"/>
        </w:sectPr>
      </w:pPr>
    </w:p>
    <w:p>
      <w:pPr>
        <w:ind w:left="3260"/>
        <w:spacing w:after="0"/>
        <w:rPr>
          <w:sz w:val="20"/>
          <w:szCs w:val="20"/>
          <w:color w:val="auto"/>
        </w:rPr>
      </w:pPr>
      <w:r>
        <w:rPr>
          <w:rFonts w:ascii="Arial" w:cs="Arial" w:eastAsia="Arial" w:hAnsi="Arial"/>
          <w:sz w:val="18"/>
          <w:szCs w:val="18"/>
          <w:b w:val="1"/>
          <w:bCs w:val="1"/>
          <w:color w:val="auto"/>
        </w:rPr>
        <w:t>Registrant’s telephone number including area code: 301/998-8100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194945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240" w:top="368" w:right="89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2.02.</w:t>
      </w:r>
      <w:r>
        <w:rPr>
          <w:sz w:val="20"/>
          <w:szCs w:val="20"/>
          <w:color w:val="auto"/>
        </w:rPr>
        <w:tab/>
      </w:r>
      <w:r>
        <w:rPr>
          <w:rFonts w:ascii="Arial" w:cs="Arial" w:eastAsia="Arial" w:hAnsi="Arial"/>
          <w:sz w:val="15"/>
          <w:szCs w:val="15"/>
          <w:b w:val="1"/>
          <w:bCs w:val="1"/>
          <w:color w:val="auto"/>
        </w:rPr>
        <w:t>Results of Operations and Financial Condition.</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following information is being furnished under Item 12-Results of Operations and Financial Condition. This information, including the exhibits attached hereto, shall not be deemed “filed” for any purpose, including for the purposes of Section 18 of the Securities Exchange Act of 1934, as amended (the “Exchange Act”), or otherwise subject to the liabilities of that Section. The information in this Current Report on Form 8-K shall not be deemed incorporated by reference into any filing under the Securities Act of 1933, as amended, or under the Exchange Act, regardless of any general incorporation language in such filing.</w:t>
      </w:r>
    </w:p>
    <w:p>
      <w:pPr>
        <w:spacing w:after="0" w:line="143" w:lineRule="exact"/>
        <w:rPr>
          <w:sz w:val="20"/>
          <w:szCs w:val="20"/>
          <w:color w:val="auto"/>
        </w:rPr>
      </w:pPr>
    </w:p>
    <w:p>
      <w:pPr>
        <w:ind w:right="580" w:firstLine="456"/>
        <w:spacing w:after="0" w:line="332" w:lineRule="auto"/>
        <w:rPr>
          <w:sz w:val="20"/>
          <w:szCs w:val="20"/>
          <w:color w:val="auto"/>
        </w:rPr>
      </w:pPr>
      <w:r>
        <w:rPr>
          <w:rFonts w:ascii="Arial" w:cs="Arial" w:eastAsia="Arial" w:hAnsi="Arial"/>
          <w:sz w:val="16"/>
          <w:szCs w:val="16"/>
          <w:color w:val="auto"/>
        </w:rPr>
        <w:t>On November 3, 2010, Federal Realty Investment Trust issued supplemental data pertaining to its operations, as well as a press release, to report its financial results for the quarter ended September 30, 2010. The supplemental data and press release are furnished as Exhibit 99.1 hereto.</w:t>
      </w:r>
    </w:p>
    <w:p>
      <w:pPr>
        <w:spacing w:after="0" w:line="20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2" w:lineRule="exact"/>
        <w:rPr>
          <w:sz w:val="20"/>
          <w:szCs w:val="20"/>
          <w:color w:val="auto"/>
        </w:rPr>
      </w:pPr>
    </w:p>
    <w:p>
      <w:pPr>
        <w:ind w:left="460"/>
        <w:spacing w:after="0"/>
        <w:tabs>
          <w:tab w:leader="none" w:pos="10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September 30, 2010 (including press release dated November 3, 2010)</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FEDERAL REALTY INVESTMENT TRUST</w:t>
      </w:r>
    </w:p>
    <w:p>
      <w:pPr>
        <w:spacing w:after="0" w:line="231"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Date: November 3, 2010</w:t>
      </w:r>
      <w:r>
        <w:rPr>
          <w:sz w:val="20"/>
          <w:szCs w:val="20"/>
          <w:color w:val="auto"/>
        </w:rPr>
        <w:tab/>
      </w:r>
      <w:r>
        <w:rPr>
          <w:rFonts w:ascii="Arial" w:cs="Arial" w:eastAsia="Arial" w:hAnsi="Arial"/>
          <w:sz w:val="16"/>
          <w:szCs w:val="16"/>
          <w:color w:val="auto"/>
        </w:rPr>
        <w:t>/s/ Andrew P. Blocher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10795</wp:posOffset>
            </wp:positionV>
            <wp:extent cx="32588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Chief Financial Officer and Treasurer</w:t>
      </w:r>
    </w:p>
    <w:p>
      <w:pPr>
        <w:sectPr>
          <w:pgSz w:w="11900" w:h="16838" w:orient="portrait"/>
          <w:cols w:equalWidth="0" w:num="1">
            <w:col w:w="11400"/>
          </w:cols>
          <w:pgMar w:left="240" w:top="422" w:right="259" w:bottom="1440" w:gutter="0" w:footer="0" w:header="0"/>
        </w:sectPr>
      </w:pPr>
    </w:p>
    <w:bookmarkStart w:id="2" w:name="page3"/>
    <w:bookmarkEnd w:id="2"/>
    <w:p>
      <w:pPr>
        <w:jc w:val="right"/>
        <w:ind w:right="38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spacing w:after="0"/>
        <w:tabs>
          <w:tab w:leader="none" w:pos="780" w:val="left"/>
        </w:tabs>
        <w:rPr>
          <w:sz w:val="20"/>
          <w:szCs w:val="20"/>
          <w:color w:val="auto"/>
        </w:rPr>
      </w:pPr>
      <w:r>
        <w:rPr>
          <w:rFonts w:ascii="Arial" w:cs="Arial" w:eastAsia="Arial" w:hAnsi="Arial"/>
          <w:sz w:val="14"/>
          <w:szCs w:val="14"/>
          <w:u w:val="single" w:color="auto"/>
          <w:color w:val="auto"/>
        </w:rPr>
        <w:t>Exh No.</w:t>
      </w:r>
      <w:r>
        <w:rPr>
          <w:sz w:val="20"/>
          <w:szCs w:val="20"/>
          <w:color w:val="auto"/>
        </w:rPr>
        <w:tab/>
      </w:r>
      <w:r>
        <w:rPr>
          <w:rFonts w:ascii="Arial" w:cs="Arial" w:eastAsia="Arial" w:hAnsi="Arial"/>
          <w:sz w:val="12"/>
          <w:szCs w:val="12"/>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511175</wp:posOffset>
            </wp:positionH>
            <wp:positionV relativeFrom="paragraph">
              <wp:posOffset>7620</wp:posOffset>
            </wp:positionV>
            <wp:extent cx="67405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40525" cy="8890"/>
                    </a:xfrm>
                    <a:prstGeom prst="rect">
                      <a:avLst/>
                    </a:prstGeom>
                    <a:noFill/>
                  </pic:spPr>
                </pic:pic>
              </a:graphicData>
            </a:graphic>
          </wp:anchor>
        </w:drawing>
      </w:r>
    </w:p>
    <w:p>
      <w:pPr>
        <w:spacing w:after="0" w:line="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Supplemental Information at September 30, 2010</w:t>
      </w:r>
    </w:p>
    <w:p>
      <w:pPr>
        <w:sectPr>
          <w:pgSz w:w="11900" w:h="16838" w:orient="portrait"/>
          <w:cols w:equalWidth="0" w:num="1">
            <w:col w:w="10219"/>
          </w:cols>
          <w:pgMar w:left="240" w:top="347"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FEDERAL REALTY INVESTMENT TRUST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September 30, 2010</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4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6580" w:type="dxa"/>
            <w:vAlign w:val="bottom"/>
          </w:tcPr>
          <w:p>
            <w:pPr>
              <w:jc w:val="right"/>
              <w:ind w:right="4572"/>
              <w:spacing w:after="0"/>
              <w:rPr>
                <w:sz w:val="20"/>
                <w:szCs w:val="20"/>
                <w:color w:val="auto"/>
              </w:rPr>
            </w:pPr>
            <w:r>
              <w:rPr>
                <w:rFonts w:ascii="Arial" w:cs="Arial" w:eastAsia="Arial" w:hAnsi="Arial"/>
                <w:sz w:val="18"/>
                <w:szCs w:val="18"/>
                <w:b w:val="1"/>
                <w:bCs w:val="1"/>
                <w:color w:val="auto"/>
                <w:w w:val="97"/>
              </w:rPr>
              <w:t>TABLE OF CONTENTS</w:t>
            </w:r>
          </w:p>
        </w:tc>
      </w:tr>
      <w:tr>
        <w:trPr>
          <w:trHeight w:val="419"/>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1.</w:t>
            </w:r>
          </w:p>
        </w:tc>
        <w:tc>
          <w:tcPr>
            <w:tcW w:w="4500" w:type="dxa"/>
            <w:vAlign w:val="bottom"/>
          </w:tcPr>
          <w:p>
            <w:pPr>
              <w:ind w:left="100"/>
              <w:spacing w:after="0"/>
              <w:rPr>
                <w:sz w:val="20"/>
                <w:szCs w:val="20"/>
                <w:color w:val="auto"/>
              </w:rPr>
            </w:pPr>
            <w:r>
              <w:rPr>
                <w:rFonts w:ascii="Arial" w:cs="Arial" w:eastAsia="Arial" w:hAnsi="Arial"/>
                <w:sz w:val="18"/>
                <w:szCs w:val="18"/>
                <w:color w:val="auto"/>
              </w:rPr>
              <w:t>Third Quarter 2010 Earnings Press Release</w:t>
            </w:r>
          </w:p>
        </w:tc>
        <w:tc>
          <w:tcPr>
            <w:tcW w:w="65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18"/>
        </w:trPr>
        <w:tc>
          <w:tcPr>
            <w:tcW w:w="240" w:type="dxa"/>
            <w:vAlign w:val="bottom"/>
          </w:tcPr>
          <w:p>
            <w:pPr>
              <w:jc w:val="right"/>
              <w:ind w:right="12"/>
              <w:spacing w:after="0"/>
              <w:rPr>
                <w:sz w:val="20"/>
                <w:szCs w:val="20"/>
                <w:color w:val="auto"/>
              </w:rPr>
            </w:pPr>
            <w:r>
              <w:rPr>
                <w:rFonts w:ascii="Arial" w:cs="Arial" w:eastAsia="Arial" w:hAnsi="Arial"/>
                <w:sz w:val="18"/>
                <w:szCs w:val="18"/>
                <w:color w:val="auto"/>
                <w:w w:val="79"/>
              </w:rPr>
              <w:t>2.</w:t>
            </w:r>
          </w:p>
        </w:tc>
        <w:tc>
          <w:tcPr>
            <w:tcW w:w="4500" w:type="dxa"/>
            <w:vAlign w:val="bottom"/>
          </w:tcPr>
          <w:p>
            <w:pPr>
              <w:ind w:left="100"/>
              <w:spacing w:after="0"/>
              <w:rPr>
                <w:sz w:val="20"/>
                <w:szCs w:val="20"/>
                <w:color w:val="auto"/>
              </w:rPr>
            </w:pPr>
            <w:r>
              <w:rPr>
                <w:rFonts w:ascii="Arial" w:cs="Arial" w:eastAsia="Arial" w:hAnsi="Arial"/>
                <w:sz w:val="18"/>
                <w:szCs w:val="18"/>
                <w:color w:val="auto"/>
              </w:rPr>
              <w:t>Financial Highlights</w:t>
            </w:r>
          </w:p>
        </w:tc>
        <w:tc>
          <w:tcPr>
            <w:tcW w:w="6580" w:type="dxa"/>
            <w:vAlign w:val="bottom"/>
          </w:tcPr>
          <w:p>
            <w:pPr>
              <w:spacing w:after="0"/>
              <w:rPr>
                <w:sz w:val="24"/>
                <w:szCs w:val="24"/>
                <w:color w:val="auto"/>
              </w:rPr>
            </w:pP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Summarized Income Statements</w:t>
            </w:r>
          </w:p>
        </w:tc>
        <w:tc>
          <w:tcPr>
            <w:tcW w:w="65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Summarized Balance Sheets</w:t>
            </w:r>
          </w:p>
        </w:tc>
        <w:tc>
          <w:tcPr>
            <w:tcW w:w="65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w w:val="89"/>
              </w:rPr>
              <w:t>Funds From Operations / Summary of Capital Expenditures</w:t>
            </w:r>
          </w:p>
        </w:tc>
        <w:tc>
          <w:tcPr>
            <w:tcW w:w="65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240" w:type="dxa"/>
            <w:vAlign w:val="bottom"/>
          </w:tcPr>
          <w:p>
            <w:pPr>
              <w:spacing w:after="0"/>
              <w:rPr>
                <w:sz w:val="18"/>
                <w:szCs w:val="18"/>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Market Data</w:t>
            </w:r>
          </w:p>
        </w:tc>
        <w:tc>
          <w:tcPr>
            <w:tcW w:w="65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2"/>
        </w:trPr>
        <w:tc>
          <w:tcPr>
            <w:tcW w:w="240" w:type="dxa"/>
            <w:vAlign w:val="bottom"/>
          </w:tcPr>
          <w:p>
            <w:pPr>
              <w:spacing w:after="0"/>
              <w:rPr>
                <w:sz w:val="19"/>
                <w:szCs w:val="19"/>
                <w:color w:val="auto"/>
              </w:rPr>
            </w:pPr>
          </w:p>
        </w:tc>
        <w:tc>
          <w:tcPr>
            <w:tcW w:w="4500" w:type="dxa"/>
            <w:vAlign w:val="bottom"/>
          </w:tcPr>
          <w:p>
            <w:pPr>
              <w:ind w:left="260"/>
              <w:spacing w:after="0"/>
              <w:rPr>
                <w:sz w:val="20"/>
                <w:szCs w:val="20"/>
                <w:color w:val="auto"/>
              </w:rPr>
            </w:pPr>
            <w:r>
              <w:rPr>
                <w:rFonts w:ascii="Arial" w:cs="Arial" w:eastAsia="Arial" w:hAnsi="Arial"/>
                <w:sz w:val="18"/>
                <w:szCs w:val="18"/>
                <w:color w:val="auto"/>
              </w:rPr>
              <w:t>Components of Rental Income</w:t>
            </w:r>
          </w:p>
        </w:tc>
        <w:tc>
          <w:tcPr>
            <w:tcW w:w="6580" w:type="dxa"/>
            <w:vAlign w:val="bottom"/>
          </w:tcPr>
          <w:p>
            <w:pPr>
              <w:jc w:val="right"/>
              <w:spacing w:after="0"/>
              <w:rPr>
                <w:sz w:val="20"/>
                <w:szCs w:val="20"/>
                <w:color w:val="auto"/>
              </w:rPr>
            </w:pPr>
            <w:r>
              <w:rPr>
                <w:rFonts w:ascii="Arial" w:cs="Arial" w:eastAsia="Arial" w:hAnsi="Arial"/>
                <w:sz w:val="18"/>
                <w:szCs w:val="18"/>
                <w:color w:val="auto"/>
              </w:rPr>
              <w:t>11</w:t>
            </w:r>
          </w:p>
        </w:tc>
      </w:tr>
    </w:tbl>
    <w:p>
      <w:pPr>
        <w:spacing w:after="0" w:line="102"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Summary of Debt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80" w:type="dxa"/>
            <w:vAlign w:val="bottom"/>
          </w:tcPr>
          <w:p>
            <w:pPr>
              <w:spacing w:after="0"/>
              <w:rPr>
                <w:sz w:val="18"/>
                <w:szCs w:val="18"/>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Summary of Outstanding Debt and Capital Lease Obligations</w:t>
            </w:r>
          </w:p>
        </w:tc>
        <w:tc>
          <w:tcPr>
            <w:tcW w:w="33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2"/>
        </w:trPr>
        <w:tc>
          <w:tcPr>
            <w:tcW w:w="28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Summary of Debt Maturities</w:t>
            </w:r>
          </w:p>
        </w:tc>
        <w:tc>
          <w:tcPr>
            <w:tcW w:w="33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4.</w:t>
            </w:r>
          </w:p>
        </w:tc>
        <w:tc>
          <w:tcPr>
            <w:tcW w:w="7720" w:type="dxa"/>
            <w:vAlign w:val="bottom"/>
          </w:tcPr>
          <w:p>
            <w:pPr>
              <w:ind w:left="60"/>
              <w:spacing w:after="0"/>
              <w:rPr>
                <w:sz w:val="20"/>
                <w:szCs w:val="20"/>
                <w:color w:val="auto"/>
              </w:rPr>
            </w:pPr>
            <w:r>
              <w:rPr>
                <w:rFonts w:ascii="Arial" w:cs="Arial" w:eastAsia="Arial" w:hAnsi="Arial"/>
                <w:sz w:val="18"/>
                <w:szCs w:val="18"/>
                <w:color w:val="auto"/>
              </w:rPr>
              <w:t>Summary of Redevelopment Opportunities</w:t>
            </w:r>
          </w:p>
        </w:tc>
        <w:tc>
          <w:tcPr>
            <w:tcW w:w="3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5.</w:t>
            </w:r>
          </w:p>
        </w:tc>
        <w:tc>
          <w:tcPr>
            <w:tcW w:w="7720" w:type="dxa"/>
            <w:vAlign w:val="bottom"/>
          </w:tcPr>
          <w:p>
            <w:pPr>
              <w:ind w:left="60"/>
              <w:spacing w:after="0"/>
              <w:rPr>
                <w:sz w:val="20"/>
                <w:szCs w:val="20"/>
                <w:color w:val="auto"/>
              </w:rPr>
            </w:pPr>
            <w:r>
              <w:rPr>
                <w:rFonts w:ascii="Arial" w:cs="Arial" w:eastAsia="Arial" w:hAnsi="Arial"/>
                <w:sz w:val="18"/>
                <w:szCs w:val="18"/>
                <w:color w:val="auto"/>
              </w:rPr>
              <w:t>Real Estate Status Report</w:t>
            </w:r>
          </w:p>
        </w:tc>
        <w:tc>
          <w:tcPr>
            <w:tcW w:w="33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6.</w:t>
            </w:r>
          </w:p>
        </w:tc>
        <w:tc>
          <w:tcPr>
            <w:tcW w:w="7720" w:type="dxa"/>
            <w:vAlign w:val="bottom"/>
          </w:tcPr>
          <w:p>
            <w:pPr>
              <w:ind w:left="60"/>
              <w:spacing w:after="0"/>
              <w:rPr>
                <w:sz w:val="20"/>
                <w:szCs w:val="20"/>
                <w:color w:val="auto"/>
              </w:rPr>
            </w:pPr>
            <w:r>
              <w:rPr>
                <w:rFonts w:ascii="Arial" w:cs="Arial" w:eastAsia="Arial" w:hAnsi="Arial"/>
                <w:sz w:val="18"/>
                <w:szCs w:val="18"/>
                <w:color w:val="auto"/>
              </w:rPr>
              <w:t>Retail Leasing Summary</w:t>
            </w:r>
          </w:p>
        </w:tc>
        <w:tc>
          <w:tcPr>
            <w:tcW w:w="33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7.</w:t>
            </w:r>
          </w:p>
        </w:tc>
        <w:tc>
          <w:tcPr>
            <w:tcW w:w="7720" w:type="dxa"/>
            <w:vAlign w:val="bottom"/>
          </w:tcPr>
          <w:p>
            <w:pPr>
              <w:ind w:left="60"/>
              <w:spacing w:after="0"/>
              <w:rPr>
                <w:sz w:val="20"/>
                <w:szCs w:val="20"/>
                <w:color w:val="auto"/>
              </w:rPr>
            </w:pPr>
            <w:r>
              <w:rPr>
                <w:rFonts w:ascii="Arial" w:cs="Arial" w:eastAsia="Arial" w:hAnsi="Arial"/>
                <w:sz w:val="18"/>
                <w:szCs w:val="18"/>
                <w:color w:val="auto"/>
              </w:rPr>
              <w:t>Lease Expirations</w:t>
            </w:r>
          </w:p>
        </w:tc>
        <w:tc>
          <w:tcPr>
            <w:tcW w:w="332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8.</w:t>
            </w:r>
          </w:p>
        </w:tc>
        <w:tc>
          <w:tcPr>
            <w:tcW w:w="7720" w:type="dxa"/>
            <w:vAlign w:val="bottom"/>
          </w:tcPr>
          <w:p>
            <w:pPr>
              <w:ind w:left="60"/>
              <w:spacing w:after="0"/>
              <w:rPr>
                <w:sz w:val="20"/>
                <w:szCs w:val="20"/>
                <w:color w:val="auto"/>
              </w:rPr>
            </w:pPr>
            <w:r>
              <w:rPr>
                <w:rFonts w:ascii="Arial" w:cs="Arial" w:eastAsia="Arial" w:hAnsi="Arial"/>
                <w:sz w:val="18"/>
                <w:szCs w:val="18"/>
                <w:color w:val="auto"/>
              </w:rPr>
              <w:t>Portfolio Leased Statistics</w:t>
            </w:r>
          </w:p>
        </w:tc>
        <w:tc>
          <w:tcPr>
            <w:tcW w:w="33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9.</w:t>
            </w:r>
          </w:p>
        </w:tc>
        <w:tc>
          <w:tcPr>
            <w:tcW w:w="7720" w:type="dxa"/>
            <w:vAlign w:val="bottom"/>
          </w:tcPr>
          <w:p>
            <w:pPr>
              <w:ind w:left="60"/>
              <w:spacing w:after="0"/>
              <w:rPr>
                <w:sz w:val="20"/>
                <w:szCs w:val="20"/>
                <w:color w:val="auto"/>
              </w:rPr>
            </w:pPr>
            <w:r>
              <w:rPr>
                <w:rFonts w:ascii="Arial" w:cs="Arial" w:eastAsia="Arial" w:hAnsi="Arial"/>
                <w:sz w:val="18"/>
                <w:szCs w:val="18"/>
                <w:color w:val="auto"/>
              </w:rPr>
              <w:t>Summary of Top 25 Tenants</w:t>
            </w:r>
          </w:p>
        </w:tc>
        <w:tc>
          <w:tcPr>
            <w:tcW w:w="33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10.</w:t>
            </w:r>
          </w:p>
        </w:tc>
        <w:tc>
          <w:tcPr>
            <w:tcW w:w="7720" w:type="dxa"/>
            <w:vAlign w:val="bottom"/>
          </w:tcPr>
          <w:p>
            <w:pPr>
              <w:ind w:left="60"/>
              <w:spacing w:after="0"/>
              <w:rPr>
                <w:sz w:val="20"/>
                <w:szCs w:val="20"/>
                <w:color w:val="auto"/>
              </w:rPr>
            </w:pPr>
            <w:r>
              <w:rPr>
                <w:rFonts w:ascii="Arial" w:cs="Arial" w:eastAsia="Arial" w:hAnsi="Arial"/>
                <w:sz w:val="18"/>
                <w:szCs w:val="18"/>
                <w:color w:val="auto"/>
              </w:rPr>
              <w:t>Reconciliation of Net Income to FFO Guidance</w:t>
            </w:r>
          </w:p>
        </w:tc>
        <w:tc>
          <w:tcPr>
            <w:tcW w:w="33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18"/>
        </w:trPr>
        <w:tc>
          <w:tcPr>
            <w:tcW w:w="280" w:type="dxa"/>
            <w:vAlign w:val="bottom"/>
          </w:tcPr>
          <w:p>
            <w:pPr>
              <w:spacing w:after="0"/>
              <w:rPr>
                <w:sz w:val="20"/>
                <w:szCs w:val="20"/>
                <w:color w:val="auto"/>
              </w:rPr>
            </w:pPr>
            <w:r>
              <w:rPr>
                <w:rFonts w:ascii="Arial" w:cs="Arial" w:eastAsia="Arial" w:hAnsi="Arial"/>
                <w:sz w:val="18"/>
                <w:szCs w:val="18"/>
                <w:color w:val="auto"/>
              </w:rPr>
              <w:t>11.</w:t>
            </w:r>
          </w:p>
        </w:tc>
        <w:tc>
          <w:tcPr>
            <w:tcW w:w="7720" w:type="dxa"/>
            <w:vAlign w:val="bottom"/>
          </w:tcPr>
          <w:p>
            <w:pPr>
              <w:ind w:left="60"/>
              <w:spacing w:after="0"/>
              <w:rPr>
                <w:sz w:val="20"/>
                <w:szCs w:val="20"/>
                <w:color w:val="auto"/>
              </w:rPr>
            </w:pPr>
            <w:r>
              <w:rPr>
                <w:rFonts w:ascii="Arial" w:cs="Arial" w:eastAsia="Arial" w:hAnsi="Arial"/>
                <w:sz w:val="18"/>
                <w:szCs w:val="18"/>
                <w:color w:val="auto"/>
              </w:rPr>
              <w:t>30% Owned Joint Venture Disclosure</w:t>
            </w:r>
          </w:p>
        </w:tc>
        <w:tc>
          <w:tcPr>
            <w:tcW w:w="3320" w:type="dxa"/>
            <w:vAlign w:val="bottom"/>
          </w:tcPr>
          <w:p>
            <w:pPr>
              <w:spacing w:after="0"/>
              <w:rPr>
                <w:sz w:val="24"/>
                <w:szCs w:val="24"/>
                <w:color w:val="auto"/>
              </w:rPr>
            </w:pPr>
          </w:p>
        </w:tc>
      </w:tr>
      <w:tr>
        <w:trPr>
          <w:trHeight w:val="216"/>
        </w:trPr>
        <w:tc>
          <w:tcPr>
            <w:tcW w:w="280" w:type="dxa"/>
            <w:vAlign w:val="bottom"/>
          </w:tcPr>
          <w:p>
            <w:pPr>
              <w:spacing w:after="0"/>
              <w:rPr>
                <w:sz w:val="18"/>
                <w:szCs w:val="18"/>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Summarized Income Statements and Balance Sheets</w:t>
            </w:r>
          </w:p>
        </w:tc>
        <w:tc>
          <w:tcPr>
            <w:tcW w:w="33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280" w:type="dxa"/>
            <w:vAlign w:val="bottom"/>
          </w:tcPr>
          <w:p>
            <w:pPr>
              <w:spacing w:after="0"/>
              <w:rPr>
                <w:sz w:val="18"/>
                <w:szCs w:val="18"/>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Summary of Outstanding Debt and Debt Maturities</w:t>
            </w:r>
          </w:p>
        </w:tc>
        <w:tc>
          <w:tcPr>
            <w:tcW w:w="33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2"/>
        </w:trPr>
        <w:tc>
          <w:tcPr>
            <w:tcW w:w="280" w:type="dxa"/>
            <w:vAlign w:val="bottom"/>
          </w:tcPr>
          <w:p>
            <w:pPr>
              <w:spacing w:after="0"/>
              <w:rPr>
                <w:sz w:val="19"/>
                <w:szCs w:val="19"/>
                <w:color w:val="auto"/>
              </w:rPr>
            </w:pPr>
          </w:p>
        </w:tc>
        <w:tc>
          <w:tcPr>
            <w:tcW w:w="7720" w:type="dxa"/>
            <w:vAlign w:val="bottom"/>
          </w:tcPr>
          <w:p>
            <w:pPr>
              <w:ind w:left="220"/>
              <w:spacing w:after="0"/>
              <w:rPr>
                <w:sz w:val="20"/>
                <w:szCs w:val="20"/>
                <w:color w:val="auto"/>
              </w:rPr>
            </w:pPr>
            <w:r>
              <w:rPr>
                <w:rFonts w:ascii="Arial" w:cs="Arial" w:eastAsia="Arial" w:hAnsi="Arial"/>
                <w:sz w:val="18"/>
                <w:szCs w:val="18"/>
                <w:color w:val="auto"/>
              </w:rPr>
              <w:t>Real Estate Status Report</w:t>
            </w:r>
          </w:p>
        </w:tc>
        <w:tc>
          <w:tcPr>
            <w:tcW w:w="33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12.</w:t>
            </w:r>
          </w:p>
        </w:tc>
        <w:tc>
          <w:tcPr>
            <w:tcW w:w="7720" w:type="dxa"/>
            <w:vAlign w:val="bottom"/>
          </w:tcPr>
          <w:p>
            <w:pPr>
              <w:ind w:left="60"/>
              <w:spacing w:after="0"/>
              <w:rPr>
                <w:sz w:val="20"/>
                <w:szCs w:val="20"/>
                <w:color w:val="auto"/>
              </w:rPr>
            </w:pPr>
            <w:r>
              <w:rPr>
                <w:rFonts w:ascii="Arial" w:cs="Arial" w:eastAsia="Arial" w:hAnsi="Arial"/>
                <w:sz w:val="18"/>
                <w:szCs w:val="18"/>
                <w:color w:val="auto"/>
              </w:rPr>
              <w:t>Glossary of Terms</w:t>
            </w:r>
          </w:p>
        </w:tc>
        <w:tc>
          <w:tcPr>
            <w:tcW w:w="3320" w:type="dxa"/>
            <w:vAlign w:val="bottom"/>
          </w:tcPr>
          <w:p>
            <w:pPr>
              <w:jc w:val="right"/>
              <w:spacing w:after="0"/>
              <w:rPr>
                <w:sz w:val="20"/>
                <w:szCs w:val="20"/>
                <w:color w:val="auto"/>
              </w:rPr>
            </w:pPr>
            <w:r>
              <w:rPr>
                <w:rFonts w:ascii="Arial" w:cs="Arial" w:eastAsia="Arial" w:hAnsi="Arial"/>
                <w:sz w:val="18"/>
                <w:szCs w:val="18"/>
                <w:color w:val="auto"/>
              </w:rPr>
              <w:t>25</w:t>
            </w:r>
          </w:p>
        </w:tc>
      </w:tr>
    </w:tbl>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1626 East Jefferson Street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Rockville, Maryland 20852-4041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301/998-8100</w:t>
      </w:r>
    </w:p>
    <w:p>
      <w:pPr>
        <w:sectPr>
          <w:pgSz w:w="11900" w:h="16838" w:orient="portrait"/>
          <w:cols w:equalWidth="0" w:num="1">
            <w:col w:w="11420"/>
          </w:cols>
          <w:pgMar w:left="240" w:top="139"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Language</w:t>
      </w:r>
    </w:p>
    <w:p>
      <w:pPr>
        <w:spacing w:after="0" w:line="96"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i w:val="1"/>
          <w:iCs w:val="1"/>
          <w:color w:val="auto"/>
        </w:rPr>
        <w:t>Certain matters discussed within this Supplemental Information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17, 2010, and include the following:</w:t>
      </w:r>
    </w:p>
    <w:p>
      <w:pPr>
        <w:spacing w:after="0" w:line="62" w:lineRule="exact"/>
        <w:rPr>
          <w:sz w:val="20"/>
          <w:szCs w:val="20"/>
          <w:color w:val="auto"/>
        </w:rPr>
      </w:pPr>
    </w:p>
    <w:p>
      <w:pPr>
        <w:ind w:left="900" w:right="4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Given these uncertainties, readers are cautioned not to place undue reliance on any forward-looking statements that we make, including those in this Supplemental Information. Except as required by law, we make no promise to update any of the forward-looking statements as a result of new information, future events, or otherwise. You should review the risks contained in our Annual Report on Form 10-K, filed with the Securities and Exchange Commission on February 17, 2010.</w:t>
      </w:r>
    </w:p>
    <w:p>
      <w:pPr>
        <w:sectPr>
          <w:pgSz w:w="11900" w:h="16838" w:orient="portrait"/>
          <w:cols w:equalWidth="0" w:num="1">
            <w:col w:w="11360"/>
          </w:cols>
          <w:pgMar w:left="240" w:top="287" w:right="29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431800</wp:posOffset>
            </wp:positionV>
            <wp:extent cx="6089015" cy="127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6089015" cy="127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 IMMEDIATE RELEASE</w:t>
      </w:r>
    </w:p>
    <w:p>
      <w:pPr>
        <w:sectPr>
          <w:pgSz w:w="11900" w:h="16838" w:orient="portrait"/>
          <w:cols w:equalWidth="0" w:num="1">
            <w:col w:w="11420"/>
          </w:cols>
          <w:pgMar w:left="240" w:top="1440" w:right="239" w:bottom="1440" w:gutter="0" w:footer="0" w:header="0"/>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Investor and Media Inquiries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Gina Birdsall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301/998-8265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gbirdsall@federalrealty.com</w:t>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Janelle Stevenson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Corporate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301/998-8185</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jmstevenson@federalrealty.com</w:t>
      </w:r>
    </w:p>
    <w:p>
      <w:pPr>
        <w:spacing w:after="0" w:line="193" w:lineRule="exact"/>
        <w:rPr>
          <w:sz w:val="20"/>
          <w:szCs w:val="20"/>
          <w:color w:val="auto"/>
        </w:rPr>
      </w:pPr>
    </w:p>
    <w:p>
      <w:pPr>
        <w:sectPr>
          <w:pgSz w:w="11900" w:h="16838" w:orient="portrait"/>
          <w:cols w:equalWidth="0" w:num="2">
            <w:col w:w="7860" w:space="720"/>
            <w:col w:w="2840"/>
          </w:cols>
          <w:pgMar w:left="240" w:top="144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FEDERAL REALTY INVESTMENT TRUST ANNOUNCES THIRD QUARTER 2010 OPERATING RESULTS</w:t>
      </w:r>
    </w:p>
    <w:p>
      <w:pPr>
        <w:spacing w:after="0" w:line="17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ROCKVILLE, Md. (November 3, 2010) – Federal Realty Investment Trust (NYSE:FRT) today reported operating results for its third quarter ended September 30, 2010.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In the third quarter 2010, Federal Realty generated funds from operations available for common shareholders (FFO) of $58.8 million or $0.95 per diluted share.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This compares to FFO of $55.6 million, or $0.92 per diluted share, in third quarter 2009. For the nine months ended September 30, 2010, Federal Realty reported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FFO of $177.0 million, or $2.87 per diluted share, compared to $151.0 million, or $2.53 per diluted share for the same nine-month period in 2009.</w:t>
      </w:r>
    </w:p>
    <w:p>
      <w:pPr>
        <w:spacing w:after="0" w:line="18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Net income available for common shareholders was $29.5 million and earnings per diluted share was $0.48 for the quarter ended September 30, 2010 versus $27.3 million and $0.45, respectively, for third quarter 2009. Year-to-date, Federal Realty reported net income available for common shareholders of $89.6 million and earnings per diluted share of $1.45. This compares to net income available for common shareholders of $65.9 million and earnings per diluted share of $1.10 for the nine months ended September 30, 2009.</w:t>
      </w:r>
    </w:p>
    <w:p>
      <w:pPr>
        <w:spacing w:after="0" w:line="143"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2009 results include a litigation provision related to a lawsuit involving a property adjacent to Santana Row. Excluding this litigation provision, FFO was $172.0 million, or $2.88 per diluted share for the nine months ended September 30, 2009; net income available for common shareholders was $87.0 million and earnings per diluted share was $1.46.</w:t>
      </w:r>
    </w:p>
    <w:p>
      <w:pPr>
        <w:spacing w:after="0" w:line="140"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FFO is a non-GAAP supplemental earnings measure which the Trust considers meaningful in measuring its operating performance. A reconciliation of FFO to net income is attached to this press release.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440" w:right="2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2010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Portfolio Results</w:t>
      </w:r>
    </w:p>
    <w:p>
      <w:pPr>
        <w:spacing w:after="0" w:line="96" w:lineRule="exact"/>
        <w:rPr>
          <w:sz w:val="20"/>
          <w:szCs w:val="20"/>
          <w:color w:val="auto"/>
        </w:rPr>
      </w:pPr>
    </w:p>
    <w:p>
      <w:pPr>
        <w:ind w:right="280"/>
        <w:spacing w:after="0" w:line="335" w:lineRule="auto"/>
        <w:rPr>
          <w:sz w:val="20"/>
          <w:szCs w:val="20"/>
          <w:color w:val="auto"/>
        </w:rPr>
      </w:pPr>
      <w:r>
        <w:rPr>
          <w:rFonts w:ascii="Arial" w:cs="Arial" w:eastAsia="Arial" w:hAnsi="Arial"/>
          <w:sz w:val="15"/>
          <w:szCs w:val="15"/>
          <w:color w:val="auto"/>
        </w:rPr>
        <w:t>For third quarter 2010, same-center property operating income was flat compared to third quarter 2009. When redevelopment and expansion properties are included in same-center results, property operating income for third quarter 2010 decreased -0.9% compared to third quarter 2009. For the nine months ended September 30, 2010, same-center property operating income increased 2.2%, and increased 2.6% including redevelopment and expansion properties.</w:t>
      </w:r>
    </w:p>
    <w:p>
      <w:pPr>
        <w:spacing w:after="0" w:line="88" w:lineRule="exact"/>
        <w:rPr>
          <w:sz w:val="20"/>
          <w:szCs w:val="20"/>
          <w:color w:val="auto"/>
        </w:rPr>
      </w:pPr>
    </w:p>
    <w:p>
      <w:pPr>
        <w:ind w:right="380"/>
        <w:spacing w:after="0" w:line="332" w:lineRule="auto"/>
        <w:rPr>
          <w:sz w:val="20"/>
          <w:szCs w:val="20"/>
          <w:color w:val="auto"/>
        </w:rPr>
      </w:pPr>
      <w:r>
        <w:rPr>
          <w:rFonts w:ascii="Arial" w:cs="Arial" w:eastAsia="Arial" w:hAnsi="Arial"/>
          <w:sz w:val="16"/>
          <w:szCs w:val="16"/>
          <w:color w:val="auto"/>
        </w:rPr>
        <w:t>The overall portfolio was 93.9% leased as of September 30, 2010, compared to 94.2% on June 30, 2010 and 94.2% on September 30, 2009. Federal Realty’s same-center portfolio was 94.4% leased on September 30, 2010, compared to 94.7% on June 30, 2010 and 94.4% on September 30, 2009.</w:t>
      </w:r>
    </w:p>
    <w:p>
      <w:pPr>
        <w:spacing w:after="0" w:line="8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During the third quarter of 2010, Federal Realty signed 77 leases for 396,000 square feet of retail space. On a comparable space basis (i.e., spaces for which there was a former tenant), the Trust leased 349,000 square feet at an average cash-basis contractual rent increase per square foot (i.e., excluding the impact of straight-line rents) of 6%. The average contractual rent on this comparable space for the first year of the new leases is $25.17 per square foot, compared to the average contractual rent of $23.83 per square foot for the last year of the prior leases. The previous average contractual rent was calculated by including both the minimum rent and any percentage rent actually paid during the last year of the lease term for the re-leased space. On a GAAP basis (i.e., including the impact of straight-line rents), rent increases per square foot for comparable retail space averaged 17% for third quarter 2010. As of September 30, 2010, Federal Realty’s average contractual, cash basis minimum rent for retail and commercial space in its portfolio was $22.64 per square foot.</w:t>
      </w:r>
    </w:p>
    <w:p>
      <w:pPr>
        <w:spacing w:after="0" w:line="118" w:lineRule="exact"/>
        <w:rPr>
          <w:sz w:val="20"/>
          <w:szCs w:val="20"/>
          <w:color w:val="auto"/>
        </w:rPr>
      </w:pPr>
    </w:p>
    <w:p>
      <w:pPr>
        <w:ind w:right="180"/>
        <w:spacing w:after="0" w:line="335" w:lineRule="auto"/>
        <w:rPr>
          <w:sz w:val="20"/>
          <w:szCs w:val="20"/>
          <w:color w:val="auto"/>
        </w:rPr>
      </w:pPr>
      <w:r>
        <w:rPr>
          <w:rFonts w:ascii="Arial" w:cs="Arial" w:eastAsia="Arial" w:hAnsi="Arial"/>
          <w:sz w:val="15"/>
          <w:szCs w:val="15"/>
          <w:color w:val="auto"/>
        </w:rPr>
        <w:t>“Our ability to produce consistent results in a continuously challenging economic environment is a true reflection of the stability of our company,” said Don Wood, president and chief executive officer of Federal Realty Investment Trust. “We continue to focus on a low-risk business strategy of producing growth through the smart leasing of our assets, completion of redevelopment projects at excellent risk-adjusted returns, and sourcing acquisitions in our core markets.”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Regular Quarterly Dividends</w:t>
      </w:r>
    </w:p>
    <w:p>
      <w:pPr>
        <w:spacing w:after="0" w:line="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Federal Realty also announced today that its Board of Trustees declared a regular quarterly cash dividend of $0.67 per share on its common shares, resulting in an indicated annual rate of $2.68 per share. The regular common dividend will be payable in cash on January 18, 2011 to common shareholders of record on January 3, 2011.</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28"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2010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Guidance</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color w:val="auto"/>
        </w:rPr>
        <w:t>Federal Realty increased its guidance for 2010 FFO per diluted share to a range of $3.85 to $3.87 and 2010 earnings per diluted share guidance of $1.96 to $1.98.</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Trust also established guidance for 2011 FFO per diluted share at a range of $3.95 to $4.02 and 2011 earnings per diluted share guidance of $2.02 to $2.09.</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2011 guidance reflects record expectations for funds from operations per share.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Primary assumptions in our 2011 FFO per diluted share guidance include:</w:t>
      </w:r>
    </w:p>
    <w:p>
      <w:pPr>
        <w:spacing w:after="0" w:line="90"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material changes in portfolio occupancy,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$5 million decrease in lease termination fees, principally driven by a significant decline at Flourtown Shopping Center,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Same-store property operating income growth of 1%, despite the significant decline in lease termination fees,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 FFO impact associated with 2011 acquisition activity.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Summary of Other Quarterly Activities and Recent Developments</w:t>
      </w:r>
    </w:p>
    <w:p>
      <w:pPr>
        <w:spacing w:after="0" w:line="96" w:lineRule="exact"/>
        <w:rPr>
          <w:sz w:val="20"/>
          <w:szCs w:val="20"/>
          <w:color w:val="auto"/>
        </w:rPr>
      </w:pPr>
    </w:p>
    <w:p>
      <w:pPr>
        <w:ind w:left="900" w:hanging="325"/>
        <w:spacing w:after="0" w:line="306"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August 16, 2010 – Acquired Huntington Square on Long Island in East Northport, New York for $17.6 million. Huntington Square is a 268,000 square foot community center comprised of 74,000 square feet of multi-tenant gross leasable area leased to national retailers such as Barnes &amp; Noble, Brinker International, Lane Bryant and Chase and shadow-anchored by a 194,000 square foot Sears department store.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Information</w:t>
      </w:r>
    </w:p>
    <w:p>
      <w:pPr>
        <w:spacing w:after="0" w:line="9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Federal Realty’s management team will present an in-depth discussion of the Trust’s operating performance on its third quarter 2010 earnings conference call, which is scheduled for November 4, 2010, at 1:00 p.m. Eastern Daylight Time. To participate, please call (866) 202-1971 five to ten minutes prior to the call start time and use the passcode FRT EARNINGS (required). Federal Realty will also provide an online webcast on the Company’s web site, www.federalrealty.com, which will remain available for 30 days following the call. A telephone recording of the call will also be available through December 3, 2010, by dialing (888) 286-8010 and using the passcode 46509598.</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Federal Realty</w:t>
      </w:r>
    </w:p>
    <w:p>
      <w:pPr>
        <w:spacing w:after="0" w:line="96"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and redevelopment of high quality retail assets. Federal Realty’s portfolio (excluding joint venture properties) contains approximately 18.2 million square feet located primarily in strategically selected metropolitan markets in the Northeast, Mid-Atlantic, and California. In addition, the Trust has an ownership interest in approximately 1.0 million square feet of retail space through a joint venture in which the Trust has a 30% interest. Our operating portfolio</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2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 ANNOUNCES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THIRD QUARTER 2010 OPERATING RESULTS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3,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51"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(excluding joint venture properties) was 93.9% leased to national, regional, and local retailers as of September 30, 2010, with no single tenant accounting for more than approximately 2.7% of annualized base rent. Federal Realty has paid quarterly dividends to its shareholders continuously since its founding in 1962, and has increased its dividend rate for 43 consecutive years, the longest record in the REIT industry. Federal Realty is an S&amp;P MidCap 400 company and its shares are traded on the NYSE under the symbol FRT. For more information, please visit www.federalrealty.com.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Safe Harbor Language</w:t>
      </w:r>
    </w:p>
    <w:p>
      <w:pPr>
        <w:spacing w:after="0" w:line="96"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i w:val="1"/>
          <w:iCs w:val="1"/>
          <w:color w:val="auto"/>
        </w:rPr>
        <w:t>Certain matters discussed within this press release may be deemed to be forward-looking statements within the meaning of the federal securities laws. Although Federal Realty believes the expectations reflected in the forward-looking statements are based on reasonable assumptions, it can give no assurance that its expectations will be attained. These factors include, but are not limited to, the risk factors described in our Annual Report on Form 10-K filed on February 17, 2010, and include the following:</w:t>
      </w:r>
    </w:p>
    <w:p>
      <w:pPr>
        <w:spacing w:after="0" w:line="62" w:lineRule="exact"/>
        <w:rPr>
          <w:sz w:val="20"/>
          <w:szCs w:val="20"/>
          <w:color w:val="auto"/>
        </w:rPr>
      </w:pPr>
    </w:p>
    <w:p>
      <w:pPr>
        <w:ind w:left="900" w:right="4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that our tenants will not pay rent, may vacate early or may file for bankruptcy or that we may be unable to renew leases or re-let space at favorable rents as leases expire;</w:t>
      </w:r>
    </w:p>
    <w:p>
      <w:pPr>
        <w:spacing w:after="0" w:line="50"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that we may not be able to proceed with or obtain necessary approvals for any redevelopment or renovation project, and that completion of anticipated or ongoing property redevelopment or renovation projects that we do pursue may cost more, take more time to complete, or fail to perform as expected;</w:t>
      </w:r>
    </w:p>
    <w:p>
      <w:pPr>
        <w:spacing w:after="0" w:line="59"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that the number of properties we acquire for our own account, and therefore the amount of capital we invest in acquisitions, may be impacted by our real estate partnerships;</w:t>
      </w:r>
    </w:p>
    <w:p>
      <w:pPr>
        <w:spacing w:after="0" w:line="50" w:lineRule="exact"/>
        <w:rPr>
          <w:rFonts w:ascii="Arial" w:cs="Arial" w:eastAsia="Arial" w:hAnsi="Arial"/>
          <w:sz w:val="18"/>
          <w:szCs w:val="18"/>
          <w:color w:val="auto"/>
        </w:rPr>
      </w:pPr>
    </w:p>
    <w:p>
      <w:pPr>
        <w:ind w:left="900" w:hanging="325"/>
        <w:spacing w:after="0" w:line="298" w:lineRule="auto"/>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risks normally associated with the real estate industry, including risks that occupancy levels at our properties and the amount of rent that we receive from our properties may be lower than expected, that new acquisitions may fail to perform as expected, that competition for acquisitions could result in increased prices for acquisitions, that environmental issues may develop at our properties and result in unanticipated costs, and, because real estate is illiquid, that we may not be able to sell properties when appropriate;</w:t>
      </w:r>
    </w:p>
    <w:p>
      <w:pPr>
        <w:spacing w:after="0" w:line="31" w:lineRule="exact"/>
        <w:rPr>
          <w:rFonts w:ascii="Arial" w:cs="Arial" w:eastAsia="Arial" w:hAnsi="Arial"/>
          <w:sz w:val="16"/>
          <w:szCs w:val="16"/>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that our growth will be limited if we cannot obtain additional capital;</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59" w:lineRule="exact"/>
        <w:rPr>
          <w:rFonts w:ascii="Arial" w:cs="Arial" w:eastAsia="Arial" w:hAnsi="Arial"/>
          <w:sz w:val="18"/>
          <w:szCs w:val="18"/>
          <w:color w:val="auto"/>
        </w:rPr>
      </w:pPr>
    </w:p>
    <w:p>
      <w:pPr>
        <w:ind w:left="900" w:right="2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40" w:lineRule="exact"/>
        <w:rPr>
          <w:sz w:val="20"/>
          <w:szCs w:val="20"/>
          <w:color w:val="auto"/>
        </w:rPr>
      </w:pPr>
    </w:p>
    <w:p>
      <w:pPr>
        <w:ind w:right="140"/>
        <w:spacing w:after="0" w:line="306" w:lineRule="auto"/>
        <w:rPr>
          <w:sz w:val="20"/>
          <w:szCs w:val="20"/>
          <w:color w:val="auto"/>
        </w:rPr>
      </w:pPr>
      <w:r>
        <w:rPr>
          <w:rFonts w:ascii="Arial" w:cs="Arial" w:eastAsia="Arial" w:hAnsi="Arial"/>
          <w:sz w:val="16"/>
          <w:szCs w:val="16"/>
          <w:i w:val="1"/>
          <w:iCs w:val="1"/>
          <w:color w:val="auto"/>
        </w:rPr>
        <w:t>Given these uncertainties, readers are cautioned not to place undue reliance on any forward-looking statements that we make, including those in this press release. Except as may be required by law, we make no promise to update any of the forward-looking statements as a result of new information, future events or otherwise. You should carefully review the risks and risk factors included in our Annual Report on Form 10-K filed February 17, 2010.</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60"/>
          </w:cols>
          <w:pgMar w:left="240" w:top="428" w:right="29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5"/>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6"/>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center"/>
              <w:ind w:right="238"/>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(in</w:t>
            </w:r>
          </w:p>
        </w:tc>
        <w:tc>
          <w:tcPr>
            <w:tcW w:w="6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thousands,</w:t>
            </w:r>
          </w:p>
        </w:tc>
        <w:tc>
          <w:tcPr>
            <w:tcW w:w="320" w:type="dxa"/>
            <w:vAlign w:val="bottom"/>
            <w:gridSpan w:val="2"/>
          </w:tcPr>
          <w:p>
            <w:pPr>
              <w:jc w:val="center"/>
              <w:spacing w:after="0" w:line="129" w:lineRule="exact"/>
              <w:rPr>
                <w:sz w:val="20"/>
                <w:szCs w:val="20"/>
                <w:color w:val="auto"/>
              </w:rPr>
            </w:pPr>
            <w:r>
              <w:rPr>
                <w:rFonts w:ascii="Arial" w:cs="Arial" w:eastAsia="Arial" w:hAnsi="Arial"/>
                <w:sz w:val="12"/>
                <w:szCs w:val="12"/>
                <w:b w:val="1"/>
                <w:bCs w:val="1"/>
                <w:color w:val="auto"/>
                <w:w w:val="78"/>
              </w:rPr>
              <w:t>except</w:t>
            </w:r>
          </w:p>
        </w:tc>
        <w:tc>
          <w:tcPr>
            <w:tcW w:w="940" w:type="dxa"/>
            <w:vAlign w:val="bottom"/>
            <w:gridSpan w:val="3"/>
          </w:tcPr>
          <w:p>
            <w:pPr>
              <w:jc w:val="right"/>
              <w:ind w:right="40"/>
              <w:spacing w:after="0" w:line="129" w:lineRule="exact"/>
              <w:rPr>
                <w:sz w:val="20"/>
                <w:szCs w:val="20"/>
                <w:color w:val="auto"/>
              </w:rPr>
            </w:pPr>
            <w:r>
              <w:rPr>
                <w:rFonts w:ascii="Arial" w:cs="Arial" w:eastAsia="Arial" w:hAnsi="Arial"/>
                <w:sz w:val="14"/>
                <w:szCs w:val="14"/>
                <w:b w:val="1"/>
                <w:bCs w:val="1"/>
                <w:color w:val="auto"/>
                <w:w w:val="87"/>
              </w:rPr>
              <w:t>per share data)</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90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6"/>
          </w:tcPr>
          <w:p>
            <w:pPr>
              <w:jc w:val="center"/>
              <w:ind w:right="360"/>
              <w:spacing w:after="0"/>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Rental income</w:t>
            </w: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w w:val="86"/>
              </w:rPr>
              <w:t>130,144</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w w:val="86"/>
              </w:rPr>
              <w:t>126,169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86"/>
              </w:rPr>
              <w:t>391,892</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379,465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3,714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11,245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Mortgage interest income</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3,232</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6"/>
              </w:rPr>
              <w:t>134,064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w w:val="86"/>
              </w:rPr>
              <w:t>130,992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406,369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392,406</w:t>
            </w:r>
          </w:p>
        </w:tc>
        <w:tc>
          <w:tcPr>
            <w:tcW w:w="0" w:type="dxa"/>
            <w:vAlign w:val="bottom"/>
          </w:tcPr>
          <w:p>
            <w:pPr>
              <w:spacing w:after="0"/>
              <w:rPr>
                <w:sz w:val="1"/>
                <w:szCs w:val="1"/>
                <w:color w:val="auto"/>
              </w:rPr>
            </w:pPr>
          </w:p>
        </w:tc>
      </w:tr>
      <w:tr>
        <w:trPr>
          <w:trHeight w:val="222"/>
        </w:trPr>
        <w:tc>
          <w:tcPr>
            <w:tcW w:w="4920" w:type="dxa"/>
            <w:vAlign w:val="bottom"/>
            <w:gridSpan w:val="2"/>
          </w:tcPr>
          <w:p>
            <w:pPr>
              <w:spacing w:after="0"/>
              <w:rPr>
                <w:sz w:val="20"/>
                <w:szCs w:val="20"/>
                <w:color w:val="auto"/>
              </w:rPr>
            </w:pPr>
            <w:r>
              <w:rPr>
                <w:rFonts w:ascii="Arial" w:cs="Arial" w:eastAsia="Arial" w:hAnsi="Arial"/>
                <w:sz w:val="18"/>
                <w:szCs w:val="18"/>
                <w:color w:val="auto"/>
              </w:rPr>
              <w:t>Expenses</w:t>
            </w:r>
          </w:p>
        </w:tc>
        <w:tc>
          <w:tcPr>
            <w:tcW w:w="2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Rental expenses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27,140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24,367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82,724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Real estate taxes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15,263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14,485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45,272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5,844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5,749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17,062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Litigation provision</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29,591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28,410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89,701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2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77,898</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73,341</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235,106</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245,174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56,166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57,651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6"/>
              </w:rPr>
              <w:t>171,263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147,232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Other interest income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924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(25,299)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58"/>
              <w:spacing w:after="0"/>
              <w:rPr>
                <w:sz w:val="20"/>
                <w:szCs w:val="20"/>
                <w:color w:val="auto"/>
              </w:rPr>
            </w:pPr>
            <w:r>
              <w:rPr>
                <w:rFonts w:ascii="Arial" w:cs="Arial" w:eastAsia="Arial" w:hAnsi="Arial"/>
                <w:sz w:val="18"/>
                <w:szCs w:val="18"/>
                <w:color w:val="auto"/>
                <w:w w:val="92"/>
              </w:rPr>
              <w:t>(30,209)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(76,679)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(79,622)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Early extinguishment of debt</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(2,801)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(968)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real estate partnerships</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92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31,010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28,839</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92,522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68,990</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00" w:type="dxa"/>
            <w:vAlign w:val="bottom"/>
          </w:tcPr>
          <w:p>
            <w:pPr>
              <w:spacing w:after="0"/>
              <w:rPr>
                <w:sz w:val="9"/>
                <w:szCs w:val="9"/>
                <w:color w:val="auto"/>
              </w:rPr>
            </w:pPr>
          </w:p>
        </w:tc>
        <w:tc>
          <w:tcPr>
            <w:tcW w:w="2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Discontinued operations - income</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Discontinued operations - gain on sale of real estate</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00" w:type="dxa"/>
            <w:vAlign w:val="bottom"/>
          </w:tcPr>
          <w:p>
            <w:pPr>
              <w:ind w:left="860"/>
              <w:spacing w:after="0"/>
              <w:rPr>
                <w:sz w:val="20"/>
                <w:szCs w:val="20"/>
                <w:color w:val="auto"/>
              </w:rPr>
            </w:pPr>
            <w:r>
              <w:rPr>
                <w:rFonts w:ascii="Arial" w:cs="Arial" w:eastAsia="Arial" w:hAnsi="Arial"/>
                <w:sz w:val="18"/>
                <w:szCs w:val="18"/>
                <w:color w:val="auto"/>
              </w:rPr>
              <w:t>Results from discontinued operations</w:t>
            </w:r>
          </w:p>
        </w:tc>
        <w:tc>
          <w:tcPr>
            <w:tcW w:w="27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gain on sale of real estate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28,839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93,522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Gain on sale of real estate</w:t>
            </w:r>
          </w:p>
        </w:tc>
        <w:tc>
          <w:tcPr>
            <w:tcW w:w="2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31,010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28,839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93,932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Net income attributable to noncontrolling interests</w:t>
            </w:r>
          </w:p>
        </w:tc>
        <w:tc>
          <w:tcPr>
            <w:tcW w:w="2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(1,370)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(1,406)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(3,958)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2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29,640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89,974</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Dividends on preferred shares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58"/>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for common shareholders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29,504</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27,297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89,568</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65,928</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BASIC</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1.43</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1.46</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basic</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61,215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60,016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61,158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59,264</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DILUTED</w:t>
            </w: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920" w:type="dxa"/>
            <w:vAlign w:val="bottom"/>
            <w:gridSpan w:val="2"/>
            <w:vMerge w:val="continue"/>
          </w:tcPr>
          <w:p>
            <w:pPr>
              <w:spacing w:after="0"/>
              <w:rPr>
                <w:sz w:val="18"/>
                <w:szCs w:val="18"/>
                <w:color w:val="auto"/>
              </w:rPr>
            </w:pP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Continuing operations</w:t>
            </w:r>
          </w:p>
        </w:tc>
        <w:tc>
          <w:tcPr>
            <w:tcW w:w="2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0.45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1.42</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420"/>
              <w:spacing w:after="0"/>
              <w:rPr>
                <w:sz w:val="20"/>
                <w:szCs w:val="20"/>
                <w:color w:val="auto"/>
              </w:rPr>
            </w:pPr>
            <w:r>
              <w:rPr>
                <w:rFonts w:ascii="Arial" w:cs="Arial" w:eastAsia="Arial" w:hAnsi="Arial"/>
                <w:sz w:val="18"/>
                <w:szCs w:val="18"/>
                <w:color w:val="auto"/>
              </w:rPr>
              <w:t>Discontinued operations</w:t>
            </w:r>
          </w:p>
        </w:tc>
        <w:tc>
          <w:tcPr>
            <w:tcW w:w="2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1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0.02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sale of real estate</w:t>
            </w:r>
          </w:p>
        </w:tc>
        <w:tc>
          <w:tcPr>
            <w:tcW w:w="2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28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0.48</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118"/>
              <w:spacing w:after="0"/>
              <w:rPr>
                <w:sz w:val="20"/>
                <w:szCs w:val="20"/>
                <w:color w:val="auto"/>
              </w:rPr>
            </w:pPr>
            <w:r>
              <w:rPr>
                <w:rFonts w:ascii="Arial" w:cs="Arial" w:eastAsia="Arial" w:hAnsi="Arial"/>
                <w:sz w:val="18"/>
                <w:szCs w:val="18"/>
                <w:color w:val="auto"/>
              </w:rPr>
              <w:t>0.45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1.45</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Weighted average number of common shares, diluted</w:t>
            </w:r>
          </w:p>
        </w:tc>
        <w:tc>
          <w:tcPr>
            <w:tcW w:w="2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61,359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color w:val="auto"/>
              </w:rPr>
              <w:t>60,140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61,297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720" w:type="dxa"/>
            <w:vAlign w:val="bottom"/>
            <w:vMerge w:val="restart"/>
          </w:tcPr>
          <w:p>
            <w:pPr>
              <w:jc w:val="right"/>
              <w:ind w:right="1792"/>
              <w:spacing w:after="0"/>
              <w:rPr>
                <w:sz w:val="20"/>
                <w:szCs w:val="20"/>
                <w:color w:val="auto"/>
              </w:rPr>
            </w:pPr>
            <w:r>
              <w:rPr>
                <w:rFonts w:ascii="Arial" w:cs="Arial" w:eastAsia="Arial" w:hAnsi="Arial"/>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2010</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0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260" w:type="dxa"/>
            <w:vAlign w:val="bottom"/>
            <w:gridSpan w:val="3"/>
          </w:tcPr>
          <w:p>
            <w:pPr>
              <w:jc w:val="right"/>
              <w:ind w:right="553"/>
              <w:spacing w:after="0" w:line="129" w:lineRule="exact"/>
              <w:rPr>
                <w:sz w:val="20"/>
                <w:szCs w:val="20"/>
                <w:color w:val="auto"/>
              </w:rPr>
            </w:pPr>
            <w:r>
              <w:rPr>
                <w:rFonts w:ascii="Arial" w:cs="Arial" w:eastAsia="Arial" w:hAnsi="Arial"/>
                <w:sz w:val="14"/>
                <w:szCs w:val="14"/>
                <w:b w:val="1"/>
                <w:bCs w:val="1"/>
                <w:color w:val="auto"/>
                <w:w w:val="79"/>
              </w:rPr>
              <w:t>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1500" w:type="dxa"/>
            <w:vAlign w:val="bottom"/>
            <w:gridSpan w:val="4"/>
          </w:tcPr>
          <w:p>
            <w:pPr>
              <w:ind w:left="200"/>
              <w:spacing w:after="0"/>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Operating (including $97,265 and $68,643 of consolidated variable interest entities, respectively)</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3,688,805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3,626,476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Construction-in-progress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158,060</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3,846,865</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3,759,234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0"/>
              </w:rPr>
              <w:t>Less accumulated depreciation and amortization (including $3,803 and $3,053 of consolidated variable interest entities,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respectively)</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32"/>
              <w:spacing w:after="0"/>
              <w:rPr>
                <w:sz w:val="20"/>
                <w:szCs w:val="20"/>
                <w:color w:val="auto"/>
              </w:rPr>
            </w:pPr>
            <w:r>
              <w:rPr>
                <w:rFonts w:ascii="Arial" w:cs="Arial" w:eastAsia="Arial" w:hAnsi="Arial"/>
                <w:sz w:val="18"/>
                <w:szCs w:val="18"/>
                <w:color w:val="auto"/>
                <w:w w:val="84"/>
              </w:rPr>
              <w:t>(1,011,975)</w:t>
            </w:r>
          </w:p>
        </w:tc>
        <w:tc>
          <w:tcPr>
            <w:tcW w:w="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(938,087)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real estate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2,834,890</w:t>
            </w:r>
          </w:p>
        </w:tc>
        <w:tc>
          <w:tcPr>
            <w:tcW w:w="4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2,821,147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02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9,174</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135,389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Accounts and notes receivable, net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74,443</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Mortgage notes receivable, net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43,828</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48,336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Investment in real estate partnerships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51,769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35,633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113,055</w:t>
            </w:r>
          </w:p>
        </w:tc>
        <w:tc>
          <w:tcPr>
            <w:tcW w:w="4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109,613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3,127,159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3,222,309</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SHAREHOLDERS’ EQUITY</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02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w w:val="91"/>
              </w:rPr>
              <w:t>Mortgages payable (including $22,946 and $23,417 of consolidated variable interest entities, respectively) and capital</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00" w:type="dxa"/>
            <w:vAlign w:val="bottom"/>
          </w:tcPr>
          <w:p>
            <w:pPr>
              <w:ind w:left="640"/>
              <w:spacing w:after="0"/>
              <w:rPr>
                <w:sz w:val="20"/>
                <w:szCs w:val="20"/>
                <w:color w:val="auto"/>
              </w:rPr>
            </w:pPr>
            <w:r>
              <w:rPr>
                <w:rFonts w:ascii="Arial" w:cs="Arial" w:eastAsia="Arial" w:hAnsi="Arial"/>
                <w:sz w:val="18"/>
                <w:szCs w:val="18"/>
                <w:color w:val="auto"/>
              </w:rPr>
              <w:t>lease obligations</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593,395</w:t>
            </w:r>
          </w:p>
        </w:tc>
        <w:tc>
          <w:tcPr>
            <w:tcW w:w="460" w:type="dxa"/>
            <w:vAlign w:val="bottom"/>
          </w:tcPr>
          <w:p>
            <w:pPr>
              <w:spacing w:after="0"/>
              <w:rPr>
                <w:sz w:val="19"/>
                <w:szCs w:val="19"/>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601,884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47,940</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261,745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Senior notes and debentures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1,079,854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930,219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 and other liabilities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219,094</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020" w:type="dxa"/>
            <w:vAlign w:val="bottom"/>
            <w:gridSpan w:val="2"/>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1,940,283</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2,013,246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420"/>
              <w:spacing w:after="0"/>
              <w:rPr>
                <w:sz w:val="20"/>
                <w:szCs w:val="20"/>
                <w:color w:val="auto"/>
              </w:rPr>
            </w:pPr>
            <w:r>
              <w:rPr>
                <w:rFonts w:ascii="Arial" w:cs="Arial" w:eastAsia="Arial" w:hAnsi="Arial"/>
                <w:sz w:val="18"/>
                <w:szCs w:val="18"/>
                <w:color w:val="auto"/>
              </w:rPr>
              <w:t>Preferred shares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9,997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9,997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shares and other shareholders’ equity</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1,145,499</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1,167,340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020" w:type="dxa"/>
            <w:vAlign w:val="bottom"/>
            <w:gridSpan w:val="2"/>
          </w:tcPr>
          <w:p>
            <w:pPr>
              <w:spacing w:after="0"/>
              <w:rPr>
                <w:sz w:val="20"/>
                <w:szCs w:val="20"/>
                <w:color w:val="auto"/>
              </w:rPr>
            </w:pPr>
            <w:r>
              <w:rPr>
                <w:rFonts w:ascii="Arial" w:cs="Arial" w:eastAsia="Arial" w:hAnsi="Arial"/>
                <w:sz w:val="18"/>
                <w:szCs w:val="18"/>
                <w:color w:val="auto"/>
              </w:rPr>
              <w:t>Total shareholders’ equity of the Trust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1,155,496</w:t>
            </w: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1,177,337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Noncontrolling interests</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31,380</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020" w:type="dxa"/>
            <w:vAlign w:val="bottom"/>
            <w:gridSpan w:val="2"/>
          </w:tcPr>
          <w:p>
            <w:pPr>
              <w:spacing w:after="0"/>
              <w:rPr>
                <w:sz w:val="20"/>
                <w:szCs w:val="20"/>
                <w:color w:val="auto"/>
              </w:rPr>
            </w:pPr>
            <w:r>
              <w:rPr>
                <w:rFonts w:ascii="Arial" w:cs="Arial" w:eastAsia="Arial" w:hAnsi="Arial"/>
                <w:sz w:val="18"/>
                <w:szCs w:val="18"/>
                <w:color w:val="auto"/>
              </w:rPr>
              <w:t>Total shareholders’ equity</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1,186,876</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1,209,063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SHAREHOLDERS’ EQUITY</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3,127,159</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3,222,309</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ind w:left="5680"/>
              <w:spacing w:after="0"/>
              <w:rPr>
                <w:sz w:val="20"/>
                <w:szCs w:val="20"/>
                <w:color w:val="auto"/>
              </w:rPr>
            </w:pPr>
            <w:r>
              <w:rPr>
                <w:rFonts w:ascii="Arial" w:cs="Arial" w:eastAsia="Arial" w:hAnsi="Arial"/>
                <w:sz w:val="18"/>
                <w:szCs w:val="18"/>
                <w:color w:val="auto"/>
              </w:rPr>
              <w:t>8</w:t>
            </w: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9020" w:type="dxa"/>
            <w:vAlign w:val="bottom"/>
            <w:gridSpan w:val="2"/>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Funds From Operations / Summary of Capital Expenditures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652"/>
              <w:spacing w:after="0"/>
              <w:rPr>
                <w:sz w:val="20"/>
                <w:szCs w:val="20"/>
                <w:color w:val="auto"/>
              </w:rPr>
            </w:pPr>
            <w:r>
              <w:rPr>
                <w:rFonts w:ascii="Arial" w:cs="Arial" w:eastAsia="Arial" w:hAnsi="Arial"/>
                <w:sz w:val="14"/>
                <w:szCs w:val="14"/>
                <w:b w:val="1"/>
                <w:bCs w:val="1"/>
                <w:color w:val="auto"/>
                <w:w w:val="94"/>
              </w:rPr>
              <w:t>Three months ended</w:t>
            </w:r>
          </w:p>
        </w:tc>
        <w:tc>
          <w:tcPr>
            <w:tcW w:w="100" w:type="dxa"/>
            <w:vAlign w:val="bottom"/>
          </w:tcPr>
          <w:p>
            <w:pPr>
              <w:spacing w:after="0"/>
              <w:rPr>
                <w:sz w:val="14"/>
                <w:szCs w:val="14"/>
                <w:color w:val="auto"/>
              </w:rPr>
            </w:pPr>
          </w:p>
        </w:tc>
        <w:tc>
          <w:tcPr>
            <w:tcW w:w="196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gridSpan w:val="6"/>
          </w:tcPr>
          <w:p>
            <w:pPr>
              <w:jc w:val="right"/>
              <w:ind w:right="832"/>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9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2010</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2009</w:t>
            </w:r>
          </w:p>
        </w:tc>
        <w:tc>
          <w:tcPr>
            <w:tcW w:w="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2010</w:t>
            </w:r>
          </w:p>
        </w:tc>
        <w:tc>
          <w:tcPr>
            <w:tcW w:w="5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ind w:left="100"/>
              <w:spacing w:after="0"/>
              <w:rPr>
                <w:sz w:val="20"/>
                <w:szCs w:val="20"/>
                <w:color w:val="auto"/>
              </w:rPr>
            </w:pPr>
            <w:r>
              <w:rPr>
                <w:rFonts w:ascii="Arial" w:cs="Arial" w:eastAsia="Arial" w:hAnsi="Arial"/>
                <w:sz w:val="11"/>
                <w:szCs w:val="11"/>
                <w:b w:val="1"/>
                <w:bCs w:val="1"/>
                <w:color w:val="auto"/>
                <w:w w:val="74"/>
              </w:rPr>
              <w:t>(in</w:t>
            </w:r>
          </w:p>
        </w:tc>
        <w:tc>
          <w:tcPr>
            <w:tcW w:w="5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74"/>
              </w:rPr>
              <w:t>thousands,</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except</w:t>
            </w:r>
          </w:p>
        </w:tc>
        <w:tc>
          <w:tcPr>
            <w:tcW w:w="680" w:type="dxa"/>
            <w:vAlign w:val="bottom"/>
            <w:gridSpan w:val="2"/>
          </w:tcPr>
          <w:p>
            <w:pPr>
              <w:jc w:val="right"/>
              <w:ind w:right="14"/>
              <w:spacing w:after="0" w:line="142" w:lineRule="exact"/>
              <w:rPr>
                <w:sz w:val="20"/>
                <w:szCs w:val="20"/>
                <w:color w:val="auto"/>
              </w:rPr>
            </w:pPr>
            <w:r>
              <w:rPr>
                <w:rFonts w:ascii="Arial" w:cs="Arial" w:eastAsia="Arial" w:hAnsi="Arial"/>
                <w:sz w:val="14"/>
                <w:szCs w:val="14"/>
                <w:b w:val="1"/>
                <w:bCs w:val="1"/>
                <w:color w:val="auto"/>
                <w:w w:val="88"/>
              </w:rPr>
              <w:t>per share</w:t>
            </w:r>
          </w:p>
        </w:tc>
        <w:tc>
          <w:tcPr>
            <w:tcW w:w="500" w:type="dxa"/>
            <w:vAlign w:val="bottom"/>
          </w:tcPr>
          <w:p>
            <w:pPr>
              <w:jc w:val="right"/>
              <w:ind w:right="198"/>
              <w:spacing w:after="0"/>
              <w:rPr>
                <w:sz w:val="20"/>
                <w:szCs w:val="20"/>
                <w:color w:val="auto"/>
              </w:rPr>
            </w:pPr>
            <w:r>
              <w:rPr>
                <w:rFonts w:ascii="Arial" w:cs="Arial" w:eastAsia="Arial" w:hAnsi="Arial"/>
                <w:sz w:val="12"/>
                <w:szCs w:val="12"/>
                <w:b w:val="1"/>
                <w:bCs w:val="1"/>
                <w:color w:val="auto"/>
                <w:w w:val="76"/>
              </w:rPr>
              <w:t>data)</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Funds from Operations available for common shareholders (FFO) (1)</w:t>
            </w: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Net income (2)</w:t>
            </w:r>
          </w:p>
        </w:tc>
        <w:tc>
          <w:tcPr>
            <w:tcW w:w="152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gridSpan w:val="2"/>
          </w:tcPr>
          <w:p>
            <w:pPr>
              <w:jc w:val="right"/>
              <w:ind w:right="260"/>
              <w:spacing w:after="0"/>
              <w:rPr>
                <w:sz w:val="20"/>
                <w:szCs w:val="20"/>
                <w:color w:val="auto"/>
              </w:rPr>
            </w:pPr>
            <w:r>
              <w:rPr>
                <w:rFonts w:ascii="Arial" w:cs="Arial" w:eastAsia="Arial" w:hAnsi="Arial"/>
                <w:sz w:val="18"/>
                <w:szCs w:val="18"/>
                <w:color w:val="auto"/>
                <w:w w:val="83"/>
              </w:rPr>
              <w:t>31,010</w:t>
            </w:r>
          </w:p>
        </w:tc>
        <w:tc>
          <w:tcPr>
            <w:tcW w:w="32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83"/>
              </w:rPr>
              <w:t>28,839</w:t>
            </w: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93,932</w:t>
            </w:r>
          </w:p>
        </w:tc>
        <w:tc>
          <w:tcPr>
            <w:tcW w:w="5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CCEEFF"/>
            </w:tcBorders>
            <w:gridSpan w:val="2"/>
          </w:tcPr>
          <w:p>
            <w:pPr>
              <w:jc w:val="right"/>
              <w:ind w:right="200"/>
              <w:spacing w:after="0"/>
              <w:rPr>
                <w:sz w:val="20"/>
                <w:szCs w:val="20"/>
                <w:color w:val="auto"/>
              </w:rPr>
            </w:pPr>
            <w:r>
              <w:rPr>
                <w:rFonts w:ascii="Arial" w:cs="Arial" w:eastAsia="Arial" w:hAnsi="Arial"/>
                <w:sz w:val="18"/>
                <w:szCs w:val="18"/>
                <w:color w:val="auto"/>
              </w:rPr>
              <w:t>70,506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(1,370)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w w:val="91"/>
              </w:rPr>
              <w:t>(1,406)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rPr>
              <w:t>(3,958)</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Gain on sale of real estate</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51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78"/>
              <w:spacing w:after="0"/>
              <w:rPr>
                <w:sz w:val="20"/>
                <w:szCs w:val="20"/>
                <w:color w:val="auto"/>
              </w:rPr>
            </w:pPr>
            <w:r>
              <w:rPr>
                <w:rFonts w:ascii="Arial" w:cs="Arial" w:eastAsia="Arial" w:hAnsi="Arial"/>
                <w:sz w:val="18"/>
                <w:szCs w:val="18"/>
                <w:color w:val="auto"/>
              </w:rPr>
              <w:t>(1,410)</w:t>
            </w:r>
          </w:p>
        </w:tc>
        <w:tc>
          <w:tcPr>
            <w:tcW w:w="10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26,491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25,682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80,375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77,681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Amortization of initial direct costs of leases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2,429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2,196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7,226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Depreciation of joint venture real estate assets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5"/>
            <w:vMerge w:val="restart"/>
          </w:tcPr>
          <w:p>
            <w:pPr>
              <w:ind w:left="420"/>
              <w:spacing w:after="0"/>
              <w:rPr>
                <w:sz w:val="20"/>
                <w:szCs w:val="20"/>
                <w:color w:val="auto"/>
              </w:rPr>
            </w:pPr>
            <w:r>
              <w:rPr>
                <w:rFonts w:ascii="Arial" w:cs="Arial" w:eastAsia="Arial" w:hAnsi="Arial"/>
                <w:sz w:val="18"/>
                <w:szCs w:val="18"/>
                <w:color w:val="auto"/>
              </w:rPr>
              <w:t>Funds from operations</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380" w:type="dxa"/>
            <w:vAlign w:val="bottom"/>
            <w:gridSpan w:val="5"/>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58,928</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55,666</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177,229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151,141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Dividends on preferred shares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(136)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rPr>
              <w:t>(406)</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Income attributable to operating partnership units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736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Income attributable to unvested shares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72"/>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78"/>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5"/>
            <w:vMerge w:val="restart"/>
          </w:tcPr>
          <w:p>
            <w:pPr>
              <w:ind w:left="420"/>
              <w:spacing w:after="0"/>
              <w:rPr>
                <w:sz w:val="20"/>
                <w:szCs w:val="20"/>
                <w:color w:val="auto"/>
              </w:rPr>
            </w:pPr>
            <w:r>
              <w:rPr>
                <w:rFonts w:ascii="Arial" w:cs="Arial" w:eastAsia="Arial" w:hAnsi="Arial"/>
                <w:sz w:val="18"/>
                <w:szCs w:val="18"/>
                <w:color w:val="auto"/>
              </w:rPr>
              <w:t>FFO</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gridSpan w:val="5"/>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58,842</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55,595</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176,969</w:t>
            </w: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150,970</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Litigation provision, net of allocation to unvested shares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21,018</w:t>
            </w:r>
          </w:p>
        </w:tc>
        <w:tc>
          <w:tcPr>
            <w:tcW w:w="0" w:type="dxa"/>
            <w:vAlign w:val="bottom"/>
          </w:tcPr>
          <w:p>
            <w:pPr>
              <w:spacing w:after="0"/>
              <w:rPr>
                <w:sz w:val="1"/>
                <w:szCs w:val="1"/>
                <w:color w:val="auto"/>
              </w:rPr>
            </w:pPr>
          </w:p>
        </w:tc>
      </w:tr>
      <w:tr>
        <w:trPr>
          <w:trHeight w:val="20"/>
        </w:trPr>
        <w:tc>
          <w:tcPr>
            <w:tcW w:w="6400" w:type="dxa"/>
            <w:vAlign w:val="bottom"/>
            <w:gridSpan w:val="6"/>
            <w:vMerge w:val="restart"/>
          </w:tcPr>
          <w:p>
            <w:pPr>
              <w:spacing w:after="0"/>
              <w:rPr>
                <w:sz w:val="20"/>
                <w:szCs w:val="20"/>
                <w:color w:val="auto"/>
              </w:rPr>
            </w:pPr>
            <w:r>
              <w:rPr>
                <w:rFonts w:ascii="Arial" w:cs="Arial" w:eastAsia="Arial" w:hAnsi="Arial"/>
                <w:sz w:val="18"/>
                <w:szCs w:val="18"/>
                <w:color w:val="auto"/>
              </w:rPr>
              <w:t>FFO excluding litigation provision</w:t>
            </w:r>
          </w:p>
        </w:tc>
        <w:tc>
          <w:tcPr>
            <w:tcW w:w="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400" w:type="dxa"/>
            <w:vAlign w:val="bottom"/>
            <w:gridSpan w:val="6"/>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58,901</w:t>
            </w:r>
          </w:p>
        </w:tc>
        <w:tc>
          <w:tcPr>
            <w:tcW w:w="3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3"/>
              </w:rPr>
              <w:t>55,924</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177,315</w:t>
            </w:r>
          </w:p>
        </w:tc>
        <w:tc>
          <w:tcPr>
            <w:tcW w:w="5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w w:val="86"/>
              </w:rPr>
              <w:t>171,988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Litigation provision per diluted share</w:t>
            </w:r>
          </w:p>
        </w:tc>
        <w:tc>
          <w:tcPr>
            <w:tcW w:w="8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0.01</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FFO per diluted share excluding litigation provision</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gridSpan w:val="5"/>
            <w:vMerge w:val="restart"/>
          </w:tcPr>
          <w:p>
            <w:pPr>
              <w:ind w:left="860"/>
              <w:spacing w:after="0"/>
              <w:rPr>
                <w:sz w:val="20"/>
                <w:szCs w:val="20"/>
                <w:color w:val="auto"/>
              </w:rPr>
            </w:pPr>
            <w:r>
              <w:rPr>
                <w:rFonts w:ascii="Arial" w:cs="Arial" w:eastAsia="Arial" w:hAnsi="Arial"/>
                <w:sz w:val="18"/>
                <w:szCs w:val="18"/>
                <w:color w:val="auto"/>
              </w:rPr>
              <w:t>Weighted average number of common shares, diluted</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gridSpan w:val="5"/>
            <w:vMerge w:val="continue"/>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61,729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60,511</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61,667</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59,759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gridSpan w:val="5"/>
            <w:shd w:val="clear" w:color="auto" w:fill="CCEEFF"/>
          </w:tcPr>
          <w:p>
            <w:pPr>
              <w:spacing w:after="0" w:line="170" w:lineRule="exact"/>
              <w:rPr>
                <w:sz w:val="20"/>
                <w:szCs w:val="20"/>
                <w:color w:val="auto"/>
              </w:rPr>
            </w:pPr>
            <w:r>
              <w:rPr>
                <w:rFonts w:ascii="Arial" w:cs="Arial" w:eastAsia="Arial" w:hAnsi="Arial"/>
                <w:sz w:val="18"/>
                <w:szCs w:val="18"/>
                <w:color w:val="auto"/>
              </w:rPr>
              <w:t>Summary of Capital Expenditures</w:t>
            </w: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5"/>
          </w:tcPr>
          <w:p>
            <w:pPr>
              <w:spacing w:after="0"/>
              <w:rPr>
                <w:sz w:val="20"/>
                <w:szCs w:val="20"/>
                <w:color w:val="auto"/>
              </w:rPr>
            </w:pPr>
            <w:r>
              <w:rPr>
                <w:rFonts w:ascii="Arial" w:cs="Arial" w:eastAsia="Arial" w:hAnsi="Arial"/>
                <w:sz w:val="18"/>
                <w:szCs w:val="18"/>
                <w:color w:val="auto"/>
              </w:rPr>
              <w:t>Non-maintenance capital expenditures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Redevelopment and expansions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20,500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14,724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44,224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tcPr>
          <w:p>
            <w:pPr>
              <w:ind w:left="860"/>
              <w:spacing w:after="0"/>
              <w:rPr>
                <w:sz w:val="20"/>
                <w:szCs w:val="20"/>
                <w:color w:val="auto"/>
              </w:rPr>
            </w:pPr>
            <w:r>
              <w:rPr>
                <w:rFonts w:ascii="Arial" w:cs="Arial" w:eastAsia="Arial" w:hAnsi="Arial"/>
                <w:sz w:val="18"/>
                <w:szCs w:val="18"/>
                <w:color w:val="auto"/>
              </w:rPr>
              <w:t>Tenant improvements and incentives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5,290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3,402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11,285</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8,479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non-maintenance capital expenditures</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25,790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18,126</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55,509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gridSpan w:val="5"/>
          </w:tcPr>
          <w:p>
            <w:pPr>
              <w:ind w:left="420"/>
              <w:spacing w:after="0"/>
              <w:rPr>
                <w:sz w:val="20"/>
                <w:szCs w:val="20"/>
                <w:color w:val="auto"/>
              </w:rPr>
            </w:pPr>
            <w:r>
              <w:rPr>
                <w:rFonts w:ascii="Arial" w:cs="Arial" w:eastAsia="Arial" w:hAnsi="Arial"/>
                <w:sz w:val="18"/>
                <w:szCs w:val="18"/>
                <w:color w:val="auto"/>
              </w:rPr>
              <w:t>Maintenance capital expenditures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7,577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4,306</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11,470</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Total capital expenditures</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33,367</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22,432</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66,979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70,659</w:t>
            </w:r>
          </w:p>
        </w:tc>
        <w:tc>
          <w:tcPr>
            <w:tcW w:w="0" w:type="dxa"/>
            <w:vAlign w:val="bottom"/>
          </w:tcPr>
          <w:p>
            <w:pPr>
              <w:spacing w:after="0"/>
              <w:rPr>
                <w:sz w:val="1"/>
                <w:szCs w:val="1"/>
                <w:color w:val="auto"/>
              </w:rPr>
            </w:pPr>
          </w:p>
        </w:tc>
      </w:tr>
      <w:tr>
        <w:trPr>
          <w:trHeight w:val="20"/>
        </w:trPr>
        <w:tc>
          <w:tcPr>
            <w:tcW w:w="6400" w:type="dxa"/>
            <w:vAlign w:val="bottom"/>
            <w:gridSpan w:val="6"/>
            <w:vMerge w:val="restart"/>
          </w:tcPr>
          <w:p>
            <w:pPr>
              <w:spacing w:after="0"/>
              <w:rPr>
                <w:sz w:val="20"/>
                <w:szCs w:val="20"/>
                <w:color w:val="auto"/>
              </w:rPr>
            </w:pPr>
            <w:r>
              <w:rPr>
                <w:rFonts w:ascii="Arial" w:cs="Arial" w:eastAsia="Arial" w:hAnsi="Arial"/>
                <w:sz w:val="18"/>
                <w:szCs w:val="18"/>
                <w:color w:val="auto"/>
              </w:rPr>
              <w:t>Dividends and Payout Ratios</w:t>
            </w:r>
          </w:p>
        </w:tc>
        <w:tc>
          <w:tcPr>
            <w:tcW w:w="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400" w:type="dxa"/>
            <w:vAlign w:val="bottom"/>
            <w:gridSpan w:val="6"/>
            <w:vMerge w:val="continue"/>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4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Regular common dividends declared</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41,166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40,374</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122,169</w:t>
            </w: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6"/>
              </w:rPr>
              <w:t>117,222</w:t>
            </w:r>
          </w:p>
        </w:tc>
        <w:tc>
          <w:tcPr>
            <w:tcW w:w="0" w:type="dxa"/>
            <w:vAlign w:val="bottom"/>
          </w:tcPr>
          <w:p>
            <w:pPr>
              <w:spacing w:after="0"/>
              <w:rPr>
                <w:sz w:val="1"/>
                <w:szCs w:val="1"/>
                <w:color w:val="auto"/>
              </w:rPr>
            </w:pPr>
          </w:p>
        </w:tc>
      </w:tr>
      <w:tr>
        <w:trPr>
          <w:trHeight w:val="322"/>
        </w:trPr>
        <w:tc>
          <w:tcPr>
            <w:tcW w:w="6400" w:type="dxa"/>
            <w:vAlign w:val="bottom"/>
            <w:gridSpan w:val="6"/>
          </w:tcPr>
          <w:p>
            <w:pPr>
              <w:spacing w:after="0"/>
              <w:rPr>
                <w:sz w:val="20"/>
                <w:szCs w:val="20"/>
                <w:color w:val="auto"/>
              </w:rPr>
            </w:pPr>
            <w:r>
              <w:rPr>
                <w:rFonts w:ascii="Arial" w:cs="Arial" w:eastAsia="Arial" w:hAnsi="Arial"/>
                <w:sz w:val="18"/>
                <w:szCs w:val="18"/>
                <w:color w:val="auto"/>
              </w:rPr>
              <w:t>Dividend payout ratio as a percentage of FFO</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70%</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27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1080" w:type="dxa"/>
            <w:vAlign w:val="bottom"/>
            <w:gridSpan w:val="2"/>
          </w:tcPr>
          <w:p>
            <w:pPr>
              <w:jc w:val="right"/>
              <w:ind w:right="298"/>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24"/>
                <w:szCs w:val="2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Dividend payout ratio as a percentage of FFO excluding litigation provision (2)</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72"/>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98"/>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900" w:type="dxa"/>
            <w:vAlign w:val="bottom"/>
          </w:tcPr>
          <w:p>
            <w:pPr>
              <w:spacing w:after="0"/>
              <w:rPr>
                <w:sz w:val="8"/>
                <w:szCs w:val="8"/>
                <w:color w:val="auto"/>
              </w:rPr>
            </w:pPr>
          </w:p>
        </w:tc>
        <w:tc>
          <w:tcPr>
            <w:tcW w:w="34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right="40" w:hanging="452"/>
        <w:spacing w:after="0" w:line="25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Net income includes certain costs related to the litigation and appeal process over a parcel of land adjacent to Santana Row; net income for the nine months ended September 30, 2009 also includes a $20.6 million charge for increasing the accrual for such litigation matter. We believe FFO excluding this litigation provision provides a more meaningful evaluation of operations, and therefore, have included FFO and FFO per share excluding the related charges.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22"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2010</w:t>
            </w:r>
          </w:p>
        </w:tc>
        <w:tc>
          <w:tcPr>
            <w:tcW w:w="5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1"/>
              </w:rPr>
              <w:t>(in thousands,</w:t>
            </w:r>
          </w:p>
        </w:tc>
        <w:tc>
          <w:tcPr>
            <w:tcW w:w="1480" w:type="dxa"/>
            <w:vAlign w:val="bottom"/>
            <w:gridSpan w:val="3"/>
          </w:tcPr>
          <w:p>
            <w:pPr>
              <w:jc w:val="right"/>
              <w:ind w:right="54"/>
              <w:spacing w:after="0" w:line="142" w:lineRule="exact"/>
              <w:rPr>
                <w:sz w:val="20"/>
                <w:szCs w:val="20"/>
                <w:color w:val="auto"/>
              </w:rPr>
            </w:pPr>
            <w:r>
              <w:rPr>
                <w:rFonts w:ascii="Arial" w:cs="Arial" w:eastAsia="Arial" w:hAnsi="Arial"/>
                <w:sz w:val="14"/>
                <w:szCs w:val="14"/>
                <w:b w:val="1"/>
                <w:bCs w:val="1"/>
                <w:color w:val="auto"/>
                <w:w w:val="88"/>
              </w:rPr>
              <w:t>except per share data)</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data</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Common shares outstanding (1)</w:t>
            </w:r>
          </w:p>
        </w:tc>
        <w:tc>
          <w:tcPr>
            <w:tcW w:w="120" w:type="dxa"/>
            <w:vAlign w:val="bottom"/>
          </w:tcPr>
          <w:p>
            <w:pPr>
              <w:spacing w:after="0"/>
              <w:rPr>
                <w:sz w:val="18"/>
                <w:szCs w:val="18"/>
                <w:color w:val="auto"/>
              </w:rPr>
            </w:pP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61,451</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61,176</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Market price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81.66</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61.37</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880"/>
              <w:spacing w:after="0"/>
              <w:rPr>
                <w:sz w:val="20"/>
                <w:szCs w:val="20"/>
                <w:color w:val="auto"/>
              </w:rPr>
            </w:pPr>
            <w:r>
              <w:rPr>
                <w:rFonts w:ascii="Arial" w:cs="Arial" w:eastAsia="Arial" w:hAnsi="Arial"/>
                <w:sz w:val="18"/>
                <w:szCs w:val="18"/>
                <w:color w:val="auto"/>
              </w:rPr>
              <w:t>Common 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5,018,089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3,754,371</w:t>
            </w:r>
          </w:p>
        </w:tc>
        <w:tc>
          <w:tcPr>
            <w:tcW w:w="0" w:type="dxa"/>
            <w:vAlign w:val="bottom"/>
          </w:tcPr>
          <w:p>
            <w:pPr>
              <w:spacing w:after="0"/>
              <w:rPr>
                <w:sz w:val="1"/>
                <w:szCs w:val="1"/>
                <w:color w:val="auto"/>
              </w:rPr>
            </w:pPr>
          </w:p>
        </w:tc>
      </w:tr>
      <w:tr>
        <w:trPr>
          <w:trHeight w:val="28"/>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Series 1 preferred shares outstanding (2)</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Liquidation price per Series 1 preferred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rPr>
              <w:t>25.00</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7"/>
        </w:trPr>
        <w:tc>
          <w:tcPr>
            <w:tcW w:w="1160" w:type="dxa"/>
            <w:vAlign w:val="bottom"/>
          </w:tcPr>
          <w:p>
            <w:pPr>
              <w:spacing w:after="0"/>
              <w:rPr>
                <w:sz w:val="2"/>
                <w:szCs w:val="2"/>
                <w:color w:val="auto"/>
              </w:rPr>
            </w:pPr>
          </w:p>
        </w:tc>
        <w:tc>
          <w:tcPr>
            <w:tcW w:w="7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Series 1 preferred equity market capitalization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rPr>
              <w:t>10,000</w:t>
            </w: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440"/>
              <w:spacing w:after="0"/>
              <w:rPr>
                <w:sz w:val="20"/>
                <w:szCs w:val="20"/>
                <w:color w:val="auto"/>
              </w:rPr>
            </w:pPr>
            <w:r>
              <w:rPr>
                <w:rFonts w:ascii="Arial" w:cs="Arial" w:eastAsia="Arial" w:hAnsi="Arial"/>
                <w:sz w:val="18"/>
                <w:szCs w:val="18"/>
                <w:color w:val="auto"/>
              </w:rPr>
              <w:t>Equity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5,028,089</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3,764,371</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(3)</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72"/>
              <w:spacing w:after="0"/>
              <w:rPr>
                <w:sz w:val="20"/>
                <w:szCs w:val="20"/>
                <w:color w:val="auto"/>
              </w:rPr>
            </w:pPr>
            <w:r>
              <w:rPr>
                <w:rFonts w:ascii="Arial" w:cs="Arial" w:eastAsia="Arial" w:hAnsi="Arial"/>
                <w:sz w:val="18"/>
                <w:szCs w:val="18"/>
                <w:color w:val="auto"/>
                <w:w w:val="97"/>
              </w:rPr>
              <w:t>1,721,189</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2,042,217</w:t>
            </w:r>
          </w:p>
        </w:tc>
        <w:tc>
          <w:tcPr>
            <w:tcW w:w="0" w:type="dxa"/>
            <w:vAlign w:val="bottom"/>
          </w:tcPr>
          <w:p>
            <w:pPr>
              <w:spacing w:after="0"/>
              <w:rPr>
                <w:sz w:val="1"/>
                <w:szCs w:val="1"/>
                <w:color w:val="auto"/>
              </w:rPr>
            </w:pPr>
          </w:p>
        </w:tc>
      </w:tr>
      <w:tr>
        <w:trPr>
          <w:trHeight w:val="20"/>
        </w:trPr>
        <w:tc>
          <w:tcPr>
            <w:tcW w:w="8820" w:type="dxa"/>
            <w:vAlign w:val="bottom"/>
            <w:gridSpan w:val="2"/>
            <w:vMerge w:val="restart"/>
          </w:tcPr>
          <w:p>
            <w:pPr>
              <w:ind w:left="440"/>
              <w:spacing w:after="0"/>
              <w:rPr>
                <w:sz w:val="20"/>
                <w:szCs w:val="20"/>
                <w:color w:val="auto"/>
              </w:rPr>
            </w:pPr>
            <w:r>
              <w:rPr>
                <w:rFonts w:ascii="Arial" w:cs="Arial" w:eastAsia="Arial" w:hAnsi="Arial"/>
                <w:sz w:val="18"/>
                <w:szCs w:val="18"/>
                <w:color w:val="auto"/>
              </w:rPr>
              <w:t>Total market capitalization</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820" w:type="dxa"/>
            <w:vAlign w:val="bottom"/>
            <w:gridSpan w:val="2"/>
            <w:vMerge w:val="continue"/>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72"/>
              <w:spacing w:after="0"/>
              <w:rPr>
                <w:sz w:val="20"/>
                <w:szCs w:val="20"/>
                <w:color w:val="auto"/>
              </w:rPr>
            </w:pPr>
            <w:r>
              <w:rPr>
                <w:rFonts w:ascii="Arial" w:cs="Arial" w:eastAsia="Arial" w:hAnsi="Arial"/>
                <w:sz w:val="18"/>
                <w:szCs w:val="18"/>
                <w:color w:val="auto"/>
                <w:w w:val="97"/>
              </w:rPr>
              <w:t>6,749,278</w:t>
            </w:r>
          </w:p>
        </w:tc>
        <w:tc>
          <w:tcPr>
            <w:tcW w:w="200" w:type="dxa"/>
            <w:vAlign w:val="bottom"/>
          </w:tcPr>
          <w:p>
            <w:pPr>
              <w:jc w:val="right"/>
              <w:ind w:right="12"/>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9"/>
              </w:rPr>
              <w:t>5,806,588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debt to market capitalization at then current market price</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22"/>
        </w:trPr>
        <w:tc>
          <w:tcPr>
            <w:tcW w:w="8820" w:type="dxa"/>
            <w:vAlign w:val="bottom"/>
            <w:gridSpan w:val="2"/>
          </w:tcPr>
          <w:p>
            <w:pPr>
              <w:ind w:left="440"/>
              <w:spacing w:after="0"/>
              <w:rPr>
                <w:sz w:val="20"/>
                <w:szCs w:val="20"/>
                <w:color w:val="auto"/>
              </w:rPr>
            </w:pPr>
            <w:r>
              <w:rPr>
                <w:rFonts w:ascii="Arial" w:cs="Arial" w:eastAsia="Arial" w:hAnsi="Arial"/>
                <w:sz w:val="18"/>
                <w:szCs w:val="18"/>
                <w:color w:val="auto"/>
              </w:rPr>
              <w:t>Total debt to market capitalization at constant common share price of $61.37</w:t>
            </w:r>
          </w:p>
        </w:tc>
        <w:tc>
          <w:tcPr>
            <w:tcW w:w="120" w:type="dxa"/>
            <w:vAlign w:val="bottom"/>
          </w:tcPr>
          <w:p>
            <w:pPr>
              <w:spacing w:after="0"/>
              <w:rPr>
                <w:sz w:val="24"/>
                <w:szCs w:val="24"/>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4"/>
                <w:szCs w:val="2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10"/>
        </w:trPr>
        <w:tc>
          <w:tcPr>
            <w:tcW w:w="1160" w:type="dxa"/>
            <w:vAlign w:val="bottom"/>
          </w:tcPr>
          <w:p>
            <w:pPr>
              <w:spacing w:after="0"/>
              <w:rPr>
                <w:sz w:val="9"/>
                <w:szCs w:val="9"/>
                <w:color w:val="auto"/>
              </w:rPr>
            </w:pPr>
          </w:p>
        </w:tc>
        <w:tc>
          <w:tcPr>
            <w:tcW w:w="76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Fixed rate debt ratio:</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gridSpan w:val="2"/>
          </w:tcPr>
          <w:p>
            <w:pPr>
              <w:ind w:left="880"/>
              <w:spacing w:after="0"/>
              <w:rPr>
                <w:sz w:val="20"/>
                <w:szCs w:val="20"/>
                <w:color w:val="auto"/>
              </w:rPr>
            </w:pPr>
            <w:r>
              <w:rPr>
                <w:rFonts w:ascii="Arial" w:cs="Arial" w:eastAsia="Arial" w:hAnsi="Arial"/>
                <w:sz w:val="18"/>
                <w:szCs w:val="18"/>
                <w:color w:val="auto"/>
              </w:rPr>
              <w:t>Fixed rate debt and capital lease obligations</w:t>
            </w:r>
          </w:p>
        </w:tc>
        <w:tc>
          <w:tcPr>
            <w:tcW w:w="120" w:type="dxa"/>
            <w:vAlign w:val="bottom"/>
          </w:tcPr>
          <w:p>
            <w:pPr>
              <w:spacing w:after="0"/>
              <w:rPr>
                <w:sz w:val="18"/>
                <w:szCs w:val="18"/>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882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Variable rate debt</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16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312"/>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1160" w:type="dxa"/>
            <w:vAlign w:val="bottom"/>
            <w:tcBorders>
              <w:bottom w:val="single" w:sz="8" w:color="auto"/>
            </w:tcBorders>
          </w:tcPr>
          <w:p>
            <w:pPr>
              <w:spacing w:after="0"/>
              <w:rPr>
                <w:sz w:val="7"/>
                <w:szCs w:val="7"/>
                <w:color w:val="auto"/>
              </w:rPr>
            </w:pPr>
          </w:p>
        </w:tc>
        <w:tc>
          <w:tcPr>
            <w:tcW w:w="76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do not include 369,260 and 371,260 Operating Partnership Units outstanding at September 30, 2010 and 2009, respectively.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shares, issued March 8, 2007, are unregistered.</w:t>
      </w:r>
    </w:p>
    <w:p>
      <w:pPr>
        <w:spacing w:after="0" w:line="9" w:lineRule="exact"/>
        <w:rPr>
          <w:rFonts w:ascii="Arial" w:cs="Arial" w:eastAsia="Arial" w:hAnsi="Arial"/>
          <w:sz w:val="18"/>
          <w:szCs w:val="18"/>
          <w:color w:val="auto"/>
        </w:rPr>
      </w:pPr>
    </w:p>
    <w:p>
      <w:pPr>
        <w:ind w:left="460" w:right="260" w:hanging="452"/>
        <w:spacing w:after="0" w:line="29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Total debt includes capital leases, mortgages payable, notes payable, senior notes and debentures, net of premiums and discounts from our consolidated balance sheet. It does not include the $17.3 million and $24.4 million which is the Trust’s 30% share of the total mortgages payable of $57.6 million and $81.2 million at September 30, 2010 and 2009, respectively, of the partnership with a discretionary fund created and advised by ING Clarion Partners. It also excludes the $8.8 million mortgage loan on our Newbury Street Partnership for which we are the lender.</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22"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Rental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right"/>
              <w:ind w:right="195"/>
              <w:spacing w:after="0"/>
              <w:rPr>
                <w:sz w:val="20"/>
                <w:szCs w:val="20"/>
                <w:color w:val="auto"/>
              </w:rPr>
            </w:pPr>
            <w:r>
              <w:rPr>
                <w:rFonts w:ascii="Arial" w:cs="Arial" w:eastAsia="Arial" w:hAnsi="Arial"/>
                <w:sz w:val="14"/>
                <w:szCs w:val="14"/>
                <w:b w:val="1"/>
                <w:bCs w:val="1"/>
                <w:color w:val="auto"/>
                <w:w w:val="98"/>
              </w:rPr>
              <w:t>Three months ended</w:t>
            </w:r>
          </w:p>
        </w:tc>
        <w:tc>
          <w:tcPr>
            <w:tcW w:w="380" w:type="dxa"/>
            <w:vAlign w:val="bottom"/>
          </w:tcPr>
          <w:p>
            <w:pPr>
              <w:spacing w:after="0"/>
              <w:rPr>
                <w:sz w:val="14"/>
                <w:szCs w:val="14"/>
                <w:color w:val="auto"/>
              </w:rPr>
            </w:pPr>
          </w:p>
        </w:tc>
        <w:tc>
          <w:tcPr>
            <w:tcW w:w="1840" w:type="dxa"/>
            <w:vAlign w:val="bottom"/>
            <w:gridSpan w:val="4"/>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60" w:type="dxa"/>
            <w:vAlign w:val="bottom"/>
            <w:gridSpan w:val="4"/>
          </w:tcPr>
          <w:p>
            <w:pPr>
              <w:jc w:val="right"/>
              <w:ind w:right="375"/>
              <w:spacing w:after="0"/>
              <w:rPr>
                <w:sz w:val="20"/>
                <w:szCs w:val="20"/>
                <w:color w:val="auto"/>
              </w:rPr>
            </w:pPr>
            <w:r>
              <w:rPr>
                <w:rFonts w:ascii="Arial" w:cs="Arial" w:eastAsia="Arial" w:hAnsi="Arial"/>
                <w:sz w:val="14"/>
                <w:szCs w:val="14"/>
                <w:b w:val="1"/>
                <w:bCs w:val="1"/>
                <w:color w:val="auto"/>
              </w:rPr>
              <w:t>September 30,</w:t>
            </w:r>
          </w:p>
        </w:tc>
        <w:tc>
          <w:tcPr>
            <w:tcW w:w="380" w:type="dxa"/>
            <w:vAlign w:val="bottom"/>
          </w:tcPr>
          <w:p>
            <w:pPr>
              <w:spacing w:after="0"/>
              <w:rPr>
                <w:sz w:val="14"/>
                <w:szCs w:val="14"/>
                <w:color w:val="auto"/>
              </w:rPr>
            </w:pPr>
          </w:p>
        </w:tc>
        <w:tc>
          <w:tcPr>
            <w:tcW w:w="1840" w:type="dxa"/>
            <w:vAlign w:val="bottom"/>
            <w:gridSpan w:val="4"/>
          </w:tcPr>
          <w:p>
            <w:pPr>
              <w:ind w:left="46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20"/>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68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2010</w:t>
            </w:r>
          </w:p>
        </w:tc>
        <w:tc>
          <w:tcPr>
            <w:tcW w:w="400" w:type="dxa"/>
            <w:vAlign w:val="bottom"/>
            <w:tcBorders>
              <w:top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80" w:type="dxa"/>
            <w:vAlign w:val="bottom"/>
            <w:gridSpan w:val="3"/>
          </w:tcPr>
          <w:p>
            <w:pPr>
              <w:jc w:val="right"/>
              <w:ind w:right="375"/>
              <w:spacing w:after="0" w:line="142" w:lineRule="exact"/>
              <w:rPr>
                <w:sz w:val="20"/>
                <w:szCs w:val="20"/>
                <w:color w:val="auto"/>
              </w:rPr>
            </w:pPr>
            <w:r>
              <w:rPr>
                <w:rFonts w:ascii="Arial" w:cs="Arial" w:eastAsia="Arial" w:hAnsi="Arial"/>
                <w:sz w:val="14"/>
                <w:szCs w:val="14"/>
                <w:b w:val="1"/>
                <w:bCs w:val="1"/>
                <w:color w:val="auto"/>
                <w:w w:val="79"/>
              </w:rPr>
              <w:t>thousands)</w:t>
            </w:r>
          </w:p>
        </w:tc>
        <w:tc>
          <w:tcPr>
            <w:tcW w:w="380" w:type="dxa"/>
            <w:vAlign w:val="bottom"/>
          </w:tcPr>
          <w:p>
            <w:pPr>
              <w:spacing w:after="0"/>
              <w:rPr>
                <w:sz w:val="12"/>
                <w:szCs w:val="12"/>
                <w:color w:val="auto"/>
              </w:rPr>
            </w:pPr>
          </w:p>
        </w:tc>
        <w:tc>
          <w:tcPr>
            <w:tcW w:w="680" w:type="dxa"/>
            <w:vAlign w:val="bottom"/>
          </w:tcPr>
          <w:p>
            <w:pPr>
              <w:ind w:left="460"/>
              <w:spacing w:after="0" w:line="142" w:lineRule="exact"/>
              <w:rPr>
                <w:sz w:val="20"/>
                <w:szCs w:val="20"/>
                <w:color w:val="auto"/>
              </w:rPr>
            </w:pPr>
            <w:r>
              <w:rPr>
                <w:rFonts w:ascii="Arial" w:cs="Arial" w:eastAsia="Arial" w:hAnsi="Arial"/>
                <w:sz w:val="14"/>
                <w:szCs w:val="14"/>
                <w:b w:val="1"/>
                <w:bCs w:val="1"/>
                <w:color w:val="auto"/>
              </w:rPr>
              <w:t>(in</w:t>
            </w:r>
          </w:p>
        </w:tc>
        <w:tc>
          <w:tcPr>
            <w:tcW w:w="1060" w:type="dxa"/>
            <w:vAlign w:val="bottom"/>
            <w:gridSpan w:val="2"/>
          </w:tcPr>
          <w:p>
            <w:pPr>
              <w:jc w:val="right"/>
              <w:ind w:right="375"/>
              <w:spacing w:after="0" w:line="142" w:lineRule="exact"/>
              <w:rPr>
                <w:sz w:val="20"/>
                <w:szCs w:val="20"/>
                <w:color w:val="auto"/>
              </w:rPr>
            </w:pPr>
            <w:r>
              <w:rPr>
                <w:rFonts w:ascii="Arial" w:cs="Arial" w:eastAsia="Arial" w:hAnsi="Arial"/>
                <w:sz w:val="14"/>
                <w:szCs w:val="14"/>
                <w:b w:val="1"/>
                <w:bCs w:val="1"/>
                <w:color w:val="auto"/>
                <w:w w:val="76"/>
              </w:rPr>
              <w:t>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Minimum rents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ind w:left="440"/>
              <w:spacing w:after="0"/>
              <w:rPr>
                <w:sz w:val="20"/>
                <w:szCs w:val="20"/>
                <w:color w:val="auto"/>
              </w:rPr>
            </w:pPr>
            <w:r>
              <w:rPr>
                <w:rFonts w:ascii="Arial" w:cs="Arial" w:eastAsia="Arial" w:hAnsi="Arial"/>
                <w:sz w:val="18"/>
                <w:szCs w:val="18"/>
                <w:color w:val="auto"/>
              </w:rPr>
              <w:t>Retail and commercial (1)</w:t>
            </w:r>
          </w:p>
        </w:tc>
        <w:tc>
          <w:tcPr>
            <w:tcW w:w="2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95,035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93,312</w:t>
            </w:r>
          </w:p>
        </w:tc>
        <w:tc>
          <w:tcPr>
            <w:tcW w:w="1460" w:type="dxa"/>
            <w:vAlign w:val="bottom"/>
            <w:gridSpan w:val="3"/>
          </w:tcPr>
          <w:p>
            <w:pPr>
              <w:jc w:val="right"/>
              <w:ind w:right="332"/>
              <w:spacing w:after="0"/>
              <w:rPr>
                <w:sz w:val="20"/>
                <w:szCs w:val="20"/>
                <w:color w:val="auto"/>
              </w:rPr>
            </w:pPr>
            <w:r>
              <w:rPr>
                <w:rFonts w:ascii="Arial" w:cs="Arial" w:eastAsia="Arial" w:hAnsi="Arial"/>
                <w:sz w:val="18"/>
                <w:szCs w:val="18"/>
                <w:color w:val="auto"/>
              </w:rPr>
              <w:t>$284,266</w:t>
            </w:r>
          </w:p>
        </w:tc>
        <w:tc>
          <w:tcPr>
            <w:tcW w:w="660" w:type="dxa"/>
            <w:vAlign w:val="bottom"/>
          </w:tcPr>
          <w:p>
            <w:pPr>
              <w:jc w:val="right"/>
              <w:spacing w:after="0"/>
              <w:rPr>
                <w:sz w:val="20"/>
                <w:szCs w:val="20"/>
                <w:color w:val="auto"/>
              </w:rPr>
            </w:pPr>
            <w:r>
              <w:rPr>
                <w:rFonts w:ascii="Arial" w:cs="Arial" w:eastAsia="Arial" w:hAnsi="Arial"/>
                <w:sz w:val="18"/>
                <w:szCs w:val="18"/>
                <w:color w:val="auto"/>
                <w:w w:val="85"/>
              </w:rPr>
              <w:t>$280,084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Residential (2)</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5,475</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5,301</w:t>
            </w:r>
          </w:p>
        </w:tc>
        <w:tc>
          <w:tcPr>
            <w:tcW w:w="146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16,125</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Cost reimbursements</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26,039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24,304</w:t>
            </w:r>
          </w:p>
        </w:tc>
        <w:tc>
          <w:tcPr>
            <w:tcW w:w="1460" w:type="dxa"/>
            <w:vAlign w:val="bottom"/>
            <w:gridSpan w:val="3"/>
          </w:tcPr>
          <w:p>
            <w:pPr>
              <w:jc w:val="right"/>
              <w:ind w:right="332"/>
              <w:spacing w:after="0"/>
              <w:rPr>
                <w:sz w:val="20"/>
                <w:szCs w:val="20"/>
                <w:color w:val="auto"/>
              </w:rPr>
            </w:pPr>
            <w:r>
              <w:rPr>
                <w:rFonts w:ascii="Arial" w:cs="Arial" w:eastAsia="Arial" w:hAnsi="Arial"/>
                <w:sz w:val="18"/>
                <w:szCs w:val="18"/>
                <w:color w:val="auto"/>
              </w:rPr>
              <w:t>81,184</w:t>
            </w:r>
          </w:p>
        </w:tc>
        <w:tc>
          <w:tcPr>
            <w:tcW w:w="660" w:type="dxa"/>
            <w:vAlign w:val="bottom"/>
          </w:tcPr>
          <w:p>
            <w:pPr>
              <w:jc w:val="right"/>
              <w:spacing w:after="0"/>
              <w:rPr>
                <w:sz w:val="20"/>
                <w:szCs w:val="20"/>
                <w:color w:val="auto"/>
              </w:rPr>
            </w:pPr>
            <w:r>
              <w:rPr>
                <w:rFonts w:ascii="Arial" w:cs="Arial" w:eastAsia="Arial" w:hAnsi="Arial"/>
                <w:sz w:val="18"/>
                <w:szCs w:val="18"/>
                <w:color w:val="auto"/>
              </w:rPr>
              <w:t>74,277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Percentage rents</w:t>
            </w:r>
          </w:p>
        </w:tc>
        <w:tc>
          <w:tcPr>
            <w:tcW w:w="2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146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color w:val="auto"/>
              </w:rPr>
              <w:t>3,778</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2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332"/>
              <w:spacing w:after="0"/>
              <w:rPr>
                <w:sz w:val="20"/>
                <w:szCs w:val="20"/>
                <w:color w:val="auto"/>
              </w:rPr>
            </w:pPr>
            <w:r>
              <w:rPr>
                <w:rFonts w:ascii="Arial" w:cs="Arial" w:eastAsia="Arial" w:hAnsi="Arial"/>
                <w:sz w:val="18"/>
                <w:szCs w:val="18"/>
                <w:color w:val="auto"/>
              </w:rPr>
              <w:t>2,282</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2,088</w:t>
            </w:r>
          </w:p>
        </w:tc>
        <w:tc>
          <w:tcPr>
            <w:tcW w:w="1460" w:type="dxa"/>
            <w:vAlign w:val="bottom"/>
            <w:gridSpan w:val="3"/>
          </w:tcPr>
          <w:p>
            <w:pPr>
              <w:jc w:val="right"/>
              <w:ind w:right="332"/>
              <w:spacing w:after="0"/>
              <w:rPr>
                <w:sz w:val="20"/>
                <w:szCs w:val="20"/>
                <w:color w:val="auto"/>
              </w:rPr>
            </w:pPr>
            <w:r>
              <w:rPr>
                <w:rFonts w:ascii="Arial" w:cs="Arial" w:eastAsia="Arial" w:hAnsi="Arial"/>
                <w:sz w:val="18"/>
                <w:szCs w:val="18"/>
                <w:color w:val="auto"/>
              </w:rPr>
              <w:t>6,539</w:t>
            </w:r>
          </w:p>
        </w:tc>
        <w:tc>
          <w:tcPr>
            <w:tcW w:w="660" w:type="dxa"/>
            <w:vAlign w:val="bottom"/>
          </w:tcPr>
          <w:p>
            <w:pPr>
              <w:jc w:val="right"/>
              <w:spacing w:after="0"/>
              <w:rPr>
                <w:sz w:val="20"/>
                <w:szCs w:val="20"/>
                <w:color w:val="auto"/>
              </w:rPr>
            </w:pPr>
            <w:r>
              <w:rPr>
                <w:rFonts w:ascii="Arial" w:cs="Arial" w:eastAsia="Arial" w:hAnsi="Arial"/>
                <w:sz w:val="18"/>
                <w:szCs w:val="18"/>
                <w:color w:val="auto"/>
              </w:rPr>
              <w:t>5,375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700" w:type="dxa"/>
            <w:vAlign w:val="bottom"/>
          </w:tcPr>
          <w:p>
            <w:pPr>
              <w:spacing w:after="0"/>
              <w:rPr>
                <w:sz w:val="2"/>
                <w:szCs w:val="2"/>
                <w:color w:val="auto"/>
              </w:rPr>
            </w:pPr>
          </w:p>
        </w:tc>
        <w:tc>
          <w:tcPr>
            <w:tcW w:w="2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rental income</w:t>
            </w:r>
          </w:p>
        </w:tc>
        <w:tc>
          <w:tcPr>
            <w:tcW w:w="2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98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w w:val="86"/>
              </w:rPr>
              <w:t>130,144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126,169</w:t>
            </w:r>
          </w:p>
        </w:tc>
        <w:tc>
          <w:tcPr>
            <w:tcW w:w="1460" w:type="dxa"/>
            <w:vAlign w:val="bottom"/>
            <w:gridSpan w:val="3"/>
            <w:shd w:val="clear" w:color="auto" w:fill="CCEEFF"/>
          </w:tcPr>
          <w:p>
            <w:pPr>
              <w:jc w:val="right"/>
              <w:ind w:right="332"/>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391,892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5"/>
              </w:rPr>
              <w:t>$</w:t>
            </w:r>
            <w:r>
              <w:rPr>
                <w:rFonts w:ascii="Arial" w:cs="Arial" w:eastAsia="Arial" w:hAnsi="Arial"/>
                <w:sz w:val="18"/>
                <w:szCs w:val="18"/>
                <w:color w:val="auto"/>
                <w:w w:val="85"/>
              </w:rPr>
              <w:t>379,465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46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c>
          <w:tcPr>
            <w:tcW w:w="3700" w:type="dxa"/>
            <w:vAlign w:val="bottom"/>
          </w:tcPr>
          <w:p>
            <w:pPr>
              <w:spacing w:after="0"/>
              <w:rPr>
                <w:sz w:val="7"/>
                <w:szCs w:val="7"/>
                <w:color w:val="auto"/>
              </w:rPr>
            </w:pPr>
          </w:p>
        </w:tc>
        <w:tc>
          <w:tcPr>
            <w:tcW w:w="2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line="281"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Minimum rents include $1.1 million and $1.3 million for the three months ended September 30, 2010 and 2009, respectively, and $3.6 million and $3.9 million for the nine months ended September 30, 2010 and 2009, respectively, to recognize minimum rents on a straight-line basis. In addition, minimum rents include $0.4 million the three months ended September 30, 2010 and 2009, and $1.3 million and $1.1 million for the nine months ended September 30, 2010 and 2009, respectively, to recognize income from the amortization of in-place leases.</w:t>
      </w:r>
    </w:p>
    <w:p>
      <w:pPr>
        <w:spacing w:after="0" w:line="2" w:lineRule="exact"/>
        <w:rPr>
          <w:rFonts w:ascii="Arial" w:cs="Arial" w:eastAsia="Arial" w:hAnsi="Arial"/>
          <w:sz w:val="16"/>
          <w:szCs w:val="16"/>
          <w:color w:val="auto"/>
        </w:rPr>
      </w:pPr>
    </w:p>
    <w:p>
      <w:pPr>
        <w:ind w:left="460" w:right="140" w:hanging="452"/>
        <w:spacing w:after="0" w:line="261"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Residential minimum rents consist of the rental amounts for residential units at Rollingwood Apartments, the Crest at Congressional Plaza Apartments, Santana Row, and Bethesda Row.</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20"/>
          </w:cols>
          <w:pgMar w:left="240" w:top="422" w:right="439" w:bottom="1440" w:gutter="0" w:footer="0" w:header="0"/>
        </w:sectPr>
      </w:pPr>
    </w:p>
    <w:bookmarkStart w:id="14" w:name="page15"/>
    <w:bookmarkEnd w:id="1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Capital Lease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Stated</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Weighted average</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0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4"/>
              </w:rPr>
              <w:t>Stated</w:t>
            </w: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interest rate as of</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2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w w:val="90"/>
              </w:rPr>
              <w:t>Balance as of</w:t>
            </w: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effective rate at</w:t>
            </w: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maturity date</w:t>
            </w:r>
          </w:p>
        </w:tc>
        <w:tc>
          <w:tcPr>
            <w:tcW w:w="15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September 30, 2010</w:t>
            </w:r>
          </w:p>
        </w:tc>
        <w:tc>
          <w:tcPr>
            <w:tcW w:w="160" w:type="dxa"/>
            <w:vAlign w:val="bottom"/>
          </w:tcPr>
          <w:p>
            <w:pPr>
              <w:spacing w:after="0"/>
              <w:rPr>
                <w:sz w:val="14"/>
                <w:szCs w:val="14"/>
                <w:color w:val="auto"/>
              </w:rPr>
            </w:pPr>
          </w:p>
        </w:tc>
        <w:tc>
          <w:tcPr>
            <w:tcW w:w="1540" w:type="dxa"/>
            <w:vAlign w:val="bottom"/>
            <w:gridSpan w:val="3"/>
          </w:tcPr>
          <w:p>
            <w:pPr>
              <w:spacing w:after="0"/>
              <w:rPr>
                <w:sz w:val="20"/>
                <w:szCs w:val="20"/>
                <w:color w:val="auto"/>
              </w:rPr>
            </w:pPr>
            <w:r>
              <w:rPr>
                <w:rFonts w:ascii="Arial" w:cs="Arial" w:eastAsia="Arial" w:hAnsi="Arial"/>
                <w:sz w:val="14"/>
                <w:szCs w:val="14"/>
                <w:b w:val="1"/>
                <w:bCs w:val="1"/>
                <w:color w:val="auto"/>
              </w:rPr>
              <w:t>September 30, 2010</w:t>
            </w: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September 30, 2010 (h)</w:t>
            </w: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87"/>
              </w:rPr>
              <w:t>(in thousands)</w:t>
            </w: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5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5"/>
              </w:rPr>
              <w:t>Mortgages Payable (a)</w:t>
            </w:r>
          </w:p>
        </w:tc>
        <w:tc>
          <w:tcPr>
            <w:tcW w:w="1780" w:type="dxa"/>
            <w:vAlign w:val="bottom"/>
            <w:tcBorders>
              <w:bottom w:val="single" w:sz="8" w:color="CCEEFF"/>
            </w:tcBorders>
            <w:gridSpan w:val="3"/>
            <w:shd w:val="clear" w:color="auto" w:fill="CCEEFF"/>
          </w:tcPr>
          <w:p>
            <w:pPr>
              <w:spacing w:after="0"/>
              <w:rPr>
                <w:sz w:val="17"/>
                <w:szCs w:val="17"/>
                <w:color w:val="auto"/>
              </w:rPr>
            </w:pPr>
          </w:p>
        </w:tc>
        <w:tc>
          <w:tcPr>
            <w:tcW w:w="15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i w:val="1"/>
                <w:iCs w:val="1"/>
                <w:color w:val="auto"/>
              </w:rPr>
              <w:t>Secured fixed rate</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Federal Plaza</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06/01/11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32,059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Tysons Station</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09/01/11</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5,761</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Courtyard Shops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07/01/12</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7,348</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Bethesda Row</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01/01/13</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19,994</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Bethesda Row</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02/01/13</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4,199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White Marsh Plaza (b)</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04/01/13</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9,651</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Crow Canyon</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08/11/13</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20,503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Idylwood Plaza</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06/05/14</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16,608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Leesburg Plaza</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06/05/14</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28,898</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Loehmann’s Plaza</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06/05/14</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37,368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Pentagon Row</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06/05/14</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53,643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Melville Mall (c)</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09/01/14</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23,254</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THE AVENUE at White Marsh</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01/01/15</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58,093</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Barracks Road</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11/01/15</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40,053</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Hauppauge</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11/01/15</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15,099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Lawrence Park</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11/01/15</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28,390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Wildwood</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11/01/15</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24,954</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Wynnewood</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11/01/15</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28,932</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Brick Plaza</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11/01/15</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29,589</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Rollingwood Apartments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05/01/19</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23,648</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Shoppers’ World</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01/31/21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5,628</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Mount Vernon (d)</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04/15/28</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11,029</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Chelsea</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01/15/31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7,833</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60" w:type="dxa"/>
            <w:vAlign w:val="bottom"/>
            <w:gridSpan w:val="5"/>
          </w:tcPr>
          <w:p>
            <w:pPr>
              <w:ind w:left="860"/>
              <w:spacing w:after="0"/>
              <w:rPr>
                <w:sz w:val="20"/>
                <w:szCs w:val="20"/>
                <w:color w:val="auto"/>
              </w:rPr>
            </w:pPr>
            <w:r>
              <w:rPr>
                <w:rFonts w:ascii="Arial" w:cs="Arial" w:eastAsia="Arial" w:hAnsi="Arial"/>
                <w:sz w:val="18"/>
                <w:szCs w:val="18"/>
                <w:color w:val="auto"/>
              </w:rPr>
              <w:t>Subtotal</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532,534</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Net unamortized discount</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(445)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60" w:type="dxa"/>
            <w:vAlign w:val="bottom"/>
            <w:gridSpan w:val="5"/>
          </w:tcPr>
          <w:p>
            <w:pPr>
              <w:ind w:left="860"/>
              <w:spacing w:after="0"/>
              <w:rPr>
                <w:sz w:val="20"/>
                <w:szCs w:val="20"/>
                <w:color w:val="auto"/>
              </w:rPr>
            </w:pPr>
            <w:r>
              <w:rPr>
                <w:rFonts w:ascii="Arial" w:cs="Arial" w:eastAsia="Arial" w:hAnsi="Arial"/>
                <w:sz w:val="18"/>
                <w:szCs w:val="18"/>
                <w:color w:val="auto"/>
              </w:rPr>
              <w:t>Total mortgages payable</w:t>
            </w:r>
          </w:p>
        </w:tc>
        <w:tc>
          <w:tcPr>
            <w:tcW w:w="15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532,089</w:t>
            </w: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6.98%</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36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Notes payable</w:t>
            </w:r>
          </w:p>
        </w:tc>
        <w:tc>
          <w:tcPr>
            <w:tcW w:w="15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Various (e)</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Various thru 2013</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11,540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i w:val="1"/>
                <w:iCs w:val="1"/>
                <w:color w:val="auto"/>
              </w:rPr>
              <w:t>Unsecured variable rate</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Revolving credit facility (f)</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07/27/11</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5"/>
              </w:rPr>
              <w:t>LIBOR + 0.425%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Escondido (Municipal bonds) (g)</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10/01/16</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0.39%</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9,400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notes payable</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47,940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183"/>
        </w:trPr>
        <w:tc>
          <w:tcPr>
            <w:tcW w:w="3380" w:type="dxa"/>
            <w:vAlign w:val="bottom"/>
            <w:gridSpan w:val="6"/>
          </w:tcPr>
          <w:p>
            <w:pPr>
              <w:spacing w:after="0" w:line="182" w:lineRule="exact"/>
              <w:rPr>
                <w:sz w:val="20"/>
                <w:szCs w:val="20"/>
                <w:color w:val="auto"/>
              </w:rPr>
            </w:pPr>
            <w:r>
              <w:rPr>
                <w:rFonts w:ascii="Arial" w:cs="Arial" w:eastAsia="Arial" w:hAnsi="Arial"/>
                <w:sz w:val="18"/>
                <w:szCs w:val="18"/>
                <w:color w:val="auto"/>
              </w:rPr>
              <w:t>Senior notes and debentures</w:t>
            </w:r>
          </w:p>
        </w:tc>
        <w:tc>
          <w:tcPr>
            <w:tcW w:w="1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i w:val="1"/>
                <w:iCs w:val="1"/>
                <w:color w:val="auto"/>
              </w:rPr>
              <w:t>Unsecured fixed rate</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4.50% notes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02/15/11</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75,000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6.00% notes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07/15/12</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175,000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5.40% notes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12/01/13</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135,000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5.95% notes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08/15/14</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150,000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5.65% notes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06/01/16</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125,000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6.20% notes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01/15/17</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200,000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5.90% notes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04/01/20</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150,000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7.48% debentures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08/15/26</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29,200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6.82% medium term notes</w:t>
            </w:r>
          </w:p>
        </w:tc>
        <w:tc>
          <w:tcPr>
            <w:tcW w:w="2080" w:type="dxa"/>
            <w:vAlign w:val="bottom"/>
            <w:gridSpan w:val="2"/>
          </w:tcPr>
          <w:p>
            <w:pPr>
              <w:jc w:val="right"/>
              <w:ind w:right="500"/>
              <w:spacing w:after="0"/>
              <w:rPr>
                <w:sz w:val="20"/>
                <w:szCs w:val="20"/>
                <w:color w:val="auto"/>
              </w:rPr>
            </w:pPr>
            <w:r>
              <w:rPr>
                <w:rFonts w:ascii="Arial" w:cs="Arial" w:eastAsia="Arial" w:hAnsi="Arial"/>
                <w:sz w:val="18"/>
                <w:szCs w:val="18"/>
                <w:color w:val="auto"/>
              </w:rPr>
              <w:t>08/01/27</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6.82%</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4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Subtotal</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1,079,200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60" w:type="dxa"/>
            <w:vAlign w:val="bottom"/>
            <w:gridSpan w:val="5"/>
          </w:tcPr>
          <w:p>
            <w:pPr>
              <w:ind w:left="420"/>
              <w:spacing w:after="0"/>
              <w:rPr>
                <w:sz w:val="20"/>
                <w:szCs w:val="20"/>
                <w:color w:val="auto"/>
              </w:rPr>
            </w:pPr>
            <w:r>
              <w:rPr>
                <w:rFonts w:ascii="Arial" w:cs="Arial" w:eastAsia="Arial" w:hAnsi="Arial"/>
                <w:sz w:val="18"/>
                <w:szCs w:val="18"/>
                <w:color w:val="auto"/>
              </w:rPr>
              <w:t>Net unamortized premium</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654</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360" w:type="dxa"/>
            <w:vAlign w:val="bottom"/>
            <w:gridSpan w:val="5"/>
            <w:shd w:val="clear" w:color="auto" w:fill="CCEEFF"/>
          </w:tcPr>
          <w:p>
            <w:pPr>
              <w:ind w:left="860"/>
              <w:spacing w:after="0"/>
              <w:rPr>
                <w:sz w:val="20"/>
                <w:szCs w:val="20"/>
                <w:color w:val="auto"/>
              </w:rPr>
            </w:pPr>
            <w:r>
              <w:rPr>
                <w:rFonts w:ascii="Arial" w:cs="Arial" w:eastAsia="Arial" w:hAnsi="Arial"/>
                <w:sz w:val="18"/>
                <w:szCs w:val="18"/>
                <w:color w:val="auto"/>
              </w:rPr>
              <w:t>Total senior notes and</w:t>
            </w:r>
          </w:p>
        </w:tc>
        <w:tc>
          <w:tcPr>
            <w:tcW w:w="1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23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debentures</w:t>
            </w:r>
          </w:p>
        </w:tc>
        <w:tc>
          <w:tcPr>
            <w:tcW w:w="15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1,079,854</w:t>
            </w:r>
          </w:p>
        </w:tc>
        <w:tc>
          <w:tcPr>
            <w:tcW w:w="3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5.95%</w:t>
            </w:r>
          </w:p>
        </w:tc>
        <w:tc>
          <w:tcPr>
            <w:tcW w:w="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380" w:type="dxa"/>
            <w:vAlign w:val="bottom"/>
            <w:gridSpan w:val="6"/>
          </w:tcPr>
          <w:p>
            <w:pPr>
              <w:spacing w:after="0" w:line="182" w:lineRule="exact"/>
              <w:rPr>
                <w:sz w:val="20"/>
                <w:szCs w:val="20"/>
                <w:color w:val="auto"/>
              </w:rPr>
            </w:pPr>
            <w:r>
              <w:rPr>
                <w:rFonts w:ascii="Arial" w:cs="Arial" w:eastAsia="Arial" w:hAnsi="Arial"/>
                <w:sz w:val="18"/>
                <w:szCs w:val="18"/>
                <w:color w:val="auto"/>
              </w:rPr>
              <w:t>Capital lease obligations</w:t>
            </w:r>
          </w:p>
        </w:tc>
        <w:tc>
          <w:tcPr>
            <w:tcW w:w="1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shd w:val="clear" w:color="auto" w:fill="CCEEFF"/>
          </w:tcPr>
          <w:p>
            <w:pPr>
              <w:ind w:left="420"/>
              <w:spacing w:after="0"/>
              <w:rPr>
                <w:sz w:val="20"/>
                <w:szCs w:val="20"/>
                <w:color w:val="auto"/>
              </w:rPr>
            </w:pPr>
            <w:r>
              <w:rPr>
                <w:rFonts w:ascii="Arial" w:cs="Arial" w:eastAsia="Arial" w:hAnsi="Arial"/>
                <w:sz w:val="18"/>
                <w:szCs w:val="18"/>
                <w:color w:val="auto"/>
              </w:rPr>
              <w:t>Various</w:t>
            </w:r>
          </w:p>
        </w:tc>
        <w:tc>
          <w:tcPr>
            <w:tcW w:w="20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0"/>
              </w:rPr>
              <w:t>Various through 2106</w:t>
            </w: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Various</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61,306</w:t>
            </w:r>
          </w:p>
        </w:tc>
        <w:tc>
          <w:tcPr>
            <w:tcW w:w="4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6.94%</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380" w:type="dxa"/>
            <w:vAlign w:val="bottom"/>
            <w:gridSpan w:val="6"/>
          </w:tcPr>
          <w:p>
            <w:pPr>
              <w:spacing w:after="0"/>
              <w:rPr>
                <w:sz w:val="20"/>
                <w:szCs w:val="20"/>
                <w:color w:val="auto"/>
              </w:rPr>
            </w:pPr>
            <w:r>
              <w:rPr>
                <w:rFonts w:ascii="Arial" w:cs="Arial" w:eastAsia="Arial" w:hAnsi="Arial"/>
                <w:sz w:val="18"/>
                <w:szCs w:val="18"/>
                <w:color w:val="auto"/>
              </w:rPr>
              <w:t>Total debt and capital lease obligations</w:t>
            </w:r>
          </w:p>
        </w:tc>
        <w:tc>
          <w:tcPr>
            <w:tcW w:w="15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400"/>
              <w:spacing w:after="0"/>
              <w:rPr>
                <w:sz w:val="20"/>
                <w:szCs w:val="20"/>
                <w:color w:val="auto"/>
              </w:rPr>
            </w:pPr>
            <w:r>
              <w:rPr>
                <w:rFonts w:ascii="Arial" w:cs="Arial" w:eastAsia="Arial" w:hAnsi="Arial"/>
                <w:sz w:val="18"/>
                <w:szCs w:val="18"/>
                <w:color w:val="auto"/>
              </w:rPr>
              <w:t>1,721,189</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fixed rate debt and capital lease obligations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1,684,789</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98%</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6.30%</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gridSpan w:val="5"/>
          </w:tcPr>
          <w:p>
            <w:pPr>
              <w:spacing w:after="0"/>
              <w:rPr>
                <w:sz w:val="20"/>
                <w:szCs w:val="20"/>
                <w:color w:val="auto"/>
              </w:rPr>
            </w:pPr>
            <w:r>
              <w:rPr>
                <w:rFonts w:ascii="Arial" w:cs="Arial" w:eastAsia="Arial" w:hAnsi="Arial"/>
                <w:sz w:val="18"/>
                <w:szCs w:val="18"/>
                <w:color w:val="auto"/>
              </w:rPr>
              <w:t>Total variable rate debt</w:t>
            </w:r>
          </w:p>
        </w:tc>
        <w:tc>
          <w:tcPr>
            <w:tcW w:w="1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36,400</w:t>
            </w:r>
          </w:p>
        </w:tc>
        <w:tc>
          <w:tcPr>
            <w:tcW w:w="400" w:type="dxa"/>
            <w:vAlign w:val="bottom"/>
          </w:tcPr>
          <w:p>
            <w:pPr>
              <w:spacing w:after="0"/>
              <w:rPr>
                <w:sz w:val="18"/>
                <w:szCs w:val="18"/>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8"/>
                <w:szCs w:val="18"/>
                <w:color w:val="auto"/>
              </w:rPr>
              <w:t>2%</w:t>
            </w:r>
          </w:p>
        </w:tc>
        <w:tc>
          <w:tcPr>
            <w:tcW w:w="1620" w:type="dxa"/>
            <w:vAlign w:val="bottom"/>
            <w:gridSpan w:val="2"/>
          </w:tcPr>
          <w:p>
            <w:pPr>
              <w:jc w:val="right"/>
              <w:ind w:right="140"/>
              <w:spacing w:after="0"/>
              <w:rPr>
                <w:sz w:val="20"/>
                <w:szCs w:val="20"/>
                <w:color w:val="auto"/>
              </w:rPr>
            </w:pPr>
            <w:r>
              <w:rPr>
                <w:rFonts w:ascii="Arial" w:cs="Arial" w:eastAsia="Arial" w:hAnsi="Arial"/>
                <w:sz w:val="18"/>
                <w:szCs w:val="18"/>
                <w:color w:val="auto"/>
              </w:rPr>
              <w:t>0.83%</w:t>
            </w:r>
          </w:p>
        </w:tc>
        <w:tc>
          <w:tcPr>
            <w:tcW w:w="340" w:type="dxa"/>
            <w:vAlign w:val="bottom"/>
          </w:tcPr>
          <w:p>
            <w:pPr>
              <w:ind w:left="1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TOTAL DEBT AND CAPITAL LEASES OBLIGATIONS</w:t>
            </w:r>
          </w:p>
        </w:tc>
        <w:tc>
          <w:tcPr>
            <w:tcW w:w="1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1,721,189</w:t>
            </w:r>
          </w:p>
        </w:tc>
        <w:tc>
          <w:tcPr>
            <w:tcW w:w="4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5"/>
              </w:rPr>
              <w:t>100%</w:t>
            </w: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6.18%</w:t>
            </w:r>
          </w:p>
        </w:tc>
        <w:tc>
          <w:tcPr>
            <w:tcW w:w="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640" w:type="dxa"/>
            <w:vAlign w:val="bottom"/>
            <w:gridSpan w:val="4"/>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340" w:type="dxa"/>
            <w:vAlign w:val="bottom"/>
            <w:gridSpan w:val="4"/>
          </w:tcPr>
          <w:p>
            <w:pPr>
              <w:ind w:left="60"/>
              <w:spacing w:after="0"/>
              <w:rPr>
                <w:sz w:val="20"/>
                <w:szCs w:val="20"/>
                <w:color w:val="auto"/>
              </w:rPr>
            </w:pPr>
            <w:r>
              <w:rPr>
                <w:rFonts w:ascii="Arial" w:cs="Arial" w:eastAsia="Arial" w:hAnsi="Arial"/>
                <w:sz w:val="14"/>
                <w:szCs w:val="14"/>
                <w:b w:val="1"/>
                <w:bCs w:val="1"/>
                <w:color w:val="auto"/>
                <w:w w:val="96"/>
              </w:rPr>
              <w:t>Nine months ended</w:t>
            </w:r>
          </w:p>
        </w:tc>
      </w:tr>
      <w:tr>
        <w:trPr>
          <w:trHeight w:val="161"/>
        </w:trPr>
        <w:tc>
          <w:tcPr>
            <w:tcW w:w="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1640" w:type="dxa"/>
            <w:vAlign w:val="bottom"/>
            <w:gridSpan w:val="4"/>
          </w:tcPr>
          <w:p>
            <w:pPr>
              <w:ind w:left="260"/>
              <w:spacing w:after="0"/>
              <w:rPr>
                <w:sz w:val="20"/>
                <w:szCs w:val="20"/>
                <w:color w:val="auto"/>
              </w:rPr>
            </w:pPr>
            <w:r>
              <w:rPr>
                <w:rFonts w:ascii="Arial" w:cs="Arial" w:eastAsia="Arial" w:hAnsi="Arial"/>
                <w:sz w:val="14"/>
                <w:szCs w:val="14"/>
                <w:b w:val="1"/>
                <w:bCs w:val="1"/>
                <w:color w:val="auto"/>
              </w:rPr>
              <w:t>September 30,</w:t>
            </w:r>
          </w:p>
        </w:tc>
        <w:tc>
          <w:tcPr>
            <w:tcW w:w="1340" w:type="dxa"/>
            <w:vAlign w:val="bottom"/>
            <w:gridSpan w:val="4"/>
          </w:tcPr>
          <w:p>
            <w:pPr>
              <w:ind w:left="200"/>
              <w:spacing w:after="0"/>
              <w:rPr>
                <w:sz w:val="20"/>
                <w:szCs w:val="20"/>
                <w:color w:val="auto"/>
              </w:rPr>
            </w:pPr>
            <w:r>
              <w:rPr>
                <w:rFonts w:ascii="Arial" w:cs="Arial" w:eastAsia="Arial" w:hAnsi="Arial"/>
                <w:sz w:val="14"/>
                <w:szCs w:val="14"/>
                <w:b w:val="1"/>
                <w:bCs w:val="1"/>
                <w:color w:val="auto"/>
              </w:rPr>
              <w:t>September 30,</w:t>
            </w:r>
          </w:p>
        </w:tc>
      </w:tr>
      <w:tr>
        <w:trPr>
          <w:trHeight w:val="142"/>
        </w:trPr>
        <w:tc>
          <w:tcPr>
            <w:tcW w:w="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0" w:type="dxa"/>
            <w:vAlign w:val="bottom"/>
          </w:tcPr>
          <w:p>
            <w:pPr>
              <w:spacing w:after="0"/>
              <w:rPr>
                <w:sz w:val="12"/>
                <w:szCs w:val="12"/>
                <w:color w:val="auto"/>
              </w:rPr>
            </w:pPr>
          </w:p>
        </w:tc>
        <w:tc>
          <w:tcPr>
            <w:tcW w:w="500" w:type="dxa"/>
            <w:vAlign w:val="bottom"/>
            <w:tcBorders>
              <w:top w:val="single" w:sz="8" w:color="auto"/>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2009</w:t>
            </w:r>
          </w:p>
        </w:tc>
        <w:tc>
          <w:tcPr>
            <w:tcW w:w="300" w:type="dxa"/>
            <w:vAlign w:val="bottom"/>
          </w:tcPr>
          <w:p>
            <w:pPr>
              <w:spacing w:after="0"/>
              <w:rPr>
                <w:sz w:val="12"/>
                <w:szCs w:val="12"/>
                <w:color w:val="auto"/>
              </w:rPr>
            </w:pPr>
          </w:p>
        </w:tc>
        <w:tc>
          <w:tcPr>
            <w:tcW w:w="46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2010</w:t>
            </w:r>
          </w:p>
        </w:tc>
        <w:tc>
          <w:tcPr>
            <w:tcW w:w="30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150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6"/>
              </w:rPr>
              <w:t>Operational Statistics</w:t>
            </w:r>
          </w:p>
        </w:tc>
        <w:tc>
          <w:tcPr>
            <w:tcW w:w="60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spacing w:after="0"/>
              <w:rPr>
                <w:sz w:val="20"/>
                <w:szCs w:val="20"/>
                <w:color w:val="auto"/>
              </w:rPr>
            </w:pPr>
            <w:r>
              <w:rPr>
                <w:rFonts w:ascii="Arial" w:cs="Arial" w:eastAsia="Arial" w:hAnsi="Arial"/>
                <w:sz w:val="18"/>
                <w:szCs w:val="18"/>
                <w:color w:val="auto"/>
              </w:rPr>
              <w:t>Excluding litigation provision:</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Ratio of EBITDA to combined fixed charges and preferred share dividends (j) (k)</w:t>
            </w:r>
          </w:p>
        </w:tc>
        <w:tc>
          <w:tcPr>
            <w:tcW w:w="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3.08x</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2.67x</w:t>
            </w:r>
          </w:p>
        </w:tc>
        <w:tc>
          <w:tcPr>
            <w:tcW w:w="7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3.03x</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2.94x</w:t>
            </w: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w w:val="99"/>
              </w:rPr>
              <w:t>Ratio of adjusted EBITDA to combined fixed charges and preferred share dividends (j) (k)</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3.08x</w:t>
            </w: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2.67x</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3.01x</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2.92x</w:t>
            </w:r>
          </w:p>
        </w:tc>
      </w:tr>
      <w:tr>
        <w:trPr>
          <w:trHeight w:val="216"/>
        </w:trPr>
        <w:tc>
          <w:tcPr>
            <w:tcW w:w="20" w:type="dxa"/>
            <w:vAlign w:val="bottom"/>
          </w:tcPr>
          <w:p>
            <w:pPr>
              <w:spacing w:after="0"/>
              <w:rPr>
                <w:sz w:val="18"/>
                <w:szCs w:val="18"/>
                <w:color w:val="auto"/>
              </w:rPr>
            </w:pPr>
          </w:p>
        </w:tc>
        <w:tc>
          <w:tcPr>
            <w:tcW w:w="7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Including litigation provision:</w:t>
            </w: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gridSpan w:val="2"/>
          </w:tcPr>
          <w:p>
            <w:pPr>
              <w:ind w:left="420"/>
              <w:spacing w:after="0"/>
              <w:rPr>
                <w:sz w:val="20"/>
                <w:szCs w:val="20"/>
                <w:color w:val="auto"/>
              </w:rPr>
            </w:pPr>
            <w:r>
              <w:rPr>
                <w:rFonts w:ascii="Arial" w:cs="Arial" w:eastAsia="Arial" w:hAnsi="Arial"/>
                <w:sz w:val="18"/>
                <w:szCs w:val="18"/>
                <w:color w:val="auto"/>
              </w:rPr>
              <w:t>Ratio of EBITDA to combined fixed charges and preferred share dividends (j)</w:t>
            </w:r>
          </w:p>
        </w:tc>
        <w:tc>
          <w:tcPr>
            <w:tcW w:w="800" w:type="dxa"/>
            <w:vAlign w:val="bottom"/>
            <w:gridSpan w:val="2"/>
          </w:tcPr>
          <w:p>
            <w:pPr>
              <w:ind w:left="120"/>
              <w:spacing w:after="0"/>
              <w:rPr>
                <w:sz w:val="20"/>
                <w:szCs w:val="20"/>
                <w:color w:val="auto"/>
              </w:rPr>
            </w:pPr>
            <w:r>
              <w:rPr>
                <w:rFonts w:ascii="Arial" w:cs="Arial" w:eastAsia="Arial" w:hAnsi="Arial"/>
                <w:sz w:val="18"/>
                <w:szCs w:val="18"/>
                <w:color w:val="auto"/>
              </w:rPr>
              <w:t>3.08x</w:t>
            </w:r>
          </w:p>
        </w:tc>
        <w:tc>
          <w:tcPr>
            <w:tcW w:w="840" w:type="dxa"/>
            <w:vAlign w:val="bottom"/>
            <w:gridSpan w:val="2"/>
          </w:tcPr>
          <w:p>
            <w:pPr>
              <w:ind w:left="140"/>
              <w:spacing w:after="0"/>
              <w:rPr>
                <w:sz w:val="20"/>
                <w:szCs w:val="20"/>
                <w:color w:val="auto"/>
              </w:rPr>
            </w:pPr>
            <w:r>
              <w:rPr>
                <w:rFonts w:ascii="Arial" w:cs="Arial" w:eastAsia="Arial" w:hAnsi="Arial"/>
                <w:sz w:val="18"/>
                <w:szCs w:val="18"/>
                <w:color w:val="auto"/>
              </w:rPr>
              <w:t>2.66x</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3.02x</w:t>
            </w: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2.69x</w:t>
            </w:r>
          </w:p>
        </w:tc>
      </w:tr>
      <w:tr>
        <w:trPr>
          <w:trHeight w:val="111"/>
        </w:trPr>
        <w:tc>
          <w:tcPr>
            <w:tcW w:w="20" w:type="dxa"/>
            <w:vAlign w:val="bottom"/>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60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bl>
    <w:p>
      <w:pPr>
        <w:sectPr>
          <w:pgSz w:w="11900" w:h="16900" w:orient="portrait"/>
          <w:cols w:equalWidth="0" w:num="1">
            <w:col w:w="11420"/>
          </w:cols>
          <w:pgMar w:left="240" w:top="422"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0" w:type="dxa"/>
            <w:vAlign w:val="bottom"/>
          </w:tcPr>
          <w:p>
            <w:pPr>
              <w:spacing w:after="0"/>
              <w:rPr>
                <w:sz w:val="18"/>
                <w:szCs w:val="18"/>
                <w:color w:val="auto"/>
              </w:rPr>
            </w:pPr>
          </w:p>
        </w:tc>
        <w:tc>
          <w:tcPr>
            <w:tcW w:w="71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w w:val="96"/>
              </w:rPr>
              <w:t>Ratio of adjusted EBITDA to combined fixed charges and preferred share dividends (j)</w:t>
            </w:r>
          </w:p>
        </w:tc>
        <w:tc>
          <w:tcPr>
            <w:tcW w:w="11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3.08x</w:t>
            </w:r>
          </w:p>
        </w:tc>
        <w:tc>
          <w:tcPr>
            <w:tcW w:w="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2.66x</w:t>
            </w:r>
          </w:p>
        </w:tc>
        <w:tc>
          <w:tcPr>
            <w:tcW w:w="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3.01x</w:t>
            </w:r>
          </w:p>
        </w:tc>
        <w:tc>
          <w:tcPr>
            <w:tcW w:w="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2.68x</w:t>
            </w:r>
          </w:p>
        </w:tc>
      </w:tr>
      <w:tr>
        <w:trPr>
          <w:trHeight w:val="95"/>
        </w:trPr>
        <w:tc>
          <w:tcPr>
            <w:tcW w:w="4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4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14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Mortgage loans do not include our 30% share ($17.3 million) of the $57.6 million debt of the partnership with a discretionary fund created and advised by ING Clarion Partners. It also excludes the $8.8 million mortgage loan on our Newbury Street Partnership for which we are the lender.</w:t>
      </w:r>
    </w:p>
    <w:p>
      <w:pPr>
        <w:spacing w:after="0" w:line="1" w:lineRule="exact"/>
        <w:rPr>
          <w:rFonts w:ascii="Arial" w:cs="Arial" w:eastAsia="Arial" w:hAnsi="Arial"/>
          <w:sz w:val="16"/>
          <w:szCs w:val="16"/>
          <w:color w:val="auto"/>
        </w:rPr>
      </w:pPr>
    </w:p>
    <w:p>
      <w:pPr>
        <w:ind w:left="460" w:right="3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of 6.04% represents the weighted average interest rate for two mortgage loans secured by this property. The loan balance represents an interest-only loan of $4.4 million at a stated rate of 6.18% and the remaining balance at a stated rate of 5.96%.</w:t>
      </w:r>
    </w:p>
    <w:p>
      <w:pPr>
        <w:ind w:left="460" w:right="2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acquired control of Melville Mall through a 20-year master lease and secondary financing. Because we control the activities that most significantly impact this property and retain substantially all of the economic benefit and risk associated with it, this property is consolidated and the mortgage loan is reflected on the balance sheet though it is not our legal obligation.</w:t>
      </w:r>
    </w:p>
    <w:p>
      <w:pPr>
        <w:spacing w:after="0" w:line="1" w:lineRule="exact"/>
        <w:rPr>
          <w:rFonts w:ascii="Arial" w:cs="Arial" w:eastAsia="Arial" w:hAnsi="Arial"/>
          <w:sz w:val="18"/>
          <w:szCs w:val="18"/>
          <w:color w:val="auto"/>
        </w:rPr>
      </w:pPr>
    </w:p>
    <w:p>
      <w:pPr>
        <w:ind w:left="460" w:right="6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is fixed at 5.66% for the first ten years and then will be reset to a market rate in 2013. The lender has the option to call the loan on April 15, 2013 or anytime thereafter.</w:t>
      </w:r>
    </w:p>
    <w:p>
      <w:pPr>
        <w:ind w:left="460" w:right="20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interest rate of 3.61% represents the weighted average interest rate for three unsecured fixed rate notes payable. These notes mature between April 1, 2012 and January 31, 2013.</w:t>
      </w:r>
    </w:p>
    <w:p>
      <w:pPr>
        <w:ind w:left="4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maximum amount drawn under our revolving credit facility for the three and nine months ended September 30, 2010 was $42.0 million, and the weighted average effective interest rate on borrowings under our revolving credit facility, before amortization of debt fees, was 0.73% for the three and nine months ended September 30, 2010.</w:t>
      </w:r>
    </w:p>
    <w:p>
      <w:pPr>
        <w:spacing w:after="0" w:line="1" w:lineRule="exact"/>
        <w:rPr>
          <w:rFonts w:ascii="Arial" w:cs="Arial" w:eastAsia="Arial" w:hAnsi="Arial"/>
          <w:sz w:val="18"/>
          <w:szCs w:val="18"/>
          <w:color w:val="auto"/>
        </w:rPr>
      </w:pPr>
    </w:p>
    <w:p>
      <w:pPr>
        <w:ind w:left="460" w:right="16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bonds require monthly interest only payments through maturity. The bonds bear interest at a variable rate determined weekly which would enable the bonds to be remarketed at 100% of their principal amount. The property is not encumbered by a lien.</w:t>
      </w:r>
    </w:p>
    <w:p>
      <w:pPr>
        <w:ind w:left="460" w:right="44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effective interest rate includes the amortization of any deferred financing fees, discounts and premiums, if applicable, except as described in Note i.</w:t>
      </w:r>
    </w:p>
    <w:p>
      <w:pPr>
        <w:ind w:left="460" w:right="28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weighted average effective interest rate excludes $0.2 million in quarterly financing fees and quarterly debt fee amortization on our revolving credit facility which had a $27.0 million balance on September 30, 2010.</w:t>
      </w:r>
    </w:p>
    <w:p>
      <w:pPr>
        <w:ind w:left="460" w:right="20" w:hanging="452"/>
        <w:spacing w:after="0" w:line="281"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Fixed charges consist of interest on borrowed funds (including capitalized interest), amortization of debt discount/premium and debt costs and the portion of rent expense representing an interest factor. EBITDA includes a $1.4 million and $1.3 million gain on sale for the nine months ended September 30, 2010 and 2009, respectively. Fixed charges include $2.8 million of early extinguishment of debt for the nine months ended September 30, 2010 due to the write-off of unamortized debt fees related to the $250 million payoff of the term loan prior to its maturity date. Fixed charges include a $1.0 million net loss on early extinguishment of debt for the nine months ended September 30, 2009, primarily related to the cash tender offer for our 8.75% senior notes. Adjusted EBITDA is reconciled to net income attributable to the Trust in the Glossary of Terms.</w:t>
      </w:r>
    </w:p>
    <w:p>
      <w:pPr>
        <w:spacing w:after="0" w:line="4" w:lineRule="exact"/>
        <w:rPr>
          <w:rFonts w:ascii="Arial" w:cs="Arial" w:eastAsia="Arial" w:hAnsi="Arial"/>
          <w:sz w:val="16"/>
          <w:szCs w:val="16"/>
          <w:color w:val="auto"/>
        </w:rPr>
      </w:pPr>
    </w:p>
    <w:p>
      <w:pPr>
        <w:ind w:left="460" w:right="220" w:hanging="452"/>
        <w:spacing w:after="0" w:line="30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Adjusted to exclude $0.1 million and $0.3 million litigation provision charge for the three months ended September 30, 2010 and 2009, respectively, and $0.3 million and $21.1 million litigation provision charge for the nine months ended September 30, 2010 and 2009, respectively, related to litigation regarding a parcel of land located adjacent to Santana Row as well as other costs related to the litigation and the appeal process.</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4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Debt Maturities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color w:val="auto"/>
        </w:rPr>
        <w:t>DEBT MATURITIES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thousands)</w:t>
      </w:r>
    </w:p>
    <w:tbl>
      <w:tblPr>
        <w:tblLayout w:type="fixed"/>
        <w:tblInd w:w="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360" w:type="dxa"/>
            <w:vAlign w:val="bottom"/>
            <w:gridSpan w:val="2"/>
          </w:tcPr>
          <w:p>
            <w:pPr>
              <w:jc w:val="center"/>
              <w:ind w:right="480"/>
              <w:spacing w:after="0" w:line="153" w:lineRule="exact"/>
              <w:rPr>
                <w:sz w:val="20"/>
                <w:szCs w:val="20"/>
                <w:color w:val="auto"/>
              </w:rPr>
            </w:pPr>
            <w:r>
              <w:rPr>
                <w:rFonts w:ascii="Arial" w:cs="Arial" w:eastAsia="Arial" w:hAnsi="Arial"/>
                <w:sz w:val="14"/>
                <w:szCs w:val="14"/>
                <w:b w:val="1"/>
                <w:bCs w:val="1"/>
                <w:color w:val="auto"/>
                <w:w w:val="90"/>
              </w:rPr>
              <w:t>Cumulative</w:t>
            </w:r>
          </w:p>
        </w:tc>
        <w:tc>
          <w:tcPr>
            <w:tcW w:w="96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w w:val="81"/>
              </w:rPr>
              <w:t>Scheduled</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60" w:type="dxa"/>
            <w:vAlign w:val="bottom"/>
            <w:gridSpan w:val="2"/>
          </w:tcPr>
          <w:p>
            <w:pPr>
              <w:jc w:val="right"/>
              <w:ind w:right="640"/>
              <w:spacing w:after="0" w:line="149" w:lineRule="exact"/>
              <w:rPr>
                <w:sz w:val="20"/>
                <w:szCs w:val="20"/>
                <w:color w:val="auto"/>
              </w:rPr>
            </w:pPr>
            <w:r>
              <w:rPr>
                <w:rFonts w:ascii="Arial" w:cs="Arial" w:eastAsia="Arial" w:hAnsi="Arial"/>
                <w:sz w:val="14"/>
                <w:szCs w:val="14"/>
                <w:b w:val="1"/>
                <w:bCs w:val="1"/>
                <w:color w:val="auto"/>
              </w:rPr>
              <w:t>Percent of</w:t>
            </w:r>
          </w:p>
        </w:tc>
        <w:tc>
          <w:tcPr>
            <w:tcW w:w="13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4"/>
              </w:rPr>
              <w:t>Percent of</w:t>
            </w:r>
          </w:p>
        </w:tc>
        <w:tc>
          <w:tcPr>
            <w:tcW w:w="9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61"/>
        </w:trPr>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132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4"/>
                <w:szCs w:val="14"/>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7"/>
              </w:rPr>
              <w:t>Maturities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Total</w:t>
            </w:r>
          </w:p>
        </w:tc>
        <w:tc>
          <w:tcPr>
            <w:tcW w:w="13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9"/>
              </w:rPr>
              <w:t>Debt Maturing</w:t>
            </w:r>
          </w:p>
        </w:tc>
        <w:tc>
          <w:tcPr>
            <w:tcW w:w="13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1"/>
              </w:rPr>
              <w:t>Debt Maturing</w:t>
            </w: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Rate (3)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2010</w:t>
            </w:r>
          </w:p>
        </w:tc>
        <w:tc>
          <w:tcPr>
            <w:tcW w:w="14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132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2,761</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2011</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12,438</w:t>
            </w:r>
          </w:p>
        </w:tc>
        <w:tc>
          <w:tcPr>
            <w:tcW w:w="1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139,252(1)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151,690</w:t>
            </w:r>
          </w:p>
        </w:tc>
        <w:tc>
          <w:tcPr>
            <w:tcW w:w="5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8.8%</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9.0%</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w w:val="95"/>
              </w:rPr>
              <w:t>4.5%(4)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2012</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12,691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191,916</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204,607</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11.9%</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20.9%</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2013</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11,853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196,893</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208,746</w:t>
            </w:r>
          </w:p>
        </w:tc>
        <w:tc>
          <w:tcPr>
            <w:tcW w:w="5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12.1%</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33.0%</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2014</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10,225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297,864</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308,089</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17.9%</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50.9%</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2015</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6,858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198,391</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205,249</w:t>
            </w:r>
          </w:p>
        </w:tc>
        <w:tc>
          <w:tcPr>
            <w:tcW w:w="5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11.9%</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62.8%</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2016</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134,400</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137,302</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70.8%</w:t>
            </w:r>
          </w:p>
        </w:tc>
        <w:tc>
          <w:tcPr>
            <w:tcW w:w="9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2017</w:t>
            </w:r>
          </w:p>
        </w:tc>
        <w:tc>
          <w:tcPr>
            <w:tcW w:w="14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200,000</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203,110</w:t>
            </w:r>
          </w:p>
        </w:tc>
        <w:tc>
          <w:tcPr>
            <w:tcW w:w="5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11.8%</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82.6%</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2018</w:t>
            </w:r>
          </w:p>
        </w:tc>
        <w:tc>
          <w:tcPr>
            <w:tcW w:w="14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3,321</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3,321</w:t>
            </w:r>
          </w:p>
        </w:tc>
        <w:tc>
          <w:tcPr>
            <w:tcW w:w="5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82.8%</w:t>
            </w: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Thereafter</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53,067</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243,038</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296,105</w:t>
            </w:r>
          </w:p>
        </w:tc>
        <w:tc>
          <w:tcPr>
            <w:tcW w:w="54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17.2%</w:t>
            </w:r>
          </w:p>
        </w:tc>
        <w:tc>
          <w:tcPr>
            <w:tcW w:w="136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Total</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119,226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1,601,754</w:t>
            </w:r>
          </w:p>
        </w:tc>
        <w:tc>
          <w:tcPr>
            <w:tcW w:w="3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2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1,720,980(2)</w:t>
            </w:r>
          </w:p>
        </w:tc>
        <w:tc>
          <w:tcPr>
            <w:tcW w:w="13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100.0%</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4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4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$300 million revolving credit facility matures on July 27, 2011. As of September 30, 2010, there was $27.0 million outstanding on our revolving credit facility.</w:t>
      </w:r>
    </w:p>
    <w:p>
      <w:pPr>
        <w:ind w:left="460" w:right="5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total debt maturities differs from the total reported on the consolidated balance sheet due to the unamortized net discount or premium on certain mortgage loans, senior notes and debentures as of September 30, 2010.</w:t>
      </w: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weighted average rate reflects the weighted average interest rate on debt maturing in the respective year.</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weighted average rate excludes $0.2 million in quarterly financing fees and quarterly debt fee amortization on our revolving credit facility.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22"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Redevelopment Opportunities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Redevelopment Opportunities (1) ($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gridSpan w:val="3"/>
          </w:tcPr>
          <w:p>
            <w:pPr>
              <w:spacing w:after="0"/>
              <w:rPr>
                <w:sz w:val="20"/>
                <w:szCs w:val="20"/>
                <w:color w:val="auto"/>
              </w:rPr>
            </w:pPr>
            <w:r>
              <w:rPr>
                <w:rFonts w:ascii="Arial" w:cs="Arial" w:eastAsia="Arial" w:hAnsi="Arial"/>
                <w:sz w:val="14"/>
                <w:szCs w:val="14"/>
                <w:b w:val="1"/>
                <w:bCs w:val="1"/>
                <w:color w:val="auto"/>
              </w:rPr>
              <w:t>Cost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8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4"/>
              </w:rPr>
              <w:t>Projected</w:t>
            </w:r>
          </w:p>
        </w:tc>
        <w:tc>
          <w:tcPr>
            <w:tcW w:w="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1"/>
              </w:rPr>
              <w:t>Projected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Property</w:t>
            </w: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Opportunity</w:t>
            </w:r>
          </w:p>
        </w:tc>
        <w:tc>
          <w:tcPr>
            <w:tcW w:w="254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ROI (2)</w:t>
            </w:r>
          </w:p>
        </w:tc>
        <w:tc>
          <w:tcPr>
            <w:tcW w:w="340" w:type="dxa"/>
            <w:vAlign w:val="bottom"/>
          </w:tcPr>
          <w:p>
            <w:pPr>
              <w:spacing w:after="0"/>
              <w:rPr>
                <w:sz w:val="14"/>
                <w:szCs w:val="14"/>
                <w:color w:val="auto"/>
              </w:rPr>
            </w:pPr>
          </w:p>
        </w:tc>
        <w:tc>
          <w:tcPr>
            <w:tcW w:w="5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2"/>
              </w:rPr>
              <w:t>Cost (1)</w:t>
            </w:r>
          </w:p>
        </w:tc>
        <w:tc>
          <w:tcPr>
            <w:tcW w:w="220" w:type="dxa"/>
            <w:vAlign w:val="bottom"/>
          </w:tcPr>
          <w:p>
            <w:pPr>
              <w:spacing w:after="0"/>
              <w:rPr>
                <w:sz w:val="14"/>
                <w:szCs w:val="14"/>
                <w:color w:val="auto"/>
              </w:rPr>
            </w:pPr>
          </w:p>
        </w:tc>
        <w:tc>
          <w:tcPr>
            <w:tcW w:w="2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Date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80" w:type="dxa"/>
            <w:vAlign w:val="bottom"/>
            <w:gridSpan w:val="6"/>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Projects Anticipated to Stabilize in 2010 (3)</w:t>
            </w:r>
          </w:p>
        </w:tc>
        <w:tc>
          <w:tcPr>
            <w:tcW w:w="2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3"/>
          </w:tcPr>
          <w:p>
            <w:pPr>
              <w:spacing w:after="0" w:line="138" w:lineRule="exact"/>
              <w:rPr>
                <w:sz w:val="20"/>
                <w:szCs w:val="20"/>
                <w:color w:val="auto"/>
              </w:rPr>
            </w:pPr>
            <w:r>
              <w:rPr>
                <w:rFonts w:ascii="Arial" w:cs="Arial" w:eastAsia="Arial" w:hAnsi="Arial"/>
                <w:sz w:val="14"/>
                <w:szCs w:val="14"/>
                <w:color w:val="auto"/>
              </w:rPr>
              <w:t>Bethesda Row (Hampden Lane)</w:t>
            </w:r>
          </w:p>
        </w:tc>
        <w:tc>
          <w:tcPr>
            <w:tcW w:w="1440" w:type="dxa"/>
            <w:vAlign w:val="bottom"/>
            <w:gridSpan w:val="3"/>
          </w:tcPr>
          <w:p>
            <w:pPr>
              <w:ind w:left="160"/>
              <w:spacing w:after="0" w:line="138" w:lineRule="exact"/>
              <w:rPr>
                <w:sz w:val="20"/>
                <w:szCs w:val="20"/>
                <w:color w:val="auto"/>
              </w:rPr>
            </w:pPr>
            <w:r>
              <w:rPr>
                <w:rFonts w:ascii="Arial" w:cs="Arial" w:eastAsia="Arial" w:hAnsi="Arial"/>
                <w:sz w:val="14"/>
                <w:szCs w:val="14"/>
                <w:color w:val="auto"/>
              </w:rPr>
              <w:t>Bethesda, MD</w:t>
            </w:r>
          </w:p>
        </w:tc>
        <w:tc>
          <w:tcPr>
            <w:tcW w:w="5740" w:type="dxa"/>
            <w:vAlign w:val="bottom"/>
            <w:gridSpan w:val="3"/>
          </w:tcPr>
          <w:p>
            <w:pPr>
              <w:ind w:left="20"/>
              <w:spacing w:after="0" w:line="138" w:lineRule="exact"/>
              <w:rPr>
                <w:sz w:val="20"/>
                <w:szCs w:val="20"/>
                <w:color w:val="auto"/>
              </w:rPr>
            </w:pPr>
            <w:r>
              <w:rPr>
                <w:rFonts w:ascii="Arial" w:cs="Arial" w:eastAsia="Arial" w:hAnsi="Arial"/>
                <w:sz w:val="14"/>
                <w:szCs w:val="14"/>
                <w:color w:val="auto"/>
                <w:w w:val="91"/>
              </w:rPr>
              <w:t>Construction of new three level building leased to fitness center and two additional ground level retail</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7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spaces.</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w:t>
            </w:r>
          </w:p>
        </w:tc>
        <w:tc>
          <w:tcPr>
            <w:tcW w:w="2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14</w:t>
            </w:r>
          </w:p>
        </w:tc>
        <w:tc>
          <w:tcPr>
            <w:tcW w:w="300" w:type="dxa"/>
            <w:vAlign w:val="bottom"/>
            <w:gridSpan w:val="2"/>
          </w:tcPr>
          <w:p>
            <w:pPr>
              <w:ind w:left="220"/>
              <w:spacing w:after="0" w:line="15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w w:val="98"/>
              </w:rPr>
              <w:t>Village of Shirlington - Phase III &amp; IV</w:t>
            </w:r>
          </w:p>
        </w:tc>
        <w:tc>
          <w:tcPr>
            <w:tcW w:w="1440" w:type="dxa"/>
            <w:vAlign w:val="bottom"/>
            <w:gridSpan w:val="3"/>
            <w:shd w:val="clear" w:color="auto" w:fill="CCEEFF"/>
          </w:tcPr>
          <w:p>
            <w:pPr>
              <w:ind w:left="160"/>
              <w:spacing w:after="0" w:line="138" w:lineRule="exact"/>
              <w:rPr>
                <w:sz w:val="20"/>
                <w:szCs w:val="20"/>
                <w:color w:val="auto"/>
              </w:rPr>
            </w:pPr>
            <w:r>
              <w:rPr>
                <w:rFonts w:ascii="Arial" w:cs="Arial" w:eastAsia="Arial" w:hAnsi="Arial"/>
                <w:sz w:val="14"/>
                <w:szCs w:val="14"/>
                <w:color w:val="auto"/>
              </w:rPr>
              <w:t>Arlington, VA</w:t>
            </w:r>
          </w:p>
        </w:tc>
        <w:tc>
          <w:tcPr>
            <w:tcW w:w="574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w w:val="96"/>
              </w:rPr>
              <w:t>Ground lease to hotel operator and ground floor retail as part of office building development (by</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74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others)</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18%</w:t>
            </w:r>
          </w:p>
        </w:tc>
        <w:tc>
          <w:tcPr>
            <w:tcW w:w="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3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3"/>
          </w:tcPr>
          <w:p>
            <w:pPr>
              <w:spacing w:after="0" w:line="138" w:lineRule="exact"/>
              <w:rPr>
                <w:sz w:val="20"/>
                <w:szCs w:val="20"/>
                <w:color w:val="auto"/>
              </w:rPr>
            </w:pPr>
            <w:r>
              <w:rPr>
                <w:rFonts w:ascii="Arial" w:cs="Arial" w:eastAsia="Arial" w:hAnsi="Arial"/>
                <w:sz w:val="14"/>
                <w:szCs w:val="14"/>
                <w:color w:val="auto"/>
              </w:rPr>
              <w:t>Barracks Road</w:t>
            </w:r>
          </w:p>
        </w:tc>
        <w:tc>
          <w:tcPr>
            <w:tcW w:w="1440" w:type="dxa"/>
            <w:vAlign w:val="bottom"/>
            <w:gridSpan w:val="3"/>
          </w:tcPr>
          <w:p>
            <w:pPr>
              <w:ind w:left="160"/>
              <w:spacing w:after="0" w:line="138" w:lineRule="exact"/>
              <w:rPr>
                <w:sz w:val="20"/>
                <w:szCs w:val="20"/>
                <w:color w:val="auto"/>
              </w:rPr>
            </w:pPr>
            <w:r>
              <w:rPr>
                <w:rFonts w:ascii="Arial" w:cs="Arial" w:eastAsia="Arial" w:hAnsi="Arial"/>
                <w:sz w:val="14"/>
                <w:szCs w:val="14"/>
                <w:color w:val="auto"/>
              </w:rPr>
              <w:t>Charlottesville, VA</w:t>
            </w:r>
          </w:p>
        </w:tc>
        <w:tc>
          <w:tcPr>
            <w:tcW w:w="5740" w:type="dxa"/>
            <w:vAlign w:val="bottom"/>
            <w:gridSpan w:val="3"/>
          </w:tcPr>
          <w:p>
            <w:pPr>
              <w:ind w:left="20"/>
              <w:spacing w:after="0" w:line="138" w:lineRule="exact"/>
              <w:rPr>
                <w:sz w:val="20"/>
                <w:szCs w:val="20"/>
                <w:color w:val="auto"/>
              </w:rPr>
            </w:pPr>
            <w:r>
              <w:rPr>
                <w:rFonts w:ascii="Arial" w:cs="Arial" w:eastAsia="Arial" w:hAnsi="Arial"/>
                <w:sz w:val="14"/>
                <w:szCs w:val="14"/>
                <w:color w:val="auto"/>
                <w:w w:val="90"/>
              </w:rPr>
              <w:t>Expansion of Bed, Bath and Beyond and creation of two additional small shop spaces, utilizing vacant</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7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anchor space.</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10%</w:t>
            </w:r>
          </w:p>
        </w:tc>
        <w:tc>
          <w:tcPr>
            <w:tcW w:w="2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300" w:type="dxa"/>
            <w:vAlign w:val="bottom"/>
            <w:gridSpan w:val="2"/>
          </w:tcPr>
          <w:p>
            <w:pPr>
              <w:ind w:left="220"/>
              <w:spacing w:after="0" w:line="15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Lancaster</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Lancaster, PA</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Renovation and expansion of existing grocer, new bank pad, and façade renovation</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10%</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Langhorne</w:t>
            </w:r>
          </w:p>
        </w:tc>
        <w:tc>
          <w:tcPr>
            <w:tcW w:w="14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Levittown, PA</w:t>
            </w:r>
          </w:p>
        </w:tc>
        <w:tc>
          <w:tcPr>
            <w:tcW w:w="5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Pad site addition</w:t>
            </w:r>
          </w:p>
        </w:tc>
        <w:tc>
          <w:tcPr>
            <w:tcW w:w="8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15%</w:t>
            </w:r>
          </w:p>
        </w:tc>
        <w:tc>
          <w:tcPr>
            <w:tcW w:w="24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30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Brick</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Brick, NJ</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Redevelopment and expansion of existing pad site</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gridSpan w:val="6"/>
            <w:vMerge w:val="restart"/>
          </w:tcPr>
          <w:p>
            <w:pPr>
              <w:ind w:left="420"/>
              <w:spacing w:after="0"/>
              <w:rPr>
                <w:sz w:val="20"/>
                <w:szCs w:val="20"/>
                <w:color w:val="auto"/>
              </w:rPr>
            </w:pPr>
            <w:r>
              <w:rPr>
                <w:rFonts w:ascii="Arial" w:cs="Arial" w:eastAsia="Arial" w:hAnsi="Arial"/>
                <w:sz w:val="14"/>
                <w:szCs w:val="14"/>
                <w:b w:val="1"/>
                <w:bCs w:val="1"/>
                <w:color w:val="auto"/>
                <w:w w:val="87"/>
              </w:rPr>
              <w:t>Subtotal: Projects Anticipated to Stabilize in 2010 (3) (4)</w:t>
            </w: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680" w:type="dxa"/>
            <w:vAlign w:val="bottom"/>
            <w:gridSpan w:val="6"/>
            <w:vMerge w:val="continue"/>
          </w:tcPr>
          <w:p>
            <w:pPr>
              <w:spacing w:after="0"/>
              <w:rPr>
                <w:sz w:val="13"/>
                <w:szCs w:val="13"/>
                <w:color w:val="auto"/>
              </w:rPr>
            </w:pPr>
          </w:p>
        </w:tc>
        <w:tc>
          <w:tcPr>
            <w:tcW w:w="2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12%</w:t>
            </w:r>
          </w:p>
        </w:tc>
        <w:tc>
          <w:tcPr>
            <w:tcW w:w="2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28</w:t>
            </w:r>
          </w:p>
        </w:tc>
        <w:tc>
          <w:tcPr>
            <w:tcW w:w="30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3680" w:type="dxa"/>
            <w:vAlign w:val="bottom"/>
            <w:gridSpan w:val="6"/>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Projects Anticipated to Stabilize in 2011 (3)</w:t>
            </w:r>
          </w:p>
        </w:tc>
        <w:tc>
          <w:tcPr>
            <w:tcW w:w="24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5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3"/>
          </w:tcPr>
          <w:p>
            <w:pPr>
              <w:spacing w:after="0" w:line="138" w:lineRule="exact"/>
              <w:rPr>
                <w:sz w:val="20"/>
                <w:szCs w:val="20"/>
                <w:color w:val="auto"/>
              </w:rPr>
            </w:pPr>
            <w:r>
              <w:rPr>
                <w:rFonts w:ascii="Arial" w:cs="Arial" w:eastAsia="Arial" w:hAnsi="Arial"/>
                <w:sz w:val="14"/>
                <w:szCs w:val="14"/>
                <w:color w:val="auto"/>
              </w:rPr>
              <w:t>Santana Row</w:t>
            </w:r>
          </w:p>
        </w:tc>
        <w:tc>
          <w:tcPr>
            <w:tcW w:w="1440" w:type="dxa"/>
            <w:vAlign w:val="bottom"/>
            <w:gridSpan w:val="3"/>
          </w:tcPr>
          <w:p>
            <w:pPr>
              <w:ind w:left="160"/>
              <w:spacing w:after="0" w:line="138" w:lineRule="exact"/>
              <w:rPr>
                <w:sz w:val="20"/>
                <w:szCs w:val="20"/>
                <w:color w:val="auto"/>
              </w:rPr>
            </w:pPr>
            <w:r>
              <w:rPr>
                <w:rFonts w:ascii="Arial" w:cs="Arial" w:eastAsia="Arial" w:hAnsi="Arial"/>
                <w:sz w:val="14"/>
                <w:szCs w:val="14"/>
                <w:color w:val="auto"/>
              </w:rPr>
              <w:t>San Jose, CA</w:t>
            </w:r>
          </w:p>
        </w:tc>
        <w:tc>
          <w:tcPr>
            <w:tcW w:w="5740" w:type="dxa"/>
            <w:vAlign w:val="bottom"/>
            <w:gridSpan w:val="3"/>
          </w:tcPr>
          <w:p>
            <w:pPr>
              <w:ind w:left="20"/>
              <w:spacing w:after="0" w:line="138" w:lineRule="exact"/>
              <w:rPr>
                <w:sz w:val="20"/>
                <w:szCs w:val="20"/>
                <w:color w:val="auto"/>
              </w:rPr>
            </w:pPr>
            <w:r>
              <w:rPr>
                <w:rFonts w:ascii="Arial" w:cs="Arial" w:eastAsia="Arial" w:hAnsi="Arial"/>
                <w:sz w:val="14"/>
                <w:szCs w:val="14"/>
                <w:color w:val="auto"/>
                <w:w w:val="95"/>
              </w:rPr>
              <w:t>Five-story building with 15,000 square feet of ground level retail and 65,000 square feet of office</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7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space</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6%</w:t>
            </w:r>
          </w:p>
        </w:tc>
        <w:tc>
          <w:tcPr>
            <w:tcW w:w="2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44</w:t>
            </w:r>
          </w:p>
        </w:tc>
        <w:tc>
          <w:tcPr>
            <w:tcW w:w="300" w:type="dxa"/>
            <w:vAlign w:val="bottom"/>
            <w:gridSpan w:val="2"/>
          </w:tcPr>
          <w:p>
            <w:pPr>
              <w:ind w:left="220"/>
              <w:spacing w:after="0" w:line="15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35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3"/>
            <w:shd w:val="clear" w:color="auto" w:fill="CCEEFF"/>
          </w:tcPr>
          <w:p>
            <w:pPr>
              <w:spacing w:after="0" w:line="138" w:lineRule="exact"/>
              <w:rPr>
                <w:sz w:val="20"/>
                <w:szCs w:val="20"/>
                <w:color w:val="auto"/>
              </w:rPr>
            </w:pPr>
            <w:r>
              <w:rPr>
                <w:rFonts w:ascii="Arial" w:cs="Arial" w:eastAsia="Arial" w:hAnsi="Arial"/>
                <w:sz w:val="14"/>
                <w:szCs w:val="14"/>
                <w:color w:val="auto"/>
              </w:rPr>
              <w:t>Laurel</w:t>
            </w:r>
          </w:p>
        </w:tc>
        <w:tc>
          <w:tcPr>
            <w:tcW w:w="1440" w:type="dxa"/>
            <w:vAlign w:val="bottom"/>
            <w:gridSpan w:val="3"/>
            <w:shd w:val="clear" w:color="auto" w:fill="CCEEFF"/>
          </w:tcPr>
          <w:p>
            <w:pPr>
              <w:ind w:left="160"/>
              <w:spacing w:after="0" w:line="138" w:lineRule="exact"/>
              <w:rPr>
                <w:sz w:val="20"/>
                <w:szCs w:val="20"/>
                <w:color w:val="auto"/>
              </w:rPr>
            </w:pPr>
            <w:r>
              <w:rPr>
                <w:rFonts w:ascii="Arial" w:cs="Arial" w:eastAsia="Arial" w:hAnsi="Arial"/>
                <w:sz w:val="14"/>
                <w:szCs w:val="14"/>
                <w:color w:val="auto"/>
              </w:rPr>
              <w:t>Laurel, MD</w:t>
            </w:r>
          </w:p>
        </w:tc>
        <w:tc>
          <w:tcPr>
            <w:tcW w:w="5740" w:type="dxa"/>
            <w:vAlign w:val="bottom"/>
            <w:gridSpan w:val="3"/>
            <w:shd w:val="clear" w:color="auto" w:fill="CCEEFF"/>
          </w:tcPr>
          <w:p>
            <w:pPr>
              <w:ind w:left="20"/>
              <w:spacing w:after="0" w:line="138" w:lineRule="exact"/>
              <w:rPr>
                <w:sz w:val="20"/>
                <w:szCs w:val="20"/>
                <w:color w:val="auto"/>
              </w:rPr>
            </w:pPr>
            <w:r>
              <w:rPr>
                <w:rFonts w:ascii="Arial" w:cs="Arial" w:eastAsia="Arial" w:hAnsi="Arial"/>
                <w:sz w:val="14"/>
                <w:szCs w:val="14"/>
                <w:color w:val="auto"/>
                <w:w w:val="89"/>
              </w:rPr>
              <w:t>Pad preparation for new fitness operator, replacing theater and small shop space. Reconfigure parking</w:t>
            </w:r>
          </w:p>
        </w:tc>
        <w:tc>
          <w:tcPr>
            <w:tcW w:w="5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5740" w:type="dxa"/>
            <w:vAlign w:val="bottom"/>
            <w:gridSpan w:val="3"/>
            <w:shd w:val="clear" w:color="auto" w:fill="CCEEFF"/>
          </w:tcPr>
          <w:p>
            <w:pPr>
              <w:ind w:left="20"/>
              <w:spacing w:after="0" w:line="159" w:lineRule="exact"/>
              <w:rPr>
                <w:sz w:val="20"/>
                <w:szCs w:val="20"/>
                <w:color w:val="auto"/>
              </w:rPr>
            </w:pPr>
            <w:r>
              <w:rPr>
                <w:rFonts w:ascii="Arial" w:cs="Arial" w:eastAsia="Arial" w:hAnsi="Arial"/>
                <w:sz w:val="14"/>
                <w:szCs w:val="14"/>
                <w:color w:val="auto"/>
              </w:rPr>
              <w:t>lot entrance.</w:t>
            </w:r>
          </w:p>
        </w:tc>
        <w:tc>
          <w:tcPr>
            <w:tcW w:w="880" w:type="dxa"/>
            <w:vAlign w:val="bottom"/>
            <w:gridSpan w:val="2"/>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8%</w:t>
            </w:r>
          </w:p>
        </w:tc>
        <w:tc>
          <w:tcPr>
            <w:tcW w:w="2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w:t>
            </w:r>
          </w:p>
        </w:tc>
        <w:tc>
          <w:tcPr>
            <w:tcW w:w="300" w:type="dxa"/>
            <w:vAlign w:val="bottom"/>
            <w:gridSpan w:val="2"/>
            <w:shd w:val="clear" w:color="auto" w:fill="CCEEFF"/>
          </w:tcPr>
          <w:p>
            <w:pPr>
              <w:ind w:left="220"/>
              <w:spacing w:after="0" w:line="15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40" w:type="dxa"/>
            <w:vAlign w:val="bottom"/>
            <w:gridSpan w:val="3"/>
          </w:tcPr>
          <w:p>
            <w:pPr>
              <w:spacing w:after="0" w:line="138" w:lineRule="exact"/>
              <w:rPr>
                <w:sz w:val="20"/>
                <w:szCs w:val="20"/>
                <w:color w:val="auto"/>
              </w:rPr>
            </w:pPr>
            <w:r>
              <w:rPr>
                <w:rFonts w:ascii="Arial" w:cs="Arial" w:eastAsia="Arial" w:hAnsi="Arial"/>
                <w:sz w:val="14"/>
                <w:szCs w:val="14"/>
                <w:color w:val="auto"/>
              </w:rPr>
              <w:t>Crossroads</w:t>
            </w:r>
          </w:p>
        </w:tc>
        <w:tc>
          <w:tcPr>
            <w:tcW w:w="1440" w:type="dxa"/>
            <w:vAlign w:val="bottom"/>
            <w:gridSpan w:val="3"/>
          </w:tcPr>
          <w:p>
            <w:pPr>
              <w:ind w:left="160"/>
              <w:spacing w:after="0" w:line="138" w:lineRule="exact"/>
              <w:rPr>
                <w:sz w:val="20"/>
                <w:szCs w:val="20"/>
                <w:color w:val="auto"/>
              </w:rPr>
            </w:pPr>
            <w:r>
              <w:rPr>
                <w:rFonts w:ascii="Arial" w:cs="Arial" w:eastAsia="Arial" w:hAnsi="Arial"/>
                <w:sz w:val="14"/>
                <w:szCs w:val="14"/>
                <w:color w:val="auto"/>
              </w:rPr>
              <w:t>Highland Park, IL</w:t>
            </w:r>
          </w:p>
        </w:tc>
        <w:tc>
          <w:tcPr>
            <w:tcW w:w="5740" w:type="dxa"/>
            <w:vAlign w:val="bottom"/>
            <w:gridSpan w:val="3"/>
          </w:tcPr>
          <w:p>
            <w:pPr>
              <w:ind w:left="20"/>
              <w:spacing w:after="0" w:line="138" w:lineRule="exact"/>
              <w:rPr>
                <w:sz w:val="20"/>
                <w:szCs w:val="20"/>
                <w:color w:val="auto"/>
              </w:rPr>
            </w:pPr>
            <w:r>
              <w:rPr>
                <w:rFonts w:ascii="Arial" w:cs="Arial" w:eastAsia="Arial" w:hAnsi="Arial"/>
                <w:sz w:val="14"/>
                <w:szCs w:val="14"/>
                <w:color w:val="auto"/>
                <w:w w:val="90"/>
              </w:rPr>
              <w:t>Combine four spaces in preparation for new fitness operator, replacing vacant anchor and small shop</w:t>
            </w: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740" w:type="dxa"/>
            <w:vAlign w:val="bottom"/>
            <w:gridSpan w:val="3"/>
          </w:tcPr>
          <w:p>
            <w:pPr>
              <w:ind w:left="20"/>
              <w:spacing w:after="0" w:line="159" w:lineRule="exact"/>
              <w:rPr>
                <w:sz w:val="20"/>
                <w:szCs w:val="20"/>
                <w:color w:val="auto"/>
              </w:rPr>
            </w:pPr>
            <w:r>
              <w:rPr>
                <w:rFonts w:ascii="Arial" w:cs="Arial" w:eastAsia="Arial" w:hAnsi="Arial"/>
                <w:sz w:val="14"/>
                <w:szCs w:val="14"/>
                <w:color w:val="auto"/>
              </w:rPr>
              <w:t>space.</w:t>
            </w:r>
          </w:p>
        </w:tc>
        <w:tc>
          <w:tcPr>
            <w:tcW w:w="88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9%</w:t>
            </w:r>
          </w:p>
        </w:tc>
        <w:tc>
          <w:tcPr>
            <w:tcW w:w="240" w:type="dxa"/>
            <w:vAlign w:val="bottom"/>
          </w:tcPr>
          <w:p>
            <w:pPr>
              <w:spacing w:after="0" w:line="159" w:lineRule="exact"/>
              <w:rPr>
                <w:sz w:val="20"/>
                <w:szCs w:val="20"/>
                <w:color w:val="auto"/>
              </w:rPr>
            </w:pPr>
            <w:r>
              <w:rPr>
                <w:rFonts w:ascii="Arial" w:cs="Arial" w:eastAsia="Arial" w:hAnsi="Arial"/>
                <w:sz w:val="14"/>
                <w:szCs w:val="14"/>
                <w:color w:val="auto"/>
              </w:rPr>
              <w:t>$</w:t>
            </w:r>
          </w:p>
        </w:tc>
        <w:tc>
          <w:tcPr>
            <w:tcW w:w="300" w:type="dxa"/>
            <w:vAlign w:val="bottom"/>
          </w:tcPr>
          <w:p>
            <w:pPr>
              <w:jc w:val="right"/>
              <w:spacing w:after="0" w:line="159" w:lineRule="exact"/>
              <w:rPr>
                <w:sz w:val="20"/>
                <w:szCs w:val="20"/>
                <w:color w:val="auto"/>
              </w:rPr>
            </w:pPr>
            <w:r>
              <w:rPr>
                <w:rFonts w:ascii="Arial" w:cs="Arial" w:eastAsia="Arial" w:hAnsi="Arial"/>
                <w:sz w:val="14"/>
                <w:szCs w:val="14"/>
                <w:color w:val="auto"/>
              </w:rPr>
              <w:t>3</w:t>
            </w:r>
          </w:p>
        </w:tc>
        <w:tc>
          <w:tcPr>
            <w:tcW w:w="300" w:type="dxa"/>
            <w:vAlign w:val="bottom"/>
            <w:gridSpan w:val="2"/>
          </w:tcPr>
          <w:p>
            <w:pPr>
              <w:ind w:left="220"/>
              <w:spacing w:after="0" w:line="159" w:lineRule="exact"/>
              <w:rPr>
                <w:sz w:val="20"/>
                <w:szCs w:val="20"/>
                <w:color w:val="auto"/>
              </w:rPr>
            </w:pPr>
            <w:r>
              <w:rPr>
                <w:rFonts w:ascii="Arial" w:cs="Arial" w:eastAsia="Arial" w:hAnsi="Arial"/>
                <w:sz w:val="14"/>
                <w:szCs w:val="14"/>
                <w:color w:val="auto"/>
                <w:w w:val="76"/>
              </w:rPr>
              <w:t>$</w:t>
            </w:r>
          </w:p>
        </w:tc>
        <w:tc>
          <w:tcPr>
            <w:tcW w:w="200" w:type="dxa"/>
            <w:vAlign w:val="bottom"/>
          </w:tcPr>
          <w:p>
            <w:pPr>
              <w:jc w:val="right"/>
              <w:spacing w:after="0" w:line="159"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 xml:space="preserve">Atlantic Plaza (JV Property) </w:t>
            </w:r>
            <w:r>
              <w:rPr>
                <w:rFonts w:ascii="Arial" w:cs="Arial" w:eastAsia="Arial" w:hAnsi="Arial"/>
                <w:sz w:val="14"/>
                <w:szCs w:val="14"/>
                <w:b w:val="1"/>
                <w:bCs w:val="1"/>
                <w:color w:val="auto"/>
              </w:rPr>
              <w:t>(6)</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North Reading, MA</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w w:val="92"/>
              </w:rPr>
              <w:t>Property improvements, including façade renovation, in preparation for new lease with grocery store</w:t>
            </w:r>
          </w:p>
        </w:tc>
        <w:tc>
          <w:tcPr>
            <w:tcW w:w="8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w:t>
            </w:r>
          </w:p>
        </w:tc>
        <w:tc>
          <w:tcPr>
            <w:tcW w:w="2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30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76"/>
              </w:rPr>
              <w:t>$</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880" w:type="dxa"/>
            <w:vAlign w:val="bottom"/>
            <w:gridSpan w:val="2"/>
          </w:tcPr>
          <w:p>
            <w:pPr>
              <w:jc w:val="right"/>
              <w:ind w:right="200"/>
              <w:spacing w:after="0" w:line="155" w:lineRule="exact"/>
              <w:rPr>
                <w:sz w:val="20"/>
                <w:szCs w:val="20"/>
                <w:color w:val="auto"/>
              </w:rPr>
            </w:pPr>
            <w:r>
              <w:rPr>
                <w:rFonts w:ascii="Arial" w:cs="Arial" w:eastAsia="Arial" w:hAnsi="Arial"/>
                <w:sz w:val="14"/>
                <w:szCs w:val="14"/>
                <w:b w:val="1"/>
                <w:bCs w:val="1"/>
                <w:color w:val="auto"/>
              </w:rPr>
              <w:t>6%</w:t>
            </w:r>
          </w:p>
        </w:tc>
        <w:tc>
          <w:tcPr>
            <w:tcW w:w="2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3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57</w:t>
            </w:r>
          </w:p>
        </w:tc>
        <w:tc>
          <w:tcPr>
            <w:tcW w:w="300" w:type="dxa"/>
            <w:vAlign w:val="bottom"/>
            <w:gridSpan w:val="2"/>
          </w:tcPr>
          <w:p>
            <w:pPr>
              <w:ind w:left="220"/>
              <w:spacing w:after="0" w:line="155" w:lineRule="exact"/>
              <w:rPr>
                <w:sz w:val="20"/>
                <w:szCs w:val="20"/>
                <w:color w:val="auto"/>
              </w:rPr>
            </w:pPr>
            <w:r>
              <w:rPr>
                <w:rFonts w:ascii="Arial" w:cs="Arial" w:eastAsia="Arial" w:hAnsi="Arial"/>
                <w:sz w:val="14"/>
                <w:szCs w:val="14"/>
                <w:b w:val="1"/>
                <w:bCs w:val="1"/>
                <w:color w:val="auto"/>
                <w:w w:val="76"/>
              </w:rPr>
              <w:t>$</w:t>
            </w:r>
          </w:p>
        </w:tc>
        <w:tc>
          <w:tcPr>
            <w:tcW w:w="2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37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9420" w:type="dxa"/>
            <w:vAlign w:val="bottom"/>
            <w:gridSpan w:val="9"/>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Total: Projects Anticipated to Stabilize in 2010 and 2011 (3) (4) (5)</w:t>
            </w:r>
          </w:p>
        </w:tc>
        <w:tc>
          <w:tcPr>
            <w:tcW w:w="880" w:type="dxa"/>
            <w:vAlign w:val="bottom"/>
            <w:gridSpan w:val="2"/>
            <w:shd w:val="clear" w:color="auto" w:fill="CCEEFF"/>
          </w:tcPr>
          <w:p>
            <w:pPr>
              <w:jc w:val="right"/>
              <w:ind w:right="200"/>
              <w:spacing w:after="0" w:line="143" w:lineRule="exact"/>
              <w:rPr>
                <w:sz w:val="20"/>
                <w:szCs w:val="20"/>
                <w:color w:val="auto"/>
              </w:rPr>
            </w:pPr>
            <w:r>
              <w:rPr>
                <w:rFonts w:ascii="Arial" w:cs="Arial" w:eastAsia="Arial" w:hAnsi="Arial"/>
                <w:sz w:val="14"/>
                <w:szCs w:val="14"/>
                <w:b w:val="1"/>
                <w:bCs w:val="1"/>
                <w:color w:val="auto"/>
              </w:rPr>
              <w:t>8%</w:t>
            </w:r>
          </w:p>
        </w:tc>
        <w:tc>
          <w:tcPr>
            <w:tcW w:w="240" w:type="dxa"/>
            <w:vAlign w:val="bottom"/>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w:t>
            </w:r>
          </w:p>
        </w:tc>
        <w:tc>
          <w:tcPr>
            <w:tcW w:w="3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85</w:t>
            </w:r>
          </w:p>
        </w:tc>
        <w:tc>
          <w:tcPr>
            <w:tcW w:w="30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b w:val="1"/>
                <w:bCs w:val="1"/>
                <w:color w:val="auto"/>
                <w:w w:val="76"/>
              </w:rPr>
              <w:t>$</w:t>
            </w:r>
          </w:p>
        </w:tc>
        <w:tc>
          <w:tcPr>
            <w:tcW w:w="200" w:type="dxa"/>
            <w:vAlign w:val="bottom"/>
            <w:shd w:val="clear" w:color="auto" w:fill="CCEEFF"/>
          </w:tcPr>
          <w:p>
            <w:pPr>
              <w:jc w:val="right"/>
              <w:spacing w:after="0" w:line="143" w:lineRule="exact"/>
              <w:rPr>
                <w:sz w:val="20"/>
                <w:szCs w:val="20"/>
                <w:color w:val="auto"/>
              </w:rPr>
            </w:pPr>
            <w:r>
              <w:rPr>
                <w:rFonts w:ascii="Arial" w:cs="Arial" w:eastAsia="Arial" w:hAnsi="Arial"/>
                <w:sz w:val="14"/>
                <w:szCs w:val="14"/>
                <w:b w:val="1"/>
                <w:bCs w:val="1"/>
                <w:color w:val="auto"/>
              </w:rPr>
              <w:t>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00" w:type="dxa"/>
            <w:vAlign w:val="bottom"/>
            <w:gridSpan w:val="7"/>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700" w:type="dxa"/>
            <w:vAlign w:val="bottom"/>
            <w:gridSpan w:val="7"/>
          </w:tcPr>
          <w:p>
            <w:pPr>
              <w:spacing w:after="0"/>
              <w:rPr>
                <w:sz w:val="13"/>
                <w:szCs w:val="13"/>
                <w:color w:val="auto"/>
              </w:rPr>
            </w:pPr>
          </w:p>
        </w:tc>
        <w:tc>
          <w:tcPr>
            <w:tcW w:w="24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680" w:type="dxa"/>
            <w:vAlign w:val="bottom"/>
            <w:tcBorders>
              <w:top w:val="single" w:sz="8" w:color="auto"/>
            </w:tcBorders>
            <w:gridSpan w:val="6"/>
          </w:tcPr>
          <w:p>
            <w:pPr>
              <w:spacing w:after="0"/>
              <w:rPr>
                <w:sz w:val="20"/>
                <w:szCs w:val="20"/>
                <w:color w:val="auto"/>
              </w:rPr>
            </w:pPr>
            <w:r>
              <w:rPr>
                <w:rFonts w:ascii="Arial" w:cs="Arial" w:eastAsia="Arial" w:hAnsi="Arial"/>
                <w:sz w:val="14"/>
                <w:szCs w:val="14"/>
                <w:b w:val="1"/>
                <w:bCs w:val="1"/>
                <w:color w:val="auto"/>
              </w:rPr>
              <w:t>Potential future redevelopment pipeline includes (6):</w:t>
            </w:r>
          </w:p>
        </w:tc>
        <w:tc>
          <w:tcPr>
            <w:tcW w:w="24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54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6"/>
              </w:rPr>
              <w:t>Property</w:t>
            </w:r>
          </w:p>
        </w:tc>
        <w:tc>
          <w:tcPr>
            <w:tcW w:w="8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Location</w:t>
            </w:r>
          </w:p>
        </w:tc>
        <w:tc>
          <w:tcPr>
            <w:tcW w:w="5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Opportunity</w:t>
            </w:r>
          </w:p>
        </w:tc>
        <w:tc>
          <w:tcPr>
            <w:tcW w:w="25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Assembly Row</w:t>
            </w:r>
          </w:p>
        </w:tc>
        <w:tc>
          <w:tcPr>
            <w:tcW w:w="1440" w:type="dxa"/>
            <w:vAlign w:val="bottom"/>
            <w:gridSpan w:val="3"/>
            <w:shd w:val="clear" w:color="auto" w:fill="CCEEFF"/>
          </w:tcPr>
          <w:p>
            <w:pPr>
              <w:ind w:left="160"/>
              <w:spacing w:after="0" w:line="142" w:lineRule="exact"/>
              <w:rPr>
                <w:sz w:val="20"/>
                <w:szCs w:val="20"/>
                <w:color w:val="auto"/>
              </w:rPr>
            </w:pPr>
            <w:r>
              <w:rPr>
                <w:rFonts w:ascii="Arial" w:cs="Arial" w:eastAsia="Arial" w:hAnsi="Arial"/>
                <w:sz w:val="14"/>
                <w:szCs w:val="14"/>
                <w:color w:val="auto"/>
              </w:rPr>
              <w:t>Somerville, MA</w:t>
            </w:r>
          </w:p>
        </w:tc>
        <w:tc>
          <w:tcPr>
            <w:tcW w:w="5740" w:type="dxa"/>
            <w:vAlign w:val="bottom"/>
            <w:gridSpan w:val="3"/>
            <w:shd w:val="clear" w:color="auto" w:fill="CCEEFF"/>
          </w:tcPr>
          <w:p>
            <w:pPr>
              <w:ind w:left="20"/>
              <w:spacing w:after="0" w:line="142" w:lineRule="exact"/>
              <w:rPr>
                <w:sz w:val="20"/>
                <w:szCs w:val="20"/>
                <w:color w:val="auto"/>
              </w:rPr>
            </w:pPr>
            <w:r>
              <w:rPr>
                <w:rFonts w:ascii="Arial" w:cs="Arial" w:eastAsia="Arial" w:hAnsi="Arial"/>
                <w:sz w:val="14"/>
                <w:szCs w:val="14"/>
                <w:color w:val="auto"/>
              </w:rPr>
              <w:t>Potential substantial transit oriented mixed-use development</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Assembly Square Marketplace</w:t>
            </w:r>
          </w:p>
        </w:tc>
        <w:tc>
          <w:tcPr>
            <w:tcW w:w="14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Somerville, MA</w:t>
            </w:r>
          </w:p>
        </w:tc>
        <w:tc>
          <w:tcPr>
            <w:tcW w:w="5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Pad site addition</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Bala Cynwyd</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Bala Cynwyd, PA</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w w:val="92"/>
              </w:rPr>
              <w:t>Potential redevelopment of nine acres of land for a transit oriented mixed-use project or retail center</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Brick Plaza</w:t>
            </w:r>
          </w:p>
        </w:tc>
        <w:tc>
          <w:tcPr>
            <w:tcW w:w="14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Brick, NJ</w:t>
            </w:r>
          </w:p>
        </w:tc>
        <w:tc>
          <w:tcPr>
            <w:tcW w:w="5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Pad site opportunity</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Federal Plaza</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Rockville, MD</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Pad building opportunities</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Flourtown</w:t>
            </w:r>
          </w:p>
        </w:tc>
        <w:tc>
          <w:tcPr>
            <w:tcW w:w="14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Flourtown, PA</w:t>
            </w:r>
          </w:p>
        </w:tc>
        <w:tc>
          <w:tcPr>
            <w:tcW w:w="5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Anchor re-tenanting, small shop renovation, and site improvements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Fresh Meadows</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Queens, NY</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Potential conversion of 2nd floor office space to retail</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Hollywood Peterson Building</w:t>
            </w:r>
          </w:p>
        </w:tc>
        <w:tc>
          <w:tcPr>
            <w:tcW w:w="14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Hollywood, CA</w:t>
            </w:r>
          </w:p>
        </w:tc>
        <w:tc>
          <w:tcPr>
            <w:tcW w:w="5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Co-terminus leases create potential for property redevelopment and expansion</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Huntington</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Huntington, NY</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Pad site additions</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Linden Square</w:t>
            </w:r>
          </w:p>
        </w:tc>
        <w:tc>
          <w:tcPr>
            <w:tcW w:w="14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Wellesley, MA</w:t>
            </w:r>
          </w:p>
        </w:tc>
        <w:tc>
          <w:tcPr>
            <w:tcW w:w="5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Additional phases of infill redevelopment</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Mercer Mall</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Lawrenceville, NJ</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Construction of new outparcel</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Mid-Pike Plaza</w:t>
            </w:r>
          </w:p>
        </w:tc>
        <w:tc>
          <w:tcPr>
            <w:tcW w:w="14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Rockville, MD</w:t>
            </w:r>
          </w:p>
        </w:tc>
        <w:tc>
          <w:tcPr>
            <w:tcW w:w="5740" w:type="dxa"/>
            <w:vAlign w:val="bottom"/>
            <w:gridSpan w:val="3"/>
          </w:tcPr>
          <w:p>
            <w:pPr>
              <w:ind w:left="20"/>
              <w:spacing w:after="0" w:line="149" w:lineRule="exact"/>
              <w:rPr>
                <w:sz w:val="20"/>
                <w:szCs w:val="20"/>
                <w:color w:val="auto"/>
              </w:rPr>
            </w:pPr>
            <w:r>
              <w:rPr>
                <w:rFonts w:ascii="Arial" w:cs="Arial" w:eastAsia="Arial" w:hAnsi="Arial"/>
                <w:sz w:val="14"/>
                <w:szCs w:val="14"/>
                <w:color w:val="auto"/>
                <w:w w:val="89"/>
              </w:rPr>
              <w:t>Co-terminus leases create potential for retail redevelopment or transit oriented mixed-use development</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Pike 7</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Vienna, VA</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w w:val="89"/>
              </w:rPr>
              <w:t>Co-terminus leases create potential for retail redevelopment or transit oriented mixed-use development</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Santana Row</w:t>
            </w:r>
          </w:p>
        </w:tc>
        <w:tc>
          <w:tcPr>
            <w:tcW w:w="14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San Jose, CA</w:t>
            </w:r>
          </w:p>
        </w:tc>
        <w:tc>
          <w:tcPr>
            <w:tcW w:w="5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Future phases of mixed-use development</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Santana Row</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San Jose, CA</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109 unit residential building under construction; expected to stabilize in 2012</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Shoppers’ World</w:t>
            </w:r>
          </w:p>
        </w:tc>
        <w:tc>
          <w:tcPr>
            <w:tcW w:w="14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Charlottesville, VA</w:t>
            </w:r>
          </w:p>
        </w:tc>
        <w:tc>
          <w:tcPr>
            <w:tcW w:w="5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Co-terminus leases create potential for remerchandising and reconfiguration of retail spaces</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Town Center of New Britain</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New Britain, PA</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Renovation and expansion of existing grocer</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tcPr>
          <w:p>
            <w:pPr>
              <w:spacing w:after="0" w:line="149" w:lineRule="exact"/>
              <w:rPr>
                <w:sz w:val="20"/>
                <w:szCs w:val="20"/>
                <w:color w:val="auto"/>
              </w:rPr>
            </w:pPr>
            <w:r>
              <w:rPr>
                <w:rFonts w:ascii="Arial" w:cs="Arial" w:eastAsia="Arial" w:hAnsi="Arial"/>
                <w:sz w:val="14"/>
                <w:szCs w:val="14"/>
                <w:color w:val="auto"/>
              </w:rPr>
              <w:t>Troy</w:t>
            </w:r>
          </w:p>
        </w:tc>
        <w:tc>
          <w:tcPr>
            <w:tcW w:w="144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Parsippany, NJ</w:t>
            </w:r>
          </w:p>
        </w:tc>
        <w:tc>
          <w:tcPr>
            <w:tcW w:w="574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Pad site addition</w:t>
            </w:r>
          </w:p>
        </w:tc>
        <w:tc>
          <w:tcPr>
            <w:tcW w:w="5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Shops at Willow Lawn</w:t>
            </w:r>
          </w:p>
        </w:tc>
        <w:tc>
          <w:tcPr>
            <w:tcW w:w="144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Richmond, VA</w:t>
            </w:r>
          </w:p>
        </w:tc>
        <w:tc>
          <w:tcPr>
            <w:tcW w:w="5740" w:type="dxa"/>
            <w:vAlign w:val="bottom"/>
            <w:gridSpan w:val="3"/>
            <w:shd w:val="clear" w:color="auto" w:fill="CCEEFF"/>
          </w:tcPr>
          <w:p>
            <w:pPr>
              <w:ind w:left="20"/>
              <w:spacing w:after="0" w:line="149" w:lineRule="exact"/>
              <w:rPr>
                <w:sz w:val="20"/>
                <w:szCs w:val="20"/>
                <w:color w:val="auto"/>
              </w:rPr>
            </w:pPr>
            <w:r>
              <w:rPr>
                <w:rFonts w:ascii="Arial" w:cs="Arial" w:eastAsia="Arial" w:hAnsi="Arial"/>
                <w:sz w:val="14"/>
                <w:szCs w:val="14"/>
                <w:color w:val="auto"/>
              </w:rPr>
              <w:t>Demo interior mall, relocate mall tenants, construct new exterior GLA</w:t>
            </w:r>
          </w:p>
        </w:tc>
        <w:tc>
          <w:tcPr>
            <w:tcW w:w="5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60325</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Notes:</w:t>
      </w:r>
    </w:p>
    <w:p>
      <w:pPr>
        <w:ind w:left="340" w:right="38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current redevelopment opportunities are being pursued by the Trust. There is no guaranty that the Trust will ultimately complete any or all of these opportunities, that the Projected Return on Investment (ROI) or Projected Costs will be the amounts shown or that stabilization will occur as anticipated. The projected ROI and Projected Cost are management’s best estimate based on current information and may change over time.</w:t>
      </w:r>
    </w:p>
    <w:p>
      <w:pPr>
        <w:ind w:left="340" w:right="1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Projected ROI generally reflects only the deal specific cash, unleveraged Incremental Property Operating Income (POI) generated by the redevelopment and is calculated as Incremental POI divided by incremental cost. Incremental POI is the POI generated by the redevelopment after deducting rent being paid or management’s estimate of rent to be paid for the redevelopment space and any other space taken out of service to accommodate the redevelopment. Projected ROI does NOT include peripheral impacts, such as the impact on future lease rollovers at the property or the impact on the long-term value of the property.</w:t>
      </w:r>
    </w:p>
    <w:p>
      <w:pPr>
        <w:spacing w:after="0" w:line="1" w:lineRule="exact"/>
        <w:rPr>
          <w:rFonts w:ascii="Arial" w:cs="Arial" w:eastAsia="Arial" w:hAnsi="Arial"/>
          <w:sz w:val="14"/>
          <w:szCs w:val="14"/>
          <w:color w:val="auto"/>
        </w:rPr>
      </w:pP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Stabilization is the year in which 95% occupancy of the redeveloped space is achieved.</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All subtotals and totals reflect cost weighted-average ROIs.</w:t>
      </w:r>
    </w:p>
    <w:p>
      <w:pPr>
        <w:ind w:left="340" w:hanging="332"/>
        <w:spacing w:after="0" w:line="221"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These future redevelopment opportunities are being explored by the Trust. There is no guaranty that the Trust will ultimately pursue or complete any or all of these opportunities.</w:t>
      </w:r>
    </w:p>
    <w:p>
      <w:pPr>
        <w:ind w:left="340" w:hanging="332"/>
        <w:spacing w:after="0"/>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ROI and costs for Atlantic Plaza reflect our 30% JV interest in the costs and revenue associated with the redevelopment.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22" w:right="239" w:bottom="1440" w:gutter="0" w:footer="0" w:header="0"/>
        </w:sectPr>
      </w:pPr>
    </w:p>
    <w:bookmarkStart w:id="18" w:name="page19"/>
    <w:bookmarkEnd w:id="1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Mortgage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and/or</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Capital</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5"/>
              </w:rPr>
              <w:t>Grocery</w:t>
            </w:r>
          </w:p>
        </w:tc>
        <w:tc>
          <w:tcPr>
            <w:tcW w:w="140" w:type="dxa"/>
            <w:vAlign w:val="bottom"/>
          </w:tcPr>
          <w:p>
            <w:pPr>
              <w:spacing w:after="0"/>
              <w:rPr>
                <w:sz w:val="12"/>
                <w:szCs w:val="12"/>
                <w:color w:val="auto"/>
              </w:rPr>
            </w:pPr>
          </w:p>
        </w:tc>
        <w:tc>
          <w:tcPr>
            <w:tcW w:w="72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Grocery</w:t>
            </w:r>
          </w:p>
        </w:tc>
        <w:tc>
          <w:tcPr>
            <w:tcW w:w="8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7"/>
              </w:rPr>
              <w:t>Real Estate</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5"/>
              </w:rPr>
              <w:t>Lease</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gridSpan w:val="2"/>
          </w:tcPr>
          <w:p>
            <w:pPr>
              <w:jc w:val="right"/>
              <w:ind w:right="140"/>
              <w:spacing w:after="0" w:line="135" w:lineRule="exact"/>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1"/>
                <w:szCs w:val="11"/>
                <w:color w:val="auto"/>
              </w:rPr>
            </w:pPr>
          </w:p>
        </w:tc>
        <w:tc>
          <w:tcPr>
            <w:tcW w:w="48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89"/>
              </w:rPr>
              <w:t>Anchor</w:t>
            </w:r>
          </w:p>
        </w:tc>
        <w:tc>
          <w:tcPr>
            <w:tcW w:w="14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6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380" w:type="dxa"/>
            <w:vAlign w:val="bottom"/>
          </w:tcPr>
          <w:p>
            <w:pPr>
              <w:spacing w:after="0"/>
              <w:rPr>
                <w:sz w:val="15"/>
                <w:szCs w:val="15"/>
                <w:color w:val="auto"/>
              </w:rPr>
            </w:pPr>
          </w:p>
        </w:tc>
        <w:tc>
          <w:tcPr>
            <w:tcW w:w="1640" w:type="dxa"/>
            <w:vAlign w:val="bottom"/>
          </w:tcPr>
          <w:p>
            <w:pPr>
              <w:ind w:left="32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5"/>
                <w:szCs w:val="15"/>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Acquired</w:t>
            </w: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at Cost</w:t>
            </w:r>
          </w:p>
        </w:tc>
        <w:tc>
          <w:tcPr>
            <w:tcW w:w="6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Obligation (1)</w:t>
            </w:r>
          </w:p>
        </w:tc>
        <w:tc>
          <w:tcPr>
            <w:tcW w:w="14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GLA (2)</w:t>
            </w:r>
          </w:p>
        </w:tc>
        <w:tc>
          <w:tcPr>
            <w:tcW w:w="7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82"/>
              </w:rPr>
              <w:t>Leased</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0"/>
              </w:rPr>
              <w:t>GLA (3)</w:t>
            </w:r>
          </w:p>
        </w:tc>
        <w:tc>
          <w:tcPr>
            <w:tcW w:w="1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94"/>
              </w:rPr>
              <w:t>Anchor (3)</w:t>
            </w:r>
          </w:p>
        </w:tc>
        <w:tc>
          <w:tcPr>
            <w:tcW w:w="8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1"/>
              </w:rPr>
              <w:t>Tenants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40" w:type="dxa"/>
            <w:vAlign w:val="bottom"/>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40" w:type="dxa"/>
            <w:vAlign w:val="bottom"/>
            <w:tcBorders>
              <w:right w:val="single" w:sz="8" w:color="CCEEFF"/>
            </w:tcBorders>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8"/>
              </w:rPr>
              <w:t>Washington Metropolitan Area</w:t>
            </w:r>
          </w:p>
        </w:tc>
        <w:tc>
          <w:tcPr>
            <w:tcW w:w="3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Bethesda Row</w:t>
            </w:r>
          </w:p>
        </w:tc>
        <w:tc>
          <w:tcPr>
            <w:tcW w:w="380" w:type="dxa"/>
            <w:vAlign w:val="bottom"/>
          </w:tcPr>
          <w:p>
            <w:pPr>
              <w:ind w:left="120"/>
              <w:spacing w:after="0" w:line="131" w:lineRule="exact"/>
              <w:rPr>
                <w:sz w:val="20"/>
                <w:szCs w:val="20"/>
                <w:color w:val="auto"/>
              </w:rPr>
            </w:pPr>
            <w:r>
              <w:rPr>
                <w:rFonts w:ascii="Arial" w:cs="Arial" w:eastAsia="Arial" w:hAnsi="Arial"/>
                <w:sz w:val="14"/>
                <w:szCs w:val="14"/>
                <w:color w:val="auto"/>
              </w:rPr>
              <w:t>(4)</w:t>
            </w:r>
          </w:p>
        </w:tc>
        <w:tc>
          <w:tcPr>
            <w:tcW w:w="1640" w:type="dxa"/>
            <w:vAlign w:val="bottom"/>
          </w:tcPr>
          <w:p>
            <w:pPr>
              <w:spacing w:after="0" w:line="131" w:lineRule="exact"/>
              <w:rPr>
                <w:sz w:val="20"/>
                <w:szCs w:val="20"/>
                <w:color w:val="auto"/>
              </w:rPr>
            </w:pPr>
            <w:r>
              <w:rPr>
                <w:rFonts w:ascii="Arial" w:cs="Arial" w:eastAsia="Arial" w:hAnsi="Arial"/>
                <w:sz w:val="14"/>
                <w:szCs w:val="14"/>
                <w:color w:val="auto"/>
              </w:rPr>
              <w:t>Washington, DC-MD-VA</w:t>
            </w:r>
          </w:p>
        </w:tc>
        <w:tc>
          <w:tcPr>
            <w:tcW w:w="1180" w:type="dxa"/>
            <w:vAlign w:val="bottom"/>
            <w:gridSpan w:val="4"/>
          </w:tcPr>
          <w:p>
            <w:pPr>
              <w:ind w:left="140"/>
              <w:spacing w:after="0" w:line="131" w:lineRule="exact"/>
              <w:rPr>
                <w:sz w:val="20"/>
                <w:szCs w:val="20"/>
                <w:color w:val="auto"/>
              </w:rPr>
            </w:pPr>
            <w:r>
              <w:rPr>
                <w:rFonts w:ascii="Arial" w:cs="Arial" w:eastAsia="Arial" w:hAnsi="Arial"/>
                <w:sz w:val="14"/>
                <w:szCs w:val="14"/>
                <w:color w:val="auto"/>
                <w:w w:val="89"/>
              </w:rPr>
              <w:t>1993-2006/2008 $</w:t>
            </w:r>
          </w:p>
        </w:tc>
        <w:tc>
          <w:tcPr>
            <w:tcW w:w="82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199,735</w:t>
            </w:r>
          </w:p>
        </w:tc>
        <w:tc>
          <w:tcPr>
            <w:tcW w:w="16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31" w:lineRule="exact"/>
              <w:rPr>
                <w:sz w:val="20"/>
                <w:szCs w:val="20"/>
                <w:color w:val="auto"/>
              </w:rPr>
            </w:pPr>
            <w:r>
              <w:rPr>
                <w:rFonts w:ascii="Arial" w:cs="Arial" w:eastAsia="Arial" w:hAnsi="Arial"/>
                <w:sz w:val="14"/>
                <w:szCs w:val="14"/>
                <w:color w:val="auto"/>
              </w:rPr>
              <w:t>25,224</w:t>
            </w:r>
          </w:p>
        </w:tc>
        <w:tc>
          <w:tcPr>
            <w:tcW w:w="7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520,000</w:t>
            </w: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1" w:lineRule="exact"/>
              <w:rPr>
                <w:sz w:val="20"/>
                <w:szCs w:val="20"/>
                <w:color w:val="auto"/>
              </w:rPr>
            </w:pPr>
            <w:r>
              <w:rPr>
                <w:rFonts w:ascii="Arial" w:cs="Arial" w:eastAsia="Arial" w:hAnsi="Arial"/>
                <w:sz w:val="14"/>
                <w:szCs w:val="14"/>
                <w:color w:val="auto"/>
              </w:rPr>
              <w:t>96%</w:t>
            </w:r>
          </w:p>
        </w:tc>
        <w:tc>
          <w:tcPr>
            <w:tcW w:w="480" w:type="dxa"/>
            <w:vAlign w:val="bottom"/>
          </w:tcPr>
          <w:p>
            <w:pPr>
              <w:jc w:val="right"/>
              <w:spacing w:after="0" w:line="131" w:lineRule="exact"/>
              <w:rPr>
                <w:sz w:val="20"/>
                <w:szCs w:val="20"/>
                <w:color w:val="auto"/>
              </w:rPr>
            </w:pPr>
            <w:r>
              <w:rPr>
                <w:rFonts w:ascii="Arial" w:cs="Arial" w:eastAsia="Arial" w:hAnsi="Arial"/>
                <w:sz w:val="14"/>
                <w:szCs w:val="14"/>
                <w:color w:val="auto"/>
              </w:rPr>
              <w:t>40,000</w:t>
            </w:r>
          </w:p>
        </w:tc>
        <w:tc>
          <w:tcPr>
            <w:tcW w:w="140" w:type="dxa"/>
            <w:vAlign w:val="bottom"/>
          </w:tcPr>
          <w:p>
            <w:pPr>
              <w:spacing w:after="0"/>
              <w:rPr>
                <w:sz w:val="11"/>
                <w:szCs w:val="11"/>
                <w:color w:val="auto"/>
              </w:rPr>
            </w:pPr>
          </w:p>
        </w:tc>
        <w:tc>
          <w:tcPr>
            <w:tcW w:w="720" w:type="dxa"/>
            <w:vAlign w:val="bottom"/>
          </w:tcPr>
          <w:p>
            <w:pPr>
              <w:spacing w:after="0" w:line="131" w:lineRule="exact"/>
              <w:rPr>
                <w:sz w:val="20"/>
                <w:szCs w:val="20"/>
                <w:color w:val="auto"/>
              </w:rPr>
            </w:pPr>
            <w:r>
              <w:rPr>
                <w:rFonts w:ascii="Arial" w:cs="Arial" w:eastAsia="Arial" w:hAnsi="Arial"/>
                <w:sz w:val="14"/>
                <w:szCs w:val="14"/>
                <w:color w:val="auto"/>
              </w:rPr>
              <w:t>Giant Food</w:t>
            </w:r>
          </w:p>
        </w:tc>
        <w:tc>
          <w:tcPr>
            <w:tcW w:w="164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89"/>
              </w:rPr>
              <w:t>Barnes &amp; Noble / Landmark</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4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95"/>
              </w:rPr>
              <w:t>Theater / Apple Computer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Congressional Plaza</w:t>
            </w:r>
          </w:p>
        </w:tc>
        <w:tc>
          <w:tcPr>
            <w:tcW w:w="3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(5)</w:t>
            </w: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1965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70,648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332,000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4"/>
              </w:rPr>
              <w:t>Whole Foods</w:t>
            </w:r>
          </w:p>
        </w:tc>
        <w:tc>
          <w:tcPr>
            <w:tcW w:w="16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6"/>
              </w:rPr>
              <w:t>Buy Buy Baby / Container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Store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Courthouse Center</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4,365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36,000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85%</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Falls Plaza/Falls Plaza-East</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1967-1972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12,307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144,000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51,000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CVS / Staples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Federal Plaza</w:t>
            </w:r>
          </w:p>
        </w:tc>
        <w:tc>
          <w:tcPr>
            <w:tcW w:w="38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1989</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62,589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32,059</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248,000</w:t>
            </w: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87%</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TJ Maxx / Micro Center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Ross / Trader Joe’s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Friendship Center</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33,451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Borders / Maggiano’s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Gaithersburg Square</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24,627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209,000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78%</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0"/>
              </w:rPr>
              <w:t>Bed, Bath &amp; Beyond / Ross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Idylwood Plaza</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15,931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16,608</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73,000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4"/>
              </w:rPr>
              <w:t>Whole Foods</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Laurel</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47,569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388,000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86%</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61,000</w:t>
            </w:r>
          </w:p>
        </w:tc>
        <w:tc>
          <w:tcPr>
            <w:tcW w:w="14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Leesburg Plaza</w:t>
            </w:r>
          </w:p>
        </w:tc>
        <w:tc>
          <w:tcPr>
            <w:tcW w:w="3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(6)</w:t>
            </w: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34,509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28,898</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236,000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96%</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55,000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Giant Food</w:t>
            </w:r>
          </w:p>
        </w:tc>
        <w:tc>
          <w:tcPr>
            <w:tcW w:w="16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9"/>
              </w:rPr>
              <w:t>Petsmart / Pier One / Office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Loehmann’s Plaza</w:t>
            </w:r>
          </w:p>
        </w:tc>
        <w:tc>
          <w:tcPr>
            <w:tcW w:w="38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32,635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37,368</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268,000</w:t>
            </w: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58,000</w:t>
            </w:r>
          </w:p>
        </w:tc>
        <w:tc>
          <w:tcPr>
            <w:tcW w:w="140" w:type="dxa"/>
            <w:vAlign w:val="bottom"/>
          </w:tcPr>
          <w:p>
            <w:pPr>
              <w:spacing w:after="0"/>
              <w:rPr>
                <w:sz w:val="11"/>
                <w:szCs w:val="11"/>
                <w:color w:val="auto"/>
              </w:rPr>
            </w:pPr>
          </w:p>
        </w:tc>
        <w:tc>
          <w:tcPr>
            <w:tcW w:w="720" w:type="dxa"/>
            <w:vAlign w:val="bottom"/>
          </w:tcPr>
          <w:p>
            <w:pPr>
              <w:spacing w:after="0" w:line="138" w:lineRule="exact"/>
              <w:rPr>
                <w:sz w:val="20"/>
                <w:szCs w:val="20"/>
                <w:color w:val="auto"/>
              </w:rPr>
            </w:pPr>
            <w:r>
              <w:rPr>
                <w:rFonts w:ascii="Arial" w:cs="Arial" w:eastAsia="Arial" w:hAnsi="Arial"/>
                <w:sz w:val="14"/>
                <w:szCs w:val="14"/>
                <w:color w:val="auto"/>
              </w:rPr>
              <w:t>Giant Food</w:t>
            </w:r>
          </w:p>
        </w:tc>
        <w:tc>
          <w:tcPr>
            <w:tcW w:w="16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Bally Total Fitness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Loehmann’s Dress Shop</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Mid-Pike Plaza</w:t>
            </w:r>
          </w:p>
        </w:tc>
        <w:tc>
          <w:tcPr>
            <w:tcW w:w="3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100" w:type="dxa"/>
            <w:vAlign w:val="bottom"/>
            <w:gridSpan w:val="3"/>
            <w:shd w:val="clear" w:color="auto" w:fill="CCEEFF"/>
          </w:tcPr>
          <w:p>
            <w:pPr>
              <w:jc w:val="right"/>
              <w:ind w:right="60"/>
              <w:spacing w:after="0" w:line="138" w:lineRule="exact"/>
              <w:rPr>
                <w:sz w:val="20"/>
                <w:szCs w:val="20"/>
                <w:color w:val="auto"/>
              </w:rPr>
            </w:pPr>
            <w:r>
              <w:rPr>
                <w:rFonts w:ascii="Arial" w:cs="Arial" w:eastAsia="Arial" w:hAnsi="Arial"/>
                <w:sz w:val="14"/>
                <w:szCs w:val="14"/>
                <w:color w:val="auto"/>
              </w:rPr>
              <w:t>1982/2007</w:t>
            </w: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47,267</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309,000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75%</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Toys R Us / Bally Total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Fitness / AC Moore</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w w:val="97"/>
              </w:rPr>
              <w:t>Mount Vernon/South Valley/7770</w:t>
            </w:r>
          </w:p>
        </w:tc>
        <w:tc>
          <w:tcPr>
            <w:tcW w:w="380" w:type="dxa"/>
            <w:vAlign w:val="bottom"/>
          </w:tcPr>
          <w:p>
            <w:pPr>
              <w:ind w:left="120"/>
              <w:spacing w:after="0" w:line="138" w:lineRule="exact"/>
              <w:rPr>
                <w:sz w:val="20"/>
                <w:szCs w:val="20"/>
                <w:color w:val="auto"/>
              </w:rPr>
            </w:pPr>
            <w:r>
              <w:rPr>
                <w:rFonts w:ascii="Arial" w:cs="Arial" w:eastAsia="Arial" w:hAnsi="Arial"/>
                <w:sz w:val="14"/>
                <w:szCs w:val="14"/>
                <w:color w:val="auto"/>
              </w:rPr>
              <w:t>(6)</w:t>
            </w: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2003-2006</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78,179</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11,029</w:t>
            </w: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565,000</w:t>
            </w: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95%</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62,000</w:t>
            </w:r>
          </w:p>
        </w:tc>
        <w:tc>
          <w:tcPr>
            <w:tcW w:w="140" w:type="dxa"/>
            <w:vAlign w:val="bottom"/>
          </w:tcPr>
          <w:p>
            <w:pPr>
              <w:spacing w:after="0"/>
              <w:rPr>
                <w:sz w:val="11"/>
                <w:szCs w:val="11"/>
                <w:color w:val="auto"/>
              </w:rPr>
            </w:pPr>
          </w:p>
        </w:tc>
        <w:tc>
          <w:tcPr>
            <w:tcW w:w="720" w:type="dxa"/>
            <w:vAlign w:val="bottom"/>
          </w:tcPr>
          <w:p>
            <w:pPr>
              <w:spacing w:after="0" w:line="138" w:lineRule="exact"/>
              <w:rPr>
                <w:sz w:val="20"/>
                <w:szCs w:val="20"/>
                <w:color w:val="auto"/>
              </w:rPr>
            </w:pPr>
            <w:r>
              <w:rPr>
                <w:rFonts w:ascii="Arial" w:cs="Arial" w:eastAsia="Arial" w:hAnsi="Arial"/>
                <w:sz w:val="14"/>
                <w:szCs w:val="14"/>
                <w:color w:val="auto"/>
              </w:rPr>
              <w:t>Shoppers</w:t>
            </w:r>
          </w:p>
        </w:tc>
        <w:tc>
          <w:tcPr>
            <w:tcW w:w="16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40" w:type="dxa"/>
            <w:vAlign w:val="bottom"/>
            <w:gridSpan w:val="4"/>
          </w:tcPr>
          <w:p>
            <w:pPr>
              <w:spacing w:after="0" w:line="149" w:lineRule="exact"/>
              <w:rPr>
                <w:sz w:val="20"/>
                <w:szCs w:val="20"/>
                <w:color w:val="auto"/>
              </w:rPr>
            </w:pPr>
            <w:r>
              <w:rPr>
                <w:rFonts w:ascii="Arial" w:cs="Arial" w:eastAsia="Arial" w:hAnsi="Arial"/>
                <w:sz w:val="14"/>
                <w:szCs w:val="14"/>
                <w:color w:val="auto"/>
              </w:rPr>
              <w:t>Richmond Hwy</w:t>
            </w: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color w:val="auto"/>
              </w:rPr>
              <w:t>Food</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89"/>
              </w:rPr>
              <w:t>Michaels / Home Depot / TJ</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line="159" w:lineRule="exact"/>
              <w:rPr>
                <w:sz w:val="20"/>
                <w:szCs w:val="20"/>
                <w:color w:val="auto"/>
              </w:rPr>
            </w:pPr>
            <w:r>
              <w:rPr>
                <w:rFonts w:ascii="Arial" w:cs="Arial" w:eastAsia="Arial" w:hAnsi="Arial"/>
                <w:sz w:val="14"/>
                <w:szCs w:val="14"/>
                <w:color w:val="auto"/>
                <w:w w:val="97"/>
              </w:rPr>
              <w:t>Warehouse</w:t>
            </w:r>
          </w:p>
        </w:tc>
        <w:tc>
          <w:tcPr>
            <w:tcW w:w="16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Maxx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Old Keene Mill</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5,973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92,000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4"/>
              </w:rPr>
              <w:t>Whole Foods</w:t>
            </w: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Pan Am</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28,508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227,000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63,000</w:t>
            </w:r>
          </w:p>
        </w:tc>
        <w:tc>
          <w:tcPr>
            <w:tcW w:w="14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color w:val="auto"/>
              </w:rPr>
              <w:t>Safeway</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Micro Center / Michaels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Pentagon Row</w:t>
            </w:r>
          </w:p>
        </w:tc>
        <w:tc>
          <w:tcPr>
            <w:tcW w:w="3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88,645</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53,643</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296,000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45,000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Harris Teeter</w:t>
            </w:r>
          </w:p>
        </w:tc>
        <w:tc>
          <w:tcPr>
            <w:tcW w:w="16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9"/>
              </w:rPr>
              <w:t>Bally Total Fitness / Bed,</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Bath &amp; Beyond / DSW</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Pike 7</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35,509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164,000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8"/>
              </w:rPr>
              <w:t>DSW / Staples / TJ Maxx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Quince Orchard</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1993</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21,582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24,000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Magruders</w:t>
            </w: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Rockville Town Square</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2006-2007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37,218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182,000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96%</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CVS / Gold’s Gym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Rollingwood Apartments</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1971</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23,648</w:t>
            </w:r>
          </w:p>
        </w:tc>
        <w:tc>
          <w:tcPr>
            <w:tcW w:w="140" w:type="dxa"/>
            <w:vAlign w:val="bottom"/>
            <w:shd w:val="clear" w:color="auto" w:fill="CCEEFF"/>
          </w:tcPr>
          <w:p>
            <w:pPr>
              <w:spacing w:after="0"/>
              <w:rPr>
                <w:sz w:val="12"/>
                <w:szCs w:val="12"/>
                <w:color w:val="auto"/>
              </w:rPr>
            </w:pPr>
          </w:p>
        </w:tc>
        <w:tc>
          <w:tcPr>
            <w:tcW w:w="64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N/A</w:t>
            </w: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Sam’s Park &amp; Shop</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12,451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Petco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Tower</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20,387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112,000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Talbots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Tyson’s Station</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3,728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5,761</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49,000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Trader Joe’s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Village at Shirlington</w:t>
            </w:r>
          </w:p>
        </w:tc>
        <w:tc>
          <w:tcPr>
            <w:tcW w:w="38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(4)</w:t>
            </w: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Washington, DC-MD-VA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1995</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53,014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6,318</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255,000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Harris Teeter</w:t>
            </w:r>
          </w:p>
        </w:tc>
        <w:tc>
          <w:tcPr>
            <w:tcW w:w="16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AMC Loews / Carlyle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Grand Café</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Wildwood</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Washington, DC-MD-VA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17,970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24,954</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20,000</w:t>
            </w:r>
          </w:p>
        </w:tc>
        <w:tc>
          <w:tcPr>
            <w:tcW w:w="14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color w:val="auto"/>
              </w:rPr>
              <w:t>Balducci’s</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tcBorders>
              <w:right w:val="single" w:sz="8" w:color="CCEEFF"/>
            </w:tcBorders>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6" w:lineRule="exact"/>
              <w:rPr>
                <w:sz w:val="20"/>
                <w:szCs w:val="20"/>
                <w:color w:val="auto"/>
              </w:rPr>
            </w:pPr>
            <w:r>
              <w:rPr>
                <w:rFonts w:ascii="Arial" w:cs="Arial" w:eastAsia="Arial" w:hAnsi="Arial"/>
                <w:sz w:val="14"/>
                <w:szCs w:val="14"/>
                <w:b w:val="1"/>
                <w:bCs w:val="1"/>
                <w:color w:val="auto"/>
              </w:rPr>
              <w:t>Total Washington</w:t>
            </w:r>
          </w:p>
        </w:tc>
        <w:tc>
          <w:tcPr>
            <w:tcW w:w="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4"/>
                <w:szCs w:val="14"/>
                <w:color w:val="auto"/>
              </w:rPr>
              <w:t>996,914</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4"/>
                <w:szCs w:val="14"/>
                <w:color w:val="auto"/>
              </w:rPr>
              <w:t>5,206,000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6" w:lineRule="exact"/>
              <w:rPr>
                <w:sz w:val="20"/>
                <w:szCs w:val="20"/>
                <w:color w:val="auto"/>
              </w:rPr>
            </w:pPr>
            <w:r>
              <w:rPr>
                <w:rFonts w:ascii="Arial" w:cs="Arial" w:eastAsia="Arial" w:hAnsi="Arial"/>
                <w:sz w:val="14"/>
                <w:szCs w:val="14"/>
                <w:color w:val="auto"/>
              </w:rPr>
              <w:t>92%</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5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500" w:type="dxa"/>
            <w:vAlign w:val="bottom"/>
            <w:tcBorders>
              <w:right w:val="single" w:sz="8" w:color="CCEEFF"/>
            </w:tcBorders>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Metropolitan Area</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87"/>
              </w:rPr>
              <w:t>Philadelphia Metropolitan Area</w:t>
            </w: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1" w:lineRule="exact"/>
              <w:rPr>
                <w:sz w:val="20"/>
                <w:szCs w:val="20"/>
                <w:color w:val="auto"/>
              </w:rPr>
            </w:pPr>
            <w:r>
              <w:rPr>
                <w:rFonts w:ascii="Arial" w:cs="Arial" w:eastAsia="Arial" w:hAnsi="Arial"/>
                <w:sz w:val="14"/>
                <w:szCs w:val="14"/>
                <w:color w:val="auto"/>
              </w:rPr>
              <w:t>Andorra</w:t>
            </w:r>
          </w:p>
        </w:tc>
        <w:tc>
          <w:tcPr>
            <w:tcW w:w="3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1988</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23,512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267,000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24,000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Acme</w:t>
            </w:r>
          </w:p>
        </w:tc>
        <w:tc>
          <w:tcPr>
            <w:tcW w:w="164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rPr>
              <w:t>Kohl’s / Staples / L.A.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Markets</w:t>
            </w: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Fitness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Bala Cynwyd</w:t>
            </w:r>
          </w:p>
        </w:tc>
        <w:tc>
          <w:tcPr>
            <w:tcW w:w="38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Philadelphia, PA-NJ</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1993</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34,591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282,000</w:t>
            </w: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45,000</w:t>
            </w:r>
          </w:p>
        </w:tc>
        <w:tc>
          <w:tcPr>
            <w:tcW w:w="140" w:type="dxa"/>
            <w:vAlign w:val="bottom"/>
          </w:tcPr>
          <w:p>
            <w:pPr>
              <w:spacing w:after="0"/>
              <w:rPr>
                <w:sz w:val="11"/>
                <w:szCs w:val="11"/>
                <w:color w:val="auto"/>
              </w:rPr>
            </w:pPr>
          </w:p>
        </w:tc>
        <w:tc>
          <w:tcPr>
            <w:tcW w:w="720" w:type="dxa"/>
            <w:vAlign w:val="bottom"/>
          </w:tcPr>
          <w:p>
            <w:pPr>
              <w:spacing w:after="0" w:line="138" w:lineRule="exact"/>
              <w:rPr>
                <w:sz w:val="20"/>
                <w:szCs w:val="20"/>
                <w:color w:val="auto"/>
              </w:rPr>
            </w:pPr>
            <w:r>
              <w:rPr>
                <w:rFonts w:ascii="Arial" w:cs="Arial" w:eastAsia="Arial" w:hAnsi="Arial"/>
                <w:sz w:val="14"/>
                <w:szCs w:val="14"/>
                <w:color w:val="auto"/>
              </w:rPr>
              <w:t>Acme</w:t>
            </w:r>
          </w:p>
        </w:tc>
        <w:tc>
          <w:tcPr>
            <w:tcW w:w="16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Lord &amp; Taylor / L.A.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line="159" w:lineRule="exact"/>
              <w:rPr>
                <w:sz w:val="20"/>
                <w:szCs w:val="20"/>
                <w:color w:val="auto"/>
              </w:rPr>
            </w:pPr>
            <w:r>
              <w:rPr>
                <w:rFonts w:ascii="Arial" w:cs="Arial" w:eastAsia="Arial" w:hAnsi="Arial"/>
                <w:sz w:val="14"/>
                <w:szCs w:val="14"/>
                <w:color w:val="auto"/>
              </w:rPr>
              <w:t>Markets</w:t>
            </w:r>
          </w:p>
        </w:tc>
        <w:tc>
          <w:tcPr>
            <w:tcW w:w="16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Fitness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Ellisburg Circle</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1992</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27,752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267,000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47,000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4"/>
              </w:rPr>
              <w:t>Buy Buy Baby / Stein 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Feasterville</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12,003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111,000</w:t>
            </w: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91%</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53,000</w:t>
            </w:r>
          </w:p>
        </w:tc>
        <w:tc>
          <w:tcPr>
            <w:tcW w:w="14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color w:val="auto"/>
              </w:rPr>
              <w:t>Genuardi’s</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OfficeMax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Flourtown</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15,748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166,000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42,000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Genuardi’s</w:t>
            </w: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Langhorne Square</w:t>
            </w:r>
          </w:p>
        </w:tc>
        <w:tc>
          <w:tcPr>
            <w:tcW w:w="38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Philadelphia, PA-NJ</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20,201</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219,000</w:t>
            </w: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94%</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55,000</w:t>
            </w:r>
          </w:p>
        </w:tc>
        <w:tc>
          <w:tcPr>
            <w:tcW w:w="140" w:type="dxa"/>
            <w:vAlign w:val="bottom"/>
          </w:tcPr>
          <w:p>
            <w:pPr>
              <w:spacing w:after="0"/>
              <w:rPr>
                <w:sz w:val="11"/>
                <w:szCs w:val="11"/>
                <w:color w:val="auto"/>
              </w:rPr>
            </w:pPr>
          </w:p>
        </w:tc>
        <w:tc>
          <w:tcPr>
            <w:tcW w:w="720" w:type="dxa"/>
            <w:vAlign w:val="bottom"/>
          </w:tcPr>
          <w:p>
            <w:pPr>
              <w:spacing w:after="0" w:line="138" w:lineRule="exact"/>
              <w:rPr>
                <w:sz w:val="20"/>
                <w:szCs w:val="20"/>
                <w:color w:val="auto"/>
              </w:rPr>
            </w:pPr>
            <w:r>
              <w:rPr>
                <w:rFonts w:ascii="Arial" w:cs="Arial" w:eastAsia="Arial" w:hAnsi="Arial"/>
                <w:sz w:val="14"/>
                <w:szCs w:val="14"/>
                <w:color w:val="auto"/>
              </w:rPr>
              <w:t>Redner’s</w:t>
            </w:r>
          </w:p>
        </w:tc>
        <w:tc>
          <w:tcPr>
            <w:tcW w:w="16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color w:val="auto"/>
                <w:w w:val="97"/>
              </w:rPr>
              <w:t>Warehouse</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line="159" w:lineRule="exact"/>
              <w:rPr>
                <w:sz w:val="20"/>
                <w:szCs w:val="20"/>
                <w:color w:val="auto"/>
              </w:rPr>
            </w:pPr>
            <w:r>
              <w:rPr>
                <w:rFonts w:ascii="Arial" w:cs="Arial" w:eastAsia="Arial" w:hAnsi="Arial"/>
                <w:sz w:val="14"/>
                <w:szCs w:val="14"/>
                <w:color w:val="auto"/>
              </w:rPr>
              <w:t>Mkts.</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Lawrence Park</w:t>
            </w:r>
          </w:p>
        </w:tc>
        <w:tc>
          <w:tcPr>
            <w:tcW w:w="3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1980</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30,182</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28,390</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353,000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53,000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Acme</w:t>
            </w:r>
          </w:p>
        </w:tc>
        <w:tc>
          <w:tcPr>
            <w:tcW w:w="16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CHI / TJ Maxx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Markets</w:t>
            </w: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HomeGoods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Northeast</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1983</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23,018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285,000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1"/>
              </w:rPr>
              <w:t>Burlington Coat / Marshalls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Town Center of New Britain</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14,429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87%</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Giant Food</w:t>
            </w: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Rite 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Willow Grove</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Philadelphia, PA-NJ</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27,006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216,000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0"/>
              </w:rPr>
              <w:t>Barnes &amp; Noble / Marshalls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Wynnewood</w:t>
            </w:r>
          </w:p>
        </w:tc>
        <w:tc>
          <w:tcPr>
            <w:tcW w:w="3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Philadelphia, PA-NJ</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1996</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37,259</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28,932</w:t>
            </w: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255,000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98,000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Genuardi’s</w:t>
            </w:r>
          </w:p>
        </w:tc>
        <w:tc>
          <w:tcPr>
            <w:tcW w:w="16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4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Borders / Old Navy</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line="143" w:lineRule="exact"/>
              <w:rPr>
                <w:sz w:val="20"/>
                <w:szCs w:val="20"/>
                <w:color w:val="auto"/>
              </w:rPr>
            </w:pPr>
            <w:r>
              <w:rPr>
                <w:rFonts w:ascii="Arial" w:cs="Arial" w:eastAsia="Arial" w:hAnsi="Arial"/>
                <w:sz w:val="14"/>
                <w:szCs w:val="14"/>
                <w:b w:val="1"/>
                <w:bCs w:val="1"/>
                <w:color w:val="auto"/>
              </w:rPr>
              <w:t>Total Philadelphia</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3" w:lineRule="exact"/>
              <w:rPr>
                <w:sz w:val="20"/>
                <w:szCs w:val="20"/>
                <w:color w:val="auto"/>
              </w:rPr>
            </w:pPr>
            <w:r>
              <w:rPr>
                <w:rFonts w:ascii="Arial" w:cs="Arial" w:eastAsia="Arial" w:hAnsi="Arial"/>
                <w:sz w:val="14"/>
                <w:szCs w:val="14"/>
                <w:color w:val="auto"/>
              </w:rPr>
              <w:t>265,701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3" w:lineRule="exact"/>
              <w:rPr>
                <w:sz w:val="20"/>
                <w:szCs w:val="20"/>
                <w:color w:val="auto"/>
              </w:rPr>
            </w:pPr>
            <w:r>
              <w:rPr>
                <w:rFonts w:ascii="Arial" w:cs="Arial" w:eastAsia="Arial" w:hAnsi="Arial"/>
                <w:sz w:val="14"/>
                <w:szCs w:val="14"/>
                <w:color w:val="auto"/>
              </w:rPr>
              <w:t>2,545,000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3" w:lineRule="exact"/>
              <w:rPr>
                <w:sz w:val="20"/>
                <w:szCs w:val="20"/>
                <w:color w:val="auto"/>
              </w:rPr>
            </w:pPr>
            <w:r>
              <w:rPr>
                <w:rFonts w:ascii="Arial" w:cs="Arial" w:eastAsia="Arial" w:hAnsi="Arial"/>
                <w:sz w:val="14"/>
                <w:szCs w:val="14"/>
                <w:color w:val="auto"/>
              </w:rPr>
              <w:t>91%</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40" w:type="dxa"/>
            <w:vAlign w:val="bottom"/>
          </w:tcPr>
          <w:p>
            <w:pPr>
              <w:spacing w:after="0"/>
              <w:rPr>
                <w:sz w:val="20"/>
                <w:szCs w:val="20"/>
                <w:color w:val="auto"/>
              </w:rPr>
            </w:pPr>
            <w:r>
              <w:rPr>
                <w:rFonts w:ascii="Arial" w:cs="Arial" w:eastAsia="Arial" w:hAnsi="Arial"/>
                <w:sz w:val="14"/>
                <w:szCs w:val="14"/>
                <w:b w:val="1"/>
                <w:bCs w:val="1"/>
                <w:color w:val="auto"/>
              </w:rPr>
              <w:t>Metropolitan Area</w:t>
            </w: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600" w:type="dxa"/>
            <w:vAlign w:val="bottom"/>
            <w:tcBorders>
              <w:bottom w:val="single" w:sz="8" w:color="auto"/>
            </w:tcBorders>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9"/>
              </w:rPr>
              <w:t>California</w:t>
            </w:r>
          </w:p>
        </w:tc>
        <w:tc>
          <w:tcPr>
            <w:tcW w:w="1240" w:type="dxa"/>
            <w:vAlign w:val="bottom"/>
            <w:tcBorders>
              <w:bottom w:val="single" w:sz="8" w:color="CCEEFF"/>
              <w:right w:val="single" w:sz="8" w:color="CCEEFF"/>
            </w:tcBorders>
            <w:gridSpan w:val="3"/>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6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96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7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CCEEFF"/>
            </w:tcBorders>
            <w:shd w:val="clear" w:color="auto" w:fill="CCEEFF"/>
          </w:tcPr>
          <w:p>
            <w:pPr>
              <w:spacing w:after="0"/>
              <w:rPr>
                <w:sz w:val="11"/>
                <w:szCs w:val="11"/>
                <w:color w:val="auto"/>
              </w:rPr>
            </w:pPr>
          </w:p>
        </w:tc>
        <w:tc>
          <w:tcPr>
            <w:tcW w:w="6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56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5"/>
          </w:tcPr>
          <w:p>
            <w:pPr>
              <w:spacing w:after="0" w:line="131" w:lineRule="exact"/>
              <w:rPr>
                <w:sz w:val="20"/>
                <w:szCs w:val="20"/>
                <w:color w:val="auto"/>
              </w:rPr>
            </w:pPr>
            <w:r>
              <w:rPr>
                <w:rFonts w:ascii="Arial" w:cs="Arial" w:eastAsia="Arial" w:hAnsi="Arial"/>
                <w:sz w:val="14"/>
                <w:szCs w:val="14"/>
                <w:color w:val="auto"/>
              </w:rPr>
              <w:t>Colorado Blvd</w:t>
            </w:r>
          </w:p>
        </w:tc>
        <w:tc>
          <w:tcPr>
            <w:tcW w:w="380" w:type="dxa"/>
            <w:vAlign w:val="bottom"/>
          </w:tcPr>
          <w:p>
            <w:pPr>
              <w:spacing w:after="0"/>
              <w:rPr>
                <w:sz w:val="11"/>
                <w:szCs w:val="11"/>
                <w:color w:val="auto"/>
              </w:rPr>
            </w:pPr>
          </w:p>
        </w:tc>
        <w:tc>
          <w:tcPr>
            <w:tcW w:w="1640" w:type="dxa"/>
            <w:vAlign w:val="bottom"/>
          </w:tcPr>
          <w:p>
            <w:pPr>
              <w:spacing w:after="0" w:line="131" w:lineRule="exact"/>
              <w:rPr>
                <w:sz w:val="20"/>
                <w:szCs w:val="20"/>
                <w:color w:val="auto"/>
              </w:rPr>
            </w:pPr>
            <w:r>
              <w:rPr>
                <w:rFonts w:ascii="Arial" w:cs="Arial" w:eastAsia="Arial" w:hAnsi="Arial"/>
                <w:sz w:val="14"/>
                <w:szCs w:val="14"/>
                <w:color w:val="auto"/>
                <w:w w:val="88"/>
              </w:rPr>
              <w:t>Los Angeles-Long Beach, CA</w:t>
            </w:r>
          </w:p>
        </w:tc>
        <w:tc>
          <w:tcPr>
            <w:tcW w:w="104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1996-1998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1" w:lineRule="exact"/>
              <w:rPr>
                <w:sz w:val="20"/>
                <w:szCs w:val="20"/>
                <w:color w:val="auto"/>
              </w:rPr>
            </w:pPr>
            <w:r>
              <w:rPr>
                <w:rFonts w:ascii="Arial" w:cs="Arial" w:eastAsia="Arial" w:hAnsi="Arial"/>
                <w:sz w:val="14"/>
                <w:szCs w:val="14"/>
                <w:color w:val="auto"/>
              </w:rPr>
              <w:t>16,643</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69,000</w:t>
            </w: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1"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Pottery Barn / Banana</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Republic</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Crow Canyon</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Ramon, CA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2005-2007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65,151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20,503</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242,000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58,000</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Lucky</w:t>
            </w: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Loehmann’s / Rite Aid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Escondido</w:t>
            </w:r>
          </w:p>
        </w:tc>
        <w:tc>
          <w:tcPr>
            <w:tcW w:w="380" w:type="dxa"/>
            <w:vAlign w:val="bottom"/>
          </w:tcPr>
          <w:p>
            <w:pPr>
              <w:ind w:left="120"/>
              <w:spacing w:after="0" w:line="149" w:lineRule="exact"/>
              <w:rPr>
                <w:sz w:val="20"/>
                <w:szCs w:val="20"/>
                <w:color w:val="auto"/>
              </w:rPr>
            </w:pPr>
            <w:r>
              <w:rPr>
                <w:rFonts w:ascii="Arial" w:cs="Arial" w:eastAsia="Arial" w:hAnsi="Arial"/>
                <w:sz w:val="14"/>
                <w:szCs w:val="14"/>
                <w:color w:val="auto"/>
              </w:rPr>
              <w:t>(7)</w:t>
            </w: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San Diego, CA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29,027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222,000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TJ Maxx / Toys R Us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Fifth Ave</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Diego, CA</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1996-1997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12,969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51,000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Urban Outfitters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Hermosa Ave</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w w:val="88"/>
              </w:rPr>
              <w:t>Los Angeles-Long Beach, CA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5,500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Hollywood Blvd</w:t>
            </w:r>
          </w:p>
        </w:tc>
        <w:tc>
          <w:tcPr>
            <w:tcW w:w="202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4"/>
                <w:szCs w:val="14"/>
                <w:color w:val="auto"/>
                <w:w w:val="90"/>
              </w:rPr>
              <w:t>(8)  Los Angeles-Long Beach, CA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37,701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153,000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75%</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92"/>
              </w:rPr>
              <w:t>DSW / L.A. Fitness / Fresh</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&amp; Easy</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Kings Court</w:t>
            </w:r>
          </w:p>
        </w:tc>
        <w:tc>
          <w:tcPr>
            <w:tcW w:w="380" w:type="dxa"/>
            <w:vAlign w:val="bottom"/>
          </w:tcPr>
          <w:p>
            <w:pPr>
              <w:ind w:left="120"/>
              <w:spacing w:after="0" w:line="138" w:lineRule="exact"/>
              <w:rPr>
                <w:sz w:val="20"/>
                <w:szCs w:val="20"/>
                <w:color w:val="auto"/>
              </w:rPr>
            </w:pPr>
            <w:r>
              <w:rPr>
                <w:rFonts w:ascii="Arial" w:cs="Arial" w:eastAsia="Arial" w:hAnsi="Arial"/>
                <w:sz w:val="14"/>
                <w:szCs w:val="14"/>
                <w:color w:val="auto"/>
              </w:rPr>
              <w:t>(6)</w:t>
            </w: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1998</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11,600</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79,000</w:t>
            </w: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97%</w:t>
            </w:r>
          </w:p>
        </w:tc>
        <w:tc>
          <w:tcPr>
            <w:tcW w:w="480" w:type="dxa"/>
            <w:vAlign w:val="bottom"/>
          </w:tcPr>
          <w:p>
            <w:pPr>
              <w:jc w:val="right"/>
              <w:spacing w:after="0" w:line="138" w:lineRule="exact"/>
              <w:rPr>
                <w:sz w:val="20"/>
                <w:szCs w:val="20"/>
                <w:color w:val="auto"/>
              </w:rPr>
            </w:pPr>
            <w:r>
              <w:rPr>
                <w:rFonts w:ascii="Arial" w:cs="Arial" w:eastAsia="Arial" w:hAnsi="Arial"/>
                <w:sz w:val="14"/>
                <w:szCs w:val="14"/>
                <w:color w:val="auto"/>
              </w:rPr>
              <w:t>25,000</w:t>
            </w:r>
          </w:p>
        </w:tc>
        <w:tc>
          <w:tcPr>
            <w:tcW w:w="140" w:type="dxa"/>
            <w:vAlign w:val="bottom"/>
          </w:tcPr>
          <w:p>
            <w:pPr>
              <w:spacing w:after="0"/>
              <w:rPr>
                <w:sz w:val="11"/>
                <w:szCs w:val="11"/>
                <w:color w:val="auto"/>
              </w:rPr>
            </w:pPr>
          </w:p>
        </w:tc>
        <w:tc>
          <w:tcPr>
            <w:tcW w:w="720" w:type="dxa"/>
            <w:vAlign w:val="bottom"/>
          </w:tcPr>
          <w:p>
            <w:pPr>
              <w:spacing w:after="0" w:line="138" w:lineRule="exact"/>
              <w:rPr>
                <w:sz w:val="20"/>
                <w:szCs w:val="20"/>
                <w:color w:val="auto"/>
              </w:rPr>
            </w:pPr>
            <w:r>
              <w:rPr>
                <w:rFonts w:ascii="Arial" w:cs="Arial" w:eastAsia="Arial" w:hAnsi="Arial"/>
                <w:sz w:val="14"/>
                <w:szCs w:val="14"/>
                <w:color w:val="auto"/>
              </w:rPr>
              <w:t>Lunardi’s</w:t>
            </w:r>
          </w:p>
        </w:tc>
        <w:tc>
          <w:tcPr>
            <w:tcW w:w="164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color w:val="auto"/>
              </w:rPr>
              <w:t>Super</w:t>
            </w: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line="159" w:lineRule="exact"/>
              <w:rPr>
                <w:sz w:val="20"/>
                <w:szCs w:val="20"/>
                <w:color w:val="auto"/>
              </w:rPr>
            </w:pPr>
            <w:r>
              <w:rPr>
                <w:rFonts w:ascii="Arial" w:cs="Arial" w:eastAsia="Arial" w:hAnsi="Arial"/>
                <w:sz w:val="14"/>
                <w:szCs w:val="14"/>
                <w:color w:val="auto"/>
              </w:rPr>
              <w:t>Market</w:t>
            </w:r>
          </w:p>
        </w:tc>
        <w:tc>
          <w:tcPr>
            <w:tcW w:w="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Old Town Center</w:t>
            </w:r>
          </w:p>
        </w:tc>
        <w:tc>
          <w:tcPr>
            <w:tcW w:w="3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Jose, CA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1997</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34,461</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96,000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Borders / Gap Kids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Banana Republic</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Santana Row</w:t>
            </w:r>
          </w:p>
        </w:tc>
        <w:tc>
          <w:tcPr>
            <w:tcW w:w="38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rPr>
              <w:t>San Jose, CA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1997</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545,355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592,000</w:t>
            </w: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98%</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5"/>
              </w:rPr>
              <w:t>Crate &amp; Barrel / Container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0"/>
              </w:rPr>
              <w:t>Store / Best Buy / Borders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CineArts Theatre / Hotel</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Valencia</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040" w:type="dxa"/>
            <w:vAlign w:val="bottom"/>
            <w:gridSpan w:val="5"/>
          </w:tcPr>
          <w:p>
            <w:pPr>
              <w:spacing w:after="0" w:line="138" w:lineRule="exact"/>
              <w:rPr>
                <w:sz w:val="20"/>
                <w:szCs w:val="20"/>
                <w:color w:val="auto"/>
              </w:rPr>
            </w:pPr>
            <w:r>
              <w:rPr>
                <w:rFonts w:ascii="Arial" w:cs="Arial" w:eastAsia="Arial" w:hAnsi="Arial"/>
                <w:sz w:val="14"/>
                <w:szCs w:val="14"/>
                <w:color w:val="auto"/>
              </w:rPr>
              <w:t>Third St Promenade</w:t>
            </w:r>
          </w:p>
        </w:tc>
        <w:tc>
          <w:tcPr>
            <w:tcW w:w="380" w:type="dxa"/>
            <w:vAlign w:val="bottom"/>
          </w:tcPr>
          <w:p>
            <w:pPr>
              <w:spacing w:after="0"/>
              <w:rPr>
                <w:sz w:val="11"/>
                <w:szCs w:val="11"/>
                <w:color w:val="auto"/>
              </w:rPr>
            </w:pPr>
          </w:p>
        </w:tc>
        <w:tc>
          <w:tcPr>
            <w:tcW w:w="1640" w:type="dxa"/>
            <w:vAlign w:val="bottom"/>
          </w:tcPr>
          <w:p>
            <w:pPr>
              <w:spacing w:after="0" w:line="138" w:lineRule="exact"/>
              <w:rPr>
                <w:sz w:val="20"/>
                <w:szCs w:val="20"/>
                <w:color w:val="auto"/>
              </w:rPr>
            </w:pPr>
            <w:r>
              <w:rPr>
                <w:rFonts w:ascii="Arial" w:cs="Arial" w:eastAsia="Arial" w:hAnsi="Arial"/>
                <w:sz w:val="14"/>
                <w:szCs w:val="14"/>
                <w:color w:val="auto"/>
                <w:w w:val="88"/>
              </w:rPr>
              <w:t>Los Angeles-Long Beach, CA</w:t>
            </w:r>
          </w:p>
        </w:tc>
        <w:tc>
          <w:tcPr>
            <w:tcW w:w="104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1996-2000</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80"/>
              <w:spacing w:after="0" w:line="138" w:lineRule="exact"/>
              <w:rPr>
                <w:sz w:val="20"/>
                <w:szCs w:val="20"/>
                <w:color w:val="auto"/>
              </w:rPr>
            </w:pPr>
            <w:r>
              <w:rPr>
                <w:rFonts w:ascii="Arial" w:cs="Arial" w:eastAsia="Arial" w:hAnsi="Arial"/>
                <w:sz w:val="14"/>
                <w:szCs w:val="14"/>
                <w:color w:val="auto"/>
              </w:rPr>
              <w:t>77,955</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209,000</w:t>
            </w:r>
          </w:p>
        </w:tc>
        <w:tc>
          <w:tcPr>
            <w:tcW w:w="60" w:type="dxa"/>
            <w:vAlign w:val="bottom"/>
          </w:tcPr>
          <w:p>
            <w:pPr>
              <w:spacing w:after="0"/>
              <w:rPr>
                <w:sz w:val="11"/>
                <w:szCs w:val="11"/>
                <w:color w:val="auto"/>
              </w:rPr>
            </w:pPr>
          </w:p>
        </w:tc>
        <w:tc>
          <w:tcPr>
            <w:tcW w:w="70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88"/>
              </w:rPr>
              <w:t>J. Crew / Banana Republic /</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5"/>
              </w:rPr>
              <w:t>Old Navy / Abercrombie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4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Fitch</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8" w:lineRule="exact"/>
              <w:rPr>
                <w:sz w:val="20"/>
                <w:szCs w:val="20"/>
                <w:color w:val="auto"/>
              </w:rPr>
            </w:pPr>
            <w:r>
              <w:rPr>
                <w:rFonts w:ascii="Arial" w:cs="Arial" w:eastAsia="Arial" w:hAnsi="Arial"/>
                <w:sz w:val="14"/>
                <w:szCs w:val="14"/>
                <w:color w:val="auto"/>
              </w:rPr>
              <w:t>Westgate</w:t>
            </w:r>
          </w:p>
        </w:tc>
        <w:tc>
          <w:tcPr>
            <w:tcW w:w="3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San Jose, CA</w:t>
            </w:r>
          </w:p>
        </w:tc>
        <w:tc>
          <w:tcPr>
            <w:tcW w:w="10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116,748</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645,000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38,000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Safeway</w:t>
            </w:r>
          </w:p>
        </w:tc>
        <w:tc>
          <w:tcPr>
            <w:tcW w:w="16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Target / Burlington Coat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Factory / Barnes &amp; Noble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Ross / 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150 Post Street</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San Francisco, CA</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37,842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Brooks Brothers / H &amp; M</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tcBorders>
              <w:right w:val="single" w:sz="8" w:color="CCEEFF"/>
            </w:tcBorders>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California</w:t>
            </w: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990,952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2,482,000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6"/>
              </w:rPr>
              <w:t>New York / New Jersey</w:t>
            </w:r>
          </w:p>
        </w:tc>
        <w:tc>
          <w:tcPr>
            <w:tcW w:w="5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tcBorders>
              <w:right w:val="single" w:sz="8" w:color="CCEEFF"/>
            </w:tcBorders>
            <w:gridSpan w:val="5"/>
            <w:shd w:val="clear" w:color="auto" w:fill="CCEEFF"/>
          </w:tcPr>
          <w:p>
            <w:pPr>
              <w:spacing w:after="0" w:line="131" w:lineRule="exact"/>
              <w:rPr>
                <w:sz w:val="20"/>
                <w:szCs w:val="20"/>
                <w:color w:val="auto"/>
              </w:rPr>
            </w:pPr>
            <w:r>
              <w:rPr>
                <w:rFonts w:ascii="Arial" w:cs="Arial" w:eastAsia="Arial" w:hAnsi="Arial"/>
                <w:sz w:val="14"/>
                <w:szCs w:val="14"/>
                <w:color w:val="auto"/>
              </w:rPr>
              <w:t>Brick Plaza</w:t>
            </w:r>
          </w:p>
        </w:tc>
        <w:tc>
          <w:tcPr>
            <w:tcW w:w="380" w:type="dxa"/>
            <w:vAlign w:val="bottom"/>
            <w:shd w:val="clear" w:color="auto" w:fill="CCEEFF"/>
          </w:tcPr>
          <w:p>
            <w:pPr>
              <w:spacing w:after="0"/>
              <w:rPr>
                <w:sz w:val="11"/>
                <w:szCs w:val="11"/>
                <w:color w:val="auto"/>
              </w:rPr>
            </w:pPr>
          </w:p>
        </w:tc>
        <w:tc>
          <w:tcPr>
            <w:tcW w:w="164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Monmouth-Ocean, NJ</w:t>
            </w:r>
          </w:p>
        </w:tc>
        <w:tc>
          <w:tcPr>
            <w:tcW w:w="104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1989</w:t>
            </w: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1" w:lineRule="exact"/>
              <w:rPr>
                <w:sz w:val="20"/>
                <w:szCs w:val="20"/>
                <w:color w:val="auto"/>
              </w:rPr>
            </w:pPr>
            <w:r>
              <w:rPr>
                <w:rFonts w:ascii="Arial" w:cs="Arial" w:eastAsia="Arial" w:hAnsi="Arial"/>
                <w:sz w:val="14"/>
                <w:szCs w:val="14"/>
                <w:color w:val="auto"/>
              </w:rPr>
              <w:t>58,046</w:t>
            </w: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29,589</w:t>
            </w:r>
          </w:p>
        </w:tc>
        <w:tc>
          <w:tcPr>
            <w:tcW w:w="720" w:type="dxa"/>
            <w:vAlign w:val="bottom"/>
            <w:gridSpan w:val="2"/>
            <w:shd w:val="clear" w:color="auto" w:fill="CCEEFF"/>
          </w:tcPr>
          <w:p>
            <w:pPr>
              <w:jc w:val="right"/>
              <w:spacing w:after="0" w:line="131" w:lineRule="exact"/>
              <w:rPr>
                <w:sz w:val="20"/>
                <w:szCs w:val="20"/>
                <w:color w:val="auto"/>
              </w:rPr>
            </w:pPr>
            <w:r>
              <w:rPr>
                <w:rFonts w:ascii="Arial" w:cs="Arial" w:eastAsia="Arial" w:hAnsi="Arial"/>
                <w:sz w:val="14"/>
                <w:szCs w:val="14"/>
                <w:color w:val="auto"/>
              </w:rPr>
              <w:t>409,000</w:t>
            </w:r>
          </w:p>
        </w:tc>
        <w:tc>
          <w:tcPr>
            <w:tcW w:w="60" w:type="dxa"/>
            <w:vAlign w:val="bottom"/>
            <w:shd w:val="clear" w:color="auto" w:fill="CCEEFF"/>
          </w:tcPr>
          <w:p>
            <w:pPr>
              <w:spacing w:after="0"/>
              <w:rPr>
                <w:sz w:val="11"/>
                <w:szCs w:val="11"/>
                <w:color w:val="auto"/>
              </w:rPr>
            </w:pPr>
          </w:p>
        </w:tc>
        <w:tc>
          <w:tcPr>
            <w:tcW w:w="700" w:type="dxa"/>
            <w:vAlign w:val="bottom"/>
            <w:gridSpan w:val="3"/>
            <w:shd w:val="clear" w:color="auto" w:fill="CCEEFF"/>
          </w:tcPr>
          <w:p>
            <w:pPr>
              <w:jc w:val="right"/>
              <w:ind w:right="100"/>
              <w:spacing w:after="0" w:line="131" w:lineRule="exact"/>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jc w:val="right"/>
              <w:spacing w:after="0" w:line="131" w:lineRule="exact"/>
              <w:rPr>
                <w:sz w:val="20"/>
                <w:szCs w:val="20"/>
                <w:color w:val="auto"/>
              </w:rPr>
            </w:pPr>
            <w:r>
              <w:rPr>
                <w:rFonts w:ascii="Arial" w:cs="Arial" w:eastAsia="Arial" w:hAnsi="Arial"/>
                <w:sz w:val="14"/>
                <w:szCs w:val="14"/>
                <w:color w:val="auto"/>
              </w:rPr>
              <w:t>66,000</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A&amp;P</w:t>
            </w:r>
          </w:p>
        </w:tc>
        <w:tc>
          <w:tcPr>
            <w:tcW w:w="1640" w:type="dxa"/>
            <w:vAlign w:val="bottom"/>
            <w:gridSpan w:val="2"/>
            <w:shd w:val="clear" w:color="auto" w:fill="CCEEFF"/>
          </w:tcPr>
          <w:p>
            <w:pPr>
              <w:ind w:left="80"/>
              <w:spacing w:after="0" w:line="131" w:lineRule="exact"/>
              <w:rPr>
                <w:sz w:val="20"/>
                <w:szCs w:val="20"/>
                <w:color w:val="auto"/>
              </w:rPr>
            </w:pPr>
            <w:r>
              <w:rPr>
                <w:rFonts w:ascii="Arial" w:cs="Arial" w:eastAsia="Arial" w:hAnsi="Arial"/>
                <w:sz w:val="14"/>
                <w:szCs w:val="14"/>
                <w:color w:val="auto"/>
              </w:rPr>
              <w:t>AMC Loews / Barnes &amp;</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500" w:type="dxa"/>
            <w:vAlign w:val="bottom"/>
            <w:tcBorders>
              <w:right w:val="single" w:sz="8" w:color="CCEEFF"/>
            </w:tcBorders>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Noble / Sports Authority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Forest Hills</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New York, NY</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1997</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8,103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93%</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Midway Theatre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Borders>
              <w:right w:val="single" w:sz="8" w:color="CCEEFF"/>
            </w:tcBorders>
            <w:gridSpan w:val="5"/>
            <w:shd w:val="clear" w:color="auto" w:fill="CCEEFF"/>
          </w:tcPr>
          <w:p>
            <w:pPr>
              <w:spacing w:after="0" w:line="149" w:lineRule="exact"/>
              <w:rPr>
                <w:sz w:val="20"/>
                <w:szCs w:val="20"/>
                <w:color w:val="auto"/>
              </w:rPr>
            </w:pPr>
            <w:r>
              <w:rPr>
                <w:rFonts w:ascii="Arial" w:cs="Arial" w:eastAsia="Arial" w:hAnsi="Arial"/>
                <w:sz w:val="14"/>
                <w:szCs w:val="14"/>
                <w:color w:val="auto"/>
              </w:rPr>
              <w:t>Fresh Meadows</w:t>
            </w:r>
          </w:p>
        </w:tc>
        <w:tc>
          <w:tcPr>
            <w:tcW w:w="3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York, NY</w:t>
            </w:r>
          </w:p>
        </w:tc>
        <w:tc>
          <w:tcPr>
            <w:tcW w:w="10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1997</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69,846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405,000</w:t>
            </w:r>
          </w:p>
        </w:tc>
        <w:tc>
          <w:tcPr>
            <w:tcW w:w="6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97%</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4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Kohl’s / AMC Loews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5"/>
          </w:tcPr>
          <w:p>
            <w:pPr>
              <w:spacing w:after="0" w:line="149" w:lineRule="exact"/>
              <w:rPr>
                <w:sz w:val="20"/>
                <w:szCs w:val="20"/>
                <w:color w:val="auto"/>
              </w:rPr>
            </w:pPr>
            <w:r>
              <w:rPr>
                <w:rFonts w:ascii="Arial" w:cs="Arial" w:eastAsia="Arial" w:hAnsi="Arial"/>
                <w:sz w:val="14"/>
                <w:szCs w:val="14"/>
                <w:color w:val="auto"/>
              </w:rPr>
              <w:t>Hauppauge</w:t>
            </w:r>
          </w:p>
        </w:tc>
        <w:tc>
          <w:tcPr>
            <w:tcW w:w="380" w:type="dxa"/>
            <w:vAlign w:val="bottom"/>
          </w:tcPr>
          <w:p>
            <w:pPr>
              <w:spacing w:after="0"/>
              <w:rPr>
                <w:sz w:val="12"/>
                <w:szCs w:val="12"/>
                <w:color w:val="auto"/>
              </w:rPr>
            </w:pPr>
          </w:p>
        </w:tc>
        <w:tc>
          <w:tcPr>
            <w:tcW w:w="1640" w:type="dxa"/>
            <w:vAlign w:val="bottom"/>
          </w:tcPr>
          <w:p>
            <w:pPr>
              <w:spacing w:after="0" w:line="149" w:lineRule="exact"/>
              <w:rPr>
                <w:sz w:val="20"/>
                <w:szCs w:val="20"/>
                <w:color w:val="auto"/>
              </w:rPr>
            </w:pPr>
            <w:r>
              <w:rPr>
                <w:rFonts w:ascii="Arial" w:cs="Arial" w:eastAsia="Arial" w:hAnsi="Arial"/>
                <w:sz w:val="14"/>
                <w:szCs w:val="14"/>
                <w:color w:val="auto"/>
              </w:rPr>
              <w:t>Nassau-Suffolk, NY</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1998</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27,899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15,099</w:t>
            </w: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133,000</w:t>
            </w:r>
          </w:p>
        </w:tc>
        <w:tc>
          <w:tcPr>
            <w:tcW w:w="60" w:type="dxa"/>
            <w:vAlign w:val="bottom"/>
          </w:tcPr>
          <w:p>
            <w:pPr>
              <w:spacing w:after="0"/>
              <w:rPr>
                <w:sz w:val="12"/>
                <w:szCs w:val="12"/>
                <w:color w:val="auto"/>
              </w:rPr>
            </w:pPr>
          </w:p>
        </w:tc>
        <w:tc>
          <w:tcPr>
            <w:tcW w:w="7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99%</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61,000</w:t>
            </w:r>
          </w:p>
        </w:tc>
        <w:tc>
          <w:tcPr>
            <w:tcW w:w="140" w:type="dxa"/>
            <w:vAlign w:val="bottom"/>
          </w:tcPr>
          <w:p>
            <w:pPr>
              <w:spacing w:after="0"/>
              <w:rPr>
                <w:sz w:val="12"/>
                <w:szCs w:val="12"/>
                <w:color w:val="auto"/>
              </w:rPr>
            </w:pPr>
          </w:p>
        </w:tc>
        <w:tc>
          <w:tcPr>
            <w:tcW w:w="720" w:type="dxa"/>
            <w:vAlign w:val="bottom"/>
          </w:tcPr>
          <w:p>
            <w:pPr>
              <w:spacing w:after="0" w:line="149" w:lineRule="exact"/>
              <w:rPr>
                <w:sz w:val="20"/>
                <w:szCs w:val="20"/>
                <w:color w:val="auto"/>
              </w:rPr>
            </w:pPr>
            <w:r>
              <w:rPr>
                <w:rFonts w:ascii="Arial" w:cs="Arial" w:eastAsia="Arial" w:hAnsi="Arial"/>
                <w:sz w:val="14"/>
                <w:szCs w:val="14"/>
                <w:color w:val="auto"/>
              </w:rPr>
              <w:t>Shop Rite</w:t>
            </w:r>
          </w:p>
        </w:tc>
        <w:tc>
          <w:tcPr>
            <w:tcW w:w="16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AC Moore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040" w:type="dxa"/>
            <w:vAlign w:val="bottom"/>
            <w:tcBorders>
              <w:right w:val="single" w:sz="8" w:color="CCEEFF"/>
            </w:tcBorders>
            <w:gridSpan w:val="5"/>
            <w:shd w:val="clear" w:color="auto" w:fill="CCEEFF"/>
          </w:tcPr>
          <w:p>
            <w:pPr>
              <w:spacing w:after="0"/>
              <w:rPr>
                <w:sz w:val="20"/>
                <w:szCs w:val="20"/>
                <w:color w:val="auto"/>
              </w:rPr>
            </w:pPr>
            <w:r>
              <w:rPr>
                <w:rFonts w:ascii="Arial" w:cs="Arial" w:eastAsia="Arial" w:hAnsi="Arial"/>
                <w:sz w:val="14"/>
                <w:szCs w:val="14"/>
                <w:color w:val="auto"/>
              </w:rPr>
              <w:t>Huntington</w:t>
            </w:r>
          </w:p>
        </w:tc>
        <w:tc>
          <w:tcPr>
            <w:tcW w:w="3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4"/>
                <w:szCs w:val="14"/>
                <w:color w:val="auto"/>
              </w:rPr>
              <w:t>Nassau-Suffolk, NY</w:t>
            </w: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1988/2007</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38,661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292,000</w:t>
            </w:r>
          </w:p>
        </w:tc>
        <w:tc>
          <w:tcPr>
            <w:tcW w:w="60" w:type="dxa"/>
            <w:vAlign w:val="bottom"/>
            <w:shd w:val="clear" w:color="auto" w:fill="CCEEFF"/>
          </w:tcPr>
          <w:p>
            <w:pPr>
              <w:spacing w:after="0"/>
              <w:rPr>
                <w:sz w:val="14"/>
                <w:szCs w:val="14"/>
                <w:color w:val="auto"/>
              </w:rPr>
            </w:pPr>
          </w:p>
        </w:tc>
        <w:tc>
          <w:tcPr>
            <w:tcW w:w="70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40" w:type="dxa"/>
            <w:vAlign w:val="bottom"/>
            <w:gridSpan w:val="2"/>
            <w:shd w:val="clear" w:color="auto" w:fill="CCEEFF"/>
          </w:tcPr>
          <w:p>
            <w:pPr>
              <w:ind w:left="80"/>
              <w:spacing w:after="0"/>
              <w:rPr>
                <w:sz w:val="20"/>
                <w:szCs w:val="20"/>
                <w:color w:val="auto"/>
              </w:rPr>
            </w:pPr>
            <w:r>
              <w:rPr>
                <w:rFonts w:ascii="Arial" w:cs="Arial" w:eastAsia="Arial" w:hAnsi="Arial"/>
                <w:sz w:val="14"/>
                <w:szCs w:val="14"/>
                <w:color w:val="auto"/>
                <w:w w:val="89"/>
              </w:rPr>
              <w:t>Buy Buy Baby / Toys R Us /</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00" w:type="dxa"/>
            <w:vAlign w:val="bottom"/>
            <w:shd w:val="clear" w:color="auto" w:fill="CCEEFF"/>
          </w:tcPr>
          <w:p>
            <w:pPr>
              <w:spacing w:after="0"/>
              <w:rPr>
                <w:sz w:val="5"/>
                <w:szCs w:val="5"/>
                <w:color w:val="auto"/>
              </w:rPr>
            </w:pPr>
          </w:p>
        </w:tc>
        <w:tc>
          <w:tcPr>
            <w:tcW w:w="6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c>
          <w:tcPr>
            <w:tcW w:w="500" w:type="dxa"/>
            <w:vAlign w:val="bottom"/>
            <w:tcBorders>
              <w:right w:val="single" w:sz="8" w:color="CCEEFF"/>
            </w:tcBorders>
            <w:shd w:val="clear" w:color="auto" w:fill="CCEEFF"/>
          </w:tcPr>
          <w:p>
            <w:pPr>
              <w:spacing w:after="0"/>
              <w:rPr>
                <w:sz w:val="5"/>
                <w:szCs w:val="5"/>
                <w:color w:val="auto"/>
              </w:rPr>
            </w:pPr>
          </w:p>
        </w:tc>
        <w:tc>
          <w:tcPr>
            <w:tcW w:w="3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480" w:type="dxa"/>
            <w:vAlign w:val="bottom"/>
            <w:shd w:val="clear" w:color="auto" w:fill="CCEEFF"/>
          </w:tcPr>
          <w:p>
            <w:pPr>
              <w:spacing w:after="0"/>
              <w:rPr>
                <w:sz w:val="5"/>
                <w:szCs w:val="5"/>
                <w:color w:val="auto"/>
              </w:rPr>
            </w:pPr>
          </w:p>
        </w:tc>
        <w:tc>
          <w:tcPr>
            <w:tcW w:w="1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22"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9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20" w:type="dxa"/>
            <w:vAlign w:val="bottom"/>
            <w:shd w:val="clear" w:color="auto" w:fill="CCEEFF"/>
          </w:tcPr>
          <w:p>
            <w:pPr>
              <w:ind w:left="60"/>
              <w:spacing w:after="0"/>
              <w:rPr>
                <w:sz w:val="20"/>
                <w:szCs w:val="20"/>
                <w:color w:val="auto"/>
              </w:rPr>
            </w:pPr>
            <w:r>
              <w:rPr>
                <w:rFonts w:ascii="Arial" w:cs="Arial" w:eastAsia="Arial" w:hAnsi="Arial"/>
                <w:sz w:val="14"/>
                <w:szCs w:val="14"/>
                <w:color w:val="auto"/>
              </w:rPr>
              <w:t>Bed, Bath &amp; Beyond /</w:t>
            </w:r>
          </w:p>
        </w:tc>
        <w:tc>
          <w:tcPr>
            <w:tcW w:w="0" w:type="dxa"/>
            <w:vAlign w:val="bottom"/>
          </w:tcPr>
          <w:p>
            <w:pPr>
              <w:spacing w:after="0"/>
              <w:rPr>
                <w:sz w:val="1"/>
                <w:szCs w:val="1"/>
                <w:color w:val="auto"/>
              </w:rPr>
            </w:pPr>
          </w:p>
        </w:tc>
      </w:tr>
      <w:tr>
        <w:trPr>
          <w:trHeight w:val="159"/>
        </w:trPr>
        <w:tc>
          <w:tcPr>
            <w:tcW w:w="160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w w:val="93"/>
              </w:rPr>
              <w:t>Barnes &amp; Noble / Michaels</w:t>
            </w:r>
          </w:p>
        </w:tc>
        <w:tc>
          <w:tcPr>
            <w:tcW w:w="0" w:type="dxa"/>
            <w:vAlign w:val="bottom"/>
          </w:tcPr>
          <w:p>
            <w:pPr>
              <w:spacing w:after="0"/>
              <w:rPr>
                <w:sz w:val="1"/>
                <w:szCs w:val="1"/>
                <w:color w:val="auto"/>
              </w:rPr>
            </w:pPr>
          </w:p>
        </w:tc>
      </w:tr>
      <w:tr>
        <w:trPr>
          <w:trHeight w:val="149"/>
        </w:trPr>
        <w:tc>
          <w:tcPr>
            <w:tcW w:w="1600" w:type="dxa"/>
            <w:vAlign w:val="bottom"/>
          </w:tcPr>
          <w:p>
            <w:pPr>
              <w:spacing w:after="0" w:line="149" w:lineRule="exact"/>
              <w:rPr>
                <w:sz w:val="20"/>
                <w:szCs w:val="20"/>
                <w:color w:val="auto"/>
              </w:rPr>
            </w:pPr>
            <w:r>
              <w:rPr>
                <w:rFonts w:ascii="Arial" w:cs="Arial" w:eastAsia="Arial" w:hAnsi="Arial"/>
                <w:sz w:val="14"/>
                <w:szCs w:val="14"/>
                <w:color w:val="auto"/>
              </w:rPr>
              <w:t>Huntington Square</w:t>
            </w:r>
          </w:p>
        </w:tc>
        <w:tc>
          <w:tcPr>
            <w:tcW w:w="780" w:type="dxa"/>
            <w:vAlign w:val="bottom"/>
          </w:tcPr>
          <w:p>
            <w:pPr>
              <w:spacing w:after="0"/>
              <w:rPr>
                <w:sz w:val="12"/>
                <w:szCs w:val="12"/>
                <w:color w:val="auto"/>
              </w:rPr>
            </w:pPr>
          </w:p>
        </w:tc>
        <w:tc>
          <w:tcPr>
            <w:tcW w:w="1900" w:type="dxa"/>
            <w:vAlign w:val="bottom"/>
          </w:tcPr>
          <w:p>
            <w:pPr>
              <w:ind w:left="60"/>
              <w:spacing w:after="0" w:line="149" w:lineRule="exact"/>
              <w:rPr>
                <w:sz w:val="20"/>
                <w:szCs w:val="20"/>
                <w:color w:val="auto"/>
              </w:rPr>
            </w:pPr>
            <w:r>
              <w:rPr>
                <w:rFonts w:ascii="Arial" w:cs="Arial" w:eastAsia="Arial" w:hAnsi="Arial"/>
                <w:sz w:val="14"/>
                <w:szCs w:val="14"/>
                <w:color w:val="auto"/>
              </w:rPr>
              <w:t>Nassau-Suffolk, NY</w:t>
            </w: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2010</w:t>
            </w:r>
          </w:p>
        </w:tc>
        <w:tc>
          <w:tcPr>
            <w:tcW w:w="112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10,075</w:t>
            </w:r>
          </w:p>
        </w:tc>
        <w:tc>
          <w:tcPr>
            <w:tcW w:w="80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74,000</w:t>
            </w:r>
          </w:p>
        </w:tc>
        <w:tc>
          <w:tcPr>
            <w:tcW w:w="7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89%</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20" w:type="dxa"/>
            <w:vAlign w:val="bottom"/>
          </w:tcPr>
          <w:p>
            <w:pPr>
              <w:ind w:left="60"/>
              <w:spacing w:after="0" w:line="149" w:lineRule="exact"/>
              <w:rPr>
                <w:sz w:val="20"/>
                <w:szCs w:val="20"/>
                <w:color w:val="auto"/>
              </w:rPr>
            </w:pPr>
            <w:r>
              <w:rPr>
                <w:rFonts w:ascii="Arial" w:cs="Arial" w:eastAsia="Arial" w:hAnsi="Arial"/>
                <w:sz w:val="14"/>
                <w:szCs w:val="14"/>
                <w:color w:val="auto"/>
              </w:rPr>
              <w:t>Barnes &amp; Noble</w:t>
            </w: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Melville Mall</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9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Nassau-Suffolk, NY</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2006</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68,879</w:t>
            </w:r>
          </w:p>
        </w:tc>
        <w:tc>
          <w:tcPr>
            <w:tcW w:w="800" w:type="dxa"/>
            <w:vAlign w:val="bottom"/>
            <w:shd w:val="clear" w:color="auto" w:fill="CCEEFF"/>
          </w:tcPr>
          <w:p>
            <w:pPr>
              <w:jc w:val="right"/>
              <w:ind w:right="72"/>
              <w:spacing w:after="0" w:line="149" w:lineRule="exact"/>
              <w:rPr>
                <w:sz w:val="20"/>
                <w:szCs w:val="20"/>
                <w:color w:val="auto"/>
              </w:rPr>
            </w:pPr>
            <w:r>
              <w:rPr>
                <w:rFonts w:ascii="Arial" w:cs="Arial" w:eastAsia="Arial" w:hAnsi="Arial"/>
                <w:sz w:val="14"/>
                <w:szCs w:val="14"/>
                <w:color w:val="auto"/>
              </w:rPr>
              <w:t>23,254</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248,000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54,000</w:t>
            </w:r>
          </w:p>
        </w:tc>
        <w:tc>
          <w:tcPr>
            <w:tcW w:w="8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w w:val="93"/>
              </w:rPr>
              <w:t>Waldbaum’s</w:t>
            </w:r>
          </w:p>
        </w:tc>
        <w:tc>
          <w:tcPr>
            <w:tcW w:w="16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Kohl’s / Marshalls</w:t>
            </w:r>
          </w:p>
        </w:tc>
        <w:tc>
          <w:tcPr>
            <w:tcW w:w="0" w:type="dxa"/>
            <w:vAlign w:val="bottom"/>
          </w:tcPr>
          <w:p>
            <w:pPr>
              <w:spacing w:after="0"/>
              <w:rPr>
                <w:sz w:val="1"/>
                <w:szCs w:val="1"/>
                <w:color w:val="auto"/>
              </w:rPr>
            </w:pPr>
          </w:p>
        </w:tc>
      </w:tr>
      <w:tr>
        <w:trPr>
          <w:trHeight w:val="138"/>
        </w:trPr>
        <w:tc>
          <w:tcPr>
            <w:tcW w:w="1600" w:type="dxa"/>
            <w:vAlign w:val="bottom"/>
          </w:tcPr>
          <w:p>
            <w:pPr>
              <w:spacing w:after="0" w:line="138" w:lineRule="exact"/>
              <w:rPr>
                <w:sz w:val="20"/>
                <w:szCs w:val="20"/>
                <w:color w:val="auto"/>
              </w:rPr>
            </w:pPr>
            <w:r>
              <w:rPr>
                <w:rFonts w:ascii="Arial" w:cs="Arial" w:eastAsia="Arial" w:hAnsi="Arial"/>
                <w:sz w:val="14"/>
                <w:szCs w:val="14"/>
                <w:color w:val="auto"/>
              </w:rPr>
              <w:t>Mercer Mall</w:t>
            </w:r>
          </w:p>
        </w:tc>
        <w:tc>
          <w:tcPr>
            <w:tcW w:w="780" w:type="dxa"/>
            <w:vAlign w:val="bottom"/>
          </w:tcPr>
          <w:p>
            <w:pPr>
              <w:jc w:val="right"/>
              <w:spacing w:after="0" w:line="138" w:lineRule="exact"/>
              <w:rPr>
                <w:sz w:val="20"/>
                <w:szCs w:val="20"/>
                <w:color w:val="auto"/>
              </w:rPr>
            </w:pPr>
            <w:r>
              <w:rPr>
                <w:rFonts w:ascii="Arial" w:cs="Arial" w:eastAsia="Arial" w:hAnsi="Arial"/>
                <w:sz w:val="14"/>
                <w:szCs w:val="14"/>
                <w:color w:val="auto"/>
              </w:rPr>
              <w:t>(4)</w:t>
            </w:r>
          </w:p>
        </w:tc>
        <w:tc>
          <w:tcPr>
            <w:tcW w:w="1900" w:type="dxa"/>
            <w:vAlign w:val="bottom"/>
          </w:tcPr>
          <w:p>
            <w:pPr>
              <w:ind w:left="60"/>
              <w:spacing w:after="0" w:line="138" w:lineRule="exact"/>
              <w:rPr>
                <w:sz w:val="20"/>
                <w:szCs w:val="20"/>
                <w:color w:val="auto"/>
              </w:rPr>
            </w:pPr>
            <w:r>
              <w:rPr>
                <w:rFonts w:ascii="Arial" w:cs="Arial" w:eastAsia="Arial" w:hAnsi="Arial"/>
                <w:sz w:val="14"/>
                <w:szCs w:val="14"/>
                <w:color w:val="auto"/>
              </w:rPr>
              <w:t>Trenton, NJ</w:t>
            </w:r>
          </w:p>
        </w:tc>
        <w:tc>
          <w:tcPr>
            <w:tcW w:w="900" w:type="dxa"/>
            <w:vAlign w:val="bottom"/>
          </w:tcPr>
          <w:p>
            <w:pPr>
              <w:jc w:val="right"/>
              <w:spacing w:after="0" w:line="138" w:lineRule="exact"/>
              <w:rPr>
                <w:sz w:val="20"/>
                <w:szCs w:val="20"/>
                <w:color w:val="auto"/>
              </w:rPr>
            </w:pPr>
            <w:r>
              <w:rPr>
                <w:rFonts w:ascii="Arial" w:cs="Arial" w:eastAsia="Arial" w:hAnsi="Arial"/>
                <w:sz w:val="14"/>
                <w:szCs w:val="14"/>
                <w:color w:val="auto"/>
              </w:rPr>
              <w:t>2003</w:t>
            </w:r>
          </w:p>
        </w:tc>
        <w:tc>
          <w:tcPr>
            <w:tcW w:w="112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104,964</w:t>
            </w:r>
          </w:p>
        </w:tc>
        <w:tc>
          <w:tcPr>
            <w:tcW w:w="800" w:type="dxa"/>
            <w:vAlign w:val="bottom"/>
          </w:tcPr>
          <w:p>
            <w:pPr>
              <w:jc w:val="right"/>
              <w:ind w:right="72"/>
              <w:spacing w:after="0" w:line="138" w:lineRule="exact"/>
              <w:rPr>
                <w:sz w:val="20"/>
                <w:szCs w:val="20"/>
                <w:color w:val="auto"/>
              </w:rPr>
            </w:pPr>
            <w:r>
              <w:rPr>
                <w:rFonts w:ascii="Arial" w:cs="Arial" w:eastAsia="Arial" w:hAnsi="Arial"/>
                <w:sz w:val="14"/>
                <w:szCs w:val="14"/>
                <w:color w:val="auto"/>
              </w:rPr>
              <w:t>49,050</w:t>
            </w:r>
          </w:p>
        </w:tc>
        <w:tc>
          <w:tcPr>
            <w:tcW w:w="580" w:type="dxa"/>
            <w:vAlign w:val="bottom"/>
          </w:tcPr>
          <w:p>
            <w:pPr>
              <w:jc w:val="right"/>
              <w:spacing w:after="0" w:line="138" w:lineRule="exact"/>
              <w:rPr>
                <w:sz w:val="20"/>
                <w:szCs w:val="20"/>
                <w:color w:val="auto"/>
              </w:rPr>
            </w:pPr>
            <w:r>
              <w:rPr>
                <w:rFonts w:ascii="Arial" w:cs="Arial" w:eastAsia="Arial" w:hAnsi="Arial"/>
                <w:sz w:val="14"/>
                <w:szCs w:val="14"/>
                <w:color w:val="auto"/>
              </w:rPr>
              <w:t>499,000</w:t>
            </w:r>
          </w:p>
        </w:tc>
        <w:tc>
          <w:tcPr>
            <w:tcW w:w="76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99%</w:t>
            </w:r>
          </w:p>
        </w:tc>
        <w:tc>
          <w:tcPr>
            <w:tcW w:w="540" w:type="dxa"/>
            <w:vAlign w:val="bottom"/>
          </w:tcPr>
          <w:p>
            <w:pPr>
              <w:jc w:val="right"/>
              <w:spacing w:after="0" w:line="138" w:lineRule="exact"/>
              <w:rPr>
                <w:sz w:val="20"/>
                <w:szCs w:val="20"/>
                <w:color w:val="auto"/>
              </w:rPr>
            </w:pPr>
            <w:r>
              <w:rPr>
                <w:rFonts w:ascii="Arial" w:cs="Arial" w:eastAsia="Arial" w:hAnsi="Arial"/>
                <w:sz w:val="14"/>
                <w:szCs w:val="14"/>
                <w:color w:val="auto"/>
              </w:rPr>
              <w:t>75,000</w:t>
            </w:r>
          </w:p>
        </w:tc>
        <w:tc>
          <w:tcPr>
            <w:tcW w:w="820" w:type="dxa"/>
            <w:vAlign w:val="bottom"/>
          </w:tcPr>
          <w:p>
            <w:pPr>
              <w:ind w:left="80"/>
              <w:spacing w:after="0" w:line="138" w:lineRule="exact"/>
              <w:rPr>
                <w:sz w:val="20"/>
                <w:szCs w:val="20"/>
                <w:color w:val="auto"/>
              </w:rPr>
            </w:pPr>
            <w:r>
              <w:rPr>
                <w:rFonts w:ascii="Arial" w:cs="Arial" w:eastAsia="Arial" w:hAnsi="Arial"/>
                <w:sz w:val="14"/>
                <w:szCs w:val="14"/>
                <w:color w:val="auto"/>
              </w:rPr>
              <w:t>Shop Rite</w:t>
            </w:r>
          </w:p>
        </w:tc>
        <w:tc>
          <w:tcPr>
            <w:tcW w:w="1620" w:type="dxa"/>
            <w:vAlign w:val="bottom"/>
          </w:tcPr>
          <w:p>
            <w:pPr>
              <w:ind w:left="60"/>
              <w:spacing w:after="0" w:line="138" w:lineRule="exact"/>
              <w:rPr>
                <w:sz w:val="20"/>
                <w:szCs w:val="20"/>
                <w:color w:val="auto"/>
              </w:rPr>
            </w:pPr>
            <w:r>
              <w:rPr>
                <w:rFonts w:ascii="Arial" w:cs="Arial" w:eastAsia="Arial" w:hAnsi="Arial"/>
                <w:sz w:val="14"/>
                <w:szCs w:val="14"/>
                <w:color w:val="auto"/>
                <w:w w:val="90"/>
              </w:rPr>
              <w:t>Bed, Bath &amp; Beyond / DSW</w:t>
            </w:r>
          </w:p>
        </w:tc>
        <w:tc>
          <w:tcPr>
            <w:tcW w:w="0" w:type="dxa"/>
            <w:vAlign w:val="bottom"/>
          </w:tcPr>
          <w:p>
            <w:pPr>
              <w:spacing w:after="0"/>
              <w:rPr>
                <w:sz w:val="1"/>
                <w:szCs w:val="1"/>
                <w:color w:val="auto"/>
              </w:rPr>
            </w:pPr>
          </w:p>
        </w:tc>
      </w:tr>
      <w:tr>
        <w:trPr>
          <w:trHeight w:val="149"/>
        </w:trPr>
        <w:tc>
          <w:tcPr>
            <w:tcW w:w="1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20" w:type="dxa"/>
            <w:vAlign w:val="bottom"/>
          </w:tcPr>
          <w:p>
            <w:pPr>
              <w:ind w:left="60"/>
              <w:spacing w:after="0" w:line="149" w:lineRule="exact"/>
              <w:rPr>
                <w:sz w:val="20"/>
                <w:szCs w:val="20"/>
                <w:color w:val="auto"/>
              </w:rPr>
            </w:pPr>
            <w:r>
              <w:rPr>
                <w:rFonts w:ascii="Arial" w:cs="Arial" w:eastAsia="Arial" w:hAnsi="Arial"/>
                <w:sz w:val="14"/>
                <w:szCs w:val="14"/>
                <w:color w:val="auto"/>
              </w:rPr>
              <w:t>/ TJ Maxx / Raymour &amp;</w:t>
            </w:r>
          </w:p>
        </w:tc>
        <w:tc>
          <w:tcPr>
            <w:tcW w:w="0" w:type="dxa"/>
            <w:vAlign w:val="bottom"/>
          </w:tcPr>
          <w:p>
            <w:pPr>
              <w:spacing w:after="0"/>
              <w:rPr>
                <w:sz w:val="1"/>
                <w:szCs w:val="1"/>
                <w:color w:val="auto"/>
              </w:rPr>
            </w:pPr>
          </w:p>
        </w:tc>
      </w:tr>
      <w:tr>
        <w:trPr>
          <w:trHeight w:val="159"/>
        </w:trPr>
        <w:tc>
          <w:tcPr>
            <w:tcW w:w="1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620" w:type="dxa"/>
            <w:vAlign w:val="bottom"/>
          </w:tcPr>
          <w:p>
            <w:pPr>
              <w:ind w:left="60"/>
              <w:spacing w:after="0" w:line="159" w:lineRule="exact"/>
              <w:rPr>
                <w:sz w:val="20"/>
                <w:szCs w:val="20"/>
                <w:color w:val="auto"/>
              </w:rPr>
            </w:pPr>
            <w:r>
              <w:rPr>
                <w:rFonts w:ascii="Arial" w:cs="Arial" w:eastAsia="Arial" w:hAnsi="Arial"/>
                <w:sz w:val="14"/>
                <w:szCs w:val="14"/>
                <w:color w:val="auto"/>
              </w:rPr>
              <w:t>Flanigan</w:t>
            </w: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Troy</w:t>
            </w:r>
          </w:p>
        </w:tc>
        <w:tc>
          <w:tcPr>
            <w:tcW w:w="780" w:type="dxa"/>
            <w:vAlign w:val="bottom"/>
            <w:shd w:val="clear" w:color="auto" w:fill="CCEEFF"/>
          </w:tcPr>
          <w:p>
            <w:pPr>
              <w:spacing w:after="0"/>
              <w:rPr>
                <w:sz w:val="12"/>
                <w:szCs w:val="12"/>
                <w:color w:val="auto"/>
              </w:rPr>
            </w:pPr>
          </w:p>
        </w:tc>
        <w:tc>
          <w:tcPr>
            <w:tcW w:w="190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Newark, NJ</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1980</w:t>
            </w:r>
          </w:p>
        </w:tc>
        <w:tc>
          <w:tcPr>
            <w:tcW w:w="11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25,337</w:t>
            </w:r>
          </w:p>
        </w:tc>
        <w:tc>
          <w:tcPr>
            <w:tcW w:w="80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207,000</w:t>
            </w:r>
          </w:p>
        </w:tc>
        <w:tc>
          <w:tcPr>
            <w:tcW w:w="76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88%</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64,000</w:t>
            </w:r>
          </w:p>
        </w:tc>
        <w:tc>
          <w:tcPr>
            <w:tcW w:w="8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Pathmark</w:t>
            </w:r>
          </w:p>
        </w:tc>
        <w:tc>
          <w:tcPr>
            <w:tcW w:w="16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L.A. Fitness</w:t>
            </w: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9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Total New York / New</w:t>
            </w:r>
          </w:p>
        </w:tc>
        <w:tc>
          <w:tcPr>
            <w:tcW w:w="9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1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90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2"/>
          </w:tcPr>
          <w:p>
            <w:pPr>
              <w:jc w:val="right"/>
              <w:ind w:right="300"/>
              <w:spacing w:after="0" w:line="143" w:lineRule="exact"/>
              <w:rPr>
                <w:sz w:val="20"/>
                <w:szCs w:val="20"/>
                <w:color w:val="auto"/>
              </w:rPr>
            </w:pPr>
            <w:r>
              <w:rPr>
                <w:rFonts w:ascii="Arial" w:cs="Arial" w:eastAsia="Arial" w:hAnsi="Arial"/>
                <w:sz w:val="14"/>
                <w:szCs w:val="14"/>
                <w:color w:val="auto"/>
              </w:rPr>
              <w:t>411,810</w:t>
            </w:r>
          </w:p>
        </w:tc>
        <w:tc>
          <w:tcPr>
            <w:tcW w:w="800" w:type="dxa"/>
            <w:vAlign w:val="bottom"/>
          </w:tcPr>
          <w:p>
            <w:pPr>
              <w:spacing w:after="0"/>
              <w:rPr>
                <w:sz w:val="12"/>
                <w:szCs w:val="12"/>
                <w:color w:val="auto"/>
              </w:rPr>
            </w:pPr>
          </w:p>
        </w:tc>
        <w:tc>
          <w:tcPr>
            <w:tcW w:w="580" w:type="dxa"/>
            <w:vAlign w:val="bottom"/>
          </w:tcPr>
          <w:p>
            <w:pPr>
              <w:jc w:val="right"/>
              <w:spacing w:after="0" w:line="143" w:lineRule="exact"/>
              <w:rPr>
                <w:sz w:val="20"/>
                <w:szCs w:val="20"/>
                <w:color w:val="auto"/>
              </w:rPr>
            </w:pPr>
            <w:r>
              <w:rPr>
                <w:rFonts w:ascii="Arial" w:cs="Arial" w:eastAsia="Arial" w:hAnsi="Arial"/>
                <w:sz w:val="14"/>
                <w:szCs w:val="14"/>
                <w:color w:val="auto"/>
                <w:w w:val="89"/>
              </w:rPr>
              <w:t>2,313,000</w:t>
            </w:r>
          </w:p>
        </w:tc>
        <w:tc>
          <w:tcPr>
            <w:tcW w:w="760" w:type="dxa"/>
            <w:vAlign w:val="bottom"/>
            <w:gridSpan w:val="3"/>
          </w:tcPr>
          <w:p>
            <w:pPr>
              <w:jc w:val="right"/>
              <w:ind w:right="100"/>
              <w:spacing w:after="0" w:line="143" w:lineRule="exact"/>
              <w:rPr>
                <w:sz w:val="20"/>
                <w:szCs w:val="20"/>
                <w:color w:val="auto"/>
              </w:rPr>
            </w:pPr>
            <w:r>
              <w:rPr>
                <w:rFonts w:ascii="Arial" w:cs="Arial" w:eastAsia="Arial" w:hAnsi="Arial"/>
                <w:sz w:val="14"/>
                <w:szCs w:val="14"/>
                <w:color w:val="auto"/>
              </w:rPr>
              <w:t>97%</w:t>
            </w:r>
          </w:p>
        </w:tc>
        <w:tc>
          <w:tcPr>
            <w:tcW w:w="5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1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00" w:type="dxa"/>
            <w:vAlign w:val="bottom"/>
          </w:tcPr>
          <w:p>
            <w:pPr>
              <w:ind w:left="60"/>
              <w:spacing w:after="0"/>
              <w:rPr>
                <w:sz w:val="20"/>
                <w:szCs w:val="20"/>
                <w:color w:val="auto"/>
              </w:rPr>
            </w:pPr>
            <w:r>
              <w:rPr>
                <w:rFonts w:ascii="Arial" w:cs="Arial" w:eastAsia="Arial" w:hAnsi="Arial"/>
                <w:sz w:val="14"/>
                <w:szCs w:val="14"/>
                <w:b w:val="1"/>
                <w:bCs w:val="1"/>
                <w:color w:val="auto"/>
              </w:rPr>
              <w:t>Jersey</w:t>
            </w:r>
          </w:p>
        </w:tc>
        <w:tc>
          <w:tcPr>
            <w:tcW w:w="9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6"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Mortgage</w:t>
            </w: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8"/>
              </w:rPr>
              <w:t>and/or</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85"/>
              </w:rPr>
              <w:t>Grocery</w:t>
            </w: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Year</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Real</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Anchor</w:t>
            </w:r>
          </w:p>
        </w:tc>
        <w:tc>
          <w:tcPr>
            <w:tcW w:w="8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Grocery</w:t>
            </w:r>
          </w:p>
        </w:tc>
        <w:tc>
          <w:tcPr>
            <w:tcW w:w="80" w:type="dxa"/>
            <w:vAlign w:val="bottom"/>
          </w:tcPr>
          <w:p>
            <w:pPr>
              <w:spacing w:after="0"/>
              <w:rPr>
                <w:sz w:val="12"/>
                <w:szCs w:val="12"/>
                <w:color w:val="auto"/>
              </w:rPr>
            </w:pPr>
          </w:p>
        </w:tc>
        <w:tc>
          <w:tcPr>
            <w:tcW w:w="16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center"/>
              <w:ind w:right="40"/>
              <w:spacing w:after="0" w:line="135" w:lineRule="exact"/>
              <w:rPr>
                <w:sz w:val="20"/>
                <w:szCs w:val="20"/>
                <w:color w:val="auto"/>
              </w:rPr>
            </w:pPr>
            <w:r>
              <w:rPr>
                <w:rFonts w:ascii="Arial" w:cs="Arial" w:eastAsia="Arial" w:hAnsi="Arial"/>
                <w:sz w:val="14"/>
                <w:szCs w:val="14"/>
                <w:b w:val="1"/>
                <w:bCs w:val="1"/>
                <w:color w:val="auto"/>
                <w:w w:val="85"/>
              </w:rPr>
              <w:t>Estate</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center"/>
              <w:ind w:right="32"/>
              <w:spacing w:after="0" w:line="135" w:lineRule="exact"/>
              <w:rPr>
                <w:sz w:val="20"/>
                <w:szCs w:val="20"/>
                <w:color w:val="auto"/>
              </w:rPr>
            </w:pPr>
            <w:r>
              <w:rPr>
                <w:rFonts w:ascii="Arial" w:cs="Arial" w:eastAsia="Arial" w:hAnsi="Arial"/>
                <w:sz w:val="14"/>
                <w:szCs w:val="14"/>
                <w:b w:val="1"/>
                <w:bCs w:val="1"/>
                <w:color w:val="auto"/>
                <w:w w:val="85"/>
              </w:rPr>
              <w:t>Lease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gridSpan w:val="2"/>
          </w:tcPr>
          <w:p>
            <w:pPr>
              <w:jc w:val="right"/>
              <w:ind w:right="72"/>
              <w:spacing w:after="0" w:line="135"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62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rPr>
              <w:t>GLA</w:t>
            </w:r>
          </w:p>
        </w:tc>
        <w:tc>
          <w:tcPr>
            <w:tcW w:w="8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00" w:type="dxa"/>
            <w:vAlign w:val="bottom"/>
            <w:gridSpan w:val="8"/>
          </w:tcPr>
          <w:p>
            <w:pPr>
              <w:spacing w:after="0"/>
              <w:rPr>
                <w:sz w:val="20"/>
                <w:szCs w:val="20"/>
                <w:color w:val="auto"/>
              </w:rPr>
            </w:pPr>
            <w:r>
              <w:rPr>
                <w:rFonts w:ascii="Arial" w:cs="Arial" w:eastAsia="Arial" w:hAnsi="Arial"/>
                <w:sz w:val="14"/>
                <w:szCs w:val="14"/>
                <w:b w:val="1"/>
                <w:bCs w:val="1"/>
                <w:color w:val="auto"/>
              </w:rPr>
              <w:t>Property Name</w:t>
            </w:r>
          </w:p>
        </w:tc>
        <w:tc>
          <w:tcPr>
            <w:tcW w:w="380" w:type="dxa"/>
            <w:vAlign w:val="bottom"/>
          </w:tcPr>
          <w:p>
            <w:pPr>
              <w:spacing w:after="0"/>
              <w:rPr>
                <w:sz w:val="15"/>
                <w:szCs w:val="15"/>
                <w:color w:val="auto"/>
              </w:rPr>
            </w:pPr>
          </w:p>
        </w:tc>
        <w:tc>
          <w:tcPr>
            <w:tcW w:w="1620" w:type="dxa"/>
            <w:vAlign w:val="bottom"/>
          </w:tcPr>
          <w:p>
            <w:pPr>
              <w:ind w:left="300"/>
              <w:spacing w:after="0"/>
              <w:rPr>
                <w:sz w:val="20"/>
                <w:szCs w:val="20"/>
                <w:color w:val="auto"/>
              </w:rPr>
            </w:pPr>
            <w:r>
              <w:rPr>
                <w:rFonts w:ascii="Arial" w:cs="Arial" w:eastAsia="Arial" w:hAnsi="Arial"/>
                <w:sz w:val="14"/>
                <w:szCs w:val="14"/>
                <w:b w:val="1"/>
                <w:bCs w:val="1"/>
                <w:color w:val="auto"/>
              </w:rPr>
              <w:t>MSA Description</w:t>
            </w:r>
          </w:p>
        </w:tc>
        <w:tc>
          <w:tcPr>
            <w:tcW w:w="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2"/>
              </w:rPr>
              <w:t>Acquired</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4"/>
              </w:rPr>
              <w:t>at Cost</w:t>
            </w:r>
          </w:p>
        </w:tc>
        <w:tc>
          <w:tcPr>
            <w:tcW w:w="120" w:type="dxa"/>
            <w:vAlign w:val="bottom"/>
          </w:tcPr>
          <w:p>
            <w:pPr>
              <w:spacing w:after="0"/>
              <w:rPr>
                <w:sz w:val="15"/>
                <w:szCs w:val="15"/>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Obligation (1)</w:t>
            </w:r>
          </w:p>
        </w:tc>
        <w:tc>
          <w:tcPr>
            <w:tcW w:w="160" w:type="dxa"/>
            <w:vAlign w:val="bottom"/>
          </w:tcPr>
          <w:p>
            <w:pPr>
              <w:spacing w:after="0"/>
              <w:rPr>
                <w:sz w:val="15"/>
                <w:szCs w:val="15"/>
                <w:color w:val="auto"/>
              </w:rPr>
            </w:pPr>
          </w:p>
        </w:tc>
        <w:tc>
          <w:tcPr>
            <w:tcW w:w="640" w:type="dxa"/>
            <w:vAlign w:val="bottom"/>
          </w:tcPr>
          <w:p>
            <w:pPr>
              <w:jc w:val="right"/>
              <w:ind w:right="12"/>
              <w:spacing w:after="0"/>
              <w:rPr>
                <w:sz w:val="20"/>
                <w:szCs w:val="20"/>
                <w:color w:val="auto"/>
              </w:rPr>
            </w:pPr>
            <w:r>
              <w:rPr>
                <w:rFonts w:ascii="Arial" w:cs="Arial" w:eastAsia="Arial" w:hAnsi="Arial"/>
                <w:sz w:val="14"/>
                <w:szCs w:val="14"/>
                <w:b w:val="1"/>
                <w:bCs w:val="1"/>
                <w:color w:val="auto"/>
              </w:rPr>
              <w:t>GLA (2)</w:t>
            </w:r>
          </w:p>
        </w:tc>
        <w:tc>
          <w:tcPr>
            <w:tcW w:w="8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2"/>
              </w:rPr>
              <w:t>Leased</w:t>
            </w: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93"/>
              </w:rPr>
              <w:t>(3)</w:t>
            </w:r>
          </w:p>
        </w:tc>
        <w:tc>
          <w:tcPr>
            <w:tcW w:w="140" w:type="dxa"/>
            <w:vAlign w:val="bottom"/>
          </w:tcPr>
          <w:p>
            <w:pPr>
              <w:spacing w:after="0"/>
              <w:rPr>
                <w:sz w:val="15"/>
                <w:szCs w:val="15"/>
                <w:color w:val="auto"/>
              </w:rPr>
            </w:pPr>
          </w:p>
        </w:tc>
        <w:tc>
          <w:tcPr>
            <w:tcW w:w="840" w:type="dxa"/>
            <w:vAlign w:val="bottom"/>
          </w:tcPr>
          <w:p>
            <w:pPr>
              <w:ind w:left="100"/>
              <w:spacing w:after="0"/>
              <w:rPr>
                <w:sz w:val="20"/>
                <w:szCs w:val="20"/>
                <w:color w:val="auto"/>
              </w:rPr>
            </w:pPr>
            <w:r>
              <w:rPr>
                <w:rFonts w:ascii="Arial" w:cs="Arial" w:eastAsia="Arial" w:hAnsi="Arial"/>
                <w:sz w:val="14"/>
                <w:szCs w:val="14"/>
                <w:b w:val="1"/>
                <w:bCs w:val="1"/>
                <w:color w:val="auto"/>
              </w:rPr>
              <w:t>Anchor (3)</w:t>
            </w:r>
          </w:p>
        </w:tc>
        <w:tc>
          <w:tcPr>
            <w:tcW w:w="80" w:type="dxa"/>
            <w:vAlign w:val="bottom"/>
          </w:tcPr>
          <w:p>
            <w:pPr>
              <w:spacing w:after="0"/>
              <w:rPr>
                <w:sz w:val="15"/>
                <w:szCs w:val="15"/>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5"/>
              </w:rPr>
              <w:t>Tenants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8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3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80" w:type="dxa"/>
            <w:vAlign w:val="bottom"/>
            <w:gridSpan w:val="7"/>
          </w:tcPr>
          <w:p>
            <w:pPr>
              <w:spacing w:after="0" w:line="131" w:lineRule="exact"/>
              <w:rPr>
                <w:sz w:val="20"/>
                <w:szCs w:val="20"/>
                <w:color w:val="auto"/>
              </w:rPr>
            </w:pPr>
            <w:r>
              <w:rPr>
                <w:rFonts w:ascii="Arial" w:cs="Arial" w:eastAsia="Arial" w:hAnsi="Arial"/>
                <w:sz w:val="14"/>
                <w:szCs w:val="14"/>
                <w:color w:val="auto"/>
              </w:rPr>
              <w:t>Assembly Square</w:t>
            </w:r>
          </w:p>
        </w:tc>
        <w:tc>
          <w:tcPr>
            <w:tcW w:w="380" w:type="dxa"/>
            <w:vAlign w:val="bottom"/>
          </w:tcPr>
          <w:p>
            <w:pPr>
              <w:spacing w:after="0"/>
              <w:rPr>
                <w:sz w:val="11"/>
                <w:szCs w:val="11"/>
                <w:color w:val="auto"/>
              </w:rPr>
            </w:pPr>
          </w:p>
        </w:tc>
        <w:tc>
          <w:tcPr>
            <w:tcW w:w="1620" w:type="dxa"/>
            <w:vAlign w:val="bottom"/>
          </w:tcPr>
          <w:p>
            <w:pPr>
              <w:spacing w:after="0" w:line="131" w:lineRule="exact"/>
              <w:rPr>
                <w:sz w:val="20"/>
                <w:szCs w:val="20"/>
                <w:color w:val="auto"/>
              </w:rPr>
            </w:pPr>
            <w:r>
              <w:rPr>
                <w:rFonts w:ascii="Arial" w:cs="Arial" w:eastAsia="Arial" w:hAnsi="Arial"/>
                <w:sz w:val="14"/>
                <w:szCs w:val="14"/>
                <w:color w:val="auto"/>
                <w:w w:val="94"/>
              </w:rPr>
              <w:t>Boston-Cambridge-Quincy,</w:t>
            </w:r>
          </w:p>
        </w:tc>
        <w:tc>
          <w:tcPr>
            <w:tcW w:w="7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2005-2009</w:t>
            </w:r>
          </w:p>
        </w:tc>
        <w:tc>
          <w:tcPr>
            <w:tcW w:w="940" w:type="dxa"/>
            <w:vAlign w:val="bottom"/>
            <w:gridSpan w:val="4"/>
          </w:tcPr>
          <w:p>
            <w:pPr>
              <w:jc w:val="right"/>
              <w:ind w:right="20"/>
              <w:spacing w:after="0" w:line="131" w:lineRule="exact"/>
              <w:rPr>
                <w:sz w:val="20"/>
                <w:szCs w:val="20"/>
                <w:color w:val="auto"/>
              </w:rPr>
            </w:pPr>
            <w:r>
              <w:rPr>
                <w:rFonts w:ascii="Arial" w:cs="Arial" w:eastAsia="Arial" w:hAnsi="Arial"/>
                <w:sz w:val="14"/>
                <w:szCs w:val="14"/>
                <w:color w:val="auto"/>
              </w:rPr>
              <w:t>189,755</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332,000</w:t>
            </w:r>
          </w:p>
        </w:tc>
        <w:tc>
          <w:tcPr>
            <w:tcW w:w="820" w:type="dxa"/>
            <w:vAlign w:val="bottom"/>
            <w:gridSpan w:val="3"/>
          </w:tcPr>
          <w:p>
            <w:pPr>
              <w:jc w:val="right"/>
              <w:ind w:right="160"/>
              <w:spacing w:after="0" w:line="131"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AC Moore / Bed, Bath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80" w:type="dxa"/>
            <w:vAlign w:val="bottom"/>
            <w:gridSpan w:val="6"/>
          </w:tcPr>
          <w:p>
            <w:pPr>
              <w:spacing w:after="0" w:line="149" w:lineRule="exact"/>
              <w:rPr>
                <w:sz w:val="20"/>
                <w:szCs w:val="20"/>
                <w:color w:val="auto"/>
              </w:rPr>
            </w:pPr>
            <w:r>
              <w:rPr>
                <w:rFonts w:ascii="Arial" w:cs="Arial" w:eastAsia="Arial" w:hAnsi="Arial"/>
                <w:sz w:val="14"/>
                <w:szCs w:val="14"/>
                <w:color w:val="auto"/>
              </w:rPr>
              <w:t>Marketplace/Assembly Row</w:t>
            </w:r>
          </w:p>
        </w:tc>
        <w:tc>
          <w:tcPr>
            <w:tcW w:w="380" w:type="dxa"/>
            <w:vAlign w:val="bottom"/>
          </w:tcPr>
          <w:p>
            <w:pPr>
              <w:spacing w:after="0"/>
              <w:rPr>
                <w:sz w:val="12"/>
                <w:szCs w:val="12"/>
                <w:color w:val="auto"/>
              </w:rPr>
            </w:pP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MA-NH</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Beyond / Christmas Tree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Shops / Kmart / Staples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Sports Authority / 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Chelsea Commons</w:t>
            </w:r>
          </w:p>
        </w:tc>
        <w:tc>
          <w:tcPr>
            <w:tcW w:w="3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Boston-Cambridge-Quincy,</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2006-2008</w:t>
            </w:r>
          </w:p>
        </w:tc>
        <w:tc>
          <w:tcPr>
            <w:tcW w:w="940" w:type="dxa"/>
            <w:vAlign w:val="bottom"/>
            <w:gridSpan w:val="4"/>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30,486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8" w:lineRule="exact"/>
              <w:rPr>
                <w:sz w:val="20"/>
                <w:szCs w:val="20"/>
                <w:color w:val="auto"/>
              </w:rPr>
            </w:pPr>
            <w:r>
              <w:rPr>
                <w:rFonts w:ascii="Arial" w:cs="Arial" w:eastAsia="Arial" w:hAnsi="Arial"/>
                <w:sz w:val="14"/>
                <w:szCs w:val="14"/>
                <w:color w:val="auto"/>
              </w:rPr>
              <w:t>7,833</w:t>
            </w: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222,000</w:t>
            </w:r>
          </w:p>
        </w:tc>
        <w:tc>
          <w:tcPr>
            <w:tcW w:w="8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6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16,000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Sav-A-Lot</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Home Depot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tcPr>
          <w:p>
            <w:pPr>
              <w:spacing w:after="0" w:line="138" w:lineRule="exact"/>
              <w:rPr>
                <w:sz w:val="20"/>
                <w:szCs w:val="20"/>
                <w:color w:val="auto"/>
              </w:rPr>
            </w:pPr>
            <w:r>
              <w:rPr>
                <w:rFonts w:ascii="Arial" w:cs="Arial" w:eastAsia="Arial" w:hAnsi="Arial"/>
                <w:sz w:val="14"/>
                <w:szCs w:val="14"/>
                <w:color w:val="auto"/>
              </w:rPr>
              <w:t>Dedham Plaza</w:t>
            </w:r>
          </w:p>
        </w:tc>
        <w:tc>
          <w:tcPr>
            <w:tcW w:w="380" w:type="dxa"/>
            <w:vAlign w:val="bottom"/>
          </w:tcPr>
          <w:p>
            <w:pPr>
              <w:spacing w:after="0"/>
              <w:rPr>
                <w:sz w:val="11"/>
                <w:szCs w:val="11"/>
                <w:color w:val="auto"/>
              </w:rPr>
            </w:pPr>
          </w:p>
        </w:tc>
        <w:tc>
          <w:tcPr>
            <w:tcW w:w="1620" w:type="dxa"/>
            <w:vAlign w:val="bottom"/>
          </w:tcPr>
          <w:p>
            <w:pPr>
              <w:spacing w:after="0" w:line="138" w:lineRule="exact"/>
              <w:rPr>
                <w:sz w:val="20"/>
                <w:szCs w:val="20"/>
                <w:color w:val="auto"/>
              </w:rPr>
            </w:pPr>
            <w:r>
              <w:rPr>
                <w:rFonts w:ascii="Arial" w:cs="Arial" w:eastAsia="Arial" w:hAnsi="Arial"/>
                <w:sz w:val="14"/>
                <w:szCs w:val="14"/>
                <w:color w:val="auto"/>
                <w:w w:val="94"/>
              </w:rPr>
              <w:t>Boston-Cambridge-Quincy,</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1993</w:t>
            </w:r>
          </w:p>
        </w:tc>
        <w:tc>
          <w:tcPr>
            <w:tcW w:w="940" w:type="dxa"/>
            <w:vAlign w:val="bottom"/>
            <w:gridSpan w:val="4"/>
          </w:tcPr>
          <w:p>
            <w:pPr>
              <w:jc w:val="right"/>
              <w:ind w:right="20"/>
              <w:spacing w:after="0" w:line="138" w:lineRule="exact"/>
              <w:rPr>
                <w:sz w:val="20"/>
                <w:szCs w:val="20"/>
                <w:color w:val="auto"/>
              </w:rPr>
            </w:pPr>
            <w:r>
              <w:rPr>
                <w:rFonts w:ascii="Arial" w:cs="Arial" w:eastAsia="Arial" w:hAnsi="Arial"/>
                <w:sz w:val="14"/>
                <w:szCs w:val="14"/>
                <w:color w:val="auto"/>
              </w:rPr>
              <w:t>32,683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244,000</w:t>
            </w:r>
          </w:p>
        </w:tc>
        <w:tc>
          <w:tcPr>
            <w:tcW w:w="8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93%</w:t>
            </w:r>
          </w:p>
        </w:tc>
        <w:tc>
          <w:tcPr>
            <w:tcW w:w="6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80,000</w:t>
            </w:r>
          </w:p>
        </w:tc>
        <w:tc>
          <w:tcPr>
            <w:tcW w:w="840" w:type="dxa"/>
            <w:vAlign w:val="bottom"/>
          </w:tcPr>
          <w:p>
            <w:pPr>
              <w:spacing w:after="0" w:line="138" w:lineRule="exact"/>
              <w:rPr>
                <w:sz w:val="20"/>
                <w:szCs w:val="20"/>
                <w:color w:val="auto"/>
              </w:rPr>
            </w:pPr>
            <w:r>
              <w:rPr>
                <w:rFonts w:ascii="Arial" w:cs="Arial" w:eastAsia="Arial" w:hAnsi="Arial"/>
                <w:sz w:val="14"/>
                <w:szCs w:val="14"/>
                <w:color w:val="auto"/>
              </w:rPr>
              <w:t>Star Market</w:t>
            </w:r>
          </w:p>
        </w:tc>
        <w:tc>
          <w:tcPr>
            <w:tcW w:w="8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Linden Square</w:t>
            </w:r>
          </w:p>
        </w:tc>
        <w:tc>
          <w:tcPr>
            <w:tcW w:w="3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Boston-Cambridge-Quincy,</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2006</w:t>
            </w:r>
          </w:p>
        </w:tc>
        <w:tc>
          <w:tcPr>
            <w:tcW w:w="940" w:type="dxa"/>
            <w:vAlign w:val="bottom"/>
            <w:gridSpan w:val="4"/>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143,596</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218,000</w:t>
            </w:r>
          </w:p>
        </w:tc>
        <w:tc>
          <w:tcPr>
            <w:tcW w:w="8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91%</w:t>
            </w:r>
          </w:p>
        </w:tc>
        <w:tc>
          <w:tcPr>
            <w:tcW w:w="6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50,000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Roche</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MA-NH</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Brothers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4"/>
              </w:rPr>
              <w:t>Supermarkets</w:t>
            </w: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tcPr>
          <w:p>
            <w:pPr>
              <w:spacing w:after="0" w:line="138" w:lineRule="exact"/>
              <w:rPr>
                <w:sz w:val="20"/>
                <w:szCs w:val="20"/>
                <w:color w:val="auto"/>
              </w:rPr>
            </w:pPr>
            <w:r>
              <w:rPr>
                <w:rFonts w:ascii="Arial" w:cs="Arial" w:eastAsia="Arial" w:hAnsi="Arial"/>
                <w:sz w:val="14"/>
                <w:szCs w:val="14"/>
                <w:color w:val="auto"/>
              </w:rPr>
              <w:t>Newbury Street</w:t>
            </w:r>
          </w:p>
        </w:tc>
        <w:tc>
          <w:tcPr>
            <w:tcW w:w="2000" w:type="dxa"/>
            <w:vAlign w:val="bottom"/>
            <w:gridSpan w:val="2"/>
          </w:tcPr>
          <w:p>
            <w:pPr>
              <w:ind w:left="60"/>
              <w:spacing w:after="0" w:line="138" w:lineRule="exact"/>
              <w:rPr>
                <w:sz w:val="20"/>
                <w:szCs w:val="20"/>
                <w:color w:val="auto"/>
              </w:rPr>
            </w:pPr>
            <w:r>
              <w:rPr>
                <w:rFonts w:ascii="Arial" w:cs="Arial" w:eastAsia="Arial" w:hAnsi="Arial"/>
                <w:sz w:val="14"/>
                <w:szCs w:val="14"/>
                <w:color w:val="auto"/>
                <w:w w:val="95"/>
              </w:rPr>
              <w:t>(10)  Boston-Cambridge-Quincy,</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2010</w:t>
            </w:r>
          </w:p>
        </w:tc>
        <w:tc>
          <w:tcPr>
            <w:tcW w:w="940" w:type="dxa"/>
            <w:vAlign w:val="bottom"/>
            <w:gridSpan w:val="4"/>
          </w:tcPr>
          <w:p>
            <w:pPr>
              <w:jc w:val="right"/>
              <w:ind w:right="20"/>
              <w:spacing w:after="0" w:line="138" w:lineRule="exact"/>
              <w:rPr>
                <w:sz w:val="20"/>
                <w:szCs w:val="20"/>
                <w:color w:val="auto"/>
              </w:rPr>
            </w:pPr>
            <w:r>
              <w:rPr>
                <w:rFonts w:ascii="Arial" w:cs="Arial" w:eastAsia="Arial" w:hAnsi="Arial"/>
                <w:sz w:val="14"/>
                <w:szCs w:val="14"/>
                <w:color w:val="auto"/>
              </w:rPr>
              <w:t>17,171</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32,000</w:t>
            </w:r>
          </w:p>
        </w:tc>
        <w:tc>
          <w:tcPr>
            <w:tcW w:w="8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42%</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w w:val="92"/>
              </w:rPr>
              <w:t>Pierre Deux / Jonathan Adler</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North Dartmouth</w:t>
            </w:r>
          </w:p>
        </w:tc>
        <w:tc>
          <w:tcPr>
            <w:tcW w:w="3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Boston-Cambridge-Quincy,</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2006</w:t>
            </w:r>
          </w:p>
        </w:tc>
        <w:tc>
          <w:tcPr>
            <w:tcW w:w="940" w:type="dxa"/>
            <w:vAlign w:val="bottom"/>
            <w:gridSpan w:val="4"/>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9,368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48,000</w:t>
            </w:r>
          </w:p>
        </w:tc>
        <w:tc>
          <w:tcPr>
            <w:tcW w:w="8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6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48,000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Stop &amp; Shop</w:t>
            </w:r>
          </w:p>
        </w:tc>
        <w:tc>
          <w:tcPr>
            <w:tcW w:w="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tcPr>
          <w:p>
            <w:pPr>
              <w:spacing w:after="0" w:line="138" w:lineRule="exact"/>
              <w:rPr>
                <w:sz w:val="20"/>
                <w:szCs w:val="20"/>
                <w:color w:val="auto"/>
              </w:rPr>
            </w:pPr>
            <w:r>
              <w:rPr>
                <w:rFonts w:ascii="Arial" w:cs="Arial" w:eastAsia="Arial" w:hAnsi="Arial"/>
                <w:sz w:val="14"/>
                <w:szCs w:val="14"/>
                <w:color w:val="auto"/>
              </w:rPr>
              <w:t>Queen Anne Plaza</w:t>
            </w:r>
          </w:p>
        </w:tc>
        <w:tc>
          <w:tcPr>
            <w:tcW w:w="380" w:type="dxa"/>
            <w:vAlign w:val="bottom"/>
          </w:tcPr>
          <w:p>
            <w:pPr>
              <w:spacing w:after="0"/>
              <w:rPr>
                <w:sz w:val="11"/>
                <w:szCs w:val="11"/>
                <w:color w:val="auto"/>
              </w:rPr>
            </w:pPr>
          </w:p>
        </w:tc>
        <w:tc>
          <w:tcPr>
            <w:tcW w:w="1620" w:type="dxa"/>
            <w:vAlign w:val="bottom"/>
          </w:tcPr>
          <w:p>
            <w:pPr>
              <w:spacing w:after="0" w:line="138" w:lineRule="exact"/>
              <w:rPr>
                <w:sz w:val="20"/>
                <w:szCs w:val="20"/>
                <w:color w:val="auto"/>
              </w:rPr>
            </w:pPr>
            <w:r>
              <w:rPr>
                <w:rFonts w:ascii="Arial" w:cs="Arial" w:eastAsia="Arial" w:hAnsi="Arial"/>
                <w:sz w:val="14"/>
                <w:szCs w:val="14"/>
                <w:color w:val="auto"/>
                <w:w w:val="94"/>
              </w:rPr>
              <w:t>Boston-Cambridge-Quincy,</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1994</w:t>
            </w:r>
          </w:p>
        </w:tc>
        <w:tc>
          <w:tcPr>
            <w:tcW w:w="940" w:type="dxa"/>
            <w:vAlign w:val="bottom"/>
            <w:gridSpan w:val="4"/>
          </w:tcPr>
          <w:p>
            <w:pPr>
              <w:jc w:val="right"/>
              <w:ind w:right="20"/>
              <w:spacing w:after="0" w:line="138" w:lineRule="exact"/>
              <w:rPr>
                <w:sz w:val="20"/>
                <w:szCs w:val="20"/>
                <w:color w:val="auto"/>
              </w:rPr>
            </w:pPr>
            <w:r>
              <w:rPr>
                <w:rFonts w:ascii="Arial" w:cs="Arial" w:eastAsia="Arial" w:hAnsi="Arial"/>
                <w:sz w:val="14"/>
                <w:szCs w:val="14"/>
                <w:color w:val="auto"/>
              </w:rPr>
              <w:t>15,658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149,000</w:t>
            </w:r>
          </w:p>
        </w:tc>
        <w:tc>
          <w:tcPr>
            <w:tcW w:w="8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6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rPr>
              <w:t>50,000</w:t>
            </w:r>
          </w:p>
        </w:tc>
        <w:tc>
          <w:tcPr>
            <w:tcW w:w="840" w:type="dxa"/>
            <w:vAlign w:val="bottom"/>
          </w:tcPr>
          <w:p>
            <w:pPr>
              <w:spacing w:after="0" w:line="138" w:lineRule="exact"/>
              <w:rPr>
                <w:sz w:val="20"/>
                <w:szCs w:val="20"/>
                <w:color w:val="auto"/>
              </w:rPr>
            </w:pPr>
            <w:r>
              <w:rPr>
                <w:rFonts w:ascii="Arial" w:cs="Arial" w:eastAsia="Arial" w:hAnsi="Arial"/>
                <w:sz w:val="14"/>
                <w:szCs w:val="14"/>
                <w:color w:val="auto"/>
              </w:rPr>
              <w:t>Hannaford</w:t>
            </w: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Saugus Plaza</w:t>
            </w:r>
          </w:p>
        </w:tc>
        <w:tc>
          <w:tcPr>
            <w:tcW w:w="3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4"/>
              </w:rPr>
              <w:t>Boston-Cambridge-Quincy,</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1996</w:t>
            </w:r>
          </w:p>
        </w:tc>
        <w:tc>
          <w:tcPr>
            <w:tcW w:w="940" w:type="dxa"/>
            <w:vAlign w:val="bottom"/>
            <w:gridSpan w:val="4"/>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13,635</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170,000</w:t>
            </w:r>
          </w:p>
        </w:tc>
        <w:tc>
          <w:tcPr>
            <w:tcW w:w="8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92%</w:t>
            </w:r>
          </w:p>
        </w:tc>
        <w:tc>
          <w:tcPr>
            <w:tcW w:w="6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55,000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Super Stop &amp;</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Kmart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MA-NH</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tcBorders>
              <w:bottom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Shop</w:t>
            </w:r>
          </w:p>
        </w:tc>
        <w:tc>
          <w:tcPr>
            <w:tcW w:w="80" w:type="dxa"/>
            <w:vAlign w:val="bottom"/>
            <w:shd w:val="clear" w:color="auto" w:fill="CCEEFF"/>
          </w:tcPr>
          <w:p>
            <w:pPr>
              <w:spacing w:after="0"/>
              <w:rPr>
                <w:sz w:val="13"/>
                <w:szCs w:val="13"/>
                <w:color w:val="auto"/>
              </w:rPr>
            </w:pPr>
          </w:p>
        </w:tc>
        <w:tc>
          <w:tcPr>
            <w:tcW w:w="16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jc w:val="right"/>
              <w:ind w:right="32"/>
              <w:spacing w:after="0"/>
              <w:rPr>
                <w:sz w:val="20"/>
                <w:szCs w:val="20"/>
                <w:color w:val="auto"/>
              </w:rPr>
            </w:pPr>
            <w:r>
              <w:rPr>
                <w:rFonts w:ascii="Arial" w:cs="Arial" w:eastAsia="Arial" w:hAnsi="Arial"/>
                <w:sz w:val="14"/>
                <w:szCs w:val="14"/>
                <w:color w:val="auto"/>
              </w:rPr>
              <w:t>(11)</w:t>
            </w:r>
          </w:p>
        </w:tc>
        <w:tc>
          <w:tcPr>
            <w:tcW w:w="1620" w:type="dxa"/>
            <w:vAlign w:val="bottom"/>
          </w:tcPr>
          <w:p>
            <w:pPr>
              <w:spacing w:after="0"/>
              <w:rPr>
                <w:sz w:val="20"/>
                <w:szCs w:val="20"/>
                <w:color w:val="auto"/>
              </w:rPr>
            </w:pPr>
            <w:r>
              <w:rPr>
                <w:rFonts w:ascii="Arial" w:cs="Arial" w:eastAsia="Arial" w:hAnsi="Arial"/>
                <w:sz w:val="14"/>
                <w:szCs w:val="14"/>
                <w:b w:val="1"/>
                <w:bCs w:val="1"/>
                <w:color w:val="auto"/>
              </w:rPr>
              <w:t>Total New England</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40" w:type="dxa"/>
            <w:vAlign w:val="bottom"/>
            <w:gridSpan w:val="4"/>
          </w:tcPr>
          <w:p>
            <w:pPr>
              <w:jc w:val="right"/>
              <w:ind w:right="20"/>
              <w:spacing w:after="0"/>
              <w:rPr>
                <w:sz w:val="20"/>
                <w:szCs w:val="20"/>
                <w:color w:val="auto"/>
              </w:rPr>
            </w:pPr>
            <w:r>
              <w:rPr>
                <w:rFonts w:ascii="Arial" w:cs="Arial" w:eastAsia="Arial" w:hAnsi="Arial"/>
                <w:sz w:val="14"/>
                <w:szCs w:val="14"/>
                <w:color w:val="auto"/>
              </w:rPr>
              <w:t>435,181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1,383,000</w:t>
            </w:r>
          </w:p>
        </w:tc>
        <w:tc>
          <w:tcPr>
            <w:tcW w:w="820" w:type="dxa"/>
            <w:vAlign w:val="bottom"/>
            <w:gridSpan w:val="3"/>
          </w:tcPr>
          <w:p>
            <w:pPr>
              <w:jc w:val="right"/>
              <w:ind w:right="160"/>
              <w:spacing w:after="0"/>
              <w:rPr>
                <w:sz w:val="20"/>
                <w:szCs w:val="20"/>
                <w:color w:val="auto"/>
              </w:rPr>
            </w:pPr>
            <w:r>
              <w:rPr>
                <w:rFonts w:ascii="Arial" w:cs="Arial" w:eastAsia="Arial" w:hAnsi="Arial"/>
                <w:sz w:val="14"/>
                <w:szCs w:val="14"/>
                <w:color w:val="auto"/>
              </w:rPr>
              <w:t>96%</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580" w:type="dxa"/>
            <w:vAlign w:val="bottom"/>
            <w:tcBorders>
              <w:bottom w:val="single" w:sz="8" w:color="auto"/>
            </w:tcBorders>
            <w:gridSpan w:val="3"/>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6"/>
              </w:rPr>
              <w:t>Baltimore</w:t>
            </w:r>
          </w:p>
        </w:tc>
        <w:tc>
          <w:tcPr>
            <w:tcW w:w="1200" w:type="dxa"/>
            <w:vAlign w:val="bottom"/>
            <w:tcBorders>
              <w:bottom w:val="single" w:sz="8" w:color="CCEEFF"/>
            </w:tcBorders>
            <w:gridSpan w:val="3"/>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gridSpan w:val="7"/>
          </w:tcPr>
          <w:p>
            <w:pPr>
              <w:spacing w:after="0" w:line="131" w:lineRule="exact"/>
              <w:rPr>
                <w:sz w:val="20"/>
                <w:szCs w:val="20"/>
                <w:color w:val="auto"/>
              </w:rPr>
            </w:pPr>
            <w:r>
              <w:rPr>
                <w:rFonts w:ascii="Arial" w:cs="Arial" w:eastAsia="Arial" w:hAnsi="Arial"/>
                <w:sz w:val="14"/>
                <w:szCs w:val="14"/>
                <w:color w:val="auto"/>
              </w:rPr>
              <w:t>Governor Plaza</w:t>
            </w:r>
          </w:p>
        </w:tc>
        <w:tc>
          <w:tcPr>
            <w:tcW w:w="380" w:type="dxa"/>
            <w:vAlign w:val="bottom"/>
          </w:tcPr>
          <w:p>
            <w:pPr>
              <w:spacing w:after="0"/>
              <w:rPr>
                <w:sz w:val="11"/>
                <w:szCs w:val="11"/>
                <w:color w:val="auto"/>
              </w:rPr>
            </w:pPr>
          </w:p>
        </w:tc>
        <w:tc>
          <w:tcPr>
            <w:tcW w:w="1620" w:type="dxa"/>
            <w:vAlign w:val="bottom"/>
          </w:tcPr>
          <w:p>
            <w:pPr>
              <w:spacing w:after="0" w:line="131" w:lineRule="exact"/>
              <w:rPr>
                <w:sz w:val="20"/>
                <w:szCs w:val="20"/>
                <w:color w:val="auto"/>
              </w:rPr>
            </w:pPr>
            <w:r>
              <w:rPr>
                <w:rFonts w:ascii="Arial" w:cs="Arial" w:eastAsia="Arial" w:hAnsi="Arial"/>
                <w:sz w:val="14"/>
                <w:szCs w:val="14"/>
                <w:color w:val="auto"/>
              </w:rPr>
              <w:t>Baltimore, MD</w:t>
            </w:r>
          </w:p>
        </w:tc>
        <w:tc>
          <w:tcPr>
            <w:tcW w:w="7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1985</w:t>
            </w:r>
          </w:p>
        </w:tc>
        <w:tc>
          <w:tcPr>
            <w:tcW w:w="940" w:type="dxa"/>
            <w:vAlign w:val="bottom"/>
            <w:gridSpan w:val="4"/>
          </w:tcPr>
          <w:p>
            <w:pPr>
              <w:jc w:val="right"/>
              <w:ind w:right="20"/>
              <w:spacing w:after="0" w:line="131" w:lineRule="exact"/>
              <w:rPr>
                <w:sz w:val="20"/>
                <w:szCs w:val="20"/>
                <w:color w:val="auto"/>
              </w:rPr>
            </w:pPr>
            <w:r>
              <w:rPr>
                <w:rFonts w:ascii="Arial" w:cs="Arial" w:eastAsia="Arial" w:hAnsi="Arial"/>
                <w:sz w:val="14"/>
                <w:szCs w:val="14"/>
                <w:color w:val="auto"/>
              </w:rPr>
              <w:t>24,099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267,000</w:t>
            </w:r>
          </w:p>
        </w:tc>
        <w:tc>
          <w:tcPr>
            <w:tcW w:w="820" w:type="dxa"/>
            <w:vAlign w:val="bottom"/>
            <w:gridSpan w:val="3"/>
          </w:tcPr>
          <w:p>
            <w:pPr>
              <w:jc w:val="right"/>
              <w:ind w:right="160"/>
              <w:spacing w:after="0" w:line="131" w:lineRule="exact"/>
              <w:rPr>
                <w:sz w:val="20"/>
                <w:szCs w:val="20"/>
                <w:color w:val="auto"/>
              </w:rPr>
            </w:pPr>
            <w:r>
              <w:rPr>
                <w:rFonts w:ascii="Arial" w:cs="Arial" w:eastAsia="Arial" w:hAnsi="Arial"/>
                <w:sz w:val="14"/>
                <w:szCs w:val="14"/>
                <w:color w:val="auto"/>
              </w:rPr>
              <w:t>100%</w:t>
            </w:r>
          </w:p>
        </w:tc>
        <w:tc>
          <w:tcPr>
            <w:tcW w:w="620" w:type="dxa"/>
            <w:vAlign w:val="bottom"/>
            <w:gridSpan w:val="2"/>
          </w:tcPr>
          <w:p>
            <w:pPr>
              <w:jc w:val="right"/>
              <w:ind w:right="140"/>
              <w:spacing w:after="0" w:line="131" w:lineRule="exact"/>
              <w:rPr>
                <w:sz w:val="20"/>
                <w:szCs w:val="20"/>
                <w:color w:val="auto"/>
              </w:rPr>
            </w:pPr>
            <w:r>
              <w:rPr>
                <w:rFonts w:ascii="Arial" w:cs="Arial" w:eastAsia="Arial" w:hAnsi="Arial"/>
                <w:sz w:val="14"/>
                <w:szCs w:val="14"/>
                <w:color w:val="auto"/>
              </w:rPr>
              <w:t>16,500</w:t>
            </w:r>
          </w:p>
        </w:tc>
        <w:tc>
          <w:tcPr>
            <w:tcW w:w="840" w:type="dxa"/>
            <w:vAlign w:val="bottom"/>
          </w:tcPr>
          <w:p>
            <w:pPr>
              <w:spacing w:after="0" w:line="131" w:lineRule="exact"/>
              <w:rPr>
                <w:sz w:val="20"/>
                <w:szCs w:val="20"/>
                <w:color w:val="auto"/>
              </w:rPr>
            </w:pPr>
            <w:r>
              <w:rPr>
                <w:rFonts w:ascii="Arial" w:cs="Arial" w:eastAsia="Arial" w:hAnsi="Arial"/>
                <w:sz w:val="14"/>
                <w:szCs w:val="14"/>
                <w:color w:val="auto"/>
              </w:rPr>
              <w:t>Aldi</w:t>
            </w:r>
          </w:p>
        </w:tc>
        <w:tc>
          <w:tcPr>
            <w:tcW w:w="1760" w:type="dxa"/>
            <w:vAlign w:val="bottom"/>
            <w:gridSpan w:val="2"/>
          </w:tcPr>
          <w:p>
            <w:pPr>
              <w:ind w:left="80"/>
              <w:spacing w:after="0" w:line="131" w:lineRule="exact"/>
              <w:rPr>
                <w:sz w:val="20"/>
                <w:szCs w:val="20"/>
                <w:color w:val="auto"/>
              </w:rPr>
            </w:pPr>
            <w:r>
              <w:rPr>
                <w:rFonts w:ascii="Arial" w:cs="Arial" w:eastAsia="Arial" w:hAnsi="Arial"/>
                <w:sz w:val="14"/>
                <w:szCs w:val="14"/>
                <w:color w:val="auto"/>
              </w:rPr>
              <w:t>Bally Total Fitness / Office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Depot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Perring Plaza</w:t>
            </w:r>
          </w:p>
        </w:tc>
        <w:tc>
          <w:tcPr>
            <w:tcW w:w="3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Baltimore, MD</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1985</w:t>
            </w:r>
          </w:p>
        </w:tc>
        <w:tc>
          <w:tcPr>
            <w:tcW w:w="940" w:type="dxa"/>
            <w:vAlign w:val="bottom"/>
            <w:gridSpan w:val="4"/>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27,128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401,000</w:t>
            </w:r>
          </w:p>
        </w:tc>
        <w:tc>
          <w:tcPr>
            <w:tcW w:w="8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98%</w:t>
            </w:r>
          </w:p>
        </w:tc>
        <w:tc>
          <w:tcPr>
            <w:tcW w:w="6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58,000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5"/>
              </w:rPr>
              <w:t>Shoppers Food</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w w:val="88"/>
              </w:rPr>
              <w:t>Home Depot / Burlington Coat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Warehouse</w:t>
            </w: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Factory / Jo-Ann Stores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tcPr>
          <w:p>
            <w:pPr>
              <w:spacing w:after="0" w:line="138" w:lineRule="exact"/>
              <w:rPr>
                <w:sz w:val="20"/>
                <w:szCs w:val="20"/>
                <w:color w:val="auto"/>
              </w:rPr>
            </w:pPr>
            <w:r>
              <w:rPr>
                <w:rFonts w:ascii="Arial" w:cs="Arial" w:eastAsia="Arial" w:hAnsi="Arial"/>
                <w:sz w:val="14"/>
                <w:szCs w:val="14"/>
                <w:color w:val="auto"/>
              </w:rPr>
              <w:t>THE AVENUE at White Marsh</w:t>
            </w:r>
          </w:p>
        </w:tc>
        <w:tc>
          <w:tcPr>
            <w:tcW w:w="380" w:type="dxa"/>
            <w:vAlign w:val="bottom"/>
          </w:tcPr>
          <w:p>
            <w:pPr>
              <w:jc w:val="right"/>
              <w:ind w:right="32"/>
              <w:spacing w:after="0" w:line="138" w:lineRule="exact"/>
              <w:rPr>
                <w:sz w:val="20"/>
                <w:szCs w:val="20"/>
                <w:color w:val="auto"/>
              </w:rPr>
            </w:pPr>
            <w:r>
              <w:rPr>
                <w:rFonts w:ascii="Arial" w:cs="Arial" w:eastAsia="Arial" w:hAnsi="Arial"/>
                <w:sz w:val="14"/>
                <w:szCs w:val="14"/>
                <w:color w:val="auto"/>
              </w:rPr>
              <w:t>(12)</w:t>
            </w:r>
          </w:p>
        </w:tc>
        <w:tc>
          <w:tcPr>
            <w:tcW w:w="1620" w:type="dxa"/>
            <w:vAlign w:val="bottom"/>
          </w:tcPr>
          <w:p>
            <w:pPr>
              <w:spacing w:after="0" w:line="138" w:lineRule="exact"/>
              <w:rPr>
                <w:sz w:val="20"/>
                <w:szCs w:val="20"/>
                <w:color w:val="auto"/>
              </w:rPr>
            </w:pPr>
            <w:r>
              <w:rPr>
                <w:rFonts w:ascii="Arial" w:cs="Arial" w:eastAsia="Arial" w:hAnsi="Arial"/>
                <w:sz w:val="14"/>
                <w:szCs w:val="14"/>
                <w:color w:val="auto"/>
              </w:rPr>
              <w:t>Baltimore, MD</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2007</w:t>
            </w:r>
          </w:p>
        </w:tc>
        <w:tc>
          <w:tcPr>
            <w:tcW w:w="940" w:type="dxa"/>
            <w:vAlign w:val="bottom"/>
            <w:gridSpan w:val="4"/>
          </w:tcPr>
          <w:p>
            <w:pPr>
              <w:jc w:val="right"/>
              <w:ind w:right="20"/>
              <w:spacing w:after="0" w:line="138" w:lineRule="exact"/>
              <w:rPr>
                <w:sz w:val="20"/>
                <w:szCs w:val="20"/>
                <w:color w:val="auto"/>
              </w:rPr>
            </w:pPr>
            <w:r>
              <w:rPr>
                <w:rFonts w:ascii="Arial" w:cs="Arial" w:eastAsia="Arial" w:hAnsi="Arial"/>
                <w:sz w:val="14"/>
                <w:szCs w:val="14"/>
                <w:color w:val="auto"/>
              </w:rPr>
              <w:t>95,328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8" w:lineRule="exact"/>
              <w:rPr>
                <w:sz w:val="20"/>
                <w:szCs w:val="20"/>
                <w:color w:val="auto"/>
              </w:rPr>
            </w:pPr>
            <w:r>
              <w:rPr>
                <w:rFonts w:ascii="Arial" w:cs="Arial" w:eastAsia="Arial" w:hAnsi="Arial"/>
                <w:sz w:val="14"/>
                <w:szCs w:val="14"/>
                <w:color w:val="auto"/>
              </w:rPr>
              <w:t>58,093</w:t>
            </w: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298,000</w:t>
            </w:r>
          </w:p>
        </w:tc>
        <w:tc>
          <w:tcPr>
            <w:tcW w:w="8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AMC Loews / Old Navy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96"/>
              </w:rPr>
              <w:t>Barnes &amp; Noble / AC Moore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w w:val="87"/>
              </w:rPr>
              <w:t>The Shoppes at Nottingham Square</w:t>
            </w:r>
          </w:p>
        </w:tc>
        <w:tc>
          <w:tcPr>
            <w:tcW w:w="3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9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27,569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53,000</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tcPr>
          <w:p>
            <w:pPr>
              <w:spacing w:after="0" w:line="149" w:lineRule="exact"/>
              <w:rPr>
                <w:sz w:val="20"/>
                <w:szCs w:val="20"/>
                <w:color w:val="auto"/>
              </w:rPr>
            </w:pPr>
            <w:r>
              <w:rPr>
                <w:rFonts w:ascii="Arial" w:cs="Arial" w:eastAsia="Arial" w:hAnsi="Arial"/>
                <w:sz w:val="14"/>
                <w:szCs w:val="14"/>
                <w:color w:val="auto"/>
              </w:rPr>
              <w:t>White Marsh Plaza</w:t>
            </w:r>
          </w:p>
        </w:tc>
        <w:tc>
          <w:tcPr>
            <w:tcW w:w="380" w:type="dxa"/>
            <w:vAlign w:val="bottom"/>
          </w:tcPr>
          <w:p>
            <w:pPr>
              <w:spacing w:after="0"/>
              <w:rPr>
                <w:sz w:val="12"/>
                <w:szCs w:val="12"/>
                <w:color w:val="auto"/>
              </w:rPr>
            </w:pP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Baltimore, MD</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2007</w:t>
            </w:r>
          </w:p>
        </w:tc>
        <w:tc>
          <w:tcPr>
            <w:tcW w:w="9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25,021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9,651</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80,000</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54,000</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White Marsh Other</w:t>
            </w:r>
          </w:p>
        </w:tc>
        <w:tc>
          <w:tcPr>
            <w:tcW w:w="3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Baltimore, MD</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100" w:type="dxa"/>
            <w:vAlign w:val="bottom"/>
            <w:gridSpan w:val="2"/>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28,860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49,000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Total Baltimore</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228,005</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1,148,000</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99%</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auto"/>
            </w:tcBorders>
            <w:gridSpan w:val="2"/>
            <w:shd w:val="clear" w:color="auto" w:fill="CCEEFF"/>
          </w:tcPr>
          <w:p>
            <w:pPr>
              <w:spacing w:after="0" w:line="135" w:lineRule="exact"/>
              <w:rPr>
                <w:sz w:val="20"/>
                <w:szCs w:val="20"/>
                <w:color w:val="auto"/>
              </w:rPr>
            </w:pPr>
            <w:r>
              <w:rPr>
                <w:rFonts w:ascii="Arial" w:cs="Arial" w:eastAsia="Arial" w:hAnsi="Arial"/>
                <w:sz w:val="14"/>
                <w:szCs w:val="14"/>
                <w:b w:val="1"/>
                <w:bCs w:val="1"/>
                <w:color w:val="auto"/>
                <w:w w:val="83"/>
              </w:rPr>
              <w:t>Chicago</w:t>
            </w:r>
          </w:p>
        </w:tc>
        <w:tc>
          <w:tcPr>
            <w:tcW w:w="1300" w:type="dxa"/>
            <w:vAlign w:val="bottom"/>
            <w:tcBorders>
              <w:bottom w:val="single" w:sz="8" w:color="CCEEFF"/>
            </w:tcBorders>
            <w:gridSpan w:val="4"/>
            <w:shd w:val="clear" w:color="auto" w:fill="CCEEFF"/>
          </w:tcPr>
          <w:p>
            <w:pPr>
              <w:spacing w:after="0"/>
              <w:rPr>
                <w:sz w:val="11"/>
                <w:szCs w:val="11"/>
                <w:color w:val="auto"/>
              </w:rPr>
            </w:pPr>
          </w:p>
        </w:tc>
        <w:tc>
          <w:tcPr>
            <w:tcW w:w="380" w:type="dxa"/>
            <w:vAlign w:val="bottom"/>
            <w:tcBorders>
              <w:bottom w:val="single" w:sz="8" w:color="CCEEFF"/>
            </w:tcBorders>
            <w:shd w:val="clear" w:color="auto" w:fill="CCEEFF"/>
          </w:tcPr>
          <w:p>
            <w:pPr>
              <w:spacing w:after="0"/>
              <w:rPr>
                <w:sz w:val="11"/>
                <w:szCs w:val="11"/>
                <w:color w:val="auto"/>
              </w:rPr>
            </w:pPr>
          </w:p>
        </w:tc>
        <w:tc>
          <w:tcPr>
            <w:tcW w:w="1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6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120" w:type="dxa"/>
            <w:vAlign w:val="bottom"/>
            <w:tcBorders>
              <w:bottom w:val="single" w:sz="8" w:color="CCEEFF"/>
            </w:tcBorders>
            <w:shd w:val="clear" w:color="auto" w:fill="CCEEFF"/>
          </w:tcPr>
          <w:p>
            <w:pPr>
              <w:spacing w:after="0"/>
              <w:rPr>
                <w:sz w:val="11"/>
                <w:szCs w:val="11"/>
                <w:color w:val="auto"/>
              </w:rPr>
            </w:pPr>
          </w:p>
        </w:tc>
        <w:tc>
          <w:tcPr>
            <w:tcW w:w="100" w:type="dxa"/>
            <w:vAlign w:val="bottom"/>
            <w:tcBorders>
              <w:bottom w:val="single" w:sz="8" w:color="CCEEFF"/>
            </w:tcBorders>
            <w:shd w:val="clear" w:color="auto" w:fill="CCEEFF"/>
          </w:tcPr>
          <w:p>
            <w:pPr>
              <w:spacing w:after="0"/>
              <w:rPr>
                <w:sz w:val="11"/>
                <w:szCs w:val="11"/>
                <w:color w:val="auto"/>
              </w:rPr>
            </w:pPr>
          </w:p>
        </w:tc>
        <w:tc>
          <w:tcPr>
            <w:tcW w:w="72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640" w:type="dxa"/>
            <w:vAlign w:val="bottom"/>
            <w:tcBorders>
              <w:bottom w:val="single" w:sz="8" w:color="CCEEFF"/>
            </w:tcBorders>
            <w:shd w:val="clear" w:color="auto" w:fill="CCEEFF"/>
          </w:tcPr>
          <w:p>
            <w:pPr>
              <w:spacing w:after="0"/>
              <w:rPr>
                <w:sz w:val="11"/>
                <w:szCs w:val="11"/>
                <w:color w:val="auto"/>
              </w:rPr>
            </w:pPr>
          </w:p>
        </w:tc>
        <w:tc>
          <w:tcPr>
            <w:tcW w:w="160" w:type="dxa"/>
            <w:vAlign w:val="bottom"/>
            <w:tcBorders>
              <w:bottom w:val="single" w:sz="8" w:color="CCEEFF"/>
            </w:tcBorders>
            <w:shd w:val="clear" w:color="auto" w:fill="CCEEFF"/>
          </w:tcPr>
          <w:p>
            <w:pPr>
              <w:spacing w:after="0"/>
              <w:rPr>
                <w:sz w:val="11"/>
                <w:szCs w:val="11"/>
                <w:color w:val="auto"/>
              </w:rPr>
            </w:pPr>
          </w:p>
        </w:tc>
        <w:tc>
          <w:tcPr>
            <w:tcW w:w="400" w:type="dxa"/>
            <w:vAlign w:val="bottom"/>
            <w:tcBorders>
              <w:bottom w:val="single" w:sz="8" w:color="CCEEFF"/>
            </w:tcBorders>
            <w:shd w:val="clear" w:color="auto" w:fill="CCEEFF"/>
          </w:tcPr>
          <w:p>
            <w:pPr>
              <w:spacing w:after="0"/>
              <w:rPr>
                <w:sz w:val="11"/>
                <w:szCs w:val="11"/>
                <w:color w:val="auto"/>
              </w:rPr>
            </w:pPr>
          </w:p>
        </w:tc>
        <w:tc>
          <w:tcPr>
            <w:tcW w:w="260" w:type="dxa"/>
            <w:vAlign w:val="bottom"/>
            <w:tcBorders>
              <w:bottom w:val="single" w:sz="8" w:color="CCEEFF"/>
            </w:tcBorders>
            <w:shd w:val="clear" w:color="auto" w:fill="CCEEFF"/>
          </w:tcPr>
          <w:p>
            <w:pPr>
              <w:spacing w:after="0"/>
              <w:rPr>
                <w:sz w:val="11"/>
                <w:szCs w:val="11"/>
                <w:color w:val="auto"/>
              </w:rPr>
            </w:pPr>
          </w:p>
        </w:tc>
        <w:tc>
          <w:tcPr>
            <w:tcW w:w="4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CCEEFF"/>
            </w:tcBorders>
            <w:shd w:val="clear" w:color="auto" w:fill="CCEEFF"/>
          </w:tcPr>
          <w:p>
            <w:pPr>
              <w:spacing w:after="0"/>
              <w:rPr>
                <w:sz w:val="11"/>
                <w:szCs w:val="11"/>
                <w:color w:val="auto"/>
              </w:rPr>
            </w:pPr>
          </w:p>
        </w:tc>
        <w:tc>
          <w:tcPr>
            <w:tcW w:w="84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6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gridSpan w:val="7"/>
          </w:tcPr>
          <w:p>
            <w:pPr>
              <w:spacing w:after="0" w:line="142" w:lineRule="exact"/>
              <w:rPr>
                <w:sz w:val="20"/>
                <w:szCs w:val="20"/>
                <w:color w:val="auto"/>
              </w:rPr>
            </w:pPr>
            <w:r>
              <w:rPr>
                <w:rFonts w:ascii="Arial" w:cs="Arial" w:eastAsia="Arial" w:hAnsi="Arial"/>
                <w:sz w:val="14"/>
                <w:szCs w:val="14"/>
                <w:color w:val="auto"/>
              </w:rPr>
              <w:t>Crossroads</w:t>
            </w:r>
          </w:p>
        </w:tc>
        <w:tc>
          <w:tcPr>
            <w:tcW w:w="380" w:type="dxa"/>
            <w:vAlign w:val="bottom"/>
          </w:tcPr>
          <w:p>
            <w:pPr>
              <w:spacing w:after="0"/>
              <w:rPr>
                <w:sz w:val="12"/>
                <w:szCs w:val="12"/>
                <w:color w:val="auto"/>
              </w:rPr>
            </w:pPr>
          </w:p>
        </w:tc>
        <w:tc>
          <w:tcPr>
            <w:tcW w:w="1620" w:type="dxa"/>
            <w:vAlign w:val="bottom"/>
          </w:tcPr>
          <w:p>
            <w:pPr>
              <w:spacing w:after="0" w:line="142" w:lineRule="exact"/>
              <w:rPr>
                <w:sz w:val="20"/>
                <w:szCs w:val="20"/>
                <w:color w:val="auto"/>
              </w:rPr>
            </w:pPr>
            <w:r>
              <w:rPr>
                <w:rFonts w:ascii="Arial" w:cs="Arial" w:eastAsia="Arial" w:hAnsi="Arial"/>
                <w:sz w:val="14"/>
                <w:szCs w:val="14"/>
                <w:color w:val="auto"/>
              </w:rPr>
              <w:t>Chicago, IL</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1993</w:t>
            </w:r>
          </w:p>
        </w:tc>
        <w:tc>
          <w:tcPr>
            <w:tcW w:w="940" w:type="dxa"/>
            <w:vAlign w:val="bottom"/>
            <w:gridSpan w:val="4"/>
          </w:tcPr>
          <w:p>
            <w:pPr>
              <w:jc w:val="right"/>
              <w:ind w:right="20"/>
              <w:spacing w:after="0" w:line="142" w:lineRule="exact"/>
              <w:rPr>
                <w:sz w:val="20"/>
                <w:szCs w:val="20"/>
                <w:color w:val="auto"/>
              </w:rPr>
            </w:pPr>
            <w:r>
              <w:rPr>
                <w:rFonts w:ascii="Arial" w:cs="Arial" w:eastAsia="Arial" w:hAnsi="Arial"/>
                <w:sz w:val="14"/>
                <w:szCs w:val="14"/>
                <w:color w:val="auto"/>
              </w:rPr>
              <w:t>26,461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168,000</w:t>
            </w:r>
          </w:p>
        </w:tc>
        <w:tc>
          <w:tcPr>
            <w:tcW w:w="82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95%</w:t>
            </w: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6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Golfsmith / Guitar Center</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Finley Square</w:t>
            </w:r>
          </w:p>
        </w:tc>
        <w:tc>
          <w:tcPr>
            <w:tcW w:w="3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Chicago, IL</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1995</w:t>
            </w:r>
          </w:p>
        </w:tc>
        <w:tc>
          <w:tcPr>
            <w:tcW w:w="940" w:type="dxa"/>
            <w:vAlign w:val="bottom"/>
            <w:gridSpan w:val="4"/>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31,841</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315,000</w:t>
            </w:r>
          </w:p>
        </w:tc>
        <w:tc>
          <w:tcPr>
            <w:tcW w:w="8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Bed, Bath &amp; Beyond / Buy</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Buy Baby / Petsmart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tcPr>
          <w:p>
            <w:pPr>
              <w:spacing w:after="0" w:line="149" w:lineRule="exact"/>
              <w:rPr>
                <w:sz w:val="20"/>
                <w:szCs w:val="20"/>
                <w:color w:val="auto"/>
              </w:rPr>
            </w:pPr>
            <w:r>
              <w:rPr>
                <w:rFonts w:ascii="Arial" w:cs="Arial" w:eastAsia="Arial" w:hAnsi="Arial"/>
                <w:sz w:val="14"/>
                <w:szCs w:val="14"/>
                <w:color w:val="auto"/>
              </w:rPr>
              <w:t>Garden Market</w:t>
            </w:r>
          </w:p>
        </w:tc>
        <w:tc>
          <w:tcPr>
            <w:tcW w:w="380" w:type="dxa"/>
            <w:vAlign w:val="bottom"/>
          </w:tcPr>
          <w:p>
            <w:pPr>
              <w:spacing w:after="0"/>
              <w:rPr>
                <w:sz w:val="12"/>
                <w:szCs w:val="12"/>
                <w:color w:val="auto"/>
              </w:rPr>
            </w:pP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Chicago, IL</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1994</w:t>
            </w:r>
          </w:p>
        </w:tc>
        <w:tc>
          <w:tcPr>
            <w:tcW w:w="9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12,155</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140,000</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96%</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63,000</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Dominick’s</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North Lake Commons</w:t>
            </w:r>
          </w:p>
        </w:tc>
        <w:tc>
          <w:tcPr>
            <w:tcW w:w="3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Chicago, IL</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1994</w:t>
            </w:r>
          </w:p>
        </w:tc>
        <w:tc>
          <w:tcPr>
            <w:tcW w:w="100" w:type="dxa"/>
            <w:vAlign w:val="bottom"/>
            <w:gridSpan w:val="2"/>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14,047</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129,000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89%</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77,000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Dominick’s</w:t>
            </w: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Total Chicago</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84,504</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752,000</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96%</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8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South Florida</w:t>
            </w:r>
          </w:p>
        </w:tc>
        <w:tc>
          <w:tcPr>
            <w:tcW w:w="3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980" w:type="dxa"/>
            <w:vAlign w:val="bottom"/>
            <w:gridSpan w:val="7"/>
          </w:tcPr>
          <w:p>
            <w:pPr>
              <w:spacing w:after="0" w:line="142" w:lineRule="exact"/>
              <w:rPr>
                <w:sz w:val="20"/>
                <w:szCs w:val="20"/>
                <w:color w:val="auto"/>
              </w:rPr>
            </w:pPr>
            <w:r>
              <w:rPr>
                <w:rFonts w:ascii="Arial" w:cs="Arial" w:eastAsia="Arial" w:hAnsi="Arial"/>
                <w:sz w:val="14"/>
                <w:szCs w:val="14"/>
                <w:color w:val="auto"/>
              </w:rPr>
              <w:t>Courtyard Shops</w:t>
            </w:r>
          </w:p>
        </w:tc>
        <w:tc>
          <w:tcPr>
            <w:tcW w:w="380" w:type="dxa"/>
            <w:vAlign w:val="bottom"/>
          </w:tcPr>
          <w:p>
            <w:pPr>
              <w:spacing w:after="0"/>
              <w:rPr>
                <w:sz w:val="12"/>
                <w:szCs w:val="12"/>
                <w:color w:val="auto"/>
              </w:rPr>
            </w:pPr>
          </w:p>
        </w:tc>
        <w:tc>
          <w:tcPr>
            <w:tcW w:w="1620" w:type="dxa"/>
            <w:vAlign w:val="bottom"/>
          </w:tcPr>
          <w:p>
            <w:pPr>
              <w:spacing w:after="0" w:line="142" w:lineRule="exact"/>
              <w:rPr>
                <w:sz w:val="20"/>
                <w:szCs w:val="20"/>
                <w:color w:val="auto"/>
              </w:rPr>
            </w:pPr>
            <w:r>
              <w:rPr>
                <w:rFonts w:ascii="Arial" w:cs="Arial" w:eastAsia="Arial" w:hAnsi="Arial"/>
                <w:sz w:val="14"/>
                <w:szCs w:val="14"/>
                <w:color w:val="auto"/>
              </w:rPr>
              <w:t>Miami-Ft Lauderdale</w:t>
            </w:r>
          </w:p>
        </w:tc>
        <w:tc>
          <w:tcPr>
            <w:tcW w:w="7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2008</w:t>
            </w:r>
          </w:p>
        </w:tc>
        <w:tc>
          <w:tcPr>
            <w:tcW w:w="940" w:type="dxa"/>
            <w:vAlign w:val="bottom"/>
            <w:gridSpan w:val="4"/>
          </w:tcPr>
          <w:p>
            <w:pPr>
              <w:jc w:val="right"/>
              <w:ind w:right="20"/>
              <w:spacing w:after="0" w:line="142" w:lineRule="exact"/>
              <w:rPr>
                <w:sz w:val="20"/>
                <w:szCs w:val="20"/>
                <w:color w:val="auto"/>
              </w:rPr>
            </w:pPr>
            <w:r>
              <w:rPr>
                <w:rFonts w:ascii="Arial" w:cs="Arial" w:eastAsia="Arial" w:hAnsi="Arial"/>
                <w:sz w:val="14"/>
                <w:szCs w:val="14"/>
                <w:color w:val="auto"/>
              </w:rPr>
              <w:t>39,621</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7,348</w:t>
            </w: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130,000</w:t>
            </w:r>
          </w:p>
        </w:tc>
        <w:tc>
          <w:tcPr>
            <w:tcW w:w="820" w:type="dxa"/>
            <w:vAlign w:val="bottom"/>
            <w:gridSpan w:val="3"/>
          </w:tcPr>
          <w:p>
            <w:pPr>
              <w:jc w:val="right"/>
              <w:ind w:right="160"/>
              <w:spacing w:after="0" w:line="142" w:lineRule="exact"/>
              <w:rPr>
                <w:sz w:val="20"/>
                <w:szCs w:val="20"/>
                <w:color w:val="auto"/>
              </w:rPr>
            </w:pPr>
            <w:r>
              <w:rPr>
                <w:rFonts w:ascii="Arial" w:cs="Arial" w:eastAsia="Arial" w:hAnsi="Arial"/>
                <w:sz w:val="14"/>
                <w:szCs w:val="14"/>
                <w:color w:val="auto"/>
              </w:rPr>
              <w:t>88%</w:t>
            </w:r>
          </w:p>
        </w:tc>
        <w:tc>
          <w:tcPr>
            <w:tcW w:w="620" w:type="dxa"/>
            <w:vAlign w:val="bottom"/>
            <w:gridSpan w:val="2"/>
          </w:tcPr>
          <w:p>
            <w:pPr>
              <w:jc w:val="right"/>
              <w:ind w:right="140"/>
              <w:spacing w:after="0" w:line="142" w:lineRule="exact"/>
              <w:rPr>
                <w:sz w:val="20"/>
                <w:szCs w:val="20"/>
                <w:color w:val="auto"/>
              </w:rPr>
            </w:pPr>
            <w:r>
              <w:rPr>
                <w:rFonts w:ascii="Arial" w:cs="Arial" w:eastAsia="Arial" w:hAnsi="Arial"/>
                <w:sz w:val="14"/>
                <w:szCs w:val="14"/>
                <w:color w:val="auto"/>
              </w:rPr>
              <w:t>49,000</w:t>
            </w:r>
          </w:p>
        </w:tc>
        <w:tc>
          <w:tcPr>
            <w:tcW w:w="840" w:type="dxa"/>
            <w:vAlign w:val="bottom"/>
          </w:tcPr>
          <w:p>
            <w:pPr>
              <w:spacing w:after="0" w:line="142" w:lineRule="exact"/>
              <w:rPr>
                <w:sz w:val="20"/>
                <w:szCs w:val="20"/>
                <w:color w:val="auto"/>
              </w:rPr>
            </w:pPr>
            <w:r>
              <w:rPr>
                <w:rFonts w:ascii="Arial" w:cs="Arial" w:eastAsia="Arial" w:hAnsi="Arial"/>
                <w:sz w:val="14"/>
                <w:szCs w:val="14"/>
                <w:color w:val="auto"/>
              </w:rPr>
              <w:t>Publix</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Del Mar Village</w:t>
            </w:r>
          </w:p>
        </w:tc>
        <w:tc>
          <w:tcPr>
            <w:tcW w:w="3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Miami-Ft Lauderdale</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2008</w:t>
            </w:r>
          </w:p>
        </w:tc>
        <w:tc>
          <w:tcPr>
            <w:tcW w:w="100" w:type="dxa"/>
            <w:vAlign w:val="bottom"/>
            <w:gridSpan w:val="2"/>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54,826</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178,000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44,000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Winn Dixie</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vMerge w:val="restart"/>
          </w:tcPr>
          <w:p>
            <w:pPr>
              <w:spacing w:after="0"/>
              <w:rPr>
                <w:sz w:val="20"/>
                <w:szCs w:val="20"/>
                <w:color w:val="auto"/>
              </w:rPr>
            </w:pPr>
            <w:r>
              <w:rPr>
                <w:rFonts w:ascii="Arial" w:cs="Arial" w:eastAsia="Arial" w:hAnsi="Arial"/>
                <w:sz w:val="14"/>
                <w:szCs w:val="14"/>
                <w:b w:val="1"/>
                <w:bCs w:val="1"/>
                <w:color w:val="auto"/>
              </w:rPr>
              <w:t>Total South Florida</w:t>
            </w: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gridSpan w:val="2"/>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94,447</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308,000</w:t>
            </w:r>
          </w:p>
        </w:tc>
        <w:tc>
          <w:tcPr>
            <w:tcW w:w="160" w:type="dxa"/>
            <w:vAlign w:val="bottom"/>
          </w:tcPr>
          <w:p>
            <w:pPr>
              <w:spacing w:after="0"/>
              <w:rPr>
                <w:sz w:val="14"/>
                <w:szCs w:val="1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4"/>
                <w:szCs w:val="14"/>
                <w:color w:val="auto"/>
              </w:rPr>
              <w:t>91%</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780" w:type="dxa"/>
            <w:vAlign w:val="bottom"/>
            <w:gridSpan w:val="6"/>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Other</w:t>
            </w:r>
          </w:p>
        </w:tc>
        <w:tc>
          <w:tcPr>
            <w:tcW w:w="3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8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vMerge w:val="continue"/>
          </w:tcPr>
          <w:p>
            <w:pPr>
              <w:spacing w:after="0"/>
              <w:rPr>
                <w:sz w:val="11"/>
                <w:szCs w:val="11"/>
                <w:color w:val="auto"/>
              </w:rPr>
            </w:pPr>
          </w:p>
        </w:tc>
        <w:tc>
          <w:tcPr>
            <w:tcW w:w="1980" w:type="dxa"/>
            <w:vAlign w:val="bottom"/>
            <w:gridSpan w:val="7"/>
          </w:tcPr>
          <w:p>
            <w:pPr>
              <w:spacing w:after="0" w:line="131" w:lineRule="exact"/>
              <w:rPr>
                <w:sz w:val="20"/>
                <w:szCs w:val="20"/>
                <w:color w:val="auto"/>
              </w:rPr>
            </w:pPr>
            <w:r>
              <w:rPr>
                <w:rFonts w:ascii="Arial" w:cs="Arial" w:eastAsia="Arial" w:hAnsi="Arial"/>
                <w:sz w:val="14"/>
                <w:szCs w:val="14"/>
                <w:color w:val="auto"/>
              </w:rPr>
              <w:t>Barracks Road</w:t>
            </w:r>
          </w:p>
        </w:tc>
        <w:tc>
          <w:tcPr>
            <w:tcW w:w="380" w:type="dxa"/>
            <w:vAlign w:val="bottom"/>
          </w:tcPr>
          <w:p>
            <w:pPr>
              <w:spacing w:after="0"/>
              <w:rPr>
                <w:sz w:val="11"/>
                <w:szCs w:val="11"/>
                <w:color w:val="auto"/>
              </w:rPr>
            </w:pPr>
          </w:p>
        </w:tc>
        <w:tc>
          <w:tcPr>
            <w:tcW w:w="1620" w:type="dxa"/>
            <w:vAlign w:val="bottom"/>
          </w:tcPr>
          <w:p>
            <w:pPr>
              <w:spacing w:after="0" w:line="131" w:lineRule="exact"/>
              <w:rPr>
                <w:sz w:val="20"/>
                <w:szCs w:val="20"/>
                <w:color w:val="auto"/>
              </w:rPr>
            </w:pPr>
            <w:r>
              <w:rPr>
                <w:rFonts w:ascii="Arial" w:cs="Arial" w:eastAsia="Arial" w:hAnsi="Arial"/>
                <w:sz w:val="14"/>
                <w:szCs w:val="14"/>
                <w:color w:val="auto"/>
              </w:rPr>
              <w:t>Charlottesville, VA</w:t>
            </w:r>
          </w:p>
        </w:tc>
        <w:tc>
          <w:tcPr>
            <w:tcW w:w="7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1985</w:t>
            </w:r>
          </w:p>
        </w:tc>
        <w:tc>
          <w:tcPr>
            <w:tcW w:w="940" w:type="dxa"/>
            <w:vAlign w:val="bottom"/>
            <w:gridSpan w:val="4"/>
          </w:tcPr>
          <w:p>
            <w:pPr>
              <w:jc w:val="right"/>
              <w:ind w:right="20"/>
              <w:spacing w:after="0" w:line="131" w:lineRule="exact"/>
              <w:rPr>
                <w:sz w:val="20"/>
                <w:szCs w:val="20"/>
                <w:color w:val="auto"/>
              </w:rPr>
            </w:pPr>
            <w:r>
              <w:rPr>
                <w:rFonts w:ascii="Arial" w:cs="Arial" w:eastAsia="Arial" w:hAnsi="Arial"/>
                <w:sz w:val="14"/>
                <w:szCs w:val="14"/>
                <w:color w:val="auto"/>
              </w:rPr>
              <w:t>49,558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jc w:val="right"/>
              <w:spacing w:after="0" w:line="131" w:lineRule="exact"/>
              <w:rPr>
                <w:sz w:val="20"/>
                <w:szCs w:val="20"/>
                <w:color w:val="auto"/>
              </w:rPr>
            </w:pPr>
            <w:r>
              <w:rPr>
                <w:rFonts w:ascii="Arial" w:cs="Arial" w:eastAsia="Arial" w:hAnsi="Arial"/>
                <w:sz w:val="14"/>
                <w:szCs w:val="14"/>
                <w:color w:val="auto"/>
              </w:rPr>
              <w:t>40,053</w:t>
            </w:r>
          </w:p>
        </w:tc>
        <w:tc>
          <w:tcPr>
            <w:tcW w:w="800" w:type="dxa"/>
            <w:vAlign w:val="bottom"/>
            <w:gridSpan w:val="2"/>
          </w:tcPr>
          <w:p>
            <w:pPr>
              <w:jc w:val="right"/>
              <w:spacing w:after="0" w:line="131" w:lineRule="exact"/>
              <w:rPr>
                <w:sz w:val="20"/>
                <w:szCs w:val="20"/>
                <w:color w:val="auto"/>
              </w:rPr>
            </w:pPr>
            <w:r>
              <w:rPr>
                <w:rFonts w:ascii="Arial" w:cs="Arial" w:eastAsia="Arial" w:hAnsi="Arial"/>
                <w:sz w:val="14"/>
                <w:szCs w:val="14"/>
                <w:color w:val="auto"/>
              </w:rPr>
              <w:t>486,000</w:t>
            </w:r>
          </w:p>
        </w:tc>
        <w:tc>
          <w:tcPr>
            <w:tcW w:w="820" w:type="dxa"/>
            <w:vAlign w:val="bottom"/>
            <w:gridSpan w:val="3"/>
          </w:tcPr>
          <w:p>
            <w:pPr>
              <w:jc w:val="right"/>
              <w:ind w:right="160"/>
              <w:spacing w:after="0" w:line="131" w:lineRule="exact"/>
              <w:rPr>
                <w:sz w:val="20"/>
                <w:szCs w:val="20"/>
                <w:color w:val="auto"/>
              </w:rPr>
            </w:pPr>
            <w:r>
              <w:rPr>
                <w:rFonts w:ascii="Arial" w:cs="Arial" w:eastAsia="Arial" w:hAnsi="Arial"/>
                <w:sz w:val="14"/>
                <w:szCs w:val="14"/>
                <w:color w:val="auto"/>
              </w:rPr>
              <w:t>98%</w:t>
            </w:r>
          </w:p>
        </w:tc>
        <w:tc>
          <w:tcPr>
            <w:tcW w:w="620" w:type="dxa"/>
            <w:vAlign w:val="bottom"/>
            <w:gridSpan w:val="2"/>
          </w:tcPr>
          <w:p>
            <w:pPr>
              <w:jc w:val="right"/>
              <w:ind w:right="140"/>
              <w:spacing w:after="0" w:line="131" w:lineRule="exact"/>
              <w:rPr>
                <w:sz w:val="20"/>
                <w:szCs w:val="20"/>
                <w:color w:val="auto"/>
              </w:rPr>
            </w:pPr>
            <w:r>
              <w:rPr>
                <w:rFonts w:ascii="Arial" w:cs="Arial" w:eastAsia="Arial" w:hAnsi="Arial"/>
                <w:sz w:val="14"/>
                <w:szCs w:val="14"/>
                <w:color w:val="auto"/>
              </w:rPr>
              <w:t>99,000</w:t>
            </w:r>
          </w:p>
        </w:tc>
        <w:tc>
          <w:tcPr>
            <w:tcW w:w="840" w:type="dxa"/>
            <w:vAlign w:val="bottom"/>
          </w:tcPr>
          <w:p>
            <w:pPr>
              <w:spacing w:after="0" w:line="131" w:lineRule="exact"/>
              <w:rPr>
                <w:sz w:val="20"/>
                <w:szCs w:val="20"/>
                <w:color w:val="auto"/>
              </w:rPr>
            </w:pPr>
            <w:r>
              <w:rPr>
                <w:rFonts w:ascii="Arial" w:cs="Arial" w:eastAsia="Arial" w:hAnsi="Arial"/>
                <w:sz w:val="14"/>
                <w:szCs w:val="14"/>
                <w:color w:val="auto"/>
                <w:w w:val="91"/>
              </w:rPr>
              <w:t>Harris Teeter /</w:t>
            </w:r>
          </w:p>
        </w:tc>
        <w:tc>
          <w:tcPr>
            <w:tcW w:w="1760" w:type="dxa"/>
            <w:vAlign w:val="bottom"/>
            <w:gridSpan w:val="2"/>
          </w:tcPr>
          <w:p>
            <w:pPr>
              <w:ind w:left="80"/>
              <w:spacing w:after="0" w:line="131" w:lineRule="exact"/>
              <w:rPr>
                <w:sz w:val="20"/>
                <w:szCs w:val="20"/>
                <w:color w:val="auto"/>
              </w:rPr>
            </w:pPr>
            <w:r>
              <w:rPr>
                <w:rFonts w:ascii="Arial" w:cs="Arial" w:eastAsia="Arial" w:hAnsi="Arial"/>
                <w:sz w:val="14"/>
                <w:szCs w:val="14"/>
                <w:color w:val="auto"/>
                <w:w w:val="96"/>
              </w:rPr>
              <w:t>Anthropologie / Bed, Bath &amp;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line="149" w:lineRule="exact"/>
              <w:rPr>
                <w:sz w:val="20"/>
                <w:szCs w:val="20"/>
                <w:color w:val="auto"/>
              </w:rPr>
            </w:pPr>
            <w:r>
              <w:rPr>
                <w:rFonts w:ascii="Arial" w:cs="Arial" w:eastAsia="Arial" w:hAnsi="Arial"/>
                <w:sz w:val="14"/>
                <w:szCs w:val="14"/>
                <w:color w:val="auto"/>
              </w:rPr>
              <w:t>Kroger</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Beyond / Barnes &amp; Noble /</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760" w:type="dxa"/>
            <w:vAlign w:val="bottom"/>
            <w:gridSpan w:val="2"/>
          </w:tcPr>
          <w:p>
            <w:pPr>
              <w:ind w:left="80"/>
              <w:spacing w:after="0" w:line="159" w:lineRule="exact"/>
              <w:rPr>
                <w:sz w:val="20"/>
                <w:szCs w:val="20"/>
                <w:color w:val="auto"/>
              </w:rPr>
            </w:pPr>
            <w:r>
              <w:rPr>
                <w:rFonts w:ascii="Arial" w:cs="Arial" w:eastAsia="Arial" w:hAnsi="Arial"/>
                <w:sz w:val="14"/>
                <w:szCs w:val="14"/>
                <w:color w:val="auto"/>
              </w:rPr>
              <w:t>Old Navy / Michaels / Ulta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Bristol Plaza</w:t>
            </w:r>
          </w:p>
        </w:tc>
        <w:tc>
          <w:tcPr>
            <w:tcW w:w="3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Hartford, CT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1995</w:t>
            </w:r>
          </w:p>
        </w:tc>
        <w:tc>
          <w:tcPr>
            <w:tcW w:w="9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28,003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269,000</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84%</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74,000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Stop &amp; Shop</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TJ Maxx</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tcPr>
          <w:p>
            <w:pPr>
              <w:spacing w:after="0" w:line="138" w:lineRule="exact"/>
              <w:rPr>
                <w:sz w:val="20"/>
                <w:szCs w:val="20"/>
                <w:color w:val="auto"/>
              </w:rPr>
            </w:pPr>
            <w:r>
              <w:rPr>
                <w:rFonts w:ascii="Arial" w:cs="Arial" w:eastAsia="Arial" w:hAnsi="Arial"/>
                <w:sz w:val="14"/>
                <w:szCs w:val="14"/>
                <w:color w:val="auto"/>
              </w:rPr>
              <w:t>Eastgate</w:t>
            </w:r>
          </w:p>
        </w:tc>
        <w:tc>
          <w:tcPr>
            <w:tcW w:w="380" w:type="dxa"/>
            <w:vAlign w:val="bottom"/>
          </w:tcPr>
          <w:p>
            <w:pPr>
              <w:spacing w:after="0"/>
              <w:rPr>
                <w:sz w:val="11"/>
                <w:szCs w:val="11"/>
                <w:color w:val="auto"/>
              </w:rPr>
            </w:pPr>
          </w:p>
        </w:tc>
        <w:tc>
          <w:tcPr>
            <w:tcW w:w="1620" w:type="dxa"/>
            <w:vAlign w:val="bottom"/>
          </w:tcPr>
          <w:p>
            <w:pPr>
              <w:spacing w:after="0" w:line="138" w:lineRule="exact"/>
              <w:rPr>
                <w:sz w:val="20"/>
                <w:szCs w:val="20"/>
                <w:color w:val="auto"/>
              </w:rPr>
            </w:pPr>
            <w:r>
              <w:rPr>
                <w:rFonts w:ascii="Arial" w:cs="Arial" w:eastAsia="Arial" w:hAnsi="Arial"/>
                <w:sz w:val="14"/>
                <w:szCs w:val="14"/>
                <w:color w:val="auto"/>
              </w:rPr>
              <w:t>Raleigh-Durham-Chapel</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1986</w:t>
            </w:r>
          </w:p>
        </w:tc>
        <w:tc>
          <w:tcPr>
            <w:tcW w:w="940" w:type="dxa"/>
            <w:vAlign w:val="bottom"/>
            <w:gridSpan w:val="4"/>
          </w:tcPr>
          <w:p>
            <w:pPr>
              <w:jc w:val="right"/>
              <w:ind w:right="20"/>
              <w:spacing w:after="0" w:line="138" w:lineRule="exact"/>
              <w:rPr>
                <w:sz w:val="20"/>
                <w:szCs w:val="20"/>
                <w:color w:val="auto"/>
              </w:rPr>
            </w:pPr>
            <w:r>
              <w:rPr>
                <w:rFonts w:ascii="Arial" w:cs="Arial" w:eastAsia="Arial" w:hAnsi="Arial"/>
                <w:sz w:val="14"/>
                <w:szCs w:val="14"/>
                <w:color w:val="auto"/>
              </w:rPr>
              <w:t>26,362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153,000</w:t>
            </w:r>
          </w:p>
        </w:tc>
        <w:tc>
          <w:tcPr>
            <w:tcW w:w="8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Stein Mart / Trader Joe’s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line="159" w:lineRule="exact"/>
              <w:rPr>
                <w:sz w:val="20"/>
                <w:szCs w:val="20"/>
                <w:color w:val="auto"/>
              </w:rPr>
            </w:pPr>
            <w:r>
              <w:rPr>
                <w:rFonts w:ascii="Arial" w:cs="Arial" w:eastAsia="Arial" w:hAnsi="Arial"/>
                <w:sz w:val="14"/>
                <w:szCs w:val="14"/>
                <w:color w:val="auto"/>
              </w:rPr>
              <w:t>Hill, NC</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shd w:val="clear" w:color="auto" w:fill="CCEEFF"/>
          </w:tcPr>
          <w:p>
            <w:pPr>
              <w:spacing w:after="0" w:line="138" w:lineRule="exact"/>
              <w:rPr>
                <w:sz w:val="20"/>
                <w:szCs w:val="20"/>
                <w:color w:val="auto"/>
              </w:rPr>
            </w:pPr>
            <w:r>
              <w:rPr>
                <w:rFonts w:ascii="Arial" w:cs="Arial" w:eastAsia="Arial" w:hAnsi="Arial"/>
                <w:sz w:val="14"/>
                <w:szCs w:val="14"/>
                <w:color w:val="auto"/>
              </w:rPr>
              <w:t>Gratiot Plaza</w:t>
            </w:r>
          </w:p>
        </w:tc>
        <w:tc>
          <w:tcPr>
            <w:tcW w:w="38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Detroit, MI</w:t>
            </w: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1973</w:t>
            </w:r>
          </w:p>
        </w:tc>
        <w:tc>
          <w:tcPr>
            <w:tcW w:w="940" w:type="dxa"/>
            <w:vAlign w:val="bottom"/>
            <w:gridSpan w:val="4"/>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18,887</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217,000</w:t>
            </w:r>
          </w:p>
        </w:tc>
        <w:tc>
          <w:tcPr>
            <w:tcW w:w="8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99%</w:t>
            </w:r>
          </w:p>
        </w:tc>
        <w:tc>
          <w:tcPr>
            <w:tcW w:w="620" w:type="dxa"/>
            <w:vAlign w:val="bottom"/>
            <w:gridSpan w:val="2"/>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69,000</w:t>
            </w:r>
          </w:p>
        </w:tc>
        <w:tc>
          <w:tcPr>
            <w:tcW w:w="8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Kroger</w:t>
            </w:r>
          </w:p>
        </w:tc>
        <w:tc>
          <w:tcPr>
            <w:tcW w:w="176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Bed, Bath &amp; Beyond / Best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7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Buy / DSW</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980" w:type="dxa"/>
            <w:vAlign w:val="bottom"/>
            <w:gridSpan w:val="7"/>
          </w:tcPr>
          <w:p>
            <w:pPr>
              <w:spacing w:after="0" w:line="138" w:lineRule="exact"/>
              <w:rPr>
                <w:sz w:val="20"/>
                <w:szCs w:val="20"/>
                <w:color w:val="auto"/>
              </w:rPr>
            </w:pPr>
            <w:r>
              <w:rPr>
                <w:rFonts w:ascii="Arial" w:cs="Arial" w:eastAsia="Arial" w:hAnsi="Arial"/>
                <w:sz w:val="14"/>
                <w:szCs w:val="14"/>
                <w:color w:val="auto"/>
              </w:rPr>
              <w:t>Greenwich Avenue</w:t>
            </w:r>
          </w:p>
        </w:tc>
        <w:tc>
          <w:tcPr>
            <w:tcW w:w="380" w:type="dxa"/>
            <w:vAlign w:val="bottom"/>
          </w:tcPr>
          <w:p>
            <w:pPr>
              <w:spacing w:after="0"/>
              <w:rPr>
                <w:sz w:val="11"/>
                <w:szCs w:val="11"/>
                <w:color w:val="auto"/>
              </w:rPr>
            </w:pPr>
          </w:p>
        </w:tc>
        <w:tc>
          <w:tcPr>
            <w:tcW w:w="1620" w:type="dxa"/>
            <w:vAlign w:val="bottom"/>
          </w:tcPr>
          <w:p>
            <w:pPr>
              <w:spacing w:after="0" w:line="138" w:lineRule="exact"/>
              <w:rPr>
                <w:sz w:val="20"/>
                <w:szCs w:val="20"/>
                <w:color w:val="auto"/>
              </w:rPr>
            </w:pPr>
            <w:r>
              <w:rPr>
                <w:rFonts w:ascii="Arial" w:cs="Arial" w:eastAsia="Arial" w:hAnsi="Arial"/>
                <w:sz w:val="14"/>
                <w:szCs w:val="14"/>
                <w:color w:val="auto"/>
              </w:rPr>
              <w:t>New Haven-Bridgeport-</w:t>
            </w: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1995</w:t>
            </w:r>
          </w:p>
        </w:tc>
        <w:tc>
          <w:tcPr>
            <w:tcW w:w="940" w:type="dxa"/>
            <w:vAlign w:val="bottom"/>
            <w:gridSpan w:val="4"/>
          </w:tcPr>
          <w:p>
            <w:pPr>
              <w:jc w:val="right"/>
              <w:ind w:right="20"/>
              <w:spacing w:after="0" w:line="138" w:lineRule="exact"/>
              <w:rPr>
                <w:sz w:val="20"/>
                <w:szCs w:val="20"/>
                <w:color w:val="auto"/>
              </w:rPr>
            </w:pPr>
            <w:r>
              <w:rPr>
                <w:rFonts w:ascii="Arial" w:cs="Arial" w:eastAsia="Arial" w:hAnsi="Arial"/>
                <w:sz w:val="14"/>
                <w:szCs w:val="14"/>
                <w:color w:val="auto"/>
              </w:rPr>
              <w:t>13,969</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36,000</w:t>
            </w:r>
          </w:p>
        </w:tc>
        <w:tc>
          <w:tcPr>
            <w:tcW w:w="82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100%</w:t>
            </w: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760" w:type="dxa"/>
            <w:vAlign w:val="bottom"/>
            <w:gridSpan w:val="2"/>
          </w:tcPr>
          <w:p>
            <w:pPr>
              <w:ind w:left="80"/>
              <w:spacing w:after="0" w:line="138" w:lineRule="exact"/>
              <w:rPr>
                <w:sz w:val="20"/>
                <w:szCs w:val="20"/>
                <w:color w:val="auto"/>
              </w:rPr>
            </w:pPr>
            <w:r>
              <w:rPr>
                <w:rFonts w:ascii="Arial" w:cs="Arial" w:eastAsia="Arial" w:hAnsi="Arial"/>
                <w:sz w:val="14"/>
                <w:szCs w:val="14"/>
                <w:color w:val="auto"/>
              </w:rPr>
              <w:t>Saks Fifth Avenue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20" w:type="dxa"/>
            <w:vAlign w:val="bottom"/>
          </w:tcPr>
          <w:p>
            <w:pPr>
              <w:spacing w:after="0" w:line="159" w:lineRule="exact"/>
              <w:rPr>
                <w:sz w:val="20"/>
                <w:szCs w:val="20"/>
                <w:color w:val="auto"/>
              </w:rPr>
            </w:pPr>
            <w:r>
              <w:rPr>
                <w:rFonts w:ascii="Arial" w:cs="Arial" w:eastAsia="Arial" w:hAnsi="Arial"/>
                <w:sz w:val="14"/>
                <w:szCs w:val="14"/>
                <w:color w:val="auto"/>
              </w:rPr>
              <w:t>Stamford-Waterbury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Houston St</w:t>
            </w:r>
          </w:p>
        </w:tc>
        <w:tc>
          <w:tcPr>
            <w:tcW w:w="3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San Antonio, TX</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1998</w:t>
            </w:r>
          </w:p>
        </w:tc>
        <w:tc>
          <w:tcPr>
            <w:tcW w:w="9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64,020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196,000</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83%</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98"/>
              </w:rPr>
              <w:t>Hotel Valencia / Walgreens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tcPr>
          <w:p>
            <w:pPr>
              <w:spacing w:after="0" w:line="149" w:lineRule="exact"/>
              <w:rPr>
                <w:sz w:val="20"/>
                <w:szCs w:val="20"/>
                <w:color w:val="auto"/>
              </w:rPr>
            </w:pPr>
            <w:r>
              <w:rPr>
                <w:rFonts w:ascii="Arial" w:cs="Arial" w:eastAsia="Arial" w:hAnsi="Arial"/>
                <w:sz w:val="14"/>
                <w:szCs w:val="14"/>
                <w:color w:val="auto"/>
              </w:rPr>
              <w:t>Lancaster</w:t>
            </w:r>
          </w:p>
        </w:tc>
        <w:tc>
          <w:tcPr>
            <w:tcW w:w="3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w:t>
            </w:r>
          </w:p>
        </w:tc>
        <w:tc>
          <w:tcPr>
            <w:tcW w:w="1620" w:type="dxa"/>
            <w:vAlign w:val="bottom"/>
          </w:tcPr>
          <w:p>
            <w:pPr>
              <w:spacing w:after="0" w:line="149" w:lineRule="exact"/>
              <w:rPr>
                <w:sz w:val="20"/>
                <w:szCs w:val="20"/>
                <w:color w:val="auto"/>
              </w:rPr>
            </w:pPr>
            <w:r>
              <w:rPr>
                <w:rFonts w:ascii="Arial" w:cs="Arial" w:eastAsia="Arial" w:hAnsi="Arial"/>
                <w:sz w:val="14"/>
                <w:szCs w:val="14"/>
                <w:color w:val="auto"/>
              </w:rPr>
              <w:t>Lancaster, PA</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1980</w:t>
            </w:r>
          </w:p>
        </w:tc>
        <w:tc>
          <w:tcPr>
            <w:tcW w:w="940" w:type="dxa"/>
            <w:vAlign w:val="bottom"/>
            <w:gridSpan w:val="4"/>
          </w:tcPr>
          <w:p>
            <w:pPr>
              <w:jc w:val="right"/>
              <w:ind w:right="20"/>
              <w:spacing w:after="0" w:line="149" w:lineRule="exact"/>
              <w:rPr>
                <w:sz w:val="20"/>
                <w:szCs w:val="20"/>
                <w:color w:val="auto"/>
              </w:rPr>
            </w:pPr>
            <w:r>
              <w:rPr>
                <w:rFonts w:ascii="Arial" w:cs="Arial" w:eastAsia="Arial" w:hAnsi="Arial"/>
                <w:sz w:val="14"/>
                <w:szCs w:val="14"/>
                <w:color w:val="auto"/>
              </w:rPr>
              <w:t>12,570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4,907</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107,000</w:t>
            </w:r>
          </w:p>
        </w:tc>
        <w:tc>
          <w:tcPr>
            <w:tcW w:w="820" w:type="dxa"/>
            <w:vAlign w:val="bottom"/>
            <w:gridSpan w:val="3"/>
          </w:tcPr>
          <w:p>
            <w:pPr>
              <w:jc w:val="right"/>
              <w:ind w:right="160"/>
              <w:spacing w:after="0" w:line="149" w:lineRule="exact"/>
              <w:rPr>
                <w:sz w:val="20"/>
                <w:szCs w:val="20"/>
                <w:color w:val="auto"/>
              </w:rPr>
            </w:pPr>
            <w:r>
              <w:rPr>
                <w:rFonts w:ascii="Arial" w:cs="Arial" w:eastAsia="Arial" w:hAnsi="Arial"/>
                <w:sz w:val="14"/>
                <w:szCs w:val="14"/>
                <w:color w:val="auto"/>
              </w:rPr>
              <w:t>100%</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39,000</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Giant Food</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Michaels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shd w:val="clear" w:color="auto" w:fill="CCEEFF"/>
          </w:tcPr>
          <w:p>
            <w:pPr>
              <w:spacing w:after="0" w:line="149" w:lineRule="exact"/>
              <w:rPr>
                <w:sz w:val="20"/>
                <w:szCs w:val="20"/>
                <w:color w:val="auto"/>
              </w:rPr>
            </w:pPr>
            <w:r>
              <w:rPr>
                <w:rFonts w:ascii="Arial" w:cs="Arial" w:eastAsia="Arial" w:hAnsi="Arial"/>
                <w:sz w:val="14"/>
                <w:szCs w:val="14"/>
                <w:color w:val="auto"/>
              </w:rPr>
              <w:t>Shoppers’ World</w:t>
            </w:r>
          </w:p>
        </w:tc>
        <w:tc>
          <w:tcPr>
            <w:tcW w:w="3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Charlottesville, VA</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2007</w:t>
            </w:r>
          </w:p>
        </w:tc>
        <w:tc>
          <w:tcPr>
            <w:tcW w:w="940" w:type="dxa"/>
            <w:vAlign w:val="bottom"/>
            <w:gridSpan w:val="4"/>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30,200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5,628</w:t>
            </w: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169,000</w:t>
            </w:r>
          </w:p>
        </w:tc>
        <w:tc>
          <w:tcPr>
            <w:tcW w:w="82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w:t>
            </w:r>
          </w:p>
        </w:tc>
        <w:tc>
          <w:tcPr>
            <w:tcW w:w="6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28,000</w:t>
            </w:r>
          </w:p>
        </w:tc>
        <w:tc>
          <w:tcPr>
            <w:tcW w:w="8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Whole Foods</w:t>
            </w:r>
          </w:p>
        </w:tc>
        <w:tc>
          <w:tcPr>
            <w:tcW w:w="17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rPr>
              <w:t>Staples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980" w:type="dxa"/>
            <w:vAlign w:val="bottom"/>
            <w:gridSpan w:val="7"/>
          </w:tcPr>
          <w:p>
            <w:pPr>
              <w:spacing w:after="0" w:line="149" w:lineRule="exact"/>
              <w:rPr>
                <w:sz w:val="20"/>
                <w:szCs w:val="20"/>
                <w:color w:val="auto"/>
              </w:rPr>
            </w:pPr>
            <w:r>
              <w:rPr>
                <w:rFonts w:ascii="Arial" w:cs="Arial" w:eastAsia="Arial" w:hAnsi="Arial"/>
                <w:sz w:val="14"/>
                <w:szCs w:val="14"/>
                <w:color w:val="auto"/>
              </w:rPr>
              <w:t>Shops at Willow Lawn</w:t>
            </w:r>
          </w:p>
        </w:tc>
        <w:tc>
          <w:tcPr>
            <w:tcW w:w="380" w:type="dxa"/>
            <w:vAlign w:val="bottom"/>
          </w:tcPr>
          <w:p>
            <w:pPr>
              <w:spacing w:after="0"/>
              <w:rPr>
                <w:sz w:val="12"/>
                <w:szCs w:val="12"/>
                <w:color w:val="auto"/>
              </w:rPr>
            </w:pPr>
          </w:p>
        </w:tc>
        <w:tc>
          <w:tcPr>
            <w:tcW w:w="1620" w:type="dxa"/>
            <w:vAlign w:val="bottom"/>
          </w:tcPr>
          <w:p>
            <w:pPr>
              <w:spacing w:after="0" w:line="149" w:lineRule="exact"/>
              <w:rPr>
                <w:sz w:val="20"/>
                <w:szCs w:val="20"/>
                <w:color w:val="auto"/>
              </w:rPr>
            </w:pPr>
            <w:r>
              <w:rPr>
                <w:rFonts w:ascii="Arial" w:cs="Arial" w:eastAsia="Arial" w:hAnsi="Arial"/>
                <w:sz w:val="14"/>
                <w:szCs w:val="14"/>
                <w:color w:val="auto"/>
                <w:w w:val="98"/>
              </w:rPr>
              <w:t>Richmond-Petersburg, VA</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1983</w:t>
            </w:r>
          </w:p>
        </w:tc>
        <w:tc>
          <w:tcPr>
            <w:tcW w:w="100" w:type="dxa"/>
            <w:vAlign w:val="bottom"/>
            <w:gridSpan w:val="2"/>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77,471</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476,000</w:t>
            </w:r>
          </w:p>
        </w:tc>
        <w:tc>
          <w:tcPr>
            <w:tcW w:w="16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87%</w:t>
            </w:r>
          </w:p>
        </w:tc>
        <w:tc>
          <w:tcPr>
            <w:tcW w:w="6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60,000</w:t>
            </w:r>
          </w:p>
        </w:tc>
        <w:tc>
          <w:tcPr>
            <w:tcW w:w="840" w:type="dxa"/>
            <w:vAlign w:val="bottom"/>
          </w:tcPr>
          <w:p>
            <w:pPr>
              <w:spacing w:after="0" w:line="149" w:lineRule="exact"/>
              <w:rPr>
                <w:sz w:val="20"/>
                <w:szCs w:val="20"/>
                <w:color w:val="auto"/>
              </w:rPr>
            </w:pPr>
            <w:r>
              <w:rPr>
                <w:rFonts w:ascii="Arial" w:cs="Arial" w:eastAsia="Arial" w:hAnsi="Arial"/>
                <w:sz w:val="14"/>
                <w:szCs w:val="14"/>
                <w:color w:val="auto"/>
              </w:rPr>
              <w:t>Kroger</w:t>
            </w:r>
          </w:p>
        </w:tc>
        <w:tc>
          <w:tcPr>
            <w:tcW w:w="176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Old Navy / Staples / Ross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Other</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321,040</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2,109,000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93%</w:t>
            </w: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00" w:type="dxa"/>
            <w:vAlign w:val="bottom"/>
            <w:gridSpan w:val="8"/>
            <w:vMerge w:val="restart"/>
          </w:tcPr>
          <w:p>
            <w:pPr>
              <w:spacing w:after="0"/>
              <w:rPr>
                <w:sz w:val="20"/>
                <w:szCs w:val="20"/>
                <w:color w:val="auto"/>
              </w:rPr>
            </w:pPr>
            <w:r>
              <w:rPr>
                <w:rFonts w:ascii="Arial" w:cs="Arial" w:eastAsia="Arial" w:hAnsi="Arial"/>
                <w:sz w:val="14"/>
                <w:szCs w:val="14"/>
                <w:b w:val="1"/>
                <w:bCs w:val="1"/>
                <w:color w:val="auto"/>
              </w:rPr>
              <w:t>Grand Total</w:t>
            </w:r>
          </w:p>
        </w:tc>
        <w:tc>
          <w:tcPr>
            <w:tcW w:w="38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(11)</w:t>
            </w: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00" w:type="dxa"/>
            <w:vAlign w:val="bottom"/>
            <w:gridSpan w:val="8"/>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1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40" w:type="dxa"/>
            <w:vAlign w:val="bottom"/>
            <w:gridSpan w:val="4"/>
          </w:tcPr>
          <w:p>
            <w:pPr>
              <w:jc w:val="right"/>
              <w:ind w:right="20"/>
              <w:spacing w:after="0" w:line="155" w:lineRule="exact"/>
              <w:rPr>
                <w:sz w:val="20"/>
                <w:szCs w:val="20"/>
                <w:color w:val="auto"/>
              </w:rPr>
            </w:pPr>
            <w:r>
              <w:rPr>
                <w:rFonts w:ascii="Arial" w:cs="Arial" w:eastAsia="Arial" w:hAnsi="Arial"/>
                <w:sz w:val="14"/>
                <w:szCs w:val="14"/>
                <w:b w:val="1"/>
                <w:bCs w:val="1"/>
                <w:color w:val="auto"/>
              </w:rPr>
              <w:t>$   3,828,554</w:t>
            </w:r>
          </w:p>
        </w:tc>
        <w:tc>
          <w:tcPr>
            <w:tcW w:w="2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593,840</w:t>
            </w:r>
          </w:p>
        </w:tc>
        <w:tc>
          <w:tcPr>
            <w:tcW w:w="80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18,246,000</w:t>
            </w:r>
          </w:p>
        </w:tc>
        <w:tc>
          <w:tcPr>
            <w:tcW w:w="820" w:type="dxa"/>
            <w:vAlign w:val="bottom"/>
            <w:gridSpan w:val="3"/>
          </w:tcPr>
          <w:p>
            <w:pPr>
              <w:jc w:val="right"/>
              <w:ind w:right="120"/>
              <w:spacing w:after="0" w:line="155" w:lineRule="exact"/>
              <w:rPr>
                <w:sz w:val="20"/>
                <w:szCs w:val="20"/>
                <w:color w:val="auto"/>
              </w:rPr>
            </w:pPr>
            <w:r>
              <w:rPr>
                <w:rFonts w:ascii="Arial" w:cs="Arial" w:eastAsia="Arial" w:hAnsi="Arial"/>
                <w:sz w:val="14"/>
                <w:szCs w:val="14"/>
                <w:b w:val="1"/>
                <w:bCs w:val="1"/>
                <w:color w:val="auto"/>
              </w:rPr>
              <w:t>94%</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8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right="2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mortgage or capital lease obligations differ from the total reported on the consolidated balance sheet due to the unamortized discount or premium on certain mortgage payables.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Excludes newly created redevelopment square footage not yet in service, as well as residential and hotel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Grocery anchor is defined as a grocery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Portion of property subject to capital lease obligation.</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64.1% ownership interest in the property.</w:t>
      </w:r>
    </w:p>
    <w:p>
      <w:pPr>
        <w:spacing w:after="0" w:line="9"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owned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70% ownership interest in the property.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 90% ownership interest in the property.</w:t>
      </w:r>
    </w:p>
    <w:p>
      <w:pPr>
        <w:spacing w:after="0" w:line="9" w:lineRule="exact"/>
        <w:rPr>
          <w:rFonts w:ascii="Arial" w:cs="Arial" w:eastAsia="Arial" w:hAnsi="Arial"/>
          <w:sz w:val="18"/>
          <w:szCs w:val="18"/>
          <w:color w:val="auto"/>
        </w:rPr>
      </w:pPr>
    </w:p>
    <w:p>
      <w:pPr>
        <w:ind w:left="460" w:right="380" w:hanging="452"/>
        <w:spacing w:after="0" w:line="281"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On October 16, 2006, the Trust acquired control of Melville Mall through a 20 year master lease and secondary financing. Since the Trust controls this property and retains substantially all of the economic benefit and risks associated with it, we consolidate this property and its operations.</w:t>
      </w:r>
    </w:p>
    <w:p>
      <w:pPr>
        <w:spacing w:after="0" w:line="1" w:lineRule="exact"/>
        <w:rPr>
          <w:rFonts w:ascii="Arial" w:cs="Arial" w:eastAsia="Arial" w:hAnsi="Arial"/>
          <w:sz w:val="16"/>
          <w:szCs w:val="16"/>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Trust has an 85% ownership interest in the property which is accounted for on the equity method.</w:t>
      </w:r>
    </w:p>
    <w:p>
      <w:pPr>
        <w:spacing w:after="0" w:line="9" w:lineRule="exact"/>
        <w:rPr>
          <w:rFonts w:ascii="Arial" w:cs="Arial" w:eastAsia="Arial" w:hAnsi="Arial"/>
          <w:sz w:val="18"/>
          <w:szCs w:val="18"/>
          <w:color w:val="auto"/>
        </w:rPr>
      </w:pPr>
    </w:p>
    <w:p>
      <w:pPr>
        <w:ind w:left="460" w:right="32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Aggregate information is calculated on a GLA weighted-average basis, excluding properties acquired through the Taurus Newbury Street JV II Limited Partnership.</w:t>
      </w:r>
    </w:p>
    <w:p>
      <w:pPr>
        <w:ind w:left="460" w:right="60" w:hanging="452"/>
        <w:spacing w:after="0" w:line="250" w:lineRule="auto"/>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50% of the ownership of this property is in a “downreit” partnership, of which a wholly owned subsidiary of the Trust is the sole general partner, with third party partners holding operating partnership units.</w:t>
      </w: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Property subject to capital lease obligation.</w:t>
      </w:r>
    </w:p>
    <w:p>
      <w:pPr>
        <w:sectPr>
          <w:pgSz w:w="11900" w:h="16838" w:orient="portrait"/>
          <w:cols w:equalWidth="0" w:num="1">
            <w:col w:w="11420"/>
          </w:cols>
          <w:pgMar w:left="240" w:top="422" w:right="239" w:bottom="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019"/>
          </w:cols>
          <w:pgMar w:left="1440" w:top="131" w:right="1440"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 Leasing Summary (1)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 Lease Summary - Comparable (2)</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0"/>
              </w:rPr>
              <w:t>Straight-</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1"/>
              </w:rPr>
              <w:t>Cash</w:t>
            </w: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lined</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1"/>
              </w:rPr>
              <w:t>Prior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Basis %</w:t>
            </w: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Basis %</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10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9"/>
              </w:rPr>
              <w:t>Rent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Increase</w:t>
            </w: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Increase</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2"/>
                <w:szCs w:val="12"/>
                <w:color w:val="auto"/>
              </w:rPr>
            </w:pPr>
          </w:p>
        </w:tc>
        <w:tc>
          <w:tcPr>
            <w:tcW w:w="10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Comparable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Contractual</w:t>
            </w:r>
          </w:p>
        </w:tc>
        <w:tc>
          <w:tcPr>
            <w:tcW w:w="480" w:type="dxa"/>
            <w:vAlign w:val="bottom"/>
            <w:gridSpan w:val="2"/>
          </w:tcPr>
          <w:p>
            <w:pPr>
              <w:jc w:val="center"/>
              <w:ind w:left="77"/>
              <w:spacing w:after="0" w:line="149" w:lineRule="exact"/>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Annual</w:t>
            </w:r>
          </w:p>
        </w:tc>
        <w:tc>
          <w:tcPr>
            <w:tcW w:w="1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Over</w:t>
            </w: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Over</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Average</w:t>
            </w:r>
          </w:p>
        </w:tc>
        <w:tc>
          <w:tcPr>
            <w:tcW w:w="12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Tenant</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88"/>
              </w:rPr>
              <w:t>Leases</w:t>
            </w:r>
          </w:p>
        </w:tc>
        <w:tc>
          <w:tcPr>
            <w:tcW w:w="200" w:type="dxa"/>
            <w:vAlign w:val="bottom"/>
          </w:tcPr>
          <w:p>
            <w:pPr>
              <w:spacing w:after="0"/>
              <w:rPr>
                <w:sz w:val="12"/>
                <w:szCs w:val="12"/>
                <w:color w:val="auto"/>
              </w:rPr>
            </w:pPr>
          </w:p>
        </w:tc>
        <w:tc>
          <w:tcPr>
            <w:tcW w:w="10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w w:val="79"/>
              </w:rPr>
              <w:t>Leases</w:t>
            </w:r>
          </w:p>
        </w:tc>
        <w:tc>
          <w:tcPr>
            <w:tcW w:w="6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GLA</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w w:val="88"/>
              </w:rPr>
              <w:t>Rent (3)</w:t>
            </w:r>
          </w:p>
        </w:tc>
        <w:tc>
          <w:tcPr>
            <w:tcW w:w="80" w:type="dxa"/>
            <w:vAlign w:val="bottom"/>
          </w:tcPr>
          <w:p>
            <w:pPr>
              <w:spacing w:after="0"/>
              <w:rPr>
                <w:sz w:val="12"/>
                <w:szCs w:val="12"/>
                <w:color w:val="auto"/>
              </w:rPr>
            </w:pPr>
          </w:p>
        </w:tc>
        <w:tc>
          <w:tcPr>
            <w:tcW w:w="5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Per Sq.</w:t>
            </w:r>
          </w:p>
        </w:tc>
        <w:tc>
          <w:tcPr>
            <w:tcW w:w="140" w:type="dxa"/>
            <w:vAlign w:val="bottom"/>
          </w:tcPr>
          <w:p>
            <w:pPr>
              <w:spacing w:after="0"/>
              <w:rPr>
                <w:sz w:val="12"/>
                <w:szCs w:val="12"/>
                <w:color w:val="auto"/>
              </w:rPr>
            </w:pPr>
          </w:p>
        </w:tc>
        <w:tc>
          <w:tcPr>
            <w:tcW w:w="880" w:type="dxa"/>
            <w:vAlign w:val="bottom"/>
            <w:gridSpan w:val="5"/>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Increase in</w:t>
            </w:r>
          </w:p>
        </w:tc>
        <w:tc>
          <w:tcPr>
            <w:tcW w:w="120" w:type="dxa"/>
            <w:vAlign w:val="bottom"/>
          </w:tcPr>
          <w:p>
            <w:pPr>
              <w:spacing w:after="0"/>
              <w:rPr>
                <w:sz w:val="12"/>
                <w:szCs w:val="12"/>
                <w:color w:val="auto"/>
              </w:rPr>
            </w:pPr>
          </w:p>
        </w:tc>
        <w:tc>
          <w:tcPr>
            <w:tcW w:w="780" w:type="dxa"/>
            <w:vAlign w:val="bottom"/>
            <w:gridSpan w:val="3"/>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Prior</w:t>
            </w:r>
          </w:p>
        </w:tc>
        <w:tc>
          <w:tcPr>
            <w:tcW w:w="84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Prior</w:t>
            </w:r>
          </w:p>
        </w:tc>
        <w:tc>
          <w:tcPr>
            <w:tcW w:w="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0"/>
              </w:rPr>
              <w:t>Lease</w:t>
            </w: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1"/>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4"/>
                <w:szCs w:val="14"/>
                <w:color w:val="auto"/>
              </w:rPr>
            </w:pPr>
          </w:p>
        </w:tc>
        <w:tc>
          <w:tcPr>
            <w:tcW w:w="50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Signed</w:t>
            </w:r>
          </w:p>
        </w:tc>
        <w:tc>
          <w:tcPr>
            <w:tcW w:w="200" w:type="dxa"/>
            <w:vAlign w:val="bottom"/>
          </w:tcPr>
          <w:p>
            <w:pPr>
              <w:spacing w:after="0"/>
              <w:rPr>
                <w:sz w:val="14"/>
                <w:szCs w:val="14"/>
                <w:color w:val="auto"/>
              </w:rPr>
            </w:pPr>
          </w:p>
        </w:tc>
        <w:tc>
          <w:tcPr>
            <w:tcW w:w="10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5"/>
              </w:rPr>
              <w:t>Signed</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Signed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4"/>
          </w:tcPr>
          <w:p>
            <w:pPr>
              <w:ind w:left="40"/>
              <w:spacing w:after="0"/>
              <w:rPr>
                <w:sz w:val="20"/>
                <w:szCs w:val="20"/>
                <w:color w:val="auto"/>
              </w:rPr>
            </w:pPr>
            <w:r>
              <w:rPr>
                <w:rFonts w:ascii="Arial" w:cs="Arial" w:eastAsia="Arial" w:hAnsi="Arial"/>
                <w:sz w:val="14"/>
                <w:szCs w:val="14"/>
                <w:b w:val="1"/>
                <w:bCs w:val="1"/>
                <w:color w:val="auto"/>
              </w:rPr>
              <w:t>Per Sq. Ft.</w:t>
            </w:r>
          </w:p>
        </w:tc>
        <w:tc>
          <w:tcPr>
            <w:tcW w:w="80" w:type="dxa"/>
            <w:vAlign w:val="bottom"/>
          </w:tcPr>
          <w:p>
            <w:pPr>
              <w:spacing w:after="0"/>
              <w:rPr>
                <w:sz w:val="14"/>
                <w:szCs w:val="14"/>
                <w:color w:val="auto"/>
              </w:rPr>
            </w:pPr>
          </w:p>
        </w:tc>
        <w:tc>
          <w:tcPr>
            <w:tcW w:w="56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Ft.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Rent</w:t>
            </w:r>
          </w:p>
        </w:tc>
        <w:tc>
          <w:tcPr>
            <w:tcW w:w="120" w:type="dxa"/>
            <w:vAlign w:val="bottom"/>
          </w:tcPr>
          <w:p>
            <w:pPr>
              <w:spacing w:after="0"/>
              <w:rPr>
                <w:sz w:val="14"/>
                <w:szCs w:val="14"/>
                <w:color w:val="auto"/>
              </w:rPr>
            </w:pPr>
          </w:p>
        </w:tc>
        <w:tc>
          <w:tcPr>
            <w:tcW w:w="78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9"/>
              </w:rPr>
              <w:t>Rent</w:t>
            </w:r>
          </w:p>
        </w:tc>
        <w:tc>
          <w:tcPr>
            <w:tcW w:w="84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89"/>
              </w:rPr>
              <w:t>Rent</w:t>
            </w:r>
          </w:p>
        </w:tc>
        <w:tc>
          <w:tcPr>
            <w:tcW w:w="1640" w:type="dxa"/>
            <w:vAlign w:val="bottom"/>
            <w:gridSpan w:val="4"/>
          </w:tcPr>
          <w:p>
            <w:pPr>
              <w:jc w:val="right"/>
              <w:spacing w:after="0"/>
              <w:rPr>
                <w:sz w:val="20"/>
                <w:szCs w:val="20"/>
                <w:color w:val="auto"/>
              </w:rPr>
            </w:pPr>
            <w:r>
              <w:rPr>
                <w:rFonts w:ascii="Arial" w:cs="Arial" w:eastAsia="Arial" w:hAnsi="Arial"/>
                <w:sz w:val="14"/>
                <w:szCs w:val="14"/>
                <w:b w:val="1"/>
                <w:bCs w:val="1"/>
                <w:color w:val="auto"/>
                <w:w w:val="96"/>
              </w:rPr>
              <w:t>Term (5)   &amp; Incentives (6)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3rd Quarter 2010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80" w:type="dxa"/>
            <w:vAlign w:val="bottom"/>
            <w:tcBorders>
              <w:right w:val="single" w:sz="8" w:color="CCEEFF"/>
            </w:tcBorders>
            <w:gridSpan w:val="5"/>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349,489</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25.17</w:t>
            </w:r>
          </w:p>
        </w:tc>
        <w:tc>
          <w:tcPr>
            <w:tcW w:w="6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90"/>
              </w:rPr>
              <w:t>$23.83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467,613</w:t>
            </w: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6,199,555</w:t>
            </w:r>
          </w:p>
        </w:tc>
        <w:tc>
          <w:tcPr>
            <w:tcW w:w="34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2nd Quarter 2010</w:t>
            </w:r>
          </w:p>
        </w:tc>
        <w:tc>
          <w:tcPr>
            <w:tcW w:w="580" w:type="dxa"/>
            <w:vAlign w:val="bottom"/>
            <w:gridSpan w:val="3"/>
          </w:tcPr>
          <w:p>
            <w:pPr>
              <w:jc w:val="right"/>
              <w:spacing w:after="0"/>
              <w:rPr>
                <w:sz w:val="20"/>
                <w:szCs w:val="20"/>
                <w:color w:val="auto"/>
              </w:rPr>
            </w:pPr>
            <w:r>
              <w:rPr>
                <w:rFonts w:ascii="Arial" w:cs="Arial" w:eastAsia="Arial" w:hAnsi="Arial"/>
                <w:sz w:val="18"/>
                <w:szCs w:val="18"/>
                <w:color w:val="auto"/>
              </w:rPr>
              <w:t>80</w:t>
            </w:r>
          </w:p>
        </w:tc>
        <w:tc>
          <w:tcPr>
            <w:tcW w:w="1280" w:type="dxa"/>
            <w:vAlign w:val="bottom"/>
            <w:gridSpan w:val="5"/>
          </w:tcPr>
          <w:p>
            <w:pPr>
              <w:ind w:left="66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307,567</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27.62</w:t>
            </w:r>
          </w:p>
        </w:tc>
        <w:tc>
          <w:tcPr>
            <w:tcW w:w="640" w:type="dxa"/>
            <w:vAlign w:val="bottom"/>
            <w:gridSpan w:val="4"/>
          </w:tcPr>
          <w:p>
            <w:pPr>
              <w:jc w:val="center"/>
              <w:spacing w:after="0"/>
              <w:rPr>
                <w:sz w:val="20"/>
                <w:szCs w:val="20"/>
                <w:color w:val="auto"/>
              </w:rPr>
            </w:pPr>
            <w:r>
              <w:rPr>
                <w:rFonts w:ascii="Arial" w:cs="Arial" w:eastAsia="Arial" w:hAnsi="Arial"/>
                <w:sz w:val="18"/>
                <w:szCs w:val="18"/>
                <w:color w:val="auto"/>
                <w:w w:val="90"/>
              </w:rPr>
              <w:t>$26.64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301,098</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4%</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500" w:type="dxa"/>
            <w:vAlign w:val="bottom"/>
          </w:tcPr>
          <w:p>
            <w:pPr>
              <w:jc w:val="right"/>
              <w:spacing w:after="0"/>
              <w:rPr>
                <w:sz w:val="20"/>
                <w:szCs w:val="20"/>
                <w:color w:val="auto"/>
              </w:rPr>
            </w:pPr>
            <w:r>
              <w:rPr>
                <w:rFonts w:ascii="Arial" w:cs="Arial" w:eastAsia="Arial" w:hAnsi="Arial"/>
                <w:sz w:val="18"/>
                <w:szCs w:val="18"/>
                <w:color w:val="auto"/>
              </w:rPr>
              <w:t>7.4</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4,431,806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1st Quarter 2010</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80" w:type="dxa"/>
            <w:vAlign w:val="bottom"/>
            <w:tcBorders>
              <w:right w:val="single" w:sz="8" w:color="CCEEFF"/>
            </w:tcBorders>
            <w:gridSpan w:val="5"/>
            <w:shd w:val="clear" w:color="auto" w:fill="CCEEFF"/>
          </w:tcPr>
          <w:p>
            <w:pPr>
              <w:ind w:left="66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307,962</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29.19</w:t>
            </w:r>
          </w:p>
        </w:tc>
        <w:tc>
          <w:tcPr>
            <w:tcW w:w="640" w:type="dxa"/>
            <w:vAlign w:val="bottom"/>
            <w:gridSpan w:val="4"/>
            <w:shd w:val="clear" w:color="auto" w:fill="CCEEFF"/>
          </w:tcPr>
          <w:p>
            <w:pPr>
              <w:jc w:val="center"/>
              <w:spacing w:after="0"/>
              <w:rPr>
                <w:sz w:val="20"/>
                <w:szCs w:val="20"/>
                <w:color w:val="auto"/>
              </w:rPr>
            </w:pPr>
            <w:r>
              <w:rPr>
                <w:rFonts w:ascii="Arial" w:cs="Arial" w:eastAsia="Arial" w:hAnsi="Arial"/>
                <w:sz w:val="18"/>
                <w:szCs w:val="18"/>
                <w:color w:val="auto"/>
                <w:w w:val="83"/>
              </w:rPr>
              <w:t>$ 25.11</w:t>
            </w:r>
          </w:p>
        </w:tc>
        <w:tc>
          <w:tcPr>
            <w:tcW w:w="10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color w:val="auto"/>
              </w:rPr>
              <w:t>$1,255,084</w:t>
            </w: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8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6,919,627</w:t>
            </w:r>
          </w:p>
        </w:tc>
        <w:tc>
          <w:tcPr>
            <w:tcW w:w="34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4th Quarter 2009</w:t>
            </w:r>
          </w:p>
        </w:tc>
        <w:tc>
          <w:tcPr>
            <w:tcW w:w="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18"/>
                <w:szCs w:val="18"/>
                <w:color w:val="auto"/>
              </w:rPr>
            </w:pPr>
          </w:p>
        </w:tc>
        <w:tc>
          <w:tcPr>
            <w:tcW w:w="1080" w:type="dxa"/>
            <w:vAlign w:val="bottom"/>
            <w:gridSpan w:val="4"/>
          </w:tcPr>
          <w:p>
            <w:pPr>
              <w:ind w:left="460"/>
              <w:spacing w:after="0"/>
              <w:rPr>
                <w:sz w:val="20"/>
                <w:szCs w:val="20"/>
                <w:color w:val="auto"/>
              </w:rPr>
            </w:pPr>
            <w:r>
              <w:rPr>
                <w:rFonts w:ascii="Arial" w:cs="Arial" w:eastAsia="Arial" w:hAnsi="Arial"/>
                <w:sz w:val="18"/>
                <w:szCs w:val="18"/>
                <w:color w:val="auto"/>
              </w:rPr>
              <w:t>100%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360,218</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27.58</w:t>
            </w:r>
          </w:p>
        </w:tc>
        <w:tc>
          <w:tcPr>
            <w:tcW w:w="640" w:type="dxa"/>
            <w:vAlign w:val="bottom"/>
            <w:gridSpan w:val="4"/>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26.64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4"/>
          </w:tcPr>
          <w:p>
            <w:pPr>
              <w:jc w:val="right"/>
              <w:ind w:right="80"/>
              <w:spacing w:after="0"/>
              <w:rPr>
                <w:sz w:val="20"/>
                <w:szCs w:val="20"/>
                <w:color w:val="auto"/>
              </w:rPr>
            </w:pPr>
            <w:r>
              <w:rPr>
                <w:rFonts w:ascii="Arial" w:cs="Arial" w:eastAsia="Arial" w:hAnsi="Arial"/>
                <w:sz w:val="18"/>
                <w:szCs w:val="18"/>
                <w:color w:val="auto"/>
              </w:rPr>
              <w:t>337,501</w:t>
            </w:r>
          </w:p>
        </w:tc>
        <w:tc>
          <w:tcPr>
            <w:tcW w:w="900" w:type="dxa"/>
            <w:vAlign w:val="bottom"/>
            <w:gridSpan w:val="4"/>
          </w:tcPr>
          <w:p>
            <w:pPr>
              <w:jc w:val="right"/>
              <w:ind w:right="160"/>
              <w:spacing w:after="0"/>
              <w:rPr>
                <w:sz w:val="20"/>
                <w:szCs w:val="20"/>
                <w:color w:val="auto"/>
              </w:rPr>
            </w:pPr>
            <w:r>
              <w:rPr>
                <w:rFonts w:ascii="Arial" w:cs="Arial" w:eastAsia="Arial" w:hAnsi="Arial"/>
                <w:sz w:val="18"/>
                <w:szCs w:val="18"/>
                <w:color w:val="auto"/>
              </w:rPr>
              <w:t>4%</w:t>
            </w:r>
          </w:p>
        </w:tc>
        <w:tc>
          <w:tcPr>
            <w:tcW w:w="840" w:type="dxa"/>
            <w:vAlign w:val="bottom"/>
            <w:gridSpan w:val="3"/>
          </w:tcPr>
          <w:p>
            <w:pPr>
              <w:jc w:val="right"/>
              <w:ind w:right="160"/>
              <w:spacing w:after="0"/>
              <w:rPr>
                <w:sz w:val="20"/>
                <w:szCs w:val="20"/>
                <w:color w:val="auto"/>
              </w:rPr>
            </w:pPr>
            <w:r>
              <w:rPr>
                <w:rFonts w:ascii="Arial" w:cs="Arial" w:eastAsia="Arial" w:hAnsi="Arial"/>
                <w:sz w:val="18"/>
                <w:szCs w:val="18"/>
                <w:color w:val="auto"/>
              </w:rPr>
              <w:t>13%</w:t>
            </w:r>
          </w:p>
        </w:tc>
        <w:tc>
          <w:tcPr>
            <w:tcW w:w="500" w:type="dxa"/>
            <w:vAlign w:val="bottom"/>
          </w:tcPr>
          <w:p>
            <w:pPr>
              <w:jc w:val="right"/>
              <w:spacing w:after="0"/>
              <w:rPr>
                <w:sz w:val="20"/>
                <w:szCs w:val="20"/>
                <w:color w:val="auto"/>
              </w:rPr>
            </w:pPr>
            <w:r>
              <w:rPr>
                <w:rFonts w:ascii="Arial" w:cs="Arial" w:eastAsia="Arial" w:hAnsi="Arial"/>
                <w:sz w:val="18"/>
                <w:szCs w:val="18"/>
                <w:color w:val="auto"/>
              </w:rPr>
              <w:t>7.0</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4,550,199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lef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Borders>
              <w:left w:val="single" w:sz="8" w:color="auto"/>
            </w:tcBorders>
            <w:shd w:val="clear" w:color="auto" w:fill="000000"/>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left w:val="single" w:sz="8" w:color="auto"/>
            </w:tcBorders>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lef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lef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20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100%</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2"/>
              </w:rPr>
              <w:t>1,325,236</w:t>
            </w:r>
          </w:p>
        </w:tc>
        <w:tc>
          <w:tcPr>
            <w:tcW w:w="3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Borders>
              <w:right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27.33</w:t>
            </w:r>
          </w:p>
        </w:tc>
        <w:tc>
          <w:tcPr>
            <w:tcW w:w="640" w:type="dxa"/>
            <w:vAlign w:val="bottom"/>
            <w:gridSpan w:val="4"/>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25.54</w:t>
            </w:r>
          </w:p>
        </w:tc>
        <w:tc>
          <w:tcPr>
            <w:tcW w:w="1020" w:type="dxa"/>
            <w:vAlign w:val="bottom"/>
            <w:gridSpan w:val="6"/>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2,361,296</w:t>
            </w:r>
          </w:p>
        </w:tc>
        <w:tc>
          <w:tcPr>
            <w:tcW w:w="900" w:type="dxa"/>
            <w:vAlign w:val="bottom"/>
            <w:tcBorders>
              <w:right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7%</w:t>
            </w:r>
          </w:p>
        </w:tc>
        <w:tc>
          <w:tcPr>
            <w:tcW w:w="84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7"/>
              </w:rPr>
              <w:t>$ 22,101,187</w:t>
            </w:r>
          </w:p>
        </w:tc>
        <w:tc>
          <w:tcPr>
            <w:tcW w:w="34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480" w:type="dxa"/>
            <w:vAlign w:val="bottom"/>
            <w:gridSpan w:val="11"/>
          </w:tcPr>
          <w:p>
            <w:pPr>
              <w:spacing w:after="0"/>
              <w:rPr>
                <w:sz w:val="20"/>
                <w:szCs w:val="20"/>
                <w:color w:val="auto"/>
              </w:rPr>
            </w:pPr>
            <w:r>
              <w:rPr>
                <w:rFonts w:ascii="Arial" w:cs="Arial" w:eastAsia="Arial" w:hAnsi="Arial"/>
                <w:sz w:val="18"/>
                <w:szCs w:val="18"/>
                <w:b w:val="1"/>
                <w:bCs w:val="1"/>
                <w:color w:val="auto"/>
              </w:rPr>
              <w:t>New Lease Summary - Comparable (2)</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76"/>
              </w:rPr>
              <w:t>Straight-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Cash</w:t>
            </w:r>
          </w:p>
        </w:tc>
        <w:tc>
          <w:tcPr>
            <w:tcW w:w="8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5"/>
              </w:rPr>
              <w:t>lined</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Prior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Basis %</w:t>
            </w:r>
          </w:p>
        </w:tc>
        <w:tc>
          <w:tcPr>
            <w:tcW w:w="8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78"/>
              </w:rPr>
              <w:t>Basis %</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gridSpan w:val="3"/>
          </w:tcPr>
          <w:p>
            <w:pPr>
              <w:jc w:val="right"/>
              <w:ind w:right="140"/>
              <w:spacing w:after="0" w:line="149" w:lineRule="exact"/>
              <w:rPr>
                <w:sz w:val="20"/>
                <w:szCs w:val="20"/>
                <w:color w:val="auto"/>
              </w:rPr>
            </w:pPr>
            <w:r>
              <w:rPr>
                <w:rFonts w:ascii="Arial" w:cs="Arial" w:eastAsia="Arial" w:hAnsi="Arial"/>
                <w:sz w:val="14"/>
                <w:szCs w:val="14"/>
                <w:b w:val="1"/>
                <w:bCs w:val="1"/>
                <w:color w:val="auto"/>
                <w:w w:val="79"/>
              </w:rPr>
              <w:t>Number</w:t>
            </w:r>
          </w:p>
        </w:tc>
        <w:tc>
          <w:tcPr>
            <w:tcW w:w="200" w:type="dxa"/>
            <w:vAlign w:val="bottom"/>
          </w:tcPr>
          <w:p>
            <w:pPr>
              <w:spacing w:after="0"/>
              <w:rPr>
                <w:sz w:val="12"/>
                <w:szCs w:val="12"/>
                <w:color w:val="auto"/>
              </w:rPr>
            </w:pPr>
          </w:p>
        </w:tc>
        <w:tc>
          <w:tcPr>
            <w:tcW w:w="1080" w:type="dxa"/>
            <w:vAlign w:val="bottom"/>
            <w:gridSpan w:val="4"/>
          </w:tcPr>
          <w:p>
            <w:pPr>
              <w:jc w:val="center"/>
              <w:ind w:right="560"/>
              <w:spacing w:after="0" w:line="149" w:lineRule="exact"/>
              <w:rPr>
                <w:sz w:val="20"/>
                <w:szCs w:val="20"/>
                <w:color w:val="auto"/>
              </w:rPr>
            </w:pPr>
            <w:r>
              <w:rPr>
                <w:rFonts w:ascii="Arial" w:cs="Arial" w:eastAsia="Arial" w:hAnsi="Arial"/>
                <w:sz w:val="14"/>
                <w:szCs w:val="14"/>
                <w:b w:val="1"/>
                <w:bCs w:val="1"/>
                <w:color w:val="auto"/>
                <w:w w:val="94"/>
              </w:rPr>
              <w:t>%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Rent</w:t>
            </w:r>
          </w:p>
        </w:tc>
        <w:tc>
          <w:tcPr>
            <w:tcW w:w="140" w:type="dxa"/>
            <w:vAlign w:val="bottom"/>
          </w:tcPr>
          <w:p>
            <w:pPr>
              <w:spacing w:after="0"/>
              <w:rPr>
                <w:sz w:val="12"/>
                <w:szCs w:val="12"/>
                <w:color w:val="auto"/>
              </w:rPr>
            </w:pPr>
          </w:p>
        </w:tc>
        <w:tc>
          <w:tcPr>
            <w:tcW w:w="880" w:type="dxa"/>
            <w:vAlign w:val="bottom"/>
            <w:gridSpan w:val="5"/>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Annual</w:t>
            </w:r>
          </w:p>
        </w:tc>
        <w:tc>
          <w:tcPr>
            <w:tcW w:w="90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Increase</w:t>
            </w:r>
          </w:p>
        </w:tc>
        <w:tc>
          <w:tcPr>
            <w:tcW w:w="8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73"/>
              </w:rPr>
              <w:t>Increase</w:t>
            </w:r>
          </w:p>
        </w:tc>
        <w:tc>
          <w:tcPr>
            <w:tcW w:w="7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9"/>
              </w:rPr>
              <w:t>Weighted</w:t>
            </w:r>
          </w:p>
        </w:tc>
        <w:tc>
          <w:tcPr>
            <w:tcW w:w="120" w:type="dxa"/>
            <w:vAlign w:val="bottom"/>
          </w:tcPr>
          <w:p>
            <w:pPr>
              <w:spacing w:after="0"/>
              <w:rPr>
                <w:sz w:val="12"/>
                <w:szCs w:val="12"/>
                <w:color w:val="auto"/>
              </w:rPr>
            </w:pPr>
          </w:p>
        </w:tc>
        <w:tc>
          <w:tcPr>
            <w:tcW w:w="740" w:type="dxa"/>
            <w:vAlign w:val="bottom"/>
          </w:tcPr>
          <w:p>
            <w:pPr>
              <w:jc w:val="center"/>
              <w:ind w:right="98"/>
              <w:spacing w:after="0" w:line="149" w:lineRule="exact"/>
              <w:rPr>
                <w:sz w:val="20"/>
                <w:szCs w:val="20"/>
                <w:color w:val="auto"/>
              </w:rPr>
            </w:pPr>
            <w:r>
              <w:rPr>
                <w:rFonts w:ascii="Arial" w:cs="Arial" w:eastAsia="Arial" w:hAnsi="Arial"/>
                <w:sz w:val="14"/>
                <w:szCs w:val="14"/>
                <w:b w:val="1"/>
                <w:bCs w:val="1"/>
                <w:color w:val="auto"/>
                <w:w w:val="87"/>
              </w:rPr>
              <w:t>Tenant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of</w:t>
            </w:r>
          </w:p>
        </w:tc>
        <w:tc>
          <w:tcPr>
            <w:tcW w:w="200" w:type="dxa"/>
            <w:vAlign w:val="bottom"/>
          </w:tcPr>
          <w:p>
            <w:pPr>
              <w:spacing w:after="0"/>
              <w:rPr>
                <w:sz w:val="12"/>
                <w:szCs w:val="12"/>
                <w:color w:val="auto"/>
              </w:rPr>
            </w:pPr>
          </w:p>
        </w:tc>
        <w:tc>
          <w:tcPr>
            <w:tcW w:w="108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76"/>
              </w:rPr>
              <w:t>Comparable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5"/>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Increase</w:t>
            </w:r>
          </w:p>
        </w:tc>
        <w:tc>
          <w:tcPr>
            <w:tcW w:w="1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Over</w:t>
            </w:r>
          </w:p>
        </w:tc>
        <w:tc>
          <w:tcPr>
            <w:tcW w:w="8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7"/>
              </w:rPr>
              <w:t>Over</w:t>
            </w:r>
          </w:p>
        </w:tc>
        <w:tc>
          <w:tcPr>
            <w:tcW w:w="7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gridSpan w:val="3"/>
          </w:tcPr>
          <w:p>
            <w:pPr>
              <w:jc w:val="right"/>
              <w:ind w:right="200"/>
              <w:spacing w:after="0" w:line="149" w:lineRule="exact"/>
              <w:rPr>
                <w:sz w:val="20"/>
                <w:szCs w:val="20"/>
                <w:color w:val="auto"/>
              </w:rPr>
            </w:pPr>
            <w:r>
              <w:rPr>
                <w:rFonts w:ascii="Arial" w:cs="Arial" w:eastAsia="Arial" w:hAnsi="Arial"/>
                <w:sz w:val="14"/>
                <w:szCs w:val="14"/>
                <w:b w:val="1"/>
                <w:bCs w:val="1"/>
                <w:color w:val="auto"/>
                <w:w w:val="75"/>
              </w:rPr>
              <w:t>Leases</w:t>
            </w:r>
          </w:p>
        </w:tc>
        <w:tc>
          <w:tcPr>
            <w:tcW w:w="200" w:type="dxa"/>
            <w:vAlign w:val="bottom"/>
          </w:tcPr>
          <w:p>
            <w:pPr>
              <w:spacing w:after="0"/>
              <w:rPr>
                <w:sz w:val="12"/>
                <w:szCs w:val="12"/>
                <w:color w:val="auto"/>
              </w:rPr>
            </w:pPr>
          </w:p>
        </w:tc>
        <w:tc>
          <w:tcPr>
            <w:tcW w:w="1080" w:type="dxa"/>
            <w:vAlign w:val="bottom"/>
            <w:gridSpan w:val="4"/>
          </w:tcPr>
          <w:p>
            <w:pPr>
              <w:jc w:val="center"/>
              <w:ind w:right="540"/>
              <w:spacing w:after="0" w:line="149" w:lineRule="exact"/>
              <w:rPr>
                <w:sz w:val="20"/>
                <w:szCs w:val="20"/>
                <w:color w:val="auto"/>
              </w:rPr>
            </w:pPr>
            <w:r>
              <w:rPr>
                <w:rFonts w:ascii="Arial" w:cs="Arial" w:eastAsia="Arial" w:hAnsi="Arial"/>
                <w:sz w:val="14"/>
                <w:szCs w:val="14"/>
                <w:b w:val="1"/>
                <w:bCs w:val="1"/>
                <w:color w:val="auto"/>
                <w:w w:val="79"/>
              </w:rPr>
              <w:t>Leases</w:t>
            </w:r>
          </w:p>
        </w:tc>
        <w:tc>
          <w:tcPr>
            <w:tcW w:w="6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rPr>
              <w:t>GLA</w:t>
            </w:r>
          </w:p>
        </w:tc>
        <w:tc>
          <w:tcPr>
            <w:tcW w:w="80" w:type="dxa"/>
            <w:vAlign w:val="bottom"/>
          </w:tcPr>
          <w:p>
            <w:pPr>
              <w:spacing w:after="0"/>
              <w:rPr>
                <w:sz w:val="12"/>
                <w:szCs w:val="12"/>
                <w:color w:val="auto"/>
              </w:rPr>
            </w:pPr>
          </w:p>
        </w:tc>
        <w:tc>
          <w:tcPr>
            <w:tcW w:w="96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rPr>
              <w:t>Rent (3)</w:t>
            </w:r>
          </w:p>
        </w:tc>
        <w:tc>
          <w:tcPr>
            <w:tcW w:w="640" w:type="dxa"/>
            <w:vAlign w:val="bottom"/>
            <w:gridSpan w:val="4"/>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Per Sq.</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right="380"/>
              <w:spacing w:after="0" w:line="149" w:lineRule="exact"/>
              <w:rPr>
                <w:sz w:val="20"/>
                <w:szCs w:val="20"/>
                <w:color w:val="auto"/>
              </w:rPr>
            </w:pPr>
            <w:r>
              <w:rPr>
                <w:rFonts w:ascii="Arial" w:cs="Arial" w:eastAsia="Arial" w:hAnsi="Arial"/>
                <w:sz w:val="14"/>
                <w:szCs w:val="14"/>
                <w:b w:val="1"/>
                <w:bCs w:val="1"/>
                <w:color w:val="auto"/>
                <w:w w:val="96"/>
              </w:rPr>
              <w:t>in</w:t>
            </w:r>
          </w:p>
        </w:tc>
        <w:tc>
          <w:tcPr>
            <w:tcW w:w="1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Prior</w:t>
            </w:r>
          </w:p>
        </w:tc>
        <w:tc>
          <w:tcPr>
            <w:tcW w:w="84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97"/>
              </w:rPr>
              <w:t>Prior</w:t>
            </w:r>
          </w:p>
        </w:tc>
        <w:tc>
          <w:tcPr>
            <w:tcW w:w="7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0"/>
              </w:rPr>
              <w:t>Lease</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2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1"/>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5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1"/>
              </w:rPr>
              <w:t>Signed</w:t>
            </w:r>
          </w:p>
        </w:tc>
        <w:tc>
          <w:tcPr>
            <w:tcW w:w="200" w:type="dxa"/>
            <w:vAlign w:val="bottom"/>
          </w:tcPr>
          <w:p>
            <w:pPr>
              <w:spacing w:after="0"/>
              <w:rPr>
                <w:sz w:val="14"/>
                <w:szCs w:val="14"/>
                <w:color w:val="auto"/>
              </w:rPr>
            </w:pPr>
          </w:p>
        </w:tc>
        <w:tc>
          <w:tcPr>
            <w:tcW w:w="1080" w:type="dxa"/>
            <w:vAlign w:val="bottom"/>
            <w:gridSpan w:val="4"/>
          </w:tcPr>
          <w:p>
            <w:pPr>
              <w:jc w:val="center"/>
              <w:ind w:right="540"/>
              <w:spacing w:after="0"/>
              <w:rPr>
                <w:sz w:val="20"/>
                <w:szCs w:val="20"/>
                <w:color w:val="auto"/>
              </w:rPr>
            </w:pPr>
            <w:r>
              <w:rPr>
                <w:rFonts w:ascii="Arial" w:cs="Arial" w:eastAsia="Arial" w:hAnsi="Arial"/>
                <w:sz w:val="14"/>
                <w:szCs w:val="14"/>
                <w:b w:val="1"/>
                <w:bCs w:val="1"/>
                <w:color w:val="auto"/>
                <w:w w:val="81"/>
              </w:rPr>
              <w:t>Signed</w:t>
            </w:r>
          </w:p>
        </w:tc>
        <w:tc>
          <w:tcPr>
            <w:tcW w:w="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1"/>
              </w:rPr>
              <w:t>Signed</w:t>
            </w:r>
          </w:p>
        </w:tc>
        <w:tc>
          <w:tcPr>
            <w:tcW w:w="80" w:type="dxa"/>
            <w:vAlign w:val="bottom"/>
          </w:tcPr>
          <w:p>
            <w:pPr>
              <w:spacing w:after="0"/>
              <w:rPr>
                <w:sz w:val="14"/>
                <w:szCs w:val="14"/>
                <w:color w:val="auto"/>
              </w:rPr>
            </w:pPr>
          </w:p>
        </w:tc>
        <w:tc>
          <w:tcPr>
            <w:tcW w:w="960" w:type="dxa"/>
            <w:vAlign w:val="bottom"/>
            <w:gridSpan w:val="5"/>
          </w:tcPr>
          <w:p>
            <w:pPr>
              <w:ind w:left="60"/>
              <w:spacing w:after="0"/>
              <w:rPr>
                <w:sz w:val="20"/>
                <w:szCs w:val="20"/>
                <w:color w:val="auto"/>
              </w:rPr>
            </w:pPr>
            <w:r>
              <w:rPr>
                <w:rFonts w:ascii="Arial" w:cs="Arial" w:eastAsia="Arial" w:hAnsi="Arial"/>
                <w:sz w:val="14"/>
                <w:szCs w:val="14"/>
                <w:b w:val="1"/>
                <w:bCs w:val="1"/>
                <w:color w:val="auto"/>
              </w:rPr>
              <w:t>Per Sq. Ft.</w:t>
            </w:r>
          </w:p>
        </w:tc>
        <w:tc>
          <w:tcPr>
            <w:tcW w:w="80" w:type="dxa"/>
            <w:vAlign w:val="bottom"/>
          </w:tcPr>
          <w:p>
            <w:pPr>
              <w:spacing w:after="0"/>
              <w:rPr>
                <w:sz w:val="14"/>
                <w:szCs w:val="14"/>
                <w:color w:val="auto"/>
              </w:rPr>
            </w:pPr>
          </w:p>
        </w:tc>
        <w:tc>
          <w:tcPr>
            <w:tcW w:w="5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Ft.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jc w:val="center"/>
              <w:ind w:right="380"/>
              <w:spacing w:after="0"/>
              <w:rPr>
                <w:sz w:val="20"/>
                <w:szCs w:val="20"/>
                <w:color w:val="auto"/>
              </w:rPr>
            </w:pPr>
            <w:r>
              <w:rPr>
                <w:rFonts w:ascii="Arial" w:cs="Arial" w:eastAsia="Arial" w:hAnsi="Arial"/>
                <w:sz w:val="14"/>
                <w:szCs w:val="14"/>
                <w:b w:val="1"/>
                <w:bCs w:val="1"/>
                <w:color w:val="auto"/>
                <w:w w:val="89"/>
              </w:rPr>
              <w:t>Rent</w:t>
            </w:r>
          </w:p>
        </w:tc>
        <w:tc>
          <w:tcPr>
            <w:tcW w:w="1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Rent</w:t>
            </w:r>
          </w:p>
        </w:tc>
        <w:tc>
          <w:tcPr>
            <w:tcW w:w="84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89"/>
              </w:rPr>
              <w:t>Rent</w:t>
            </w: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Term (5)</w:t>
            </w:r>
          </w:p>
        </w:tc>
        <w:tc>
          <w:tcPr>
            <w:tcW w:w="120" w:type="dxa"/>
            <w:vAlign w:val="bottom"/>
          </w:tcPr>
          <w:p>
            <w:pPr>
              <w:spacing w:after="0"/>
              <w:rPr>
                <w:sz w:val="14"/>
                <w:szCs w:val="14"/>
                <w:color w:val="auto"/>
              </w:rPr>
            </w:pPr>
          </w:p>
        </w:tc>
        <w:tc>
          <w:tcPr>
            <w:tcW w:w="740" w:type="dxa"/>
            <w:vAlign w:val="bottom"/>
          </w:tcPr>
          <w:p>
            <w:pPr>
              <w:jc w:val="center"/>
              <w:ind w:right="98"/>
              <w:spacing w:after="0"/>
              <w:rPr>
                <w:sz w:val="20"/>
                <w:szCs w:val="20"/>
                <w:color w:val="auto"/>
              </w:rPr>
            </w:pPr>
            <w:r>
              <w:rPr>
                <w:rFonts w:ascii="Arial" w:cs="Arial" w:eastAsia="Arial" w:hAnsi="Arial"/>
                <w:sz w:val="14"/>
                <w:szCs w:val="14"/>
                <w:b w:val="1"/>
                <w:bCs w:val="1"/>
                <w:color w:val="auto"/>
                <w:w w:val="93"/>
              </w:rPr>
              <w:t>(6)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right w:val="single" w:sz="8" w:color="auto"/>
            </w:tcBorders>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3rd Quarter 2010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lef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5"/>
            <w:shd w:val="clear" w:color="auto" w:fill="CCEEFF"/>
          </w:tcPr>
          <w:p>
            <w:pPr>
              <w:ind w:left="660"/>
              <w:spacing w:after="0"/>
              <w:rPr>
                <w:sz w:val="20"/>
                <w:szCs w:val="20"/>
                <w:color w:val="auto"/>
              </w:rPr>
            </w:pPr>
            <w:r>
              <w:rPr>
                <w:rFonts w:ascii="Arial" w:cs="Arial" w:eastAsia="Arial" w:hAnsi="Arial"/>
                <w:sz w:val="18"/>
                <w:szCs w:val="18"/>
                <w:color w:val="auto"/>
              </w:rPr>
              <w:t>39%</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132,033</w:t>
            </w: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27.10</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$25.79</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$172,909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8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6,089,555</w:t>
            </w:r>
          </w:p>
        </w:tc>
        <w:tc>
          <w:tcPr>
            <w:tcW w:w="34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2nd Quarter 2010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1280" w:type="dxa"/>
            <w:vAlign w:val="bottom"/>
            <w:gridSpan w:val="5"/>
          </w:tcPr>
          <w:p>
            <w:pPr>
              <w:ind w:left="660"/>
              <w:spacing w:after="0"/>
              <w:rPr>
                <w:sz w:val="20"/>
                <w:szCs w:val="20"/>
                <w:color w:val="auto"/>
              </w:rPr>
            </w:pPr>
            <w:r>
              <w:rPr>
                <w:rFonts w:ascii="Arial" w:cs="Arial" w:eastAsia="Arial" w:hAnsi="Arial"/>
                <w:sz w:val="18"/>
                <w:szCs w:val="18"/>
                <w:color w:val="auto"/>
              </w:rPr>
              <w:t>39%</w:t>
            </w:r>
          </w:p>
        </w:tc>
        <w:tc>
          <w:tcPr>
            <w:tcW w:w="520" w:type="dxa"/>
            <w:vAlign w:val="bottom"/>
          </w:tcPr>
          <w:p>
            <w:pPr>
              <w:jc w:val="right"/>
              <w:spacing w:after="0"/>
              <w:rPr>
                <w:sz w:val="20"/>
                <w:szCs w:val="20"/>
                <w:color w:val="auto"/>
              </w:rPr>
            </w:pPr>
            <w:r>
              <w:rPr>
                <w:rFonts w:ascii="Arial" w:cs="Arial" w:eastAsia="Arial" w:hAnsi="Arial"/>
                <w:sz w:val="18"/>
                <w:szCs w:val="18"/>
                <w:color w:val="auto"/>
                <w:w w:val="76"/>
              </w:rPr>
              <w:t>149,562</w:t>
            </w:r>
          </w:p>
        </w:tc>
        <w:tc>
          <w:tcPr>
            <w:tcW w:w="16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18"/>
                <w:szCs w:val="18"/>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$23.20</w:t>
            </w:r>
          </w:p>
        </w:tc>
        <w:tc>
          <w:tcPr>
            <w:tcW w:w="6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$270,375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color w:val="auto"/>
              </w:rPr>
              <w:t>8%</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16%</w:t>
            </w:r>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4,409,306</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1st Quarter 2010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left w:val="single" w:sz="8" w:color="CCEEFF"/>
            </w:tcBorders>
            <w:shd w:val="clear" w:color="auto" w:fill="CCEEFF"/>
          </w:tcPr>
          <w:p>
            <w:pPr>
              <w:spacing w:after="0"/>
              <w:rPr>
                <w:sz w:val="18"/>
                <w:szCs w:val="18"/>
                <w:color w:val="auto"/>
              </w:rPr>
            </w:pPr>
          </w:p>
        </w:tc>
        <w:tc>
          <w:tcPr>
            <w:tcW w:w="1280" w:type="dxa"/>
            <w:vAlign w:val="bottom"/>
            <w:tcBorders>
              <w:right w:val="single" w:sz="8" w:color="CCEEFF"/>
            </w:tcBorders>
            <w:gridSpan w:val="5"/>
            <w:shd w:val="clear" w:color="auto" w:fill="CCEEFF"/>
          </w:tcPr>
          <w:p>
            <w:pPr>
              <w:ind w:left="660"/>
              <w:spacing w:after="0"/>
              <w:rPr>
                <w:sz w:val="20"/>
                <w:szCs w:val="20"/>
                <w:color w:val="auto"/>
              </w:rPr>
            </w:pPr>
            <w:r>
              <w:rPr>
                <w:rFonts w:ascii="Arial" w:cs="Arial" w:eastAsia="Arial" w:hAnsi="Arial"/>
                <w:sz w:val="18"/>
                <w:szCs w:val="18"/>
                <w:color w:val="auto"/>
              </w:rPr>
              <w:t>42%</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157,619</w:t>
            </w: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23.00</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color w:val="auto"/>
                <w:w w:val="90"/>
              </w:rPr>
              <w:t>$20.98</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$318,458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8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6,828,877</w:t>
            </w:r>
          </w:p>
        </w:tc>
        <w:tc>
          <w:tcPr>
            <w:tcW w:w="34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4th Quarter 2009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4"/>
          </w:tcPr>
          <w:p>
            <w:pPr>
              <w:ind w:left="460"/>
              <w:spacing w:after="0"/>
              <w:rPr>
                <w:sz w:val="20"/>
                <w:szCs w:val="20"/>
                <w:color w:val="auto"/>
              </w:rPr>
            </w:pPr>
            <w:r>
              <w:rPr>
                <w:rFonts w:ascii="Arial" w:cs="Arial" w:eastAsia="Arial" w:hAnsi="Arial"/>
                <w:sz w:val="18"/>
                <w:szCs w:val="18"/>
                <w:color w:val="auto"/>
              </w:rPr>
              <w:t>39%</w:t>
            </w:r>
          </w:p>
        </w:tc>
        <w:tc>
          <w:tcPr>
            <w:tcW w:w="520" w:type="dxa"/>
            <w:vAlign w:val="bottom"/>
          </w:tcPr>
          <w:p>
            <w:pPr>
              <w:jc w:val="right"/>
              <w:spacing w:after="0"/>
              <w:rPr>
                <w:sz w:val="20"/>
                <w:szCs w:val="20"/>
                <w:color w:val="auto"/>
              </w:rPr>
            </w:pPr>
            <w:r>
              <w:rPr>
                <w:rFonts w:ascii="Arial" w:cs="Arial" w:eastAsia="Arial" w:hAnsi="Arial"/>
                <w:sz w:val="18"/>
                <w:szCs w:val="18"/>
                <w:color w:val="auto"/>
                <w:w w:val="76"/>
              </w:rPr>
              <w:t>176,966</w:t>
            </w:r>
          </w:p>
        </w:tc>
        <w:tc>
          <w:tcPr>
            <w:tcW w:w="16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24.89</w:t>
            </w:r>
          </w:p>
        </w:tc>
        <w:tc>
          <w:tcPr>
            <w:tcW w:w="120" w:type="dxa"/>
            <w:vAlign w:val="bottom"/>
          </w:tcPr>
          <w:p>
            <w:pPr>
              <w:spacing w:after="0"/>
              <w:rPr>
                <w:sz w:val="18"/>
                <w:szCs w:val="18"/>
                <w:color w:val="auto"/>
              </w:rPr>
            </w:pPr>
          </w:p>
        </w:tc>
        <w:tc>
          <w:tcPr>
            <w:tcW w:w="580" w:type="dxa"/>
            <w:vAlign w:val="bottom"/>
            <w:gridSpan w:val="3"/>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24.77</w:t>
            </w:r>
          </w:p>
        </w:tc>
        <w:tc>
          <w:tcPr>
            <w:tcW w:w="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20,465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80"/>
              <w:spacing w:after="0"/>
              <w:rPr>
                <w:sz w:val="20"/>
                <w:szCs w:val="20"/>
                <w:color w:val="auto"/>
              </w:rPr>
            </w:pPr>
            <w:r>
              <w:rPr>
                <w:rFonts w:ascii="Arial" w:cs="Arial" w:eastAsia="Arial" w:hAnsi="Arial"/>
                <w:sz w:val="18"/>
                <w:szCs w:val="18"/>
                <w:color w:val="auto"/>
              </w:rPr>
              <w:t>0%</w:t>
            </w:r>
          </w:p>
        </w:tc>
        <w:tc>
          <w:tcPr>
            <w:tcW w:w="840" w:type="dxa"/>
            <w:vAlign w:val="bottom"/>
            <w:gridSpan w:val="3"/>
          </w:tcPr>
          <w:p>
            <w:pPr>
              <w:jc w:val="right"/>
              <w:ind w:right="240"/>
              <w:spacing w:after="0"/>
              <w:rPr>
                <w:sz w:val="20"/>
                <w:szCs w:val="20"/>
                <w:color w:val="auto"/>
              </w:rPr>
            </w:pPr>
            <w:r>
              <w:rPr>
                <w:rFonts w:ascii="Arial" w:cs="Arial" w:eastAsia="Arial" w:hAnsi="Arial"/>
                <w:sz w:val="18"/>
                <w:szCs w:val="18"/>
                <w:color w:val="auto"/>
              </w:rPr>
              <w:t>10%</w:t>
            </w:r>
          </w:p>
        </w:tc>
        <w:tc>
          <w:tcPr>
            <w:tcW w:w="500" w:type="dxa"/>
            <w:vAlign w:val="bottom"/>
          </w:tcPr>
          <w:p>
            <w:pPr>
              <w:jc w:val="right"/>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w w:val="89"/>
              </w:rPr>
              <w:t>4,328,199</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right w:val="single" w:sz="8" w:color="auto"/>
            </w:tcBorders>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righ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tcBorders>
              <w:left w:val="single" w:sz="8" w:color="CCEEFF"/>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80" w:type="dxa"/>
            <w:vAlign w:val="bottom"/>
            <w:tcBorders>
              <w:right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40%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6"/>
              </w:rPr>
              <w:t>616,180</w:t>
            </w: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24.91</w:t>
            </w:r>
          </w:p>
        </w:tc>
        <w:tc>
          <w:tcPr>
            <w:tcW w:w="120" w:type="dxa"/>
            <w:vAlign w:val="bottom"/>
            <w:tcBorders>
              <w:right w:val="single" w:sz="8" w:color="CCEEFF"/>
            </w:tcBorders>
            <w:shd w:val="clear" w:color="auto" w:fill="CCEEFF"/>
          </w:tcPr>
          <w:p>
            <w:pPr>
              <w:spacing w:after="0"/>
              <w:rPr>
                <w:sz w:val="18"/>
                <w:szCs w:val="18"/>
                <w:color w:val="auto"/>
              </w:rPr>
            </w:pPr>
          </w:p>
        </w:tc>
        <w:tc>
          <w:tcPr>
            <w:tcW w:w="5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23.64</w:t>
            </w:r>
          </w:p>
        </w:tc>
        <w:tc>
          <w:tcPr>
            <w:tcW w:w="6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782,207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5%</w:t>
            </w:r>
          </w:p>
        </w:tc>
        <w:tc>
          <w:tcPr>
            <w:tcW w:w="840" w:type="dxa"/>
            <w:vAlign w:val="bottom"/>
            <w:tcBorders>
              <w:right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21,655,937</w:t>
            </w:r>
          </w:p>
        </w:tc>
        <w:tc>
          <w:tcPr>
            <w:tcW w:w="34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gridSpan w:val="3"/>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4160" w:type="dxa"/>
            <w:vAlign w:val="bottom"/>
            <w:gridSpan w:val="13"/>
          </w:tcPr>
          <w:p>
            <w:pPr>
              <w:spacing w:after="0"/>
              <w:rPr>
                <w:sz w:val="20"/>
                <w:szCs w:val="20"/>
                <w:color w:val="auto"/>
              </w:rPr>
            </w:pPr>
            <w:r>
              <w:rPr>
                <w:rFonts w:ascii="Arial" w:cs="Arial" w:eastAsia="Arial" w:hAnsi="Arial"/>
                <w:sz w:val="18"/>
                <w:szCs w:val="18"/>
                <w:b w:val="1"/>
                <w:bCs w:val="1"/>
                <w:color w:val="auto"/>
              </w:rPr>
              <w:t>Renewal Lease Summary - Comparable (2) (7)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Straight-</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Cash</w:t>
            </w: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lined</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Prior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Basis %</w:t>
            </w: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Basis %</w:t>
            </w: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Number</w:t>
            </w:r>
          </w:p>
        </w:tc>
        <w:tc>
          <w:tcPr>
            <w:tcW w:w="200" w:type="dxa"/>
            <w:vAlign w:val="bottom"/>
          </w:tcPr>
          <w:p>
            <w:pPr>
              <w:spacing w:after="0"/>
              <w:rPr>
                <w:sz w:val="12"/>
                <w:szCs w:val="12"/>
                <w:color w:val="auto"/>
              </w:rPr>
            </w:pPr>
          </w:p>
        </w:tc>
        <w:tc>
          <w:tcPr>
            <w:tcW w:w="1080" w:type="dxa"/>
            <w:vAlign w:val="bottom"/>
            <w:gridSpan w:val="4"/>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 of</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Rent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Increase</w:t>
            </w: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Increase</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2"/>
                <w:szCs w:val="12"/>
                <w:color w:val="auto"/>
              </w:rPr>
            </w:pPr>
          </w:p>
        </w:tc>
        <w:tc>
          <w:tcPr>
            <w:tcW w:w="740" w:type="dxa"/>
            <w:vAlign w:val="bottom"/>
          </w:tcPr>
          <w:p>
            <w:pPr>
              <w:jc w:val="center"/>
              <w:ind w:right="58"/>
              <w:spacing w:after="0" w:line="149" w:lineRule="exact"/>
              <w:rPr>
                <w:sz w:val="20"/>
                <w:szCs w:val="20"/>
                <w:color w:val="auto"/>
              </w:rPr>
            </w:pPr>
            <w:r>
              <w:rPr>
                <w:rFonts w:ascii="Arial" w:cs="Arial" w:eastAsia="Arial" w:hAnsi="Arial"/>
                <w:sz w:val="14"/>
                <w:szCs w:val="14"/>
                <w:b w:val="1"/>
                <w:bCs w:val="1"/>
                <w:color w:val="auto"/>
                <w:w w:val="87"/>
              </w:rPr>
              <w:t>Tenant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0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Comparable</w:t>
            </w:r>
          </w:p>
        </w:tc>
        <w:tc>
          <w:tcPr>
            <w:tcW w:w="5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5"/>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1"/>
              </w:rPr>
              <w:t>(4)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4"/>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Annual</w:t>
            </w:r>
          </w:p>
        </w:tc>
        <w:tc>
          <w:tcPr>
            <w:tcW w:w="120" w:type="dxa"/>
            <w:vAlign w:val="bottom"/>
          </w:tcPr>
          <w:p>
            <w:pPr>
              <w:spacing w:after="0"/>
              <w:rPr>
                <w:sz w:val="12"/>
                <w:szCs w:val="12"/>
                <w:color w:val="auto"/>
              </w:rPr>
            </w:pPr>
          </w:p>
        </w:tc>
        <w:tc>
          <w:tcPr>
            <w:tcW w:w="78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Over</w:t>
            </w: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Over</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Average</w:t>
            </w: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Improvements</w:t>
            </w:r>
          </w:p>
        </w:tc>
        <w:tc>
          <w:tcPr>
            <w:tcW w:w="24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79"/>
              </w:rPr>
              <w:t>Leases</w:t>
            </w:r>
          </w:p>
        </w:tc>
        <w:tc>
          <w:tcPr>
            <w:tcW w:w="200" w:type="dxa"/>
            <w:vAlign w:val="bottom"/>
          </w:tcPr>
          <w:p>
            <w:pPr>
              <w:spacing w:after="0"/>
              <w:rPr>
                <w:sz w:val="12"/>
                <w:szCs w:val="12"/>
                <w:color w:val="auto"/>
              </w:rPr>
            </w:pPr>
          </w:p>
        </w:tc>
        <w:tc>
          <w:tcPr>
            <w:tcW w:w="1080" w:type="dxa"/>
            <w:vAlign w:val="bottom"/>
            <w:gridSpan w:val="4"/>
          </w:tcPr>
          <w:p>
            <w:pPr>
              <w:jc w:val="center"/>
              <w:ind w:right="500"/>
              <w:spacing w:after="0" w:line="149" w:lineRule="exact"/>
              <w:rPr>
                <w:sz w:val="20"/>
                <w:szCs w:val="20"/>
                <w:color w:val="auto"/>
              </w:rPr>
            </w:pPr>
            <w:r>
              <w:rPr>
                <w:rFonts w:ascii="Arial" w:cs="Arial" w:eastAsia="Arial" w:hAnsi="Arial"/>
                <w:sz w:val="14"/>
                <w:szCs w:val="14"/>
                <w:b w:val="1"/>
                <w:bCs w:val="1"/>
                <w:color w:val="auto"/>
                <w:w w:val="79"/>
              </w:rPr>
              <w:t>Leases</w:t>
            </w:r>
          </w:p>
        </w:tc>
        <w:tc>
          <w:tcPr>
            <w:tcW w:w="6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GLA</w:t>
            </w:r>
          </w:p>
        </w:tc>
        <w:tc>
          <w:tcPr>
            <w:tcW w:w="80" w:type="dxa"/>
            <w:vAlign w:val="bottom"/>
          </w:tcPr>
          <w:p>
            <w:pPr>
              <w:spacing w:after="0"/>
              <w:rPr>
                <w:sz w:val="12"/>
                <w:szCs w:val="12"/>
                <w:color w:val="auto"/>
              </w:rPr>
            </w:pPr>
          </w:p>
        </w:tc>
        <w:tc>
          <w:tcPr>
            <w:tcW w:w="960" w:type="dxa"/>
            <w:vAlign w:val="bottom"/>
            <w:gridSpan w:val="5"/>
          </w:tcPr>
          <w:p>
            <w:pPr>
              <w:ind w:left="120"/>
              <w:spacing w:after="0" w:line="149" w:lineRule="exact"/>
              <w:rPr>
                <w:sz w:val="20"/>
                <w:szCs w:val="20"/>
                <w:color w:val="auto"/>
              </w:rPr>
            </w:pPr>
            <w:r>
              <w:rPr>
                <w:rFonts w:ascii="Arial" w:cs="Arial" w:eastAsia="Arial" w:hAnsi="Arial"/>
                <w:sz w:val="14"/>
                <w:szCs w:val="14"/>
                <w:b w:val="1"/>
                <w:bCs w:val="1"/>
                <w:color w:val="auto"/>
              </w:rPr>
              <w:t>Rent (3)</w:t>
            </w:r>
          </w:p>
        </w:tc>
        <w:tc>
          <w:tcPr>
            <w:tcW w:w="64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Per Sq.</w:t>
            </w:r>
          </w:p>
        </w:tc>
        <w:tc>
          <w:tcPr>
            <w:tcW w:w="140" w:type="dxa"/>
            <w:vAlign w:val="bottom"/>
          </w:tcPr>
          <w:p>
            <w:pPr>
              <w:spacing w:after="0"/>
              <w:rPr>
                <w:sz w:val="12"/>
                <w:szCs w:val="12"/>
                <w:color w:val="auto"/>
              </w:rPr>
            </w:pPr>
          </w:p>
        </w:tc>
        <w:tc>
          <w:tcPr>
            <w:tcW w:w="88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Increase in</w:t>
            </w:r>
          </w:p>
        </w:tc>
        <w:tc>
          <w:tcPr>
            <w:tcW w:w="120" w:type="dxa"/>
            <w:vAlign w:val="bottom"/>
          </w:tcPr>
          <w:p>
            <w:pPr>
              <w:spacing w:after="0"/>
              <w:rPr>
                <w:sz w:val="12"/>
                <w:szCs w:val="12"/>
                <w:color w:val="auto"/>
              </w:rPr>
            </w:pPr>
          </w:p>
        </w:tc>
        <w:tc>
          <w:tcPr>
            <w:tcW w:w="7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Prior</w:t>
            </w:r>
          </w:p>
        </w:tc>
        <w:tc>
          <w:tcPr>
            <w:tcW w:w="8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Prior</w:t>
            </w: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Lease</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&amp; Incentives</w:t>
            </w:r>
          </w:p>
        </w:tc>
        <w:tc>
          <w:tcPr>
            <w:tcW w:w="24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1"/>
        </w:trPr>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Signed</w:t>
            </w:r>
          </w:p>
        </w:tc>
        <w:tc>
          <w:tcPr>
            <w:tcW w:w="200" w:type="dxa"/>
            <w:vAlign w:val="bottom"/>
          </w:tcPr>
          <w:p>
            <w:pPr>
              <w:spacing w:after="0"/>
              <w:rPr>
                <w:sz w:val="14"/>
                <w:szCs w:val="14"/>
                <w:color w:val="auto"/>
              </w:rPr>
            </w:pPr>
          </w:p>
        </w:tc>
        <w:tc>
          <w:tcPr>
            <w:tcW w:w="108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5"/>
              </w:rPr>
              <w:t>Signed</w:t>
            </w: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Signed</w:t>
            </w:r>
          </w:p>
        </w:tc>
        <w:tc>
          <w:tcPr>
            <w:tcW w:w="80" w:type="dxa"/>
            <w:vAlign w:val="bottom"/>
          </w:tcPr>
          <w:p>
            <w:pPr>
              <w:spacing w:after="0"/>
              <w:rPr>
                <w:sz w:val="14"/>
                <w:szCs w:val="14"/>
                <w:color w:val="auto"/>
              </w:rPr>
            </w:pPr>
          </w:p>
        </w:tc>
        <w:tc>
          <w:tcPr>
            <w:tcW w:w="960" w:type="dxa"/>
            <w:vAlign w:val="bottom"/>
            <w:gridSpan w:val="5"/>
          </w:tcPr>
          <w:p>
            <w:pPr>
              <w:ind w:left="60"/>
              <w:spacing w:after="0"/>
              <w:rPr>
                <w:sz w:val="20"/>
                <w:szCs w:val="20"/>
                <w:color w:val="auto"/>
              </w:rPr>
            </w:pPr>
            <w:r>
              <w:rPr>
                <w:rFonts w:ascii="Arial" w:cs="Arial" w:eastAsia="Arial" w:hAnsi="Arial"/>
                <w:sz w:val="14"/>
                <w:szCs w:val="14"/>
                <w:b w:val="1"/>
                <w:bCs w:val="1"/>
                <w:color w:val="auto"/>
              </w:rPr>
              <w:t>Per Sq. Ft.</w:t>
            </w:r>
          </w:p>
        </w:tc>
        <w:tc>
          <w:tcPr>
            <w:tcW w:w="80" w:type="dxa"/>
            <w:vAlign w:val="bottom"/>
          </w:tcPr>
          <w:p>
            <w:pPr>
              <w:spacing w:after="0"/>
              <w:rPr>
                <w:sz w:val="14"/>
                <w:szCs w:val="14"/>
                <w:color w:val="auto"/>
              </w:rPr>
            </w:pPr>
          </w:p>
        </w:tc>
        <w:tc>
          <w:tcPr>
            <w:tcW w:w="5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Ft.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9"/>
              </w:rPr>
              <w:t>Rent</w:t>
            </w:r>
          </w:p>
        </w:tc>
        <w:tc>
          <w:tcPr>
            <w:tcW w:w="120" w:type="dxa"/>
            <w:vAlign w:val="bottom"/>
          </w:tcPr>
          <w:p>
            <w:pPr>
              <w:spacing w:after="0"/>
              <w:rPr>
                <w:sz w:val="14"/>
                <w:szCs w:val="14"/>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Rent</w:t>
            </w:r>
          </w:p>
        </w:tc>
        <w:tc>
          <w:tcPr>
            <w:tcW w:w="8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3"/>
              </w:rPr>
              <w:t>Rent</w:t>
            </w:r>
          </w:p>
        </w:tc>
        <w:tc>
          <w:tcPr>
            <w:tcW w:w="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Term (5)</w:t>
            </w:r>
          </w:p>
        </w:tc>
        <w:tc>
          <w:tcPr>
            <w:tcW w:w="120" w:type="dxa"/>
            <w:vAlign w:val="bottom"/>
          </w:tcPr>
          <w:p>
            <w:pPr>
              <w:spacing w:after="0"/>
              <w:rPr>
                <w:sz w:val="14"/>
                <w:szCs w:val="14"/>
                <w:color w:val="auto"/>
              </w:rPr>
            </w:pPr>
          </w:p>
        </w:tc>
        <w:tc>
          <w:tcPr>
            <w:tcW w:w="740" w:type="dxa"/>
            <w:vAlign w:val="bottom"/>
          </w:tcPr>
          <w:p>
            <w:pPr>
              <w:jc w:val="center"/>
              <w:ind w:right="58"/>
              <w:spacing w:after="0"/>
              <w:rPr>
                <w:sz w:val="20"/>
                <w:szCs w:val="20"/>
                <w:color w:val="auto"/>
              </w:rPr>
            </w:pPr>
            <w:r>
              <w:rPr>
                <w:rFonts w:ascii="Arial" w:cs="Arial" w:eastAsia="Arial" w:hAnsi="Arial"/>
                <w:sz w:val="14"/>
                <w:szCs w:val="14"/>
                <w:b w:val="1"/>
                <w:bCs w:val="1"/>
                <w:color w:val="auto"/>
                <w:w w:val="93"/>
              </w:rPr>
              <w:t>(6)</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tcBorders>
              <w:lef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3rd Quarter 2010</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1280" w:type="dxa"/>
            <w:vAlign w:val="bottom"/>
            <w:tcBorders>
              <w:right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217,456</w:t>
            </w: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23.99</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$22.64</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294,704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34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2nd Quarter 2010</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49</w:t>
            </w:r>
          </w:p>
        </w:tc>
        <w:tc>
          <w:tcPr>
            <w:tcW w:w="1280" w:type="dxa"/>
            <w:vAlign w:val="bottom"/>
            <w:gridSpan w:val="5"/>
          </w:tcPr>
          <w:p>
            <w:pPr>
              <w:jc w:val="right"/>
              <w:ind w:right="280"/>
              <w:spacing w:after="0"/>
              <w:rPr>
                <w:sz w:val="20"/>
                <w:szCs w:val="20"/>
                <w:color w:val="auto"/>
              </w:rPr>
            </w:pPr>
            <w:r>
              <w:rPr>
                <w:rFonts w:ascii="Arial" w:cs="Arial" w:eastAsia="Arial" w:hAnsi="Arial"/>
                <w:sz w:val="18"/>
                <w:szCs w:val="18"/>
                <w:color w:val="auto"/>
              </w:rPr>
              <w:t>61%</w:t>
            </w:r>
          </w:p>
        </w:tc>
        <w:tc>
          <w:tcPr>
            <w:tcW w:w="520" w:type="dxa"/>
            <w:vAlign w:val="bottom"/>
          </w:tcPr>
          <w:p>
            <w:pPr>
              <w:jc w:val="right"/>
              <w:spacing w:after="0"/>
              <w:rPr>
                <w:sz w:val="20"/>
                <w:szCs w:val="20"/>
                <w:color w:val="auto"/>
              </w:rPr>
            </w:pPr>
            <w:r>
              <w:rPr>
                <w:rFonts w:ascii="Arial" w:cs="Arial" w:eastAsia="Arial" w:hAnsi="Arial"/>
                <w:sz w:val="18"/>
                <w:szCs w:val="18"/>
                <w:color w:val="auto"/>
                <w:w w:val="79"/>
              </w:rPr>
              <w:t>158,005</w:t>
            </w:r>
          </w:p>
        </w:tc>
        <w:tc>
          <w:tcPr>
            <w:tcW w:w="16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30.09</w:t>
            </w:r>
          </w:p>
        </w:tc>
        <w:tc>
          <w:tcPr>
            <w:tcW w:w="12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color w:val="auto"/>
                <w:w w:val="87"/>
              </w:rPr>
              <w:t>$29.90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30,723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1%</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11%</w:t>
            </w:r>
          </w:p>
        </w:tc>
        <w:tc>
          <w:tcPr>
            <w:tcW w:w="500" w:type="dxa"/>
            <w:vAlign w:val="bottom"/>
          </w:tcPr>
          <w:p>
            <w:pPr>
              <w:jc w:val="right"/>
              <w:spacing w:after="0"/>
              <w:rPr>
                <w:sz w:val="20"/>
                <w:szCs w:val="20"/>
                <w:color w:val="auto"/>
              </w:rPr>
            </w:pPr>
            <w:r>
              <w:rPr>
                <w:rFonts w:ascii="Arial" w:cs="Arial" w:eastAsia="Arial" w:hAnsi="Arial"/>
                <w:sz w:val="18"/>
                <w:szCs w:val="18"/>
                <w:color w:val="auto"/>
              </w:rPr>
              <w:t>5.8</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22,500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1st Quarter 2010</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1280" w:type="dxa"/>
            <w:vAlign w:val="bottom"/>
            <w:tcBorders>
              <w:right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58%</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150,343</w:t>
            </w: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35.67</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7"/>
              </w:rPr>
              <w:t>$29.44</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2"/>
              </w:rPr>
              <w:t>936,626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21%</w:t>
            </w: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90,750</w:t>
            </w:r>
          </w:p>
        </w:tc>
        <w:tc>
          <w:tcPr>
            <w:tcW w:w="34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2"/>
          </w:tcPr>
          <w:p>
            <w:pPr>
              <w:spacing w:after="0"/>
              <w:rPr>
                <w:sz w:val="20"/>
                <w:szCs w:val="20"/>
                <w:color w:val="auto"/>
              </w:rPr>
            </w:pPr>
            <w:r>
              <w:rPr>
                <w:rFonts w:ascii="Arial" w:cs="Arial" w:eastAsia="Arial" w:hAnsi="Arial"/>
                <w:sz w:val="18"/>
                <w:szCs w:val="18"/>
                <w:color w:val="auto"/>
              </w:rPr>
              <w:t>4th Quarter 2009</w:t>
            </w:r>
          </w:p>
        </w:tc>
        <w:tc>
          <w:tcPr>
            <w:tcW w:w="580" w:type="dxa"/>
            <w:vAlign w:val="bottom"/>
            <w:gridSpan w:val="3"/>
          </w:tcPr>
          <w:p>
            <w:pPr>
              <w:jc w:val="right"/>
              <w:ind w:right="100"/>
              <w:spacing w:after="0"/>
              <w:rPr>
                <w:sz w:val="20"/>
                <w:szCs w:val="20"/>
                <w:color w:val="auto"/>
              </w:rPr>
            </w:pPr>
            <w:r>
              <w:rPr>
                <w:rFonts w:ascii="Arial" w:cs="Arial" w:eastAsia="Arial" w:hAnsi="Arial"/>
                <w:sz w:val="18"/>
                <w:szCs w:val="18"/>
                <w:color w:val="auto"/>
              </w:rPr>
              <w:t>50</w:t>
            </w:r>
          </w:p>
        </w:tc>
        <w:tc>
          <w:tcPr>
            <w:tcW w:w="1280" w:type="dxa"/>
            <w:vAlign w:val="bottom"/>
            <w:gridSpan w:val="5"/>
          </w:tcPr>
          <w:p>
            <w:pPr>
              <w:jc w:val="right"/>
              <w:ind w:right="280"/>
              <w:spacing w:after="0"/>
              <w:rPr>
                <w:sz w:val="20"/>
                <w:szCs w:val="20"/>
                <w:color w:val="auto"/>
              </w:rPr>
            </w:pPr>
            <w:r>
              <w:rPr>
                <w:rFonts w:ascii="Arial" w:cs="Arial" w:eastAsia="Arial" w:hAnsi="Arial"/>
                <w:sz w:val="18"/>
                <w:szCs w:val="18"/>
                <w:color w:val="auto"/>
              </w:rPr>
              <w:t>61%</w:t>
            </w:r>
          </w:p>
        </w:tc>
        <w:tc>
          <w:tcPr>
            <w:tcW w:w="520" w:type="dxa"/>
            <w:vAlign w:val="bottom"/>
          </w:tcPr>
          <w:p>
            <w:pPr>
              <w:jc w:val="right"/>
              <w:spacing w:after="0"/>
              <w:rPr>
                <w:sz w:val="20"/>
                <w:szCs w:val="20"/>
                <w:color w:val="auto"/>
              </w:rPr>
            </w:pPr>
            <w:r>
              <w:rPr>
                <w:rFonts w:ascii="Arial" w:cs="Arial" w:eastAsia="Arial" w:hAnsi="Arial"/>
                <w:sz w:val="18"/>
                <w:szCs w:val="18"/>
                <w:color w:val="auto"/>
                <w:w w:val="79"/>
              </w:rPr>
              <w:t>183,252</w:t>
            </w:r>
          </w:p>
        </w:tc>
        <w:tc>
          <w:tcPr>
            <w:tcW w:w="160" w:type="dxa"/>
            <w:vAlign w:val="bottom"/>
          </w:tcPr>
          <w:p>
            <w:pPr>
              <w:spacing w:after="0"/>
              <w:rPr>
                <w:sz w:val="18"/>
                <w:szCs w:val="18"/>
                <w:color w:val="auto"/>
              </w:rPr>
            </w:pP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30.17</w:t>
            </w:r>
          </w:p>
        </w:tc>
        <w:tc>
          <w:tcPr>
            <w:tcW w:w="120" w:type="dxa"/>
            <w:vAlign w:val="bottom"/>
          </w:tcPr>
          <w:p>
            <w:pPr>
              <w:spacing w:after="0"/>
              <w:rPr>
                <w:sz w:val="18"/>
                <w:szCs w:val="18"/>
                <w:color w:val="auto"/>
              </w:rPr>
            </w:pPr>
          </w:p>
        </w:tc>
        <w:tc>
          <w:tcPr>
            <w:tcW w:w="480" w:type="dxa"/>
            <w:vAlign w:val="bottom"/>
            <w:gridSpan w:val="2"/>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28.44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317,036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4"/>
          </w:tcPr>
          <w:p>
            <w:pPr>
              <w:jc w:val="right"/>
              <w:ind w:right="200"/>
              <w:spacing w:after="0"/>
              <w:rPr>
                <w:sz w:val="20"/>
                <w:szCs w:val="20"/>
                <w:color w:val="auto"/>
              </w:rPr>
            </w:pPr>
            <w:r>
              <w:rPr>
                <w:rFonts w:ascii="Arial" w:cs="Arial" w:eastAsia="Arial" w:hAnsi="Arial"/>
                <w:sz w:val="18"/>
                <w:szCs w:val="18"/>
                <w:color w:val="auto"/>
              </w:rPr>
              <w:t>6%</w:t>
            </w:r>
          </w:p>
        </w:tc>
        <w:tc>
          <w:tcPr>
            <w:tcW w:w="840" w:type="dxa"/>
            <w:vAlign w:val="bottom"/>
            <w:gridSpan w:val="3"/>
          </w:tcPr>
          <w:p>
            <w:pPr>
              <w:jc w:val="right"/>
              <w:ind w:right="180"/>
              <w:spacing w:after="0"/>
              <w:rPr>
                <w:sz w:val="20"/>
                <w:szCs w:val="20"/>
                <w:color w:val="auto"/>
              </w:rPr>
            </w:pPr>
            <w:r>
              <w:rPr>
                <w:rFonts w:ascii="Arial" w:cs="Arial" w:eastAsia="Arial" w:hAnsi="Arial"/>
                <w:sz w:val="18"/>
                <w:szCs w:val="18"/>
                <w:color w:val="auto"/>
              </w:rPr>
              <w:t>16%</w:t>
            </w:r>
          </w:p>
        </w:tc>
        <w:tc>
          <w:tcPr>
            <w:tcW w:w="500" w:type="dxa"/>
            <w:vAlign w:val="bottom"/>
          </w:tcPr>
          <w:p>
            <w:pPr>
              <w:jc w:val="right"/>
              <w:spacing w:after="0"/>
              <w:rPr>
                <w:sz w:val="20"/>
                <w:szCs w:val="20"/>
                <w:color w:val="auto"/>
              </w:rPr>
            </w:pPr>
            <w:r>
              <w:rPr>
                <w:rFonts w:ascii="Arial" w:cs="Arial" w:eastAsia="Arial" w:hAnsi="Arial"/>
                <w:sz w:val="18"/>
                <w:szCs w:val="18"/>
                <w:color w:val="auto"/>
              </w:rPr>
              <w:t>4.1</w:t>
            </w:r>
          </w:p>
        </w:tc>
        <w:tc>
          <w:tcPr>
            <w:tcW w:w="2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222,000</w:t>
            </w:r>
          </w:p>
        </w:tc>
        <w:tc>
          <w:tcPr>
            <w:tcW w:w="340" w:type="dxa"/>
            <w:vAlign w:val="bottom"/>
            <w:gridSpan w:val="2"/>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 w:type="dxa"/>
            <w:vAlign w:val="bottom"/>
            <w:tcBorders>
              <w:left w:val="single" w:sz="8" w:color="auto"/>
            </w:tcBorders>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right w:val="single" w:sz="8" w:color="auto"/>
            </w:tcBorders>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Borders>
              <w:left w:val="single" w:sz="8" w:color="auto"/>
            </w:tcBorders>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5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185</w:t>
            </w:r>
          </w:p>
        </w:tc>
        <w:tc>
          <w:tcPr>
            <w:tcW w:w="1280" w:type="dxa"/>
            <w:vAlign w:val="bottom"/>
            <w:tcBorders>
              <w:right w:val="single" w:sz="8" w:color="CCEEFF"/>
            </w:tcBorders>
            <w:gridSpan w:val="5"/>
            <w:shd w:val="clear" w:color="auto" w:fill="CCEEFF"/>
          </w:tcPr>
          <w:p>
            <w:pPr>
              <w:jc w:val="right"/>
              <w:ind w:right="280"/>
              <w:spacing w:after="0"/>
              <w:rPr>
                <w:sz w:val="20"/>
                <w:szCs w:val="20"/>
                <w:color w:val="auto"/>
              </w:rPr>
            </w:pPr>
            <w:r>
              <w:rPr>
                <w:rFonts w:ascii="Arial" w:cs="Arial" w:eastAsia="Arial" w:hAnsi="Arial"/>
                <w:sz w:val="18"/>
                <w:szCs w:val="18"/>
                <w:color w:val="auto"/>
              </w:rPr>
              <w:t>60%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709,056</w:t>
            </w:r>
          </w:p>
        </w:tc>
        <w:tc>
          <w:tcPr>
            <w:tcW w:w="160" w:type="dxa"/>
            <w:vAlign w:val="bottom"/>
            <w:tcBorders>
              <w:lef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29.43</w:t>
            </w:r>
          </w:p>
        </w:tc>
        <w:tc>
          <w:tcPr>
            <w:tcW w:w="120" w:type="dxa"/>
            <w:vAlign w:val="bottom"/>
            <w:tcBorders>
              <w:right w:val="single" w:sz="8" w:color="CCEEFF"/>
            </w:tcBorders>
            <w:shd w:val="clear" w:color="auto" w:fill="CCEEFF"/>
          </w:tcPr>
          <w:p>
            <w:pPr>
              <w:spacing w:after="0"/>
              <w:rPr>
                <w:sz w:val="18"/>
                <w:szCs w:val="18"/>
                <w:color w:val="auto"/>
              </w:rPr>
            </w:pPr>
          </w:p>
        </w:tc>
        <w:tc>
          <w:tcPr>
            <w:tcW w:w="480" w:type="dxa"/>
            <w:vAlign w:val="bottom"/>
            <w:gridSpan w:val="2"/>
            <w:shd w:val="clear" w:color="auto" w:fill="CCEEFF"/>
          </w:tcPr>
          <w:p>
            <w:pPr>
              <w:jc w:val="center"/>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27.20</w:t>
            </w:r>
          </w:p>
        </w:tc>
        <w:tc>
          <w:tcPr>
            <w:tcW w:w="100" w:type="dxa"/>
            <w:vAlign w:val="bottom"/>
            <w:tcBorders>
              <w:left w:val="single" w:sz="8" w:color="CCEEFF"/>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1,579,089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840" w:type="dxa"/>
            <w:vAlign w:val="bottom"/>
            <w:tcBorders>
              <w:right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80" w:type="dxa"/>
            <w:vAlign w:val="bottom"/>
            <w:tcBorders>
              <w:left w:val="single" w:sz="8" w:color="CCEEFF"/>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445,250</w:t>
            </w:r>
          </w:p>
        </w:tc>
        <w:tc>
          <w:tcPr>
            <w:tcW w:w="340" w:type="dxa"/>
            <w:vAlign w:val="bottom"/>
            <w:tcBorders>
              <w:left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422"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auto"/>
        </w:rPr>
        <w:t>Total Lease Summary - Comparable and Non-comparable (2)</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Number</w:t>
            </w: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Weighted</w:t>
            </w: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Tenant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of</w:t>
            </w:r>
          </w:p>
        </w:tc>
        <w:tc>
          <w:tcPr>
            <w:tcW w:w="7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Contractual</w:t>
            </w:r>
          </w:p>
        </w:tc>
        <w:tc>
          <w:tcPr>
            <w:tcW w:w="2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c>
          <w:tcPr>
            <w:tcW w:w="120" w:type="dxa"/>
            <w:vAlign w:val="bottom"/>
          </w:tcPr>
          <w:p>
            <w:pPr>
              <w:spacing w:after="0"/>
              <w:rPr>
                <w:sz w:val="12"/>
                <w:szCs w:val="12"/>
                <w:color w:val="auto"/>
              </w:rPr>
            </w:pPr>
          </w:p>
        </w:tc>
        <w:tc>
          <w:tcPr>
            <w:tcW w:w="820" w:type="dxa"/>
            <w:vAlign w:val="bottom"/>
          </w:tcPr>
          <w:p>
            <w:pPr>
              <w:jc w:val="right"/>
              <w:ind w:right="176"/>
              <w:spacing w:after="0" w:line="149" w:lineRule="exact"/>
              <w:rPr>
                <w:sz w:val="20"/>
                <w:szCs w:val="20"/>
                <w:color w:val="auto"/>
              </w:rPr>
            </w:pPr>
            <w:r>
              <w:rPr>
                <w:rFonts w:ascii="Arial" w:cs="Arial" w:eastAsia="Arial" w:hAnsi="Arial"/>
                <w:sz w:val="14"/>
                <w:szCs w:val="14"/>
                <w:b w:val="1"/>
                <w:bCs w:val="1"/>
                <w:color w:val="auto"/>
              </w:rPr>
              <w:t>Tenant</w:t>
            </w:r>
          </w:p>
        </w:tc>
        <w:tc>
          <w:tcPr>
            <w:tcW w:w="260" w:type="dxa"/>
            <w:vAlign w:val="bottom"/>
          </w:tcPr>
          <w:p>
            <w:pPr>
              <w:spacing w:after="0"/>
              <w:rPr>
                <w:sz w:val="12"/>
                <w:szCs w:val="12"/>
                <w:color w:val="auto"/>
              </w:rPr>
            </w:pPr>
          </w:p>
        </w:tc>
        <w:tc>
          <w:tcPr>
            <w:tcW w:w="9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Improvements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7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79"/>
              </w:rPr>
              <w:t>Leases</w:t>
            </w:r>
          </w:p>
        </w:tc>
        <w:tc>
          <w:tcPr>
            <w:tcW w:w="760" w:type="dxa"/>
            <w:vAlign w:val="bottom"/>
          </w:tcPr>
          <w:p>
            <w:pPr>
              <w:jc w:val="right"/>
              <w:ind w:right="158"/>
              <w:spacing w:after="0" w:line="149" w:lineRule="exact"/>
              <w:rPr>
                <w:sz w:val="20"/>
                <w:szCs w:val="20"/>
                <w:color w:val="auto"/>
              </w:rPr>
            </w:pPr>
            <w:r>
              <w:rPr>
                <w:rFonts w:ascii="Arial" w:cs="Arial" w:eastAsia="Arial" w:hAnsi="Arial"/>
                <w:sz w:val="14"/>
                <w:szCs w:val="14"/>
                <w:b w:val="1"/>
                <w:bCs w:val="1"/>
                <w:color w:val="auto"/>
              </w:rPr>
              <w:t>GLA</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right"/>
              <w:ind w:right="36"/>
              <w:spacing w:after="0" w:line="149" w:lineRule="exact"/>
              <w:rPr>
                <w:sz w:val="20"/>
                <w:szCs w:val="20"/>
                <w:color w:val="auto"/>
              </w:rPr>
            </w:pPr>
            <w:r>
              <w:rPr>
                <w:rFonts w:ascii="Arial" w:cs="Arial" w:eastAsia="Arial" w:hAnsi="Arial"/>
                <w:sz w:val="14"/>
                <w:szCs w:val="14"/>
                <w:b w:val="1"/>
                <w:bCs w:val="1"/>
                <w:color w:val="auto"/>
                <w:w w:val="88"/>
              </w:rPr>
              <w:t>Rent (3)</w:t>
            </w:r>
          </w:p>
        </w:tc>
        <w:tc>
          <w:tcPr>
            <w:tcW w:w="26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Lease</w:t>
            </w: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89"/>
              </w:rPr>
              <w:t>Improvements</w:t>
            </w:r>
          </w:p>
        </w:tc>
        <w:tc>
          <w:tcPr>
            <w:tcW w:w="260" w:type="dxa"/>
            <w:vAlign w:val="bottom"/>
          </w:tcPr>
          <w:p>
            <w:pPr>
              <w:spacing w:after="0"/>
              <w:rPr>
                <w:sz w:val="12"/>
                <w:szCs w:val="12"/>
                <w:color w:val="auto"/>
              </w:rPr>
            </w:pPr>
          </w:p>
        </w:tc>
        <w:tc>
          <w:tcPr>
            <w:tcW w:w="9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&amp; Incentives</w:t>
            </w:r>
          </w:p>
        </w:tc>
        <w:tc>
          <w:tcPr>
            <w:tcW w:w="0" w:type="dxa"/>
            <w:vAlign w:val="bottom"/>
          </w:tcPr>
          <w:p>
            <w:pPr>
              <w:spacing w:after="0"/>
              <w:rPr>
                <w:sz w:val="1"/>
                <w:szCs w:val="1"/>
                <w:color w:val="auto"/>
              </w:rPr>
            </w:pPr>
          </w:p>
        </w:tc>
      </w:tr>
      <w:tr>
        <w:trPr>
          <w:trHeight w:val="161"/>
        </w:trPr>
        <w:tc>
          <w:tcPr>
            <w:tcW w:w="2560" w:type="dxa"/>
            <w:vAlign w:val="bottom"/>
            <w:gridSpan w:val="4"/>
          </w:tcPr>
          <w:p>
            <w:pPr>
              <w:spacing w:after="0"/>
              <w:rPr>
                <w:sz w:val="20"/>
                <w:szCs w:val="20"/>
                <w:color w:val="auto"/>
              </w:rPr>
            </w:pPr>
            <w:r>
              <w:rPr>
                <w:rFonts w:ascii="Arial" w:cs="Arial" w:eastAsia="Arial" w:hAnsi="Arial"/>
                <w:sz w:val="14"/>
                <w:szCs w:val="14"/>
                <w:b w:val="1"/>
                <w:bCs w:val="1"/>
                <w:color w:val="auto"/>
              </w:rPr>
              <w:t>Quarter</w:t>
            </w:r>
          </w:p>
        </w:tc>
        <w:tc>
          <w:tcPr>
            <w:tcW w:w="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Signed</w:t>
            </w:r>
          </w:p>
        </w:tc>
        <w:tc>
          <w:tcPr>
            <w:tcW w:w="760" w:type="dxa"/>
            <w:vAlign w:val="bottom"/>
          </w:tcPr>
          <w:p>
            <w:pPr>
              <w:jc w:val="right"/>
              <w:ind w:right="98"/>
              <w:spacing w:after="0"/>
              <w:rPr>
                <w:sz w:val="20"/>
                <w:szCs w:val="20"/>
                <w:color w:val="auto"/>
              </w:rPr>
            </w:pPr>
            <w:r>
              <w:rPr>
                <w:rFonts w:ascii="Arial" w:cs="Arial" w:eastAsia="Arial" w:hAnsi="Arial"/>
                <w:sz w:val="14"/>
                <w:szCs w:val="14"/>
                <w:b w:val="1"/>
                <w:bCs w:val="1"/>
                <w:color w:val="auto"/>
              </w:rPr>
              <w:t>Signed</w:t>
            </w:r>
          </w:p>
        </w:tc>
        <w:tc>
          <w:tcPr>
            <w:tcW w:w="26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92"/>
              </w:rPr>
              <w:t>Per Sq. Ft.</w:t>
            </w:r>
          </w:p>
        </w:tc>
        <w:tc>
          <w:tcPr>
            <w:tcW w:w="26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Term (5)</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w w:val="86"/>
              </w:rPr>
              <w:t>&amp; Incentives (6)</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Per Sq. Ft.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3rd Quarter 2010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77</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395,649</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8,891,735</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2nd Quarter 2010</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82</w:t>
            </w:r>
          </w:p>
        </w:tc>
        <w:tc>
          <w:tcPr>
            <w:tcW w:w="760" w:type="dxa"/>
            <w:vAlign w:val="bottom"/>
          </w:tcPr>
          <w:p>
            <w:pPr>
              <w:jc w:val="right"/>
              <w:spacing w:after="0"/>
              <w:rPr>
                <w:sz w:val="20"/>
                <w:szCs w:val="20"/>
                <w:color w:val="auto"/>
              </w:rPr>
            </w:pPr>
            <w:r>
              <w:rPr>
                <w:rFonts w:ascii="Arial" w:cs="Arial" w:eastAsia="Arial" w:hAnsi="Arial"/>
                <w:sz w:val="18"/>
                <w:szCs w:val="18"/>
                <w:color w:val="auto"/>
              </w:rPr>
              <w:t>318,931</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28.20</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5,978,306</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1st Quarter 2010</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317,932</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28.62</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6,996,698</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gridSpan w:val="3"/>
          </w:tcPr>
          <w:p>
            <w:pPr>
              <w:spacing w:after="0"/>
              <w:rPr>
                <w:sz w:val="20"/>
                <w:szCs w:val="20"/>
                <w:color w:val="auto"/>
              </w:rPr>
            </w:pPr>
            <w:r>
              <w:rPr>
                <w:rFonts w:ascii="Arial" w:cs="Arial" w:eastAsia="Arial" w:hAnsi="Arial"/>
                <w:sz w:val="18"/>
                <w:szCs w:val="18"/>
                <w:color w:val="auto"/>
              </w:rPr>
              <w:t>4th Quarter 2009</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89</w:t>
            </w:r>
          </w:p>
        </w:tc>
        <w:tc>
          <w:tcPr>
            <w:tcW w:w="760" w:type="dxa"/>
            <w:vAlign w:val="bottom"/>
          </w:tcPr>
          <w:p>
            <w:pPr>
              <w:jc w:val="right"/>
              <w:spacing w:after="0"/>
              <w:rPr>
                <w:sz w:val="20"/>
                <w:szCs w:val="20"/>
                <w:color w:val="auto"/>
              </w:rPr>
            </w:pPr>
            <w:r>
              <w:rPr>
                <w:rFonts w:ascii="Arial" w:cs="Arial" w:eastAsia="Arial" w:hAnsi="Arial"/>
                <w:sz w:val="18"/>
                <w:szCs w:val="18"/>
                <w:color w:val="auto"/>
              </w:rPr>
              <w:t>396,709</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27.12</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4,900,788</w:t>
            </w:r>
          </w:p>
        </w:tc>
        <w:tc>
          <w:tcPr>
            <w:tcW w:w="360" w:type="dxa"/>
            <w:vAlign w:val="bottom"/>
            <w:gridSpan w:val="2"/>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12.35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- 12 months</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1,429,221</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26.95</w:t>
            </w:r>
          </w:p>
        </w:tc>
        <w:tc>
          <w:tcPr>
            <w:tcW w:w="10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26,767,527</w:t>
            </w: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Leases on this report represent retail activity only; office and residential leases are not included.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Comparable leases represent those leases signed on spaces for which there was a former tenant.</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Contractual rent represents contractual minimum rent under the new lease for the first 12 months of the term.</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Prior rent represents minimum rent and percentage rent, if any, paid by the prior tenant in the final 12 months of the term.</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Weighted average is determined on the basis of square footage.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Renewal leases represent expiring leases rolling over with the same tenant in the same location. All other leases are categorized as new.</w:t>
      </w:r>
    </w:p>
    <w:p>
      <w:pPr>
        <w:spacing w:after="0" w:line="18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219"/>
          </w:cols>
          <w:pgMar w:left="240" w:top="125" w:right="1440"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 Expirations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Assumes no exercise of lease options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5"/>
              </w:rPr>
              <w:t>Anchor Tenants (1)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Small Shop Tenants</w:t>
            </w: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 of Small</w:t>
            </w: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 of Total</w:t>
            </w:r>
          </w:p>
        </w:tc>
        <w:tc>
          <w:tcPr>
            <w:tcW w:w="12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Minimum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Expiring SF</w:t>
            </w:r>
          </w:p>
        </w:tc>
        <w:tc>
          <w:tcPr>
            <w:tcW w:w="2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Anchor SF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PSF (2)</w:t>
            </w:r>
          </w:p>
        </w:tc>
        <w:tc>
          <w:tcPr>
            <w:tcW w:w="2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Expiring SF</w:t>
            </w:r>
          </w:p>
        </w:tc>
        <w:tc>
          <w:tcPr>
            <w:tcW w:w="2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Shop SF</w:t>
            </w: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PSF (2)</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9"/>
              </w:rPr>
              <w:t>Expiring SF (4)</w:t>
            </w:r>
          </w:p>
        </w:tc>
        <w:tc>
          <w:tcPr>
            <w:tcW w:w="2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SF</w:t>
            </w: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Rent 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193,000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2011</w:t>
            </w:r>
          </w:p>
        </w:tc>
        <w:tc>
          <w:tcPr>
            <w:tcW w:w="7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725,000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8%</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14.58</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980,000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1,705,000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995,000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13.25</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1,189,000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2,184,000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7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1,042,000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11%</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15.45</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1,012,000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32.71</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2,054,000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1,378,000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866,000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2,243,000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7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826,000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9%</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13.94</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939,000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1,766,000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610,000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668,000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620,000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6%</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17.28</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442,000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29.98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1,062,000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6%</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657,000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298,000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955,000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487,000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5%</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17.41</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239,000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39.46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726,000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2,197,000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635,000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2,833,000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40" w:type="dxa"/>
            <w:vAlign w:val="bottom"/>
            <w:gridSpan w:val="4"/>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9,599,000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15.54</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7,461,000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17,060,000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5"/>
        </w:trPr>
        <w:tc>
          <w:tcPr>
            <w:tcW w:w="3980" w:type="dxa"/>
            <w:vAlign w:val="bottom"/>
            <w:gridSpan w:val="9"/>
          </w:tcPr>
          <w:p>
            <w:pPr>
              <w:spacing w:after="0"/>
              <w:rPr>
                <w:sz w:val="20"/>
                <w:szCs w:val="20"/>
                <w:color w:val="auto"/>
              </w:rPr>
            </w:pPr>
            <w:r>
              <w:rPr>
                <w:rFonts w:ascii="Arial" w:cs="Arial" w:eastAsia="Arial" w:hAnsi="Arial"/>
                <w:sz w:val="18"/>
                <w:szCs w:val="18"/>
                <w:b w:val="1"/>
                <w:bCs w:val="1"/>
                <w:color w:val="auto"/>
              </w:rPr>
              <w:t>Assumes all lease options are exercised</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95"/>
              </w:rPr>
              <w:t>Anchor Tenants (1)</w:t>
            </w: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Small Shop Tenants</w:t>
            </w: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gridSpan w:val="2"/>
          </w:tcPr>
          <w:p>
            <w:pPr>
              <w:jc w:val="center"/>
              <w:ind w:right="360"/>
              <w:spacing w:after="0" w:line="129" w:lineRule="exact"/>
              <w:rPr>
                <w:sz w:val="20"/>
                <w:szCs w:val="20"/>
                <w:color w:val="auto"/>
              </w:rPr>
            </w:pPr>
            <w:r>
              <w:rPr>
                <w:rFonts w:ascii="Arial" w:cs="Arial" w:eastAsia="Arial" w:hAnsi="Arial"/>
                <w:sz w:val="14"/>
                <w:szCs w:val="14"/>
                <w:b w:val="1"/>
                <w:bCs w:val="1"/>
                <w:color w:val="auto"/>
                <w:w w:val="94"/>
              </w:rPr>
              <w:t>% of</w:t>
            </w:r>
          </w:p>
        </w:tc>
        <w:tc>
          <w:tcPr>
            <w:tcW w:w="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4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 of Small</w:t>
            </w:r>
          </w:p>
        </w:tc>
        <w:tc>
          <w:tcPr>
            <w:tcW w:w="8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9"/>
              </w:rPr>
              <w:t>Minimum Rent</w:t>
            </w:r>
          </w:p>
        </w:tc>
        <w:tc>
          <w:tcPr>
            <w:tcW w:w="2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92"/>
              </w:rPr>
              <w:t>% of Total</w:t>
            </w:r>
          </w:p>
        </w:tc>
        <w:tc>
          <w:tcPr>
            <w:tcW w:w="120" w:type="dxa"/>
            <w:vAlign w:val="bottom"/>
          </w:tcPr>
          <w:p>
            <w:pPr>
              <w:spacing w:after="0"/>
              <w:rPr>
                <w:sz w:val="11"/>
                <w:szCs w:val="11"/>
                <w:color w:val="auto"/>
              </w:rPr>
            </w:pPr>
          </w:p>
        </w:tc>
        <w:tc>
          <w:tcPr>
            <w:tcW w:w="74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Minimum</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1940" w:type="dxa"/>
            <w:vAlign w:val="bottom"/>
            <w:gridSpan w:val="4"/>
          </w:tcPr>
          <w:p>
            <w:pPr>
              <w:spacing w:after="0"/>
              <w:rPr>
                <w:sz w:val="20"/>
                <w:szCs w:val="20"/>
                <w:color w:val="auto"/>
              </w:rPr>
            </w:pPr>
            <w:r>
              <w:rPr>
                <w:rFonts w:ascii="Arial" w:cs="Arial" w:eastAsia="Arial" w:hAnsi="Arial"/>
                <w:sz w:val="14"/>
                <w:szCs w:val="14"/>
                <w:b w:val="1"/>
                <w:bCs w:val="1"/>
                <w:color w:val="auto"/>
              </w:rPr>
              <w:t>Year</w:t>
            </w:r>
          </w:p>
        </w:tc>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w w:val="95"/>
              </w:rPr>
              <w:t>Expiring SF</w:t>
            </w:r>
          </w:p>
        </w:tc>
        <w:tc>
          <w:tcPr>
            <w:tcW w:w="260" w:type="dxa"/>
            <w:vAlign w:val="bottom"/>
          </w:tcPr>
          <w:p>
            <w:pPr>
              <w:spacing w:after="0"/>
              <w:rPr>
                <w:sz w:val="14"/>
                <w:szCs w:val="14"/>
                <w:color w:val="auto"/>
              </w:rPr>
            </w:pPr>
          </w:p>
        </w:tc>
        <w:tc>
          <w:tcPr>
            <w:tcW w:w="10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Anchor SF</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PSF (2)</w:t>
            </w:r>
          </w:p>
        </w:tc>
        <w:tc>
          <w:tcPr>
            <w:tcW w:w="280" w:type="dxa"/>
            <w:vAlign w:val="bottom"/>
          </w:tcPr>
          <w:p>
            <w:pPr>
              <w:spacing w:after="0"/>
              <w:rPr>
                <w:sz w:val="14"/>
                <w:szCs w:val="14"/>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2"/>
              </w:rPr>
              <w:t>Expiring SF</w:t>
            </w:r>
          </w:p>
        </w:tc>
        <w:tc>
          <w:tcPr>
            <w:tcW w:w="20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Shop SF</w:t>
            </w:r>
          </w:p>
        </w:tc>
        <w:tc>
          <w:tcPr>
            <w:tcW w:w="160" w:type="dxa"/>
            <w:vAlign w:val="bottom"/>
          </w:tcPr>
          <w:p>
            <w:pPr>
              <w:spacing w:after="0"/>
              <w:rPr>
                <w:sz w:val="14"/>
                <w:szCs w:val="14"/>
                <w:color w:val="auto"/>
              </w:rPr>
            </w:pPr>
          </w:p>
        </w:tc>
        <w:tc>
          <w:tcPr>
            <w:tcW w:w="720" w:type="dxa"/>
            <w:vAlign w:val="bottom"/>
          </w:tcPr>
          <w:p>
            <w:pPr>
              <w:jc w:val="right"/>
              <w:ind w:right="134"/>
              <w:spacing w:after="0"/>
              <w:rPr>
                <w:sz w:val="20"/>
                <w:szCs w:val="20"/>
                <w:color w:val="auto"/>
              </w:rPr>
            </w:pPr>
            <w:r>
              <w:rPr>
                <w:rFonts w:ascii="Arial" w:cs="Arial" w:eastAsia="Arial" w:hAnsi="Arial"/>
                <w:sz w:val="14"/>
                <w:szCs w:val="14"/>
                <w:b w:val="1"/>
                <w:bCs w:val="1"/>
                <w:color w:val="auto"/>
                <w:w w:val="99"/>
              </w:rPr>
              <w:t>PSF (2)</w:t>
            </w:r>
          </w:p>
        </w:tc>
        <w:tc>
          <w:tcPr>
            <w:tcW w:w="2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9"/>
              </w:rPr>
              <w:t>Expiring SF (4)</w:t>
            </w:r>
          </w:p>
        </w:tc>
        <w:tc>
          <w:tcPr>
            <w:tcW w:w="28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SF</w:t>
            </w:r>
          </w:p>
        </w:tc>
        <w:tc>
          <w:tcPr>
            <w:tcW w:w="960" w:type="dxa"/>
            <w:vAlign w:val="bottom"/>
            <w:gridSpan w:val="4"/>
          </w:tcPr>
          <w:p>
            <w:pPr>
              <w:ind w:left="120"/>
              <w:spacing w:after="0"/>
              <w:rPr>
                <w:sz w:val="20"/>
                <w:szCs w:val="20"/>
                <w:color w:val="auto"/>
              </w:rPr>
            </w:pPr>
            <w:r>
              <w:rPr>
                <w:rFonts w:ascii="Arial" w:cs="Arial" w:eastAsia="Arial" w:hAnsi="Arial"/>
                <w:sz w:val="14"/>
                <w:szCs w:val="14"/>
                <w:b w:val="1"/>
                <w:bCs w:val="1"/>
                <w:color w:val="auto"/>
                <w:w w:val="98"/>
              </w:rPr>
              <w:t>Rent PSF (2)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2010</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160,000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2011</w:t>
            </w:r>
          </w:p>
        </w:tc>
        <w:tc>
          <w:tcPr>
            <w:tcW w:w="7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278,000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12.43</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583,000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28.88</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861,000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23.57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2012</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172,000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676,000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30.95</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849,000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2013</w:t>
            </w:r>
          </w:p>
        </w:tc>
        <w:tc>
          <w:tcPr>
            <w:tcW w:w="7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156,000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15.34</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500,000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33.20</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656,000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2014</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205,000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517,000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722,000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2015</w:t>
            </w:r>
          </w:p>
        </w:tc>
        <w:tc>
          <w:tcPr>
            <w:tcW w:w="7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109,000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20.24</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539,000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29.57</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648,000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2016</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182,000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482,000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663,000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2017</w:t>
            </w:r>
          </w:p>
        </w:tc>
        <w:tc>
          <w:tcPr>
            <w:tcW w:w="7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152,000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25.03</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534,000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31.49</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686,000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30.06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2018</w:t>
            </w:r>
          </w:p>
        </w:tc>
        <w:tc>
          <w:tcPr>
            <w:tcW w:w="7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290,000</w:t>
            </w:r>
          </w:p>
        </w:tc>
        <w:tc>
          <w:tcPr>
            <w:tcW w:w="12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447,000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36.52</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Arial" w:cs="Arial" w:eastAsia="Arial" w:hAnsi="Arial"/>
                <w:sz w:val="18"/>
                <w:szCs w:val="18"/>
                <w:b w:val="1"/>
                <w:bCs w:val="1"/>
                <w:color w:val="auto"/>
              </w:rPr>
              <w:t>2019</w:t>
            </w:r>
          </w:p>
        </w:tc>
        <w:tc>
          <w:tcPr>
            <w:tcW w:w="7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353,000</w:t>
            </w:r>
          </w:p>
        </w:tc>
        <w:tc>
          <w:tcPr>
            <w:tcW w:w="126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19.06</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330,000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34.82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684,000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4%</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26.64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Thereafter</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7,665,000</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2,693,000</w:t>
            </w:r>
          </w:p>
        </w:tc>
        <w:tc>
          <w:tcPr>
            <w:tcW w:w="12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10,358,000</w:t>
            </w:r>
          </w:p>
        </w:tc>
        <w:tc>
          <w:tcPr>
            <w:tcW w:w="11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3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9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(3)</w:t>
            </w: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940" w:type="dxa"/>
            <w:vAlign w:val="bottom"/>
            <w:gridSpan w:val="4"/>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9,599,000</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18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15.54</w:t>
            </w:r>
          </w:p>
        </w:tc>
        <w:tc>
          <w:tcPr>
            <w:tcW w:w="1120" w:type="dxa"/>
            <w:vAlign w:val="bottom"/>
            <w:gridSpan w:val="3"/>
          </w:tcPr>
          <w:p>
            <w:pPr>
              <w:jc w:val="right"/>
              <w:ind w:right="80"/>
              <w:spacing w:after="0"/>
              <w:rPr>
                <w:sz w:val="20"/>
                <w:szCs w:val="20"/>
                <w:color w:val="auto"/>
              </w:rPr>
            </w:pPr>
            <w:r>
              <w:rPr>
                <w:rFonts w:ascii="Arial" w:cs="Arial" w:eastAsia="Arial" w:hAnsi="Arial"/>
                <w:sz w:val="18"/>
                <w:szCs w:val="18"/>
                <w:color w:val="auto"/>
              </w:rPr>
              <w:t>7,461,000</w:t>
            </w:r>
          </w:p>
        </w:tc>
        <w:tc>
          <w:tcPr>
            <w:tcW w:w="1240" w:type="dxa"/>
            <w:vAlign w:val="bottom"/>
            <w:gridSpan w:val="3"/>
          </w:tcPr>
          <w:p>
            <w:pPr>
              <w:jc w:val="right"/>
              <w:ind w:right="240"/>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31.76</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17,060,000</w:t>
            </w:r>
          </w:p>
        </w:tc>
        <w:tc>
          <w:tcPr>
            <w:tcW w:w="1160" w:type="dxa"/>
            <w:vAlign w:val="bottom"/>
            <w:gridSpan w:val="3"/>
          </w:tcPr>
          <w:p>
            <w:pPr>
              <w:jc w:val="right"/>
              <w:ind w:right="100"/>
              <w:spacing w:after="0"/>
              <w:rPr>
                <w:sz w:val="20"/>
                <w:szCs w:val="20"/>
                <w:color w:val="auto"/>
              </w:rPr>
            </w:pPr>
            <w:r>
              <w:rPr>
                <w:rFonts w:ascii="Arial" w:cs="Arial" w:eastAsia="Arial" w:hAnsi="Arial"/>
                <w:sz w:val="18"/>
                <w:szCs w:val="18"/>
                <w:color w:val="auto"/>
              </w:rPr>
              <w:t>100%</w:t>
            </w:r>
          </w:p>
        </w:tc>
        <w:tc>
          <w:tcPr>
            <w:tcW w:w="3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20" w:type="dxa"/>
            <w:vAlign w:val="bottom"/>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80" w:type="dxa"/>
            <w:vAlign w:val="bottom"/>
          </w:tcPr>
          <w:p>
            <w:pPr>
              <w:spacing w:after="0"/>
              <w:rPr>
                <w:sz w:val="7"/>
                <w:szCs w:val="7"/>
                <w:color w:val="auto"/>
              </w:rPr>
            </w:pPr>
          </w:p>
        </w:tc>
        <w:tc>
          <w:tcPr>
            <w:tcW w:w="9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Anchor is defined as a tenant leasing 15,000 square feet or more.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Minimum Rent reflects in-place contractual (cash-basis) rent as of September 30,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occupied square footage as of September 30,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22"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Leased Statistics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Overall Portfolio Statistics (1)</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2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w w:val="99"/>
              </w:rPr>
              <w:t>At September 30, 2010</w:t>
            </w:r>
          </w:p>
        </w:tc>
        <w:tc>
          <w:tcPr>
            <w:tcW w:w="5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2280" w:type="dxa"/>
            <w:vAlign w:val="bottom"/>
            <w:tcBorders>
              <w:bottom w:val="single" w:sz="8" w:color="auto"/>
            </w:tcBorders>
            <w:gridSpan w:val="4"/>
          </w:tcPr>
          <w:p>
            <w:pPr>
              <w:ind w:left="780"/>
              <w:spacing w:after="0"/>
              <w:rPr>
                <w:sz w:val="20"/>
                <w:szCs w:val="20"/>
                <w:color w:val="auto"/>
              </w:rPr>
            </w:pPr>
            <w:r>
              <w:rPr>
                <w:rFonts w:ascii="Arial" w:cs="Arial" w:eastAsia="Arial" w:hAnsi="Arial"/>
                <w:sz w:val="14"/>
                <w:szCs w:val="14"/>
                <w:b w:val="1"/>
                <w:bCs w:val="1"/>
                <w:color w:val="auto"/>
                <w:w w:val="99"/>
              </w:rPr>
              <w:t>At September 30, 2009</w:t>
            </w:r>
          </w:p>
        </w:tc>
        <w:tc>
          <w:tcPr>
            <w:tcW w:w="5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120" w:type="dxa"/>
            <w:vAlign w:val="bottom"/>
            <w:gridSpan w:val="4"/>
            <w:vMerge w:val="continue"/>
          </w:tcPr>
          <w:p>
            <w:pPr>
              <w:spacing w:after="0"/>
              <w:rPr>
                <w:sz w:val="12"/>
                <w:szCs w:val="12"/>
                <w:color w:val="auto"/>
              </w:rPr>
            </w:pPr>
          </w:p>
        </w:tc>
        <w:tc>
          <w:tcPr>
            <w:tcW w:w="114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Size</w:t>
            </w:r>
          </w:p>
        </w:tc>
        <w:tc>
          <w:tcPr>
            <w:tcW w:w="11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380" w:type="dxa"/>
            <w:vAlign w:val="bottom"/>
          </w:tcPr>
          <w:p>
            <w:pPr>
              <w:spacing w:after="0"/>
              <w:rPr>
                <w:sz w:val="12"/>
                <w:szCs w:val="12"/>
                <w:color w:val="auto"/>
              </w:rPr>
            </w:pPr>
          </w:p>
        </w:tc>
        <w:tc>
          <w:tcPr>
            <w:tcW w:w="86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Size</w:t>
            </w:r>
          </w:p>
        </w:tc>
        <w:tc>
          <w:tcPr>
            <w:tcW w:w="280" w:type="dxa"/>
            <w:vAlign w:val="bottom"/>
          </w:tcPr>
          <w:p>
            <w:pPr>
              <w:spacing w:after="0"/>
              <w:rPr>
                <w:sz w:val="12"/>
                <w:szCs w:val="12"/>
                <w:color w:val="auto"/>
              </w:rPr>
            </w:pPr>
          </w:p>
        </w:tc>
        <w:tc>
          <w:tcPr>
            <w:tcW w:w="11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(sf)</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18,246,000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17,139,000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18,164,000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17,110,000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903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874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96.8%</w:t>
            </w:r>
          </w:p>
        </w:tc>
        <w:tc>
          <w:tcPr>
            <w:tcW w:w="860" w:type="dxa"/>
            <w:vAlign w:val="bottom"/>
          </w:tcPr>
          <w:p>
            <w:pPr>
              <w:jc w:val="right"/>
              <w:spacing w:after="0"/>
              <w:rPr>
                <w:sz w:val="20"/>
                <w:szCs w:val="20"/>
                <w:color w:val="auto"/>
              </w:rPr>
            </w:pPr>
            <w:r>
              <w:rPr>
                <w:rFonts w:ascii="Arial" w:cs="Arial" w:eastAsia="Arial" w:hAnsi="Arial"/>
                <w:sz w:val="18"/>
                <w:szCs w:val="18"/>
                <w:color w:val="auto"/>
              </w:rPr>
              <w:t>903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2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r>
        <w:trPr>
          <w:trHeight w:val="385"/>
        </w:trPr>
        <w:tc>
          <w:tcPr>
            <w:tcW w:w="5120" w:type="dxa"/>
            <w:vAlign w:val="bottom"/>
            <w:gridSpan w:val="4"/>
          </w:tcPr>
          <w:p>
            <w:pPr>
              <w:spacing w:after="0"/>
              <w:rPr>
                <w:sz w:val="20"/>
                <w:szCs w:val="20"/>
                <w:color w:val="auto"/>
              </w:rPr>
            </w:pPr>
            <w:r>
              <w:rPr>
                <w:rFonts w:ascii="Arial" w:cs="Arial" w:eastAsia="Arial" w:hAnsi="Arial"/>
                <w:sz w:val="18"/>
                <w:szCs w:val="18"/>
                <w:b w:val="1"/>
                <w:bCs w:val="1"/>
                <w:color w:val="auto"/>
              </w:rPr>
              <w:t>Same Center Statistics (1)</w:t>
            </w: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8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w w:val="99"/>
              </w:rPr>
              <w:t>At September 30, 2010</w:t>
            </w: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80" w:type="dxa"/>
            <w:vAlign w:val="bottom"/>
            <w:gridSpan w:val="4"/>
            <w:vMerge w:val="restart"/>
          </w:tcPr>
          <w:p>
            <w:pPr>
              <w:ind w:left="780"/>
              <w:spacing w:after="0"/>
              <w:rPr>
                <w:sz w:val="20"/>
                <w:szCs w:val="20"/>
                <w:color w:val="auto"/>
              </w:rPr>
            </w:pPr>
            <w:r>
              <w:rPr>
                <w:rFonts w:ascii="Arial" w:cs="Arial" w:eastAsia="Arial" w:hAnsi="Arial"/>
                <w:sz w:val="14"/>
                <w:szCs w:val="14"/>
                <w:b w:val="1"/>
                <w:bCs w:val="1"/>
                <w:color w:val="auto"/>
                <w:w w:val="99"/>
              </w:rPr>
              <w:t>At September 30, 2009</w:t>
            </w: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1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Type</w:t>
            </w:r>
          </w:p>
        </w:tc>
        <w:tc>
          <w:tcPr>
            <w:tcW w:w="228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Borders>
              <w:bottom w:val="single" w:sz="8" w:color="auto"/>
            </w:tcBorders>
            <w:gridSpan w:val="4"/>
            <w:vMerge w:val="continue"/>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5120" w:type="dxa"/>
            <w:vAlign w:val="bottom"/>
            <w:gridSpan w:val="4"/>
            <w:vMerge w:val="continue"/>
          </w:tcPr>
          <w:p>
            <w:pPr>
              <w:spacing w:after="0"/>
              <w:rPr>
                <w:sz w:val="12"/>
                <w:szCs w:val="12"/>
                <w:color w:val="auto"/>
              </w:rPr>
            </w:pPr>
          </w:p>
        </w:tc>
        <w:tc>
          <w:tcPr>
            <w:tcW w:w="1140" w:type="dxa"/>
            <w:vAlign w:val="bottom"/>
            <w:gridSpan w:val="2"/>
          </w:tcPr>
          <w:p>
            <w:pPr>
              <w:ind w:left="320"/>
              <w:spacing w:after="0" w:line="142" w:lineRule="exact"/>
              <w:rPr>
                <w:sz w:val="20"/>
                <w:szCs w:val="20"/>
                <w:color w:val="auto"/>
              </w:rPr>
            </w:pPr>
            <w:r>
              <w:rPr>
                <w:rFonts w:ascii="Arial" w:cs="Arial" w:eastAsia="Arial" w:hAnsi="Arial"/>
                <w:sz w:val="14"/>
                <w:szCs w:val="14"/>
                <w:b w:val="1"/>
                <w:bCs w:val="1"/>
                <w:color w:val="auto"/>
              </w:rPr>
              <w:t>Size</w:t>
            </w:r>
          </w:p>
        </w:tc>
        <w:tc>
          <w:tcPr>
            <w:tcW w:w="11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380" w:type="dxa"/>
            <w:vAlign w:val="bottom"/>
          </w:tcPr>
          <w:p>
            <w:pPr>
              <w:spacing w:after="0"/>
              <w:rPr>
                <w:sz w:val="12"/>
                <w:szCs w:val="12"/>
                <w:color w:val="auto"/>
              </w:rPr>
            </w:pPr>
          </w:p>
        </w:tc>
        <w:tc>
          <w:tcPr>
            <w:tcW w:w="860" w:type="dxa"/>
            <w:vAlign w:val="bottom"/>
          </w:tcPr>
          <w:p>
            <w:pPr>
              <w:jc w:val="right"/>
              <w:ind w:right="242"/>
              <w:spacing w:after="0" w:line="142" w:lineRule="exact"/>
              <w:rPr>
                <w:sz w:val="20"/>
                <w:szCs w:val="20"/>
                <w:color w:val="auto"/>
              </w:rPr>
            </w:pPr>
            <w:r>
              <w:rPr>
                <w:rFonts w:ascii="Arial" w:cs="Arial" w:eastAsia="Arial" w:hAnsi="Arial"/>
                <w:sz w:val="14"/>
                <w:szCs w:val="14"/>
                <w:b w:val="1"/>
                <w:bCs w:val="1"/>
                <w:color w:val="auto"/>
              </w:rPr>
              <w:t>Size</w:t>
            </w:r>
          </w:p>
        </w:tc>
        <w:tc>
          <w:tcPr>
            <w:tcW w:w="280" w:type="dxa"/>
            <w:vAlign w:val="bottom"/>
          </w:tcPr>
          <w:p>
            <w:pPr>
              <w:spacing w:after="0"/>
              <w:rPr>
                <w:sz w:val="12"/>
                <w:szCs w:val="12"/>
                <w:color w:val="auto"/>
              </w:rPr>
            </w:pPr>
          </w:p>
        </w:tc>
        <w:tc>
          <w:tcPr>
            <w:tcW w:w="1140" w:type="dxa"/>
            <w:vAlign w:val="bottom"/>
            <w:gridSpan w:val="2"/>
          </w:tcPr>
          <w:p>
            <w:pPr>
              <w:ind w:left="220"/>
              <w:spacing w:after="0" w:line="142" w:lineRule="exact"/>
              <w:rPr>
                <w:sz w:val="20"/>
                <w:szCs w:val="20"/>
                <w:color w:val="auto"/>
              </w:rPr>
            </w:pPr>
            <w:r>
              <w:rPr>
                <w:rFonts w:ascii="Arial" w:cs="Arial" w:eastAsia="Arial" w:hAnsi="Arial"/>
                <w:sz w:val="14"/>
                <w:szCs w:val="14"/>
                <w:b w:val="1"/>
                <w:bCs w:val="1"/>
                <w:color w:val="auto"/>
              </w:rPr>
              <w:t>Leased</w:t>
            </w:r>
          </w:p>
        </w:tc>
        <w:tc>
          <w:tcPr>
            <w:tcW w:w="580" w:type="dxa"/>
            <w:vAlign w:val="bottom"/>
          </w:tcPr>
          <w:p>
            <w:pPr>
              <w:spacing w:after="0" w:line="142" w:lineRule="exact"/>
              <w:rPr>
                <w:sz w:val="20"/>
                <w:szCs w:val="20"/>
                <w:color w:val="auto"/>
              </w:rPr>
            </w:pPr>
            <w:r>
              <w:rPr>
                <w:rFonts w:ascii="Arial" w:cs="Arial" w:eastAsia="Arial" w:hAnsi="Arial"/>
                <w:sz w:val="14"/>
                <w:szCs w:val="14"/>
                <w:b w:val="1"/>
                <w:bCs w:val="1"/>
                <w:color w:val="auto"/>
                <w:w w:val="86"/>
              </w:rPr>
              <w:t>Leased %</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Retail Properties (2) (4) (sf)</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17,535,000</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16,550,000</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94.4%</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17,537,000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16,557,000</w:t>
            </w:r>
          </w:p>
        </w:tc>
        <w:tc>
          <w:tcPr>
            <w:tcW w:w="2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00" w:type="dxa"/>
            <w:vAlign w:val="bottom"/>
            <w:gridSpan w:val="3"/>
          </w:tcPr>
          <w:p>
            <w:pPr>
              <w:spacing w:after="0"/>
              <w:rPr>
                <w:sz w:val="20"/>
                <w:szCs w:val="20"/>
                <w:color w:val="auto"/>
              </w:rPr>
            </w:pPr>
            <w:r>
              <w:rPr>
                <w:rFonts w:ascii="Arial" w:cs="Arial" w:eastAsia="Arial" w:hAnsi="Arial"/>
                <w:sz w:val="18"/>
                <w:szCs w:val="18"/>
                <w:color w:val="auto"/>
              </w:rPr>
              <w:t>Residential Properties (3) (units)</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903</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874</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96.8%</w:t>
            </w:r>
          </w:p>
        </w:tc>
        <w:tc>
          <w:tcPr>
            <w:tcW w:w="860" w:type="dxa"/>
            <w:vAlign w:val="bottom"/>
          </w:tcPr>
          <w:p>
            <w:pPr>
              <w:jc w:val="right"/>
              <w:spacing w:after="0"/>
              <w:rPr>
                <w:sz w:val="20"/>
                <w:szCs w:val="20"/>
                <w:color w:val="auto"/>
              </w:rPr>
            </w:pPr>
            <w:r>
              <w:rPr>
                <w:rFonts w:ascii="Arial" w:cs="Arial" w:eastAsia="Arial" w:hAnsi="Arial"/>
                <w:sz w:val="18"/>
                <w:szCs w:val="18"/>
                <w:color w:val="auto"/>
              </w:rPr>
              <w:t>903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840</w:t>
            </w:r>
          </w:p>
        </w:tc>
        <w:tc>
          <w:tcPr>
            <w:tcW w:w="28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93.0%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89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 Glossary of Terms.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Leasable square feet; excludes redevelopment square footage not yet placed in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Includes Rollingwood, The Crest at Congressional and the residential rental units at Santana Row and Bethesda Row.</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Excludes properties purchased, sold or under redevelopment.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22"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Top 25 Tenants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4"/>
              </w:rPr>
              <w:t>Percentage of</w:t>
            </w:r>
          </w:p>
        </w:tc>
        <w:tc>
          <w:tcPr>
            <w:tcW w:w="8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Tenant Name</w:t>
            </w:r>
          </w:p>
        </w:tc>
        <w:tc>
          <w:tcPr>
            <w:tcW w:w="320" w:type="dxa"/>
            <w:vAlign w:val="bottom"/>
          </w:tcPr>
          <w:p>
            <w:pPr>
              <w:spacing w:after="0"/>
              <w:rPr>
                <w:sz w:val="12"/>
                <w:szCs w:val="12"/>
                <w:color w:val="auto"/>
              </w:rPr>
            </w:pPr>
          </w:p>
        </w:tc>
        <w:tc>
          <w:tcPr>
            <w:tcW w:w="15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Annualized Base</w:t>
            </w:r>
          </w:p>
        </w:tc>
        <w:tc>
          <w:tcPr>
            <w:tcW w:w="15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Total Annualized</w:t>
            </w:r>
          </w:p>
        </w:tc>
        <w:tc>
          <w:tcPr>
            <w:tcW w:w="8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2"/>
              </w:rPr>
              <w:t>Percentage of</w:t>
            </w:r>
          </w:p>
        </w:tc>
        <w:tc>
          <w:tcPr>
            <w:tcW w:w="7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2"/>
              </w:rPr>
              <w:t>Stores</w:t>
            </w:r>
          </w:p>
        </w:tc>
        <w:tc>
          <w:tcPr>
            <w:tcW w:w="0" w:type="dxa"/>
            <w:vAlign w:val="bottom"/>
          </w:tcPr>
          <w:p>
            <w:pPr>
              <w:spacing w:after="0"/>
              <w:rPr>
                <w:sz w:val="1"/>
                <w:szCs w:val="1"/>
                <w:color w:val="auto"/>
              </w:rPr>
            </w:pPr>
          </w:p>
        </w:tc>
      </w:tr>
      <w:tr>
        <w:trPr>
          <w:trHeight w:val="161"/>
        </w:trPr>
        <w:tc>
          <w:tcPr>
            <w:tcW w:w="340" w:type="dxa"/>
            <w:vAlign w:val="bottom"/>
            <w:gridSpan w:val="2"/>
          </w:tcPr>
          <w:p>
            <w:pPr>
              <w:spacing w:after="0"/>
              <w:rPr>
                <w:sz w:val="20"/>
                <w:szCs w:val="20"/>
                <w:color w:val="auto"/>
              </w:rPr>
            </w:pPr>
            <w:r>
              <w:rPr>
                <w:rFonts w:ascii="Arial" w:cs="Arial" w:eastAsia="Arial" w:hAnsi="Arial"/>
                <w:sz w:val="14"/>
                <w:szCs w:val="14"/>
                <w:b w:val="1"/>
                <w:bCs w:val="1"/>
                <w:color w:val="auto"/>
                <w:w w:val="93"/>
              </w:rPr>
              <w:t>Rank</w:t>
            </w:r>
          </w:p>
        </w:tc>
        <w:tc>
          <w:tcPr>
            <w:tcW w:w="300" w:type="dxa"/>
            <w:vAlign w:val="bottom"/>
          </w:tcPr>
          <w:p>
            <w:pPr>
              <w:spacing w:after="0"/>
              <w:rPr>
                <w:sz w:val="14"/>
                <w:szCs w:val="14"/>
                <w:color w:val="auto"/>
              </w:rPr>
            </w:pPr>
          </w:p>
        </w:tc>
        <w:tc>
          <w:tcPr>
            <w:tcW w:w="390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Rent</w:t>
            </w:r>
          </w:p>
        </w:tc>
        <w:tc>
          <w:tcPr>
            <w:tcW w:w="15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4"/>
              </w:rPr>
              <w:t>Base Rent (4)</w:t>
            </w:r>
          </w:p>
        </w:tc>
        <w:tc>
          <w:tcPr>
            <w:tcW w:w="14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8"/>
              </w:rPr>
              <w:t>Tenant GLA</w:t>
            </w: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88"/>
              </w:rPr>
              <w:t>Total GLA (4)</w:t>
            </w:r>
          </w:p>
        </w:tc>
        <w:tc>
          <w:tcPr>
            <w:tcW w:w="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Leased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Bed, Bath &amp; Beyond, Inc.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10,236,000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2.65%</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658,000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Ahold USA,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8,820,000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2.28%</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592,000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3.24%</w:t>
            </w:r>
          </w:p>
        </w:tc>
        <w:tc>
          <w:tcPr>
            <w:tcW w:w="6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TJX Companies</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7,677,000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1.99%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540,000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2.96%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4</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Safeway,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6,971,000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1.81%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481,000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2.64%</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Gap,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6,737,000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1.74%</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220,000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CVS Corporation</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6,357,000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1.65%</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205,000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1.12%</w:t>
            </w: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7</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Barnes &amp; Noble,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5,370,000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1.39%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230,000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1.26%</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8</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L.A. Fitness International LLC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4,283,000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1.11%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222,000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1.22%</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9</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OPNET Technologies,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1.00%</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83,000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0.45%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Best Buy Stores, L.P.</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3,502,000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0.91%</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99,000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0.54%</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Staples,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0.89%</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187,000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Wells Fargo Bank, N.A. (includes Wachovia</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Corporation)</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3,306,000</w:t>
            </w:r>
          </w:p>
        </w:tc>
        <w:tc>
          <w:tcPr>
            <w:tcW w:w="5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0.86%</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70,000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0.38%</w:t>
            </w:r>
          </w:p>
        </w:tc>
        <w:tc>
          <w:tcPr>
            <w:tcW w:w="62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13</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DSW,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3,294,000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0.85%</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125,000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14</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w w:val="94"/>
              </w:rPr>
              <w:t>Supervalu Inc. (Acme/Sav-A-Lot/Star Mkt/Shoppers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00" w:type="dxa"/>
            <w:vAlign w:val="bottom"/>
            <w:gridSpan w:val="2"/>
          </w:tcPr>
          <w:p>
            <w:pPr>
              <w:ind w:left="220"/>
              <w:spacing w:after="0"/>
              <w:rPr>
                <w:sz w:val="20"/>
                <w:szCs w:val="20"/>
                <w:color w:val="auto"/>
              </w:rPr>
            </w:pPr>
            <w:r>
              <w:rPr>
                <w:rFonts w:ascii="Arial" w:cs="Arial" w:eastAsia="Arial" w:hAnsi="Arial"/>
                <w:sz w:val="18"/>
                <w:szCs w:val="18"/>
                <w:color w:val="auto"/>
              </w:rPr>
              <w:t>Food)</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3,227,000</w:t>
            </w:r>
          </w:p>
        </w:tc>
        <w:tc>
          <w:tcPr>
            <w:tcW w:w="5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0.84%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338,000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1.85%</w:t>
            </w:r>
          </w:p>
        </w:tc>
        <w:tc>
          <w:tcPr>
            <w:tcW w:w="6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3,096,000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0.80%</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68,000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0.37%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16</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Ross Stores,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2,842,000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0.74%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148,000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0.81%</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17</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Home Depot,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2,832,000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0.73%</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335,000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18</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Kohl’s Corporation</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2,793,000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0.72%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322,000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1.76%</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Wakefern Food Corporation</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0.72%</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136,000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0.75%</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Bally Total Fitness Corporation</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2,618,000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0.68%</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156,000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0.85%</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Atlantic &amp; Pacific Tea Co</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0.65%</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217,000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1.19%</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22</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Container Store,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2,496,000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0.65%</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52,000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0.28%</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 Moore, Inc.</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0.64%</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141,000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0.77%</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24</w:t>
            </w:r>
          </w:p>
        </w:tc>
        <w:tc>
          <w:tcPr>
            <w:tcW w:w="300" w:type="dxa"/>
            <w:vAlign w:val="bottom"/>
          </w:tcPr>
          <w:p>
            <w:pPr>
              <w:spacing w:after="0"/>
              <w:rPr>
                <w:sz w:val="18"/>
                <w:szCs w:val="18"/>
                <w:color w:val="auto"/>
              </w:rPr>
            </w:pPr>
          </w:p>
        </w:tc>
        <w:tc>
          <w:tcPr>
            <w:tcW w:w="3900" w:type="dxa"/>
            <w:vAlign w:val="bottom"/>
            <w:gridSpan w:val="2"/>
          </w:tcPr>
          <w:p>
            <w:pPr>
              <w:spacing w:after="0"/>
              <w:rPr>
                <w:sz w:val="20"/>
                <w:szCs w:val="20"/>
                <w:color w:val="auto"/>
              </w:rPr>
            </w:pPr>
            <w:r>
              <w:rPr>
                <w:rFonts w:ascii="Arial" w:cs="Arial" w:eastAsia="Arial" w:hAnsi="Arial"/>
                <w:sz w:val="18"/>
                <w:szCs w:val="18"/>
                <w:color w:val="auto"/>
              </w:rPr>
              <w:t>Dress Barn, Inc.</w:t>
            </w:r>
          </w:p>
        </w:tc>
        <w:tc>
          <w:tcPr>
            <w:tcW w:w="420" w:type="dxa"/>
            <w:vAlign w:val="bottom"/>
            <w:gridSpan w:val="2"/>
          </w:tcPr>
          <w:p>
            <w:pPr>
              <w:ind w:left="340"/>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2,379,000</w:t>
            </w:r>
          </w:p>
        </w:tc>
        <w:tc>
          <w:tcPr>
            <w:tcW w:w="5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0.62%</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103,000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0.56%</w:t>
            </w:r>
          </w:p>
        </w:tc>
        <w:tc>
          <w:tcPr>
            <w:tcW w:w="6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AMC Entertainment Inc.</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2,378,000</w:t>
            </w:r>
          </w:p>
        </w:tc>
        <w:tc>
          <w:tcPr>
            <w:tcW w:w="5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0.62%</w:t>
            </w:r>
          </w:p>
        </w:tc>
        <w:tc>
          <w:tcPr>
            <w:tcW w:w="14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166,000</w:t>
            </w: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0.91%</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Totals - Top 25 Tenants</w:t>
            </w: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9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106,292,000</w:t>
            </w:r>
          </w:p>
        </w:tc>
        <w:tc>
          <w:tcPr>
            <w:tcW w:w="560" w:type="dxa"/>
            <w:vAlign w:val="bottom"/>
          </w:tcPr>
          <w:p>
            <w:pPr>
              <w:spacing w:after="0"/>
              <w:rPr>
                <w:sz w:val="19"/>
                <w:szCs w:val="19"/>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color w:val="auto"/>
              </w:rPr>
              <w:t>27.54%</w:t>
            </w:r>
          </w:p>
        </w:tc>
        <w:tc>
          <w:tcPr>
            <w:tcW w:w="1440" w:type="dxa"/>
            <w:vAlign w:val="bottom"/>
            <w:gridSpan w:val="2"/>
          </w:tcPr>
          <w:p>
            <w:pPr>
              <w:jc w:val="right"/>
              <w:ind w:right="580"/>
              <w:spacing w:after="0"/>
              <w:rPr>
                <w:sz w:val="20"/>
                <w:szCs w:val="20"/>
                <w:color w:val="auto"/>
              </w:rPr>
            </w:pPr>
            <w:r>
              <w:rPr>
                <w:rFonts w:ascii="Arial" w:cs="Arial" w:eastAsia="Arial" w:hAnsi="Arial"/>
                <w:sz w:val="18"/>
                <w:szCs w:val="18"/>
                <w:color w:val="auto"/>
              </w:rPr>
              <w:t>5,894,000</w:t>
            </w:r>
          </w:p>
        </w:tc>
        <w:tc>
          <w:tcPr>
            <w:tcW w:w="1340" w:type="dxa"/>
            <w:vAlign w:val="bottom"/>
            <w:gridSpan w:val="2"/>
          </w:tcPr>
          <w:p>
            <w:pPr>
              <w:jc w:val="right"/>
              <w:ind w:right="380"/>
              <w:spacing w:after="0"/>
              <w:rPr>
                <w:sz w:val="20"/>
                <w:szCs w:val="20"/>
                <w:color w:val="auto"/>
              </w:rPr>
            </w:pPr>
            <w:r>
              <w:rPr>
                <w:rFonts w:ascii="Arial" w:cs="Arial" w:eastAsia="Arial" w:hAnsi="Arial"/>
                <w:sz w:val="18"/>
                <w:szCs w:val="18"/>
                <w:color w:val="auto"/>
              </w:rPr>
              <w:t>32.28%</w:t>
            </w:r>
          </w:p>
        </w:tc>
        <w:tc>
          <w:tcPr>
            <w:tcW w:w="620" w:type="dxa"/>
            <w:vAlign w:val="bottom"/>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(1)</w:t>
            </w:r>
          </w:p>
        </w:tc>
        <w:tc>
          <w:tcPr>
            <w:tcW w:w="420" w:type="dxa"/>
            <w:vAlign w:val="bottom"/>
            <w:gridSpan w:val="2"/>
            <w:shd w:val="clear" w:color="auto" w:fill="CCEEFF"/>
          </w:tcPr>
          <w:p>
            <w:pPr>
              <w:ind w:left="340"/>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6"/>
              </w:rPr>
              <w:t>386,178,000(2)</w:t>
            </w:r>
          </w:p>
        </w:tc>
        <w:tc>
          <w:tcPr>
            <w:tcW w:w="10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18,246,000(3)</w:t>
            </w:r>
          </w:p>
        </w:tc>
        <w:tc>
          <w:tcPr>
            <w:tcW w:w="8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3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520" w:type="dxa"/>
            <w:vAlign w:val="bottom"/>
          </w:tcPr>
          <w:p>
            <w:pPr>
              <w:spacing w:after="0"/>
              <w:rPr>
                <w:sz w:val="8"/>
                <w:szCs w:val="8"/>
                <w:color w:val="auto"/>
              </w:rPr>
            </w:pPr>
          </w:p>
        </w:tc>
        <w:tc>
          <w:tcPr>
            <w:tcW w:w="860" w:type="dxa"/>
            <w:vAlign w:val="bottom"/>
          </w:tcPr>
          <w:p>
            <w:pPr>
              <w:spacing w:after="0"/>
              <w:rPr>
                <w:sz w:val="8"/>
                <w:szCs w:val="8"/>
                <w:color w:val="auto"/>
              </w:rPr>
            </w:pPr>
          </w:p>
        </w:tc>
        <w:tc>
          <w:tcPr>
            <w:tcW w:w="580" w:type="dxa"/>
            <w:vAlign w:val="bottom"/>
          </w:tcPr>
          <w:p>
            <w:pPr>
              <w:spacing w:after="0"/>
              <w:rPr>
                <w:sz w:val="8"/>
                <w:szCs w:val="8"/>
                <w:color w:val="auto"/>
              </w:rPr>
            </w:pPr>
          </w:p>
        </w:tc>
        <w:tc>
          <w:tcPr>
            <w:tcW w:w="8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Does not include amounts related to leases these tenants have with our partnership with a discretionary fund created and advised by ING Clarion Partners.</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Reflects annual in-place contractual (cash-basis) rent as of September 30, 2010.</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Excludes redevelopment square footage not yet placed in service.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2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Net Income to FFO Guidance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ind w:left="176"/>
              <w:spacing w:after="0"/>
              <w:rPr>
                <w:sz w:val="20"/>
                <w:szCs w:val="20"/>
                <w:color w:val="auto"/>
              </w:rPr>
            </w:pPr>
            <w:r>
              <w:rPr>
                <w:rFonts w:ascii="Arial" w:cs="Arial" w:eastAsia="Arial" w:hAnsi="Arial"/>
                <w:sz w:val="14"/>
                <w:szCs w:val="14"/>
                <w:b w:val="1"/>
                <w:bCs w:val="1"/>
                <w:color w:val="auto"/>
                <w:w w:val="86"/>
              </w:rPr>
              <w:t>2010 Guidance</w:t>
            </w:r>
          </w:p>
        </w:tc>
        <w:tc>
          <w:tcPr>
            <w:tcW w:w="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jc w:val="center"/>
              <w:ind w:right="72"/>
              <w:spacing w:after="0" w:line="131" w:lineRule="exact"/>
              <w:rPr>
                <w:sz w:val="20"/>
                <w:szCs w:val="20"/>
                <w:color w:val="auto"/>
              </w:rPr>
            </w:pPr>
            <w:r>
              <w:rPr>
                <w:rFonts w:ascii="Arial" w:cs="Arial" w:eastAsia="Arial" w:hAnsi="Arial"/>
                <w:sz w:val="14"/>
                <w:szCs w:val="14"/>
                <w:color w:val="auto"/>
                <w:w w:val="90"/>
              </w:rPr>
              <w:t>(Dollars in millions 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tcPr>
          <w:p>
            <w:pPr>
              <w:jc w:val="center"/>
              <w:ind w:right="240"/>
              <w:spacing w:after="0" w:line="159" w:lineRule="exact"/>
              <w:rPr>
                <w:sz w:val="20"/>
                <w:szCs w:val="20"/>
                <w:color w:val="auto"/>
              </w:rPr>
            </w:pPr>
            <w:r>
              <w:rPr>
                <w:rFonts w:ascii="Arial" w:cs="Arial" w:eastAsia="Arial" w:hAnsi="Arial"/>
                <w:sz w:val="14"/>
                <w:szCs w:val="14"/>
                <w:color w:val="auto"/>
                <w:w w:val="85"/>
              </w:rPr>
              <w:t>per share amounts)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Funds from Operations available for common shareholders (FFO)</w:t>
            </w:r>
          </w:p>
        </w:tc>
        <w:tc>
          <w:tcPr>
            <w:tcW w:w="2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25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126</w:t>
            </w:r>
          </w:p>
        </w:tc>
        <w:tc>
          <w:tcPr>
            <w:tcW w:w="260" w:type="dxa"/>
            <w:vAlign w:val="bottom"/>
            <w:tcBorders>
              <w:top w:val="single" w:sz="8" w:color="CCEEFF"/>
            </w:tcBorders>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109</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Dividends on preferred shares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Income attributable to unvested shares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237</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Litigation provision (2)</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 excluding litigation provision</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238</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460" w:type="dxa"/>
            <w:vAlign w:val="bottom"/>
            <w:gridSpan w:val="3"/>
          </w:tcPr>
          <w:p>
            <w:pPr>
              <w:spacing w:after="0"/>
              <w:rPr>
                <w:sz w:val="20"/>
                <w:szCs w:val="20"/>
                <w:color w:val="auto"/>
              </w:rPr>
            </w:pPr>
            <w:r>
              <w:rPr>
                <w:rFonts w:ascii="Arial" w:cs="Arial" w:eastAsia="Arial" w:hAnsi="Arial"/>
                <w:sz w:val="18"/>
                <w:szCs w:val="18"/>
                <w:color w:val="auto"/>
              </w:rPr>
              <w:t>Weighted average number of common shares, diluted</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3.84</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Litigation provision</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 per diluted share excluding litigation provision</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3.85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jc w:val="center"/>
              <w:ind w:left="176"/>
              <w:spacing w:after="0"/>
              <w:rPr>
                <w:sz w:val="20"/>
                <w:szCs w:val="20"/>
                <w:color w:val="auto"/>
              </w:rPr>
            </w:pPr>
            <w:r>
              <w:rPr>
                <w:rFonts w:ascii="Arial" w:cs="Arial" w:eastAsia="Arial" w:hAnsi="Arial"/>
                <w:sz w:val="14"/>
                <w:szCs w:val="14"/>
                <w:b w:val="1"/>
                <w:bCs w:val="1"/>
                <w:color w:val="auto"/>
                <w:w w:val="86"/>
              </w:rPr>
              <w:t>2011 Guidance</w:t>
            </w:r>
          </w:p>
        </w:tc>
        <w:tc>
          <w:tcPr>
            <w:tcW w:w="4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494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4"/>
          </w:tcPr>
          <w:p>
            <w:pPr>
              <w:jc w:val="center"/>
              <w:ind w:right="72"/>
              <w:spacing w:after="0" w:line="131" w:lineRule="exact"/>
              <w:rPr>
                <w:sz w:val="20"/>
                <w:szCs w:val="20"/>
                <w:color w:val="auto"/>
              </w:rPr>
            </w:pPr>
            <w:r>
              <w:rPr>
                <w:rFonts w:ascii="Arial" w:cs="Arial" w:eastAsia="Arial" w:hAnsi="Arial"/>
                <w:sz w:val="14"/>
                <w:szCs w:val="14"/>
                <w:color w:val="auto"/>
                <w:w w:val="90"/>
              </w:rPr>
              <w:t>(Dollars in millions except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5"/>
          </w:tcPr>
          <w:p>
            <w:pPr>
              <w:jc w:val="center"/>
              <w:ind w:right="240"/>
              <w:spacing w:after="0" w:line="159" w:lineRule="exact"/>
              <w:rPr>
                <w:sz w:val="20"/>
                <w:szCs w:val="20"/>
                <w:color w:val="auto"/>
              </w:rPr>
            </w:pPr>
            <w:r>
              <w:rPr>
                <w:rFonts w:ascii="Arial" w:cs="Arial" w:eastAsia="Arial" w:hAnsi="Arial"/>
                <w:sz w:val="14"/>
                <w:szCs w:val="14"/>
                <w:color w:val="auto"/>
                <w:w w:val="85"/>
              </w:rPr>
              <w:t>per share amounts) (1)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Funds from Operations available for common shareholders (FFO)</w:t>
            </w:r>
          </w:p>
        </w:tc>
        <w:tc>
          <w:tcPr>
            <w:tcW w:w="2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income</w:t>
            </w:r>
          </w:p>
        </w:tc>
        <w:tc>
          <w:tcPr>
            <w:tcW w:w="2500" w:type="dxa"/>
            <w:vAlign w:val="bottom"/>
            <w:tcBorders>
              <w:top w:val="single" w:sz="8" w:color="CCEEFF"/>
            </w:tcBorders>
          </w:tcPr>
          <w:p>
            <w:pPr>
              <w:spacing w:after="0"/>
              <w:rPr>
                <w:sz w:val="18"/>
                <w:szCs w:val="18"/>
                <w:color w:val="auto"/>
              </w:rPr>
            </w:pPr>
          </w:p>
        </w:tc>
        <w:tc>
          <w:tcPr>
            <w:tcW w:w="21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CCEEFF"/>
            </w:tcBorders>
            <w:gridSpan w:val="2"/>
          </w:tcPr>
          <w:p>
            <w:pPr>
              <w:jc w:val="right"/>
              <w:ind w:right="580"/>
              <w:spacing w:after="0"/>
              <w:rPr>
                <w:sz w:val="20"/>
                <w:szCs w:val="20"/>
                <w:color w:val="auto"/>
              </w:rPr>
            </w:pPr>
            <w:r>
              <w:rPr>
                <w:rFonts w:ascii="Arial" w:cs="Arial" w:eastAsia="Arial" w:hAnsi="Arial"/>
                <w:sz w:val="18"/>
                <w:szCs w:val="18"/>
                <w:color w:val="auto"/>
              </w:rPr>
              <w:t>131</w:t>
            </w:r>
          </w:p>
        </w:tc>
        <w:tc>
          <w:tcPr>
            <w:tcW w:w="260" w:type="dxa"/>
            <w:vAlign w:val="bottom"/>
            <w:tcBorders>
              <w:top w:val="single" w:sz="8" w:color="CCEEFF"/>
            </w:tcBorders>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attributable to noncontrolling interests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Gain on sale of real estate</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and amortization of real estate &amp; joint venture real estate assets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111</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Amortization of initial direct costs of leases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Funds from operations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Dividends on preferred shares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attributable to operating partnership units</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Income attributable to unvested shares</w:t>
            </w: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w:t>
            </w:r>
          </w:p>
        </w:tc>
        <w:tc>
          <w:tcPr>
            <w:tcW w:w="2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245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7460" w:type="dxa"/>
            <w:vAlign w:val="bottom"/>
            <w:gridSpan w:val="3"/>
          </w:tcPr>
          <w:p>
            <w:pPr>
              <w:spacing w:after="0"/>
              <w:rPr>
                <w:sz w:val="20"/>
                <w:szCs w:val="20"/>
                <w:color w:val="auto"/>
              </w:rPr>
            </w:pPr>
            <w:r>
              <w:rPr>
                <w:rFonts w:ascii="Arial" w:cs="Arial" w:eastAsia="Arial" w:hAnsi="Arial"/>
                <w:sz w:val="18"/>
                <w:szCs w:val="18"/>
                <w:color w:val="auto"/>
              </w:rPr>
              <w:t>Weighted average number of common shares, diluted</w:t>
            </w: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tcPr>
          <w:p>
            <w:pPr>
              <w:jc w:val="right"/>
              <w:ind w:right="580"/>
              <w:spacing w:after="0"/>
              <w:rPr>
                <w:sz w:val="20"/>
                <w:szCs w:val="20"/>
                <w:color w:val="auto"/>
              </w:rPr>
            </w:pPr>
            <w:r>
              <w:rPr>
                <w:rFonts w:ascii="Arial" w:cs="Arial" w:eastAsia="Arial" w:hAnsi="Arial"/>
                <w:sz w:val="18"/>
                <w:szCs w:val="18"/>
                <w:color w:val="auto"/>
              </w:rPr>
              <w:t>61.9</w:t>
            </w:r>
          </w:p>
        </w:tc>
        <w:tc>
          <w:tcPr>
            <w:tcW w:w="26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FFO per diluted share</w:t>
            </w:r>
          </w:p>
        </w:tc>
        <w:tc>
          <w:tcPr>
            <w:tcW w:w="2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r>
              <w:rPr>
                <w:rFonts w:ascii="Arial" w:cs="Arial" w:eastAsia="Arial" w:hAnsi="Arial"/>
                <w:sz w:val="18"/>
                <w:szCs w:val="18"/>
                <w:u w:val="single" w:color="auto"/>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Individual items may not add up to total due to rounding.</w:t>
      </w:r>
    </w:p>
    <w:p>
      <w:pPr>
        <w:spacing w:after="0" w:line="9" w:lineRule="exact"/>
        <w:rPr>
          <w:rFonts w:ascii="Arial" w:cs="Arial" w:eastAsia="Arial" w:hAnsi="Arial"/>
          <w:sz w:val="18"/>
          <w:szCs w:val="18"/>
          <w:color w:val="auto"/>
        </w:rPr>
      </w:pPr>
    </w:p>
    <w:p>
      <w:pPr>
        <w:ind w:left="460" w:right="44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Amount represents a charge for litigation regarding a parcel of land located adjacent to Santana Row as well as other costs related to the litigation and appeal process.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22"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Summarized Income Statements and Balance Sheets - 30%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CONSOLIDATED INCOME STATEMENTS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5"/>
              </w:rPr>
              <w:t>Three months ended September 30,</w:t>
            </w:r>
          </w:p>
        </w:tc>
        <w:tc>
          <w:tcPr>
            <w:tcW w:w="200" w:type="dxa"/>
            <w:vAlign w:val="bottom"/>
          </w:tcPr>
          <w:p>
            <w:pPr>
              <w:spacing w:after="0"/>
              <w:rPr>
                <w:sz w:val="14"/>
                <w:szCs w:val="14"/>
                <w:color w:val="auto"/>
              </w:rPr>
            </w:pPr>
          </w:p>
        </w:tc>
        <w:tc>
          <w:tcPr>
            <w:tcW w:w="2260" w:type="dxa"/>
            <w:vAlign w:val="bottom"/>
            <w:gridSpan w:val="7"/>
          </w:tcPr>
          <w:p>
            <w:pPr>
              <w:jc w:val="right"/>
              <w:ind w:right="220"/>
              <w:spacing w:after="0"/>
              <w:rPr>
                <w:sz w:val="20"/>
                <w:szCs w:val="20"/>
                <w:color w:val="auto"/>
              </w:rPr>
            </w:pPr>
            <w:r>
              <w:rPr>
                <w:rFonts w:ascii="Arial" w:cs="Arial" w:eastAsia="Arial" w:hAnsi="Arial"/>
                <w:sz w:val="14"/>
                <w:szCs w:val="14"/>
                <w:b w:val="1"/>
                <w:bCs w:val="1"/>
                <w:color w:val="auto"/>
                <w:w w:val="87"/>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7"/>
              <w:spacing w:after="0" w:line="142" w:lineRule="exact"/>
              <w:rPr>
                <w:sz w:val="20"/>
                <w:szCs w:val="20"/>
                <w:color w:val="auto"/>
              </w:rPr>
            </w:pPr>
            <w:r>
              <w:rPr>
                <w:rFonts w:ascii="Arial" w:cs="Arial" w:eastAsia="Arial" w:hAnsi="Arial"/>
                <w:sz w:val="14"/>
                <w:szCs w:val="14"/>
                <w:b w:val="1"/>
                <w:bCs w:val="1"/>
                <w:color w:val="auto"/>
              </w:rPr>
              <w:t>2010</w:t>
            </w:r>
          </w:p>
        </w:tc>
        <w:tc>
          <w:tcPr>
            <w:tcW w:w="46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w w:val="96"/>
              </w:rPr>
              <w:t>2009</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2010</w:t>
            </w:r>
          </w:p>
        </w:tc>
        <w:tc>
          <w:tcPr>
            <w:tcW w:w="4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thousands)</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68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87"/>
              </w:rPr>
              <w:t>thousands)</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 income</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4,499</w:t>
            </w:r>
          </w:p>
        </w:tc>
        <w:tc>
          <w:tcPr>
            <w:tcW w:w="46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4,377</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13,637</w:t>
            </w:r>
          </w:p>
        </w:tc>
        <w:tc>
          <w:tcPr>
            <w:tcW w:w="4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13,832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property income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11</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650</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4,510</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5,027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13,688</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14,523</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Rental</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741</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734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2,894</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2,646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Real estate taxes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589</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Depreciation and amortization</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1,259</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1,278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3,771</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tcBorders>
              <w:right w:val="single" w:sz="8" w:color="auto"/>
            </w:tcBorders>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8,435</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gridSpan w:val="2"/>
            <w:vMerge w:val="restart"/>
          </w:tcPr>
          <w:p>
            <w:pPr>
              <w:ind w:left="420"/>
              <w:spacing w:after="0"/>
              <w:rPr>
                <w:sz w:val="20"/>
                <w:szCs w:val="20"/>
                <w:color w:val="auto"/>
              </w:rPr>
            </w:pPr>
            <w:r>
              <w:rPr>
                <w:rFonts w:ascii="Arial" w:cs="Arial" w:eastAsia="Arial" w:hAnsi="Arial"/>
                <w:sz w:val="18"/>
                <w:szCs w:val="18"/>
                <w:color w:val="auto"/>
              </w:rPr>
              <w:t>Operating income</w:t>
            </w: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1,929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2,426</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5,253</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6,452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32"/>
              <w:spacing w:after="0"/>
              <w:rPr>
                <w:sz w:val="20"/>
                <w:szCs w:val="20"/>
                <w:color w:val="auto"/>
              </w:rPr>
            </w:pPr>
            <w:r>
              <w:rPr>
                <w:rFonts w:ascii="Arial" w:cs="Arial" w:eastAsia="Arial" w:hAnsi="Arial"/>
                <w:sz w:val="18"/>
                <w:szCs w:val="18"/>
                <w:color w:val="auto"/>
              </w:rPr>
              <w:t>(849)</w:t>
            </w: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(1,131)</w:t>
            </w: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15"/>
              <w:spacing w:after="0"/>
              <w:rPr>
                <w:sz w:val="20"/>
                <w:szCs w:val="20"/>
                <w:color w:val="auto"/>
              </w:rPr>
            </w:pPr>
            <w:r>
              <w:rPr>
                <w:rFonts w:ascii="Arial" w:cs="Arial" w:eastAsia="Arial" w:hAnsi="Arial"/>
                <w:sz w:val="18"/>
                <w:szCs w:val="18"/>
                <w:color w:val="auto"/>
              </w:rPr>
              <w:t>(2,551)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(3,396)</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Net income</w:t>
            </w:r>
          </w:p>
        </w:tc>
        <w:tc>
          <w:tcPr>
            <w:tcW w:w="17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gridSpan w:val="3"/>
            <w:vMerge w:val="continue"/>
          </w:tcPr>
          <w:p>
            <w:pPr>
              <w:spacing w:after="0"/>
              <w:rPr>
                <w:sz w:val="19"/>
                <w:szCs w:val="19"/>
                <w:color w:val="auto"/>
              </w:rPr>
            </w:pP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1,080</w:t>
            </w:r>
          </w:p>
        </w:tc>
        <w:tc>
          <w:tcPr>
            <w:tcW w:w="46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1,295</w:t>
            </w:r>
          </w:p>
        </w:tc>
        <w:tc>
          <w:tcPr>
            <w:tcW w:w="3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2,702</w:t>
            </w:r>
          </w:p>
        </w:tc>
        <w:tc>
          <w:tcPr>
            <w:tcW w:w="42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CONSOLIDATED BALANCE SHEETS</w:t>
            </w:r>
          </w:p>
        </w:tc>
        <w:tc>
          <w:tcPr>
            <w:tcW w:w="17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8"/>
        </w:trPr>
        <w:tc>
          <w:tcPr>
            <w:tcW w:w="4740" w:type="dxa"/>
            <w:vAlign w:val="bottom"/>
            <w:gridSpan w:val="3"/>
            <w:vMerge w:val="continue"/>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2880" w:type="dxa"/>
            <w:vAlign w:val="bottom"/>
            <w:tcBorders>
              <w:top w:val="single" w:sz="8" w:color="auto"/>
            </w:tcBorders>
          </w:tcPr>
          <w:p>
            <w:pPr>
              <w:spacing w:after="0"/>
              <w:rPr>
                <w:sz w:val="24"/>
                <w:szCs w:val="24"/>
                <w:color w:val="auto"/>
              </w:rPr>
            </w:pPr>
          </w:p>
        </w:tc>
        <w:tc>
          <w:tcPr>
            <w:tcW w:w="18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24"/>
                <w:szCs w:val="2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2010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520" w:type="dxa"/>
            <w:vAlign w:val="bottom"/>
            <w:gridSpan w:val="2"/>
          </w:tcPr>
          <w:p>
            <w:pPr>
              <w:ind w:left="20"/>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Real estate, at cost</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205,205</w:t>
            </w:r>
          </w:p>
        </w:tc>
        <w:tc>
          <w:tcPr>
            <w:tcW w:w="42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203,122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Less accumulated depreciation and amortization</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15"/>
              <w:spacing w:after="0"/>
              <w:rPr>
                <w:sz w:val="20"/>
                <w:szCs w:val="20"/>
                <w:color w:val="auto"/>
              </w:rPr>
            </w:pPr>
            <w:r>
              <w:rPr>
                <w:rFonts w:ascii="Arial" w:cs="Arial" w:eastAsia="Arial" w:hAnsi="Arial"/>
                <w:sz w:val="18"/>
                <w:szCs w:val="18"/>
                <w:color w:val="auto"/>
              </w:rPr>
              <w:t>(23,044)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(19,365)</w:t>
            </w: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Net real estate</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182,161</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5"/>
              </w:rPr>
              <w:t>183,757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7,607</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193,059</w:t>
            </w:r>
          </w:p>
        </w:tc>
        <w:tc>
          <w:tcPr>
            <w:tcW w:w="4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193,569</w:t>
            </w:r>
          </w:p>
        </w:tc>
        <w:tc>
          <w:tcPr>
            <w:tcW w:w="0" w:type="dxa"/>
            <w:vAlign w:val="bottom"/>
          </w:tcPr>
          <w:p>
            <w:pPr>
              <w:spacing w:after="0"/>
              <w:rPr>
                <w:sz w:val="1"/>
                <w:szCs w:val="1"/>
                <w:color w:val="auto"/>
              </w:rPr>
            </w:pPr>
          </w:p>
        </w:tc>
      </w:tr>
      <w:tr>
        <w:trPr>
          <w:trHeight w:val="20"/>
        </w:trPr>
        <w:tc>
          <w:tcPr>
            <w:tcW w:w="4740" w:type="dxa"/>
            <w:vAlign w:val="bottom"/>
            <w:gridSpan w:val="3"/>
            <w:vMerge w:val="restart"/>
          </w:tcPr>
          <w:p>
            <w:pPr>
              <w:spacing w:after="0"/>
              <w:rPr>
                <w:sz w:val="20"/>
                <w:szCs w:val="20"/>
                <w:color w:val="auto"/>
              </w:rPr>
            </w:pPr>
            <w:r>
              <w:rPr>
                <w:rFonts w:ascii="Arial" w:cs="Arial" w:eastAsia="Arial" w:hAnsi="Arial"/>
                <w:sz w:val="18"/>
                <w:szCs w:val="18"/>
                <w:color w:val="auto"/>
              </w:rPr>
              <w:t>LIABILITIES AND PARTNERS’ CAPITAL</w:t>
            </w:r>
          </w:p>
        </w:tc>
        <w:tc>
          <w:tcPr>
            <w:tcW w:w="1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740" w:type="dxa"/>
            <w:vAlign w:val="bottom"/>
            <w:gridSpan w:val="3"/>
            <w:vMerge w:val="continue"/>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Mortgages payable</w:t>
            </w: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57,634</w:t>
            </w:r>
          </w:p>
        </w:tc>
        <w:tc>
          <w:tcPr>
            <w:tcW w:w="420" w:type="dxa"/>
            <w:vAlign w:val="bottom"/>
          </w:tcPr>
          <w:p>
            <w:pPr>
              <w:spacing w:after="0"/>
              <w:rPr>
                <w:sz w:val="18"/>
                <w:szCs w:val="18"/>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57,780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liabilities</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63,446</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63,881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 capital</w:t>
            </w:r>
          </w:p>
        </w:tc>
        <w:tc>
          <w:tcPr>
            <w:tcW w:w="1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129,613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129,688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40" w:type="dxa"/>
            <w:vAlign w:val="bottom"/>
            <w:gridSpan w:val="3"/>
          </w:tcPr>
          <w:p>
            <w:pPr>
              <w:spacing w:after="0"/>
              <w:rPr>
                <w:sz w:val="20"/>
                <w:szCs w:val="20"/>
                <w:color w:val="auto"/>
              </w:rPr>
            </w:pPr>
            <w:r>
              <w:rPr>
                <w:rFonts w:ascii="Arial" w:cs="Arial" w:eastAsia="Arial" w:hAnsi="Arial"/>
                <w:sz w:val="18"/>
                <w:szCs w:val="18"/>
                <w:color w:val="auto"/>
              </w:rPr>
              <w:t>TOTAL LIABILITIES AND PARTNERS’ CAPITAL</w:t>
            </w:r>
          </w:p>
        </w:tc>
        <w:tc>
          <w:tcPr>
            <w:tcW w:w="1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193,059</w:t>
            </w:r>
          </w:p>
        </w:tc>
        <w:tc>
          <w:tcPr>
            <w:tcW w:w="420" w:type="dxa"/>
            <w:vAlign w:val="bottom"/>
          </w:tcPr>
          <w:p>
            <w:pPr>
              <w:spacing w:after="0"/>
              <w:rPr>
                <w:sz w:val="19"/>
                <w:szCs w:val="19"/>
                <w:color w:val="auto"/>
              </w:rPr>
            </w:pP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193,569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60" w:type="dxa"/>
            <w:vAlign w:val="bottom"/>
            <w:vMerge w:val="restart"/>
          </w:tcPr>
          <w:p>
            <w:pPr>
              <w:jc w:val="right"/>
              <w:ind w:right="612"/>
              <w:spacing w:after="0"/>
              <w:rPr>
                <w:sz w:val="20"/>
                <w:szCs w:val="20"/>
                <w:color w:val="auto"/>
              </w:rPr>
            </w:pPr>
            <w:r>
              <w:rPr>
                <w:rFonts w:ascii="Arial" w:cs="Arial" w:eastAsia="Arial" w:hAnsi="Arial"/>
                <w:sz w:val="18"/>
                <w:szCs w:val="18"/>
                <w:color w:val="auto"/>
              </w:rPr>
              <w:t>22</w:t>
            </w: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22"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Outstanding Debt and Debt Maturities - 30%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color w:val="auto"/>
        </w:rPr>
        <w:t>OUTSTANDING DEBT</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8"/>
              </w:rPr>
              <w:t>Stated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3"/>
          </w:tcPr>
          <w:p>
            <w:pPr>
              <w:jc w:val="center"/>
              <w:ind w:right="980"/>
              <w:spacing w:after="0" w:line="149" w:lineRule="exact"/>
              <w:rPr>
                <w:sz w:val="20"/>
                <w:szCs w:val="20"/>
                <w:color w:val="auto"/>
              </w:rPr>
            </w:pPr>
            <w:r>
              <w:rPr>
                <w:rFonts w:ascii="Arial" w:cs="Arial" w:eastAsia="Arial" w:hAnsi="Arial"/>
                <w:sz w:val="14"/>
                <w:szCs w:val="14"/>
                <w:b w:val="1"/>
                <w:bCs w:val="1"/>
                <w:color w:val="auto"/>
                <w:w w:val="87"/>
              </w:rPr>
              <w:t>Interest Rate as of</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2120" w:type="dxa"/>
            <w:vAlign w:val="bottom"/>
            <w:gridSpan w:val="3"/>
          </w:tcPr>
          <w:p>
            <w:pPr>
              <w:jc w:val="center"/>
              <w:ind w:right="980"/>
              <w:spacing w:after="0"/>
              <w:rPr>
                <w:sz w:val="20"/>
                <w:szCs w:val="20"/>
                <w:color w:val="auto"/>
              </w:rPr>
            </w:pPr>
            <w:r>
              <w:rPr>
                <w:rFonts w:ascii="Arial" w:cs="Arial" w:eastAsia="Arial" w:hAnsi="Arial"/>
                <w:sz w:val="14"/>
                <w:szCs w:val="14"/>
                <w:b w:val="1"/>
                <w:bCs w:val="1"/>
                <w:color w:val="auto"/>
                <w:w w:val="87"/>
              </w:rPr>
              <w:t>September 30, 2010</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2"/>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58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Mortgage Loans</w:t>
            </w: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62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580" w:type="dxa"/>
            <w:vAlign w:val="bottom"/>
            <w:gridSpan w:val="5"/>
          </w:tcPr>
          <w:p>
            <w:pPr>
              <w:ind w:left="440"/>
              <w:spacing w:after="0"/>
              <w:rPr>
                <w:sz w:val="20"/>
                <w:szCs w:val="20"/>
                <w:color w:val="auto"/>
              </w:rPr>
            </w:pPr>
            <w:r>
              <w:rPr>
                <w:rFonts w:ascii="Arial" w:cs="Arial" w:eastAsia="Arial" w:hAnsi="Arial"/>
                <w:sz w:val="18"/>
                <w:szCs w:val="18"/>
                <w:i w:val="1"/>
                <w:iCs w:val="1"/>
                <w:color w:val="auto"/>
              </w:rPr>
              <w:t>Secured Fixed Rate</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Plaza del Mercado</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07/05/14</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5.77% (a)</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tcPr>
          <w:p>
            <w:pPr>
              <w:ind w:left="440"/>
              <w:spacing w:after="0"/>
              <w:rPr>
                <w:sz w:val="20"/>
                <w:szCs w:val="20"/>
                <w:color w:val="auto"/>
              </w:rPr>
            </w:pPr>
            <w:r>
              <w:rPr>
                <w:rFonts w:ascii="Arial" w:cs="Arial" w:eastAsia="Arial" w:hAnsi="Arial"/>
                <w:sz w:val="18"/>
                <w:szCs w:val="18"/>
                <w:color w:val="auto"/>
              </w:rPr>
              <w:t>Atlantic Plaza</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12/01/14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5.12% (b)</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gridSpan w:val="5"/>
            <w:shd w:val="clear" w:color="auto" w:fill="CCEEFF"/>
          </w:tcPr>
          <w:p>
            <w:pPr>
              <w:ind w:left="440"/>
              <w:spacing w:after="0"/>
              <w:rPr>
                <w:sz w:val="20"/>
                <w:szCs w:val="20"/>
                <w:color w:val="auto"/>
              </w:rPr>
            </w:pPr>
            <w:r>
              <w:rPr>
                <w:rFonts w:ascii="Arial" w:cs="Arial" w:eastAsia="Arial" w:hAnsi="Arial"/>
                <w:sz w:val="18"/>
                <w:szCs w:val="18"/>
                <w:color w:val="auto"/>
              </w:rPr>
              <w:t>Barcroft Plaza</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07/01/16</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5.99% (b)(c)</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gridSpan w:val="5"/>
          </w:tcPr>
          <w:p>
            <w:pPr>
              <w:ind w:left="440"/>
              <w:spacing w:after="0"/>
              <w:rPr>
                <w:sz w:val="20"/>
                <w:szCs w:val="20"/>
                <w:color w:val="auto"/>
              </w:rPr>
            </w:pPr>
            <w:r>
              <w:rPr>
                <w:rFonts w:ascii="Arial" w:cs="Arial" w:eastAsia="Arial" w:hAnsi="Arial"/>
                <w:sz w:val="18"/>
                <w:szCs w:val="18"/>
                <w:color w:val="auto"/>
              </w:rPr>
              <w:t>Greenlawn Plaza</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07/01/16</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color w:val="auto"/>
              </w:rPr>
              <w:t>5.90% (b)</w:t>
            </w:r>
          </w:p>
        </w:tc>
        <w:tc>
          <w:tcPr>
            <w:tcW w:w="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13,600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140" w:type="dxa"/>
            <w:vAlign w:val="bottom"/>
            <w:gridSpan w:val="5"/>
            <w:shd w:val="clear" w:color="auto" w:fill="CCEEFF"/>
          </w:tcPr>
          <w:p>
            <w:pPr>
              <w:ind w:left="60"/>
              <w:spacing w:after="0"/>
              <w:rPr>
                <w:sz w:val="20"/>
                <w:szCs w:val="20"/>
                <w:color w:val="auto"/>
              </w:rPr>
            </w:pPr>
            <w:r>
              <w:rPr>
                <w:rFonts w:ascii="Arial" w:cs="Arial" w:eastAsia="Arial" w:hAnsi="Arial"/>
                <w:sz w:val="18"/>
                <w:szCs w:val="18"/>
                <w:color w:val="auto"/>
              </w:rPr>
              <w:t>Total Fixed Rate Debt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57,634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20" w:type="dxa"/>
            <w:vAlign w:val="bottom"/>
            <w:gridSpan w:val="3"/>
            <w:vMerge w:val="restart"/>
          </w:tcPr>
          <w:p>
            <w:pPr>
              <w:spacing w:after="0"/>
              <w:rPr>
                <w:sz w:val="20"/>
                <w:szCs w:val="20"/>
                <w:color w:val="auto"/>
              </w:rPr>
            </w:pPr>
            <w:r>
              <w:rPr>
                <w:rFonts w:ascii="Arial" w:cs="Arial" w:eastAsia="Arial" w:hAnsi="Arial"/>
                <w:sz w:val="18"/>
                <w:szCs w:val="18"/>
                <w:color w:val="auto"/>
                <w:w w:val="90"/>
              </w:rPr>
              <w:t>Debt Maturities</w:t>
            </w:r>
          </w:p>
        </w:tc>
        <w:tc>
          <w:tcPr>
            <w:tcW w:w="1460" w:type="dxa"/>
            <w:vAlign w:val="bottom"/>
            <w:gridSpan w:val="2"/>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1120" w:type="dxa"/>
            <w:vAlign w:val="bottom"/>
            <w:tcBorders>
              <w:bottom w:val="single" w:sz="8" w:color="auto"/>
            </w:tcBorders>
            <w:gridSpan w:val="3"/>
            <w:vMerge w:val="continue"/>
          </w:tcPr>
          <w:p>
            <w:pPr>
              <w:spacing w:after="0"/>
              <w:rPr>
                <w:sz w:val="24"/>
                <w:szCs w:val="24"/>
                <w:color w:val="auto"/>
              </w:rPr>
            </w:pPr>
          </w:p>
        </w:tc>
        <w:tc>
          <w:tcPr>
            <w:tcW w:w="14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580" w:type="dxa"/>
            <w:vAlign w:val="bottom"/>
            <w:gridSpan w:val="5"/>
          </w:tcPr>
          <w:p>
            <w:pPr>
              <w:ind w:left="20"/>
              <w:spacing w:after="0"/>
              <w:rPr>
                <w:sz w:val="20"/>
                <w:szCs w:val="20"/>
                <w:color w:val="auto"/>
              </w:rPr>
            </w:pPr>
            <w:r>
              <w:rPr>
                <w:rFonts w:ascii="Arial" w:cs="Arial" w:eastAsia="Arial" w:hAnsi="Arial"/>
                <w:sz w:val="18"/>
                <w:szCs w:val="18"/>
                <w:color w:val="auto"/>
              </w:rPr>
              <w:t>(in thousands)</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0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rPr>
              <w:t>Cumulative</w:t>
            </w:r>
          </w:p>
        </w:tc>
        <w:tc>
          <w:tcPr>
            <w:tcW w:w="0" w:type="dxa"/>
            <w:vAlign w:val="bottom"/>
          </w:tcPr>
          <w:p>
            <w:pPr>
              <w:spacing w:after="0"/>
              <w:rPr>
                <w:sz w:val="1"/>
                <w:szCs w:val="1"/>
                <w:color w:val="auto"/>
              </w:rPr>
            </w:pPr>
          </w:p>
        </w:tc>
      </w:tr>
      <w:tr>
        <w:trPr>
          <w:trHeight w:val="149"/>
        </w:trPr>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line="149" w:lineRule="exact"/>
              <w:rPr>
                <w:sz w:val="20"/>
                <w:szCs w:val="20"/>
                <w:color w:val="auto"/>
              </w:rPr>
            </w:pPr>
            <w:r>
              <w:rPr>
                <w:rFonts w:ascii="Arial" w:cs="Arial" w:eastAsia="Arial" w:hAnsi="Arial"/>
                <w:sz w:val="14"/>
                <w:szCs w:val="14"/>
                <w:b w:val="1"/>
                <w:bCs w:val="1"/>
                <w:color w:val="auto"/>
                <w:w w:val="95"/>
              </w:rPr>
              <w:t>Scheduled</w:t>
            </w:r>
          </w:p>
        </w:tc>
        <w:tc>
          <w:tcPr>
            <w:tcW w:w="1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0" w:type="dxa"/>
            <w:vAlign w:val="bottom"/>
            <w:gridSpan w:val="4"/>
          </w:tcPr>
          <w:p>
            <w:pPr>
              <w:jc w:val="center"/>
              <w:ind w:right="1300"/>
              <w:spacing w:after="0" w:line="149" w:lineRule="exact"/>
              <w:rPr>
                <w:sz w:val="20"/>
                <w:szCs w:val="20"/>
                <w:color w:val="auto"/>
              </w:rPr>
            </w:pPr>
            <w:r>
              <w:rPr>
                <w:rFonts w:ascii="Arial" w:cs="Arial" w:eastAsia="Arial" w:hAnsi="Arial"/>
                <w:sz w:val="14"/>
                <w:szCs w:val="14"/>
                <w:b w:val="1"/>
                <w:bCs w:val="1"/>
                <w:color w:val="auto"/>
                <w:w w:val="86"/>
              </w:rPr>
              <w:t>Percent of Debt</w:t>
            </w:r>
          </w:p>
        </w:tc>
        <w:tc>
          <w:tcPr>
            <w:tcW w:w="1100" w:type="dxa"/>
            <w:vAlign w:val="bottom"/>
            <w:gridSpan w:val="5"/>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Percent of Debt</w:t>
            </w:r>
          </w:p>
        </w:tc>
        <w:tc>
          <w:tcPr>
            <w:tcW w:w="0" w:type="dxa"/>
            <w:vAlign w:val="bottom"/>
          </w:tcPr>
          <w:p>
            <w:pPr>
              <w:spacing w:after="0"/>
              <w:rPr>
                <w:sz w:val="1"/>
                <w:szCs w:val="1"/>
                <w:color w:val="auto"/>
              </w:rPr>
            </w:pPr>
          </w:p>
        </w:tc>
      </w:tr>
      <w:tr>
        <w:trPr>
          <w:trHeight w:val="161"/>
        </w:trPr>
        <w:tc>
          <w:tcPr>
            <w:tcW w:w="620" w:type="dxa"/>
            <w:vAlign w:val="bottom"/>
          </w:tcPr>
          <w:p>
            <w:pPr>
              <w:spacing w:after="0"/>
              <w:rPr>
                <w:sz w:val="14"/>
                <w:szCs w:val="14"/>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680" w:type="dxa"/>
            <w:vAlign w:val="bottom"/>
            <w:gridSpan w:val="3"/>
          </w:tcPr>
          <w:p>
            <w:pPr>
              <w:spacing w:after="0"/>
              <w:rPr>
                <w:sz w:val="14"/>
                <w:szCs w:val="14"/>
                <w:color w:val="auto"/>
              </w:rPr>
            </w:pPr>
          </w:p>
        </w:tc>
        <w:tc>
          <w:tcPr>
            <w:tcW w:w="8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8"/>
              </w:rPr>
              <w:t>Amortization</w:t>
            </w:r>
          </w:p>
        </w:tc>
        <w:tc>
          <w:tcPr>
            <w:tcW w:w="11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Maturities</w:t>
            </w: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Total</w:t>
            </w:r>
          </w:p>
        </w:tc>
        <w:tc>
          <w:tcPr>
            <w:tcW w:w="1200" w:type="dxa"/>
            <w:vAlign w:val="bottom"/>
            <w:gridSpan w:val="2"/>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4"/>
              </w:rPr>
              <w:t>Maturing</w:t>
            </w:r>
          </w:p>
        </w:tc>
        <w:tc>
          <w:tcPr>
            <w:tcW w:w="1300" w:type="dxa"/>
            <w:vAlign w:val="bottom"/>
            <w:gridSpan w:val="2"/>
          </w:tcPr>
          <w:p>
            <w:pPr>
              <w:spacing w:after="0"/>
              <w:rPr>
                <w:sz w:val="14"/>
                <w:szCs w:val="14"/>
                <w:color w:val="auto"/>
              </w:rPr>
            </w:pPr>
          </w:p>
        </w:tc>
        <w:tc>
          <w:tcPr>
            <w:tcW w:w="90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Maturing</w:t>
            </w:r>
          </w:p>
        </w:tc>
        <w:tc>
          <w:tcPr>
            <w:tcW w:w="20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2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2010</w:t>
            </w: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50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50</w:t>
            </w:r>
          </w:p>
        </w:tc>
        <w:tc>
          <w:tcPr>
            <w:tcW w:w="5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1120" w:type="dxa"/>
            <w:vAlign w:val="bottom"/>
            <w:gridSpan w:val="3"/>
          </w:tcPr>
          <w:p>
            <w:pPr>
              <w:jc w:val="center"/>
              <w:ind w:left="292"/>
              <w:spacing w:after="0"/>
              <w:rPr>
                <w:sz w:val="20"/>
                <w:szCs w:val="20"/>
                <w:color w:val="auto"/>
              </w:rPr>
            </w:pPr>
            <w:r>
              <w:rPr>
                <w:rFonts w:ascii="Arial" w:cs="Arial" w:eastAsia="Arial" w:hAnsi="Arial"/>
                <w:sz w:val="18"/>
                <w:szCs w:val="18"/>
                <w:color w:val="auto"/>
                <w:w w:val="84"/>
              </w:rPr>
              <w:t>2011</w:t>
            </w: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w w:val="86"/>
              </w:rPr>
              <w:t>208</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208</w:t>
            </w:r>
          </w:p>
        </w:tc>
        <w:tc>
          <w:tcPr>
            <w:tcW w:w="540" w:type="dxa"/>
            <w:vAlign w:val="bottom"/>
          </w:tcPr>
          <w:p>
            <w:pPr>
              <w:spacing w:after="0"/>
              <w:rPr>
                <w:sz w:val="18"/>
                <w:szCs w:val="18"/>
                <w:color w:val="auto"/>
              </w:rPr>
            </w:pPr>
          </w:p>
        </w:tc>
        <w:tc>
          <w:tcPr>
            <w:tcW w:w="1220" w:type="dxa"/>
            <w:vAlign w:val="bottom"/>
            <w:gridSpan w:val="3"/>
          </w:tcPr>
          <w:p>
            <w:pPr>
              <w:jc w:val="right"/>
              <w:ind w:right="92"/>
              <w:spacing w:after="0"/>
              <w:rPr>
                <w:sz w:val="20"/>
                <w:szCs w:val="20"/>
                <w:color w:val="auto"/>
              </w:rPr>
            </w:pPr>
            <w:r>
              <w:rPr>
                <w:rFonts w:ascii="Arial" w:cs="Arial" w:eastAsia="Arial" w:hAnsi="Arial"/>
                <w:sz w:val="18"/>
                <w:szCs w:val="18"/>
                <w:color w:val="auto"/>
              </w:rPr>
              <w:t>0.4%</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112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2012</w:t>
            </w: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220</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220</w:t>
            </w:r>
          </w:p>
        </w:tc>
        <w:tc>
          <w:tcPr>
            <w:tcW w:w="5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0.4%</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11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2013</w:t>
            </w: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w w:val="86"/>
              </w:rPr>
              <w:t>233</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rPr>
              <w:t>233</w:t>
            </w:r>
          </w:p>
        </w:tc>
        <w:tc>
          <w:tcPr>
            <w:tcW w:w="540" w:type="dxa"/>
            <w:vAlign w:val="bottom"/>
          </w:tcPr>
          <w:p>
            <w:pPr>
              <w:spacing w:after="0"/>
              <w:rPr>
                <w:sz w:val="18"/>
                <w:szCs w:val="18"/>
                <w:color w:val="auto"/>
              </w:rPr>
            </w:pPr>
          </w:p>
        </w:tc>
        <w:tc>
          <w:tcPr>
            <w:tcW w:w="1220" w:type="dxa"/>
            <w:vAlign w:val="bottom"/>
            <w:gridSpan w:val="3"/>
          </w:tcPr>
          <w:p>
            <w:pPr>
              <w:jc w:val="right"/>
              <w:ind w:right="92"/>
              <w:spacing w:after="0"/>
              <w:rPr>
                <w:sz w:val="20"/>
                <w:szCs w:val="20"/>
                <w:color w:val="auto"/>
              </w:rPr>
            </w:pPr>
            <w:r>
              <w:rPr>
                <w:rFonts w:ascii="Arial" w:cs="Arial" w:eastAsia="Arial" w:hAnsi="Arial"/>
                <w:sz w:val="18"/>
                <w:szCs w:val="18"/>
                <w:color w:val="auto"/>
              </w:rPr>
              <w:t>0.4%</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12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2014</w:t>
            </w: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w w:val="86"/>
              </w:rPr>
              <w:t>142</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87"/>
              </w:rPr>
              <w:t>22,396</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22,538</w:t>
            </w:r>
          </w:p>
        </w:tc>
        <w:tc>
          <w:tcPr>
            <w:tcW w:w="5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39.1%</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120" w:type="dxa"/>
            <w:vAlign w:val="bottom"/>
            <w:gridSpan w:val="3"/>
          </w:tcPr>
          <w:p>
            <w:pPr>
              <w:jc w:val="center"/>
              <w:ind w:left="312"/>
              <w:spacing w:after="0"/>
              <w:rPr>
                <w:sz w:val="20"/>
                <w:szCs w:val="20"/>
                <w:color w:val="auto"/>
              </w:rPr>
            </w:pPr>
            <w:r>
              <w:rPr>
                <w:rFonts w:ascii="Arial" w:cs="Arial" w:eastAsia="Arial" w:hAnsi="Arial"/>
                <w:sz w:val="18"/>
                <w:szCs w:val="18"/>
                <w:color w:val="auto"/>
                <w:w w:val="89"/>
              </w:rPr>
              <w:t>2015</w:t>
            </w:r>
          </w:p>
        </w:tc>
        <w:tc>
          <w:tcPr>
            <w:tcW w:w="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ind w:left="420"/>
              <w:spacing w:after="0"/>
              <w:rPr>
                <w:sz w:val="20"/>
                <w:szCs w:val="20"/>
                <w:color w:val="auto"/>
              </w:rPr>
            </w:pPr>
            <w:r>
              <w:rPr>
                <w:rFonts w:ascii="Arial" w:cs="Arial" w:eastAsia="Arial" w:hAnsi="Arial"/>
                <w:sz w:val="18"/>
                <w:szCs w:val="18"/>
                <w:color w:val="auto"/>
              </w:rPr>
              <w:t>—</w:t>
            </w: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gridSpan w:val="3"/>
          </w:tcPr>
          <w:p>
            <w:pPr>
              <w:ind w:left="22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92"/>
              <w:spacing w:after="0"/>
              <w:rPr>
                <w:sz w:val="20"/>
                <w:szCs w:val="20"/>
                <w:color w:val="auto"/>
              </w:rPr>
            </w:pPr>
            <w:r>
              <w:rPr>
                <w:rFonts w:ascii="Arial" w:cs="Arial" w:eastAsia="Arial" w:hAnsi="Arial"/>
                <w:sz w:val="18"/>
                <w:szCs w:val="18"/>
                <w:color w:val="auto"/>
              </w:rPr>
              <w:t>0.0%</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3"/>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1120" w:type="dxa"/>
            <w:vAlign w:val="bottom"/>
            <w:gridSpan w:val="3"/>
            <w:shd w:val="clear" w:color="auto" w:fill="CCEEFF"/>
          </w:tcPr>
          <w:p>
            <w:pPr>
              <w:jc w:val="center"/>
              <w:ind w:left="312"/>
              <w:spacing w:after="0"/>
              <w:rPr>
                <w:sz w:val="20"/>
                <w:szCs w:val="20"/>
                <w:color w:val="auto"/>
              </w:rPr>
            </w:pPr>
            <w:r>
              <w:rPr>
                <w:rFonts w:ascii="Arial" w:cs="Arial" w:eastAsia="Arial" w:hAnsi="Arial"/>
                <w:sz w:val="18"/>
                <w:szCs w:val="18"/>
                <w:color w:val="auto"/>
                <w:w w:val="89"/>
              </w:rPr>
              <w:t>2016</w:t>
            </w:r>
          </w:p>
        </w:tc>
        <w:tc>
          <w:tcPr>
            <w:tcW w:w="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34,385</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3"/>
              </w:rPr>
              <w:t>34,385</w:t>
            </w:r>
          </w:p>
        </w:tc>
        <w:tc>
          <w:tcPr>
            <w:tcW w:w="54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right"/>
              <w:ind w:right="92"/>
              <w:spacing w:after="0"/>
              <w:rPr>
                <w:sz w:val="20"/>
                <w:szCs w:val="20"/>
                <w:color w:val="auto"/>
              </w:rPr>
            </w:pPr>
            <w:r>
              <w:rPr>
                <w:rFonts w:ascii="Arial" w:cs="Arial" w:eastAsia="Arial" w:hAnsi="Arial"/>
                <w:sz w:val="18"/>
                <w:szCs w:val="18"/>
                <w:color w:val="auto"/>
              </w:rPr>
              <w:t>59.6%</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580" w:type="dxa"/>
            <w:vAlign w:val="bottom"/>
            <w:gridSpan w:val="5"/>
            <w:vMerge w:val="restart"/>
          </w:tcPr>
          <w:p>
            <w:pPr>
              <w:jc w:val="center"/>
              <w:ind w:right="1060"/>
              <w:spacing w:after="0"/>
              <w:rPr>
                <w:sz w:val="20"/>
                <w:szCs w:val="20"/>
                <w:color w:val="auto"/>
              </w:rPr>
            </w:pPr>
            <w:r>
              <w:rPr>
                <w:rFonts w:ascii="Arial" w:cs="Arial" w:eastAsia="Arial" w:hAnsi="Arial"/>
                <w:sz w:val="18"/>
                <w:szCs w:val="18"/>
                <w:color w:val="auto"/>
                <w:w w:val="89"/>
              </w:rPr>
              <w:t>Total</w:t>
            </w: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gridSpan w:val="2"/>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580" w:type="dxa"/>
            <w:vAlign w:val="bottom"/>
            <w:gridSpan w:val="5"/>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420"/>
              <w:spacing w:after="0"/>
              <w:rPr>
                <w:sz w:val="20"/>
                <w:szCs w:val="20"/>
                <w:color w:val="auto"/>
              </w:rPr>
            </w:pPr>
            <w:r>
              <w:rPr>
                <w:rFonts w:ascii="Arial" w:cs="Arial" w:eastAsia="Arial" w:hAnsi="Arial"/>
                <w:sz w:val="18"/>
                <w:szCs w:val="18"/>
                <w:color w:val="auto"/>
                <w:w w:val="86"/>
              </w:rPr>
              <w:t>853</w:t>
            </w:r>
          </w:p>
        </w:tc>
        <w:tc>
          <w:tcPr>
            <w:tcW w:w="11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56,781</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1140" w:type="dxa"/>
            <w:vAlign w:val="bottom"/>
            <w:gridSpan w:val="2"/>
          </w:tcPr>
          <w:p>
            <w:pPr>
              <w:jc w:val="right"/>
              <w:ind w:right="660"/>
              <w:spacing w:after="0"/>
              <w:rPr>
                <w:sz w:val="20"/>
                <w:szCs w:val="20"/>
                <w:color w:val="auto"/>
              </w:rPr>
            </w:pPr>
            <w:r>
              <w:rPr>
                <w:rFonts w:ascii="Arial" w:cs="Arial" w:eastAsia="Arial" w:hAnsi="Arial"/>
                <w:sz w:val="18"/>
                <w:szCs w:val="18"/>
                <w:color w:val="auto"/>
                <w:w w:val="83"/>
              </w:rPr>
              <w:t>57,634</w:t>
            </w:r>
          </w:p>
        </w:tc>
        <w:tc>
          <w:tcPr>
            <w:tcW w:w="540" w:type="dxa"/>
            <w:vAlign w:val="bottom"/>
          </w:tcPr>
          <w:p>
            <w:pPr>
              <w:spacing w:after="0"/>
              <w:rPr>
                <w:sz w:val="19"/>
                <w:szCs w:val="19"/>
                <w:color w:val="auto"/>
              </w:rPr>
            </w:pPr>
          </w:p>
        </w:tc>
        <w:tc>
          <w:tcPr>
            <w:tcW w:w="1220" w:type="dxa"/>
            <w:vAlign w:val="bottom"/>
            <w:gridSpan w:val="3"/>
          </w:tcPr>
          <w:p>
            <w:pPr>
              <w:jc w:val="right"/>
              <w:ind w:right="92"/>
              <w:spacing w:after="0"/>
              <w:rPr>
                <w:sz w:val="20"/>
                <w:szCs w:val="20"/>
                <w:color w:val="auto"/>
              </w:rPr>
            </w:pPr>
            <w:r>
              <w:rPr>
                <w:rFonts w:ascii="Arial" w:cs="Arial" w:eastAsia="Arial" w:hAnsi="Arial"/>
                <w:sz w:val="18"/>
                <w:szCs w:val="18"/>
                <w:color w:val="auto"/>
              </w:rPr>
              <w:t>100.0%</w:t>
            </w: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0"/>
        </w:trPr>
        <w:tc>
          <w:tcPr>
            <w:tcW w:w="62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Notes:</w:t>
      </w:r>
    </w:p>
    <w:p>
      <w:pPr>
        <w:spacing w:after="0" w:line="15"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Effective July 5, 2007, principal and interest payments are due based on a 30-year amortization schedule.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only until maturity.</w:t>
      </w:r>
    </w:p>
    <w:p>
      <w:pPr>
        <w:spacing w:after="0" w:line="9" w:lineRule="exact"/>
        <w:rPr>
          <w:rFonts w:ascii="Arial" w:cs="Arial" w:eastAsia="Arial" w:hAnsi="Arial"/>
          <w:sz w:val="18"/>
          <w:szCs w:val="18"/>
          <w:color w:val="auto"/>
        </w:rPr>
      </w:pPr>
    </w:p>
    <w:p>
      <w:pPr>
        <w:ind w:left="460" w:right="120" w:hanging="452"/>
        <w:spacing w:after="0" w:line="261" w:lineRule="auto"/>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stated interest rate represents the weighted average interest rate for two mortgage loans secured by this property. The loan balance represents a note of $16.6 million at a stated rate of 6.06% and a note of $4.2 million at a stated rate of 5.71%.</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2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Federal Realty Investment Trust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Status Report - 30% Owned Joint Venture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September 30,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Mortgage or</w:t>
            </w: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Grocery</w:t>
            </w:r>
          </w:p>
        </w:tc>
        <w:tc>
          <w:tcPr>
            <w:tcW w:w="80" w:type="dxa"/>
            <w:vAlign w:val="bottom"/>
          </w:tcPr>
          <w:p>
            <w:pPr>
              <w:spacing w:after="0"/>
              <w:rPr>
                <w:sz w:val="14"/>
                <w:szCs w:val="14"/>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Grocery</w:t>
            </w:r>
          </w:p>
        </w:tc>
        <w:tc>
          <w:tcPr>
            <w:tcW w:w="100" w:type="dxa"/>
            <w:vAlign w:val="bottom"/>
          </w:tcPr>
          <w:p>
            <w:pPr>
              <w:spacing w:after="0"/>
              <w:rPr>
                <w:sz w:val="14"/>
                <w:szCs w:val="14"/>
                <w:color w:val="auto"/>
              </w:rPr>
            </w:pPr>
          </w:p>
        </w:tc>
        <w:tc>
          <w:tcPr>
            <w:tcW w:w="10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3"/>
              </w:rPr>
              <w:t>Other Principal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ind w:right="112"/>
              <w:spacing w:after="0" w:line="135" w:lineRule="exact"/>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1"/>
                <w:szCs w:val="11"/>
                <w:color w:val="auto"/>
              </w:rPr>
            </w:pPr>
          </w:p>
        </w:tc>
        <w:tc>
          <w:tcPr>
            <w:tcW w:w="840" w:type="dxa"/>
            <w:vAlign w:val="bottom"/>
            <w:gridSpan w:val="3"/>
          </w:tcPr>
          <w:p>
            <w:pPr>
              <w:ind w:left="20"/>
              <w:spacing w:after="0" w:line="135" w:lineRule="exact"/>
              <w:rPr>
                <w:sz w:val="20"/>
                <w:szCs w:val="20"/>
                <w:color w:val="auto"/>
              </w:rPr>
            </w:pPr>
            <w:r>
              <w:rPr>
                <w:rFonts w:ascii="Arial" w:cs="Arial" w:eastAsia="Arial" w:hAnsi="Arial"/>
                <w:sz w:val="14"/>
                <w:szCs w:val="14"/>
                <w:b w:val="1"/>
                <w:bCs w:val="1"/>
                <w:color w:val="auto"/>
                <w:w w:val="87"/>
              </w:rPr>
              <w:t>Real Estate at</w:t>
            </w:r>
          </w:p>
        </w:tc>
        <w:tc>
          <w:tcPr>
            <w:tcW w:w="140" w:type="dxa"/>
            <w:vAlign w:val="bottom"/>
          </w:tcPr>
          <w:p>
            <w:pPr>
              <w:spacing w:after="0"/>
              <w:rPr>
                <w:sz w:val="11"/>
                <w:szCs w:val="11"/>
                <w:color w:val="auto"/>
              </w:rPr>
            </w:pPr>
          </w:p>
        </w:tc>
        <w:tc>
          <w:tcPr>
            <w:tcW w:w="820" w:type="dxa"/>
            <w:vAlign w:val="bottom"/>
            <w:gridSpan w:val="2"/>
          </w:tcPr>
          <w:p>
            <w:pPr>
              <w:jc w:val="right"/>
              <w:spacing w:after="0" w:line="135" w:lineRule="exact"/>
              <w:rPr>
                <w:sz w:val="20"/>
                <w:szCs w:val="20"/>
                <w:color w:val="auto"/>
              </w:rPr>
            </w:pPr>
            <w:r>
              <w:rPr>
                <w:rFonts w:ascii="Arial" w:cs="Arial" w:eastAsia="Arial" w:hAnsi="Arial"/>
                <w:sz w:val="14"/>
                <w:szCs w:val="14"/>
                <w:b w:val="1"/>
                <w:bCs w:val="1"/>
                <w:color w:val="auto"/>
                <w:w w:val="88"/>
              </w:rPr>
              <w:t>Capital Lease</w:t>
            </w: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jc w:val="right"/>
              <w:ind w:right="72"/>
              <w:spacing w:after="0" w:line="135"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1"/>
                <w:szCs w:val="11"/>
                <w:color w:val="auto"/>
              </w:rPr>
            </w:pPr>
          </w:p>
        </w:tc>
        <w:tc>
          <w:tcPr>
            <w:tcW w:w="58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Anchor</w:t>
            </w:r>
          </w:p>
        </w:tc>
        <w:tc>
          <w:tcPr>
            <w:tcW w:w="80" w:type="dxa"/>
            <w:vAlign w:val="bottom"/>
          </w:tcPr>
          <w:p>
            <w:pPr>
              <w:spacing w:after="0"/>
              <w:rPr>
                <w:sz w:val="11"/>
                <w:szCs w:val="11"/>
                <w:color w:val="auto"/>
              </w:rPr>
            </w:pPr>
          </w:p>
        </w:tc>
        <w:tc>
          <w:tcPr>
            <w:tcW w:w="7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740" w:type="dxa"/>
            <w:vAlign w:val="bottom"/>
            <w:gridSpan w:val="6"/>
          </w:tcPr>
          <w:p>
            <w:pPr>
              <w:spacing w:after="0"/>
              <w:rPr>
                <w:sz w:val="20"/>
                <w:szCs w:val="20"/>
                <w:color w:val="auto"/>
              </w:rPr>
            </w:pPr>
            <w:r>
              <w:rPr>
                <w:rFonts w:ascii="Arial" w:cs="Arial" w:eastAsia="Arial" w:hAnsi="Arial"/>
                <w:sz w:val="14"/>
                <w:szCs w:val="14"/>
                <w:b w:val="1"/>
                <w:bCs w:val="1"/>
                <w:color w:val="auto"/>
              </w:rPr>
              <w:t>Property Name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20" w:type="dxa"/>
            <w:vAlign w:val="bottom"/>
          </w:tcPr>
          <w:p>
            <w:pPr>
              <w:ind w:left="800"/>
              <w:spacing w:after="0"/>
              <w:rPr>
                <w:sz w:val="20"/>
                <w:szCs w:val="20"/>
                <w:color w:val="auto"/>
              </w:rPr>
            </w:pPr>
            <w:r>
              <w:rPr>
                <w:rFonts w:ascii="Arial" w:cs="Arial" w:eastAsia="Arial" w:hAnsi="Arial"/>
                <w:sz w:val="14"/>
                <w:szCs w:val="14"/>
                <w:b w:val="1"/>
                <w:bCs w:val="1"/>
                <w:color w:val="auto"/>
              </w:rPr>
              <w:t>MSA Description</w:t>
            </w:r>
          </w:p>
        </w:tc>
        <w:tc>
          <w:tcPr>
            <w:tcW w:w="1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w w:val="92"/>
              </w:rPr>
              <w:t>Acquired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ind w:right="32"/>
              <w:spacing w:after="0"/>
              <w:rPr>
                <w:sz w:val="20"/>
                <w:szCs w:val="20"/>
                <w:color w:val="auto"/>
              </w:rPr>
            </w:pPr>
            <w:r>
              <w:rPr>
                <w:rFonts w:ascii="Arial" w:cs="Arial" w:eastAsia="Arial" w:hAnsi="Arial"/>
                <w:sz w:val="14"/>
                <w:szCs w:val="14"/>
                <w:b w:val="1"/>
                <w:bCs w:val="1"/>
                <w:color w:val="auto"/>
                <w:w w:val="86"/>
              </w:rPr>
              <w:t>Obligation</w:t>
            </w:r>
          </w:p>
        </w:tc>
        <w:tc>
          <w:tcPr>
            <w:tcW w:w="180" w:type="dxa"/>
            <w:vAlign w:val="bottom"/>
          </w:tcPr>
          <w:p>
            <w:pPr>
              <w:spacing w:after="0"/>
              <w:rPr>
                <w:sz w:val="15"/>
                <w:szCs w:val="15"/>
                <w:color w:val="auto"/>
              </w:rPr>
            </w:pPr>
          </w:p>
        </w:tc>
        <w:tc>
          <w:tcPr>
            <w:tcW w:w="640" w:type="dxa"/>
            <w:vAlign w:val="bottom"/>
            <w:gridSpan w:val="2"/>
          </w:tcPr>
          <w:p>
            <w:pPr>
              <w:ind w:left="80"/>
              <w:spacing w:after="0"/>
              <w:rPr>
                <w:sz w:val="20"/>
                <w:szCs w:val="20"/>
                <w:color w:val="auto"/>
              </w:rPr>
            </w:pPr>
            <w:r>
              <w:rPr>
                <w:rFonts w:ascii="Arial" w:cs="Arial" w:eastAsia="Arial" w:hAnsi="Arial"/>
                <w:sz w:val="14"/>
                <w:szCs w:val="14"/>
                <w:b w:val="1"/>
                <w:bCs w:val="1"/>
                <w:color w:val="auto"/>
              </w:rPr>
              <w:t>GLA</w:t>
            </w: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2"/>
              </w:rPr>
              <w:t>Leased</w:t>
            </w:r>
          </w:p>
        </w:tc>
        <w:tc>
          <w:tcPr>
            <w:tcW w:w="5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GLA (1)</w:t>
            </w:r>
          </w:p>
        </w:tc>
        <w:tc>
          <w:tcPr>
            <w:tcW w:w="8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9"/>
              </w:rPr>
              <w:t>Anchor</w:t>
            </w:r>
          </w:p>
        </w:tc>
        <w:tc>
          <w:tcPr>
            <w:tcW w:w="100" w:type="dxa"/>
            <w:vAlign w:val="bottom"/>
          </w:tcPr>
          <w:p>
            <w:pPr>
              <w:spacing w:after="0"/>
              <w:rPr>
                <w:sz w:val="15"/>
                <w:szCs w:val="15"/>
                <w:color w:val="auto"/>
              </w:rPr>
            </w:pPr>
          </w:p>
        </w:tc>
        <w:tc>
          <w:tcPr>
            <w:tcW w:w="1000" w:type="dxa"/>
            <w:vAlign w:val="bottom"/>
          </w:tcPr>
          <w:p>
            <w:pPr>
              <w:ind w:left="280"/>
              <w:spacing w:after="0"/>
              <w:rPr>
                <w:sz w:val="20"/>
                <w:szCs w:val="20"/>
                <w:color w:val="auto"/>
              </w:rPr>
            </w:pPr>
            <w:r>
              <w:rPr>
                <w:rFonts w:ascii="Arial" w:cs="Arial" w:eastAsia="Arial" w:hAnsi="Arial"/>
                <w:sz w:val="14"/>
                <w:szCs w:val="14"/>
                <w:b w:val="1"/>
                <w:bCs w:val="1"/>
                <w:color w:val="auto"/>
              </w:rPr>
              <w:t>Tenants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2"/>
              </w:rPr>
              <w:t>(in thousands)</w:t>
            </w:r>
          </w:p>
        </w:tc>
        <w:tc>
          <w:tcPr>
            <w:tcW w:w="180" w:type="dxa"/>
            <w:vAlign w:val="bottom"/>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4520" w:type="dxa"/>
            <w:vAlign w:val="bottom"/>
            <w:gridSpan w:val="7"/>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Washington Metropolitan Area</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720" w:type="dxa"/>
            <w:vAlign w:val="bottom"/>
            <w:gridSpan w:val="5"/>
          </w:tcPr>
          <w:p>
            <w:pPr>
              <w:spacing w:after="0" w:line="142" w:lineRule="exact"/>
              <w:rPr>
                <w:sz w:val="20"/>
                <w:szCs w:val="20"/>
                <w:color w:val="auto"/>
              </w:rPr>
            </w:pPr>
            <w:r>
              <w:rPr>
                <w:rFonts w:ascii="Arial" w:cs="Arial" w:eastAsia="Arial" w:hAnsi="Arial"/>
                <w:sz w:val="14"/>
                <w:szCs w:val="14"/>
                <w:color w:val="auto"/>
              </w:rPr>
              <w:t>Barcroft Plaza</w:t>
            </w:r>
          </w:p>
        </w:tc>
        <w:tc>
          <w:tcPr>
            <w:tcW w:w="3000" w:type="dxa"/>
            <w:vAlign w:val="bottom"/>
            <w:gridSpan w:val="3"/>
          </w:tcPr>
          <w:p>
            <w:pPr>
              <w:ind w:left="180"/>
              <w:spacing w:after="0" w:line="142"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2006-2007</w:t>
            </w:r>
          </w:p>
        </w:tc>
        <w:tc>
          <w:tcPr>
            <w:tcW w:w="340" w:type="dxa"/>
            <w:vAlign w:val="bottom"/>
            <w:gridSpan w:val="2"/>
          </w:tcPr>
          <w:p>
            <w:pPr>
              <w:ind w:left="160"/>
              <w:spacing w:after="0" w:line="142"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34,225</w:t>
            </w:r>
          </w:p>
        </w:tc>
        <w:tc>
          <w:tcPr>
            <w:tcW w:w="2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20,785</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101,000</w:t>
            </w: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88%</w:t>
            </w:r>
          </w:p>
        </w:tc>
        <w:tc>
          <w:tcPr>
            <w:tcW w:w="580" w:type="dxa"/>
            <w:vAlign w:val="bottom"/>
            <w:gridSpan w:val="2"/>
          </w:tcPr>
          <w:p>
            <w:pPr>
              <w:jc w:val="right"/>
              <w:ind w:right="80"/>
              <w:spacing w:after="0" w:line="142" w:lineRule="exact"/>
              <w:rPr>
                <w:sz w:val="20"/>
                <w:szCs w:val="20"/>
                <w:color w:val="auto"/>
              </w:rPr>
            </w:pPr>
            <w:r>
              <w:rPr>
                <w:rFonts w:ascii="Arial" w:cs="Arial" w:eastAsia="Arial" w:hAnsi="Arial"/>
                <w:sz w:val="14"/>
                <w:szCs w:val="14"/>
                <w:color w:val="auto"/>
              </w:rPr>
              <w:t>46,000</w:t>
            </w:r>
          </w:p>
        </w:tc>
        <w:tc>
          <w:tcPr>
            <w:tcW w:w="840" w:type="dxa"/>
            <w:vAlign w:val="bottom"/>
            <w:gridSpan w:val="2"/>
          </w:tcPr>
          <w:p>
            <w:pPr>
              <w:ind w:left="80"/>
              <w:spacing w:after="0" w:line="142" w:lineRule="exact"/>
              <w:rPr>
                <w:sz w:val="20"/>
                <w:szCs w:val="20"/>
                <w:color w:val="auto"/>
              </w:rPr>
            </w:pPr>
            <w:r>
              <w:rPr>
                <w:rFonts w:ascii="Arial" w:cs="Arial" w:eastAsia="Arial" w:hAnsi="Arial"/>
                <w:sz w:val="14"/>
                <w:szCs w:val="14"/>
                <w:color w:val="auto"/>
                <w:w w:val="90"/>
              </w:rPr>
              <w:t>Harris Teeter</w:t>
            </w:r>
          </w:p>
        </w:tc>
        <w:tc>
          <w:tcPr>
            <w:tcW w:w="100" w:type="dxa"/>
            <w:vAlign w:val="bottom"/>
          </w:tcPr>
          <w:p>
            <w:pPr>
              <w:spacing w:after="0"/>
              <w:rPr>
                <w:sz w:val="12"/>
                <w:szCs w:val="12"/>
                <w:color w:val="auto"/>
              </w:rPr>
            </w:pPr>
          </w:p>
        </w:tc>
        <w:tc>
          <w:tcPr>
            <w:tcW w:w="1000" w:type="dxa"/>
            <w:vAlign w:val="bottom"/>
          </w:tcPr>
          <w:p>
            <w:pPr>
              <w:spacing w:after="0" w:line="142" w:lineRule="exact"/>
              <w:rPr>
                <w:sz w:val="20"/>
                <w:szCs w:val="20"/>
                <w:color w:val="auto"/>
              </w:rPr>
            </w:pPr>
            <w:r>
              <w:rPr>
                <w:rFonts w:ascii="Arial" w:cs="Arial" w:eastAsia="Arial" w:hAnsi="Arial"/>
                <w:sz w:val="14"/>
                <w:szCs w:val="14"/>
                <w:color w:val="auto"/>
                <w:w w:val="95"/>
              </w:rPr>
              <w:t>Bank of America</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2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w w:val="97"/>
              </w:rPr>
              <w:t>Free State Shopping Center</w:t>
            </w:r>
          </w:p>
        </w:tc>
        <w:tc>
          <w:tcPr>
            <w:tcW w:w="3000" w:type="dxa"/>
            <w:vAlign w:val="bottom"/>
            <w:gridSpan w:val="3"/>
            <w:shd w:val="clear" w:color="auto" w:fill="CCEEFF"/>
          </w:tcPr>
          <w:p>
            <w:pPr>
              <w:ind w:left="180"/>
              <w:spacing w:after="0" w:line="138" w:lineRule="exact"/>
              <w:rPr>
                <w:sz w:val="20"/>
                <w:szCs w:val="20"/>
                <w:color w:val="auto"/>
              </w:rPr>
            </w:pPr>
            <w:r>
              <w:rPr>
                <w:rFonts w:ascii="Arial" w:cs="Arial" w:eastAsia="Arial" w:hAnsi="Arial"/>
                <w:sz w:val="14"/>
                <w:szCs w:val="14"/>
                <w:color w:val="auto"/>
              </w:rPr>
              <w:t>Washington, DC-MD-VA</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2007</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65,888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279,000</w:t>
            </w:r>
          </w:p>
        </w:tc>
        <w:tc>
          <w:tcPr>
            <w:tcW w:w="160" w:type="dxa"/>
            <w:vAlign w:val="bottom"/>
            <w:shd w:val="clear" w:color="auto" w:fill="CCEEFF"/>
          </w:tcPr>
          <w:p>
            <w:pPr>
              <w:spacing w:after="0"/>
              <w:rPr>
                <w:sz w:val="11"/>
                <w:szCs w:val="11"/>
                <w:color w:val="auto"/>
              </w:rPr>
            </w:pP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88%</w:t>
            </w:r>
          </w:p>
        </w:tc>
        <w:tc>
          <w:tcPr>
            <w:tcW w:w="5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73,000</w:t>
            </w:r>
          </w:p>
        </w:tc>
        <w:tc>
          <w:tcPr>
            <w:tcW w:w="8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Giant Food</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TJ Maxx / Ross/</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Office Depot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gridSpan w:val="5"/>
          </w:tcPr>
          <w:p>
            <w:pPr>
              <w:spacing w:after="0" w:line="149" w:lineRule="exact"/>
              <w:rPr>
                <w:sz w:val="20"/>
                <w:szCs w:val="20"/>
                <w:color w:val="auto"/>
              </w:rPr>
            </w:pPr>
            <w:r>
              <w:rPr>
                <w:rFonts w:ascii="Arial" w:cs="Arial" w:eastAsia="Arial" w:hAnsi="Arial"/>
                <w:sz w:val="14"/>
                <w:szCs w:val="14"/>
                <w:color w:val="auto"/>
              </w:rPr>
              <w:t>Plaza del Mercado</w:t>
            </w:r>
          </w:p>
        </w:tc>
        <w:tc>
          <w:tcPr>
            <w:tcW w:w="300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Washington, DC-MD-VA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21,490</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12,749</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96,000</w:t>
            </w: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93%</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25,000</w:t>
            </w: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Giant Food</w:t>
            </w:r>
          </w:p>
        </w:tc>
        <w:tc>
          <w:tcPr>
            <w:tcW w:w="10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CVS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Total Washington Metropolitan Area</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121,603</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476,000</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89%</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40" w:type="dxa"/>
            <w:vAlign w:val="bottom"/>
            <w:tcBorders>
              <w:bottom w:val="single" w:sz="8" w:color="auto"/>
            </w:tcBorders>
            <w:gridSpan w:val="3"/>
          </w:tcPr>
          <w:p>
            <w:pPr>
              <w:spacing w:after="0" w:line="135" w:lineRule="exact"/>
              <w:rPr>
                <w:sz w:val="20"/>
                <w:szCs w:val="20"/>
                <w:color w:val="auto"/>
              </w:rPr>
            </w:pPr>
            <w:r>
              <w:rPr>
                <w:rFonts w:ascii="Arial" w:cs="Arial" w:eastAsia="Arial" w:hAnsi="Arial"/>
                <w:sz w:val="14"/>
                <w:szCs w:val="14"/>
                <w:b w:val="1"/>
                <w:bCs w:val="1"/>
                <w:color w:val="auto"/>
                <w:w w:val="86"/>
              </w:rPr>
              <w:t>New York / New Jersey</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72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color w:val="auto"/>
              </w:rPr>
              <w:t>Greenlawn Plaza</w:t>
            </w:r>
          </w:p>
        </w:tc>
        <w:tc>
          <w:tcPr>
            <w:tcW w:w="3000" w:type="dxa"/>
            <w:vAlign w:val="bottom"/>
            <w:gridSpan w:val="3"/>
            <w:shd w:val="clear" w:color="auto" w:fill="CCEEFF"/>
          </w:tcPr>
          <w:p>
            <w:pPr>
              <w:ind w:left="180"/>
              <w:spacing w:after="0" w:line="142" w:lineRule="exact"/>
              <w:rPr>
                <w:sz w:val="20"/>
                <w:szCs w:val="20"/>
                <w:color w:val="auto"/>
              </w:rPr>
            </w:pPr>
            <w:r>
              <w:rPr>
                <w:rFonts w:ascii="Arial" w:cs="Arial" w:eastAsia="Arial" w:hAnsi="Arial"/>
                <w:sz w:val="14"/>
                <w:szCs w:val="14"/>
                <w:color w:val="auto"/>
              </w:rPr>
              <w:t>Nassau-Suffolk, NY</w:t>
            </w:r>
          </w:p>
        </w:tc>
        <w:tc>
          <w:tcPr>
            <w:tcW w:w="7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2006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20,020</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13,600</w:t>
            </w: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90"/>
              </w:rPr>
              <w:t>106,000</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99%</w:t>
            </w: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46,000</w:t>
            </w:r>
          </w:p>
        </w:tc>
        <w:tc>
          <w:tcPr>
            <w:tcW w:w="840" w:type="dxa"/>
            <w:vAlign w:val="bottom"/>
            <w:gridSpan w:val="2"/>
            <w:shd w:val="clear" w:color="auto" w:fill="CCEEFF"/>
          </w:tcPr>
          <w:p>
            <w:pPr>
              <w:ind w:left="80"/>
              <w:spacing w:after="0" w:line="142" w:lineRule="exact"/>
              <w:rPr>
                <w:sz w:val="20"/>
                <w:szCs w:val="20"/>
                <w:color w:val="auto"/>
              </w:rPr>
            </w:pPr>
            <w:r>
              <w:rPr>
                <w:rFonts w:ascii="Arial" w:cs="Arial" w:eastAsia="Arial" w:hAnsi="Arial"/>
                <w:sz w:val="14"/>
                <w:szCs w:val="14"/>
                <w:color w:val="auto"/>
                <w:w w:val="96"/>
              </w:rPr>
              <w:t>Waldbaum’s</w:t>
            </w: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0"/>
              </w:rPr>
              <w:t>Tuesday Morning</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Total New York / New Jersey</w:t>
            </w: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0" w:type="dxa"/>
            <w:vAlign w:val="bottom"/>
            <w:gridSpan w:val="3"/>
            <w:vMerge w:val="continue"/>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jc w:val="right"/>
              <w:spacing w:after="0" w:line="155" w:lineRule="exact"/>
              <w:rPr>
                <w:sz w:val="20"/>
                <w:szCs w:val="20"/>
                <w:color w:val="auto"/>
              </w:rPr>
            </w:pPr>
            <w:r>
              <w:rPr>
                <w:rFonts w:ascii="Arial" w:cs="Arial" w:eastAsia="Arial" w:hAnsi="Arial"/>
                <w:sz w:val="14"/>
                <w:szCs w:val="14"/>
                <w:color w:val="auto"/>
              </w:rPr>
              <w:t>20,020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w w:val="90"/>
              </w:rPr>
              <w:t>106,000</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99%</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520" w:type="dxa"/>
            <w:vAlign w:val="bottom"/>
            <w:gridSpan w:val="4"/>
            <w:shd w:val="clear" w:color="auto" w:fill="CCEEFF"/>
          </w:tcPr>
          <w:p>
            <w:pPr>
              <w:spacing w:after="0" w:line="135" w:lineRule="exact"/>
              <w:rPr>
                <w:sz w:val="20"/>
                <w:szCs w:val="20"/>
                <w:color w:val="auto"/>
              </w:rPr>
            </w:pPr>
            <w:r>
              <w:rPr>
                <w:rFonts w:ascii="Arial" w:cs="Arial" w:eastAsia="Arial" w:hAnsi="Arial"/>
                <w:sz w:val="14"/>
                <w:szCs w:val="14"/>
                <w:b w:val="1"/>
                <w:bCs w:val="1"/>
                <w:color w:val="auto"/>
              </w:rPr>
              <w:t>New England</w:t>
            </w: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7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72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4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5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1720" w:type="dxa"/>
            <w:vAlign w:val="bottom"/>
            <w:gridSpan w:val="5"/>
          </w:tcPr>
          <w:p>
            <w:pPr>
              <w:spacing w:after="0" w:line="142" w:lineRule="exact"/>
              <w:rPr>
                <w:sz w:val="20"/>
                <w:szCs w:val="20"/>
                <w:color w:val="auto"/>
              </w:rPr>
            </w:pPr>
            <w:r>
              <w:rPr>
                <w:rFonts w:ascii="Arial" w:cs="Arial" w:eastAsia="Arial" w:hAnsi="Arial"/>
                <w:sz w:val="14"/>
                <w:szCs w:val="14"/>
                <w:color w:val="auto"/>
              </w:rPr>
              <w:t>Atlantic Plaza</w:t>
            </w:r>
          </w:p>
        </w:tc>
        <w:tc>
          <w:tcPr>
            <w:tcW w:w="3000" w:type="dxa"/>
            <w:vAlign w:val="bottom"/>
            <w:gridSpan w:val="3"/>
          </w:tcPr>
          <w:p>
            <w:pPr>
              <w:ind w:left="180"/>
              <w:spacing w:after="0" w:line="142" w:lineRule="exact"/>
              <w:rPr>
                <w:sz w:val="20"/>
                <w:szCs w:val="20"/>
                <w:color w:val="auto"/>
              </w:rPr>
            </w:pPr>
            <w:r>
              <w:rPr>
                <w:rFonts w:ascii="Arial" w:cs="Arial" w:eastAsia="Arial" w:hAnsi="Arial"/>
                <w:sz w:val="14"/>
                <w:szCs w:val="14"/>
                <w:color w:val="auto"/>
                <w:w w:val="90"/>
              </w:rPr>
              <w:t>Boston-Worcester-Lawrence-Lowell-Brockton, MA</w:t>
            </w:r>
          </w:p>
        </w:tc>
        <w:tc>
          <w:tcPr>
            <w:tcW w:w="74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tcPr>
          <w:p>
            <w:pPr>
              <w:jc w:val="right"/>
              <w:ind w:right="20"/>
              <w:spacing w:after="0" w:line="142" w:lineRule="exact"/>
              <w:rPr>
                <w:sz w:val="20"/>
                <w:szCs w:val="20"/>
                <w:color w:val="auto"/>
              </w:rPr>
            </w:pPr>
            <w:r>
              <w:rPr>
                <w:rFonts w:ascii="Arial" w:cs="Arial" w:eastAsia="Arial" w:hAnsi="Arial"/>
                <w:sz w:val="14"/>
                <w:szCs w:val="14"/>
                <w:color w:val="auto"/>
              </w:rPr>
              <w:t>18,324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Arial" w:cs="Arial" w:eastAsia="Arial" w:hAnsi="Arial"/>
                <w:sz w:val="14"/>
                <w:szCs w:val="14"/>
                <w:color w:val="auto"/>
              </w:rPr>
              <w:t>10,500</w:t>
            </w:r>
          </w:p>
        </w:tc>
        <w:tc>
          <w:tcPr>
            <w:tcW w:w="660" w:type="dxa"/>
            <w:vAlign w:val="bottom"/>
            <w:gridSpan w:val="2"/>
          </w:tcPr>
          <w:p>
            <w:pPr>
              <w:jc w:val="right"/>
              <w:spacing w:after="0" w:line="142" w:lineRule="exact"/>
              <w:rPr>
                <w:sz w:val="20"/>
                <w:szCs w:val="20"/>
                <w:color w:val="auto"/>
              </w:rPr>
            </w:pPr>
            <w:r>
              <w:rPr>
                <w:rFonts w:ascii="Arial" w:cs="Arial" w:eastAsia="Arial" w:hAnsi="Arial"/>
                <w:sz w:val="14"/>
                <w:szCs w:val="14"/>
                <w:color w:val="auto"/>
              </w:rPr>
              <w:t>123,000</w:t>
            </w: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2" w:lineRule="exact"/>
              <w:rPr>
                <w:sz w:val="20"/>
                <w:szCs w:val="20"/>
                <w:color w:val="auto"/>
              </w:rPr>
            </w:pPr>
            <w:r>
              <w:rPr>
                <w:rFonts w:ascii="Arial" w:cs="Arial" w:eastAsia="Arial" w:hAnsi="Arial"/>
                <w:sz w:val="14"/>
                <w:szCs w:val="14"/>
                <w:color w:val="auto"/>
              </w:rPr>
              <w:t>91%</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line="142" w:lineRule="exact"/>
              <w:rPr>
                <w:sz w:val="20"/>
                <w:szCs w:val="20"/>
                <w:color w:val="auto"/>
              </w:rPr>
            </w:pPr>
            <w:r>
              <w:rPr>
                <w:rFonts w:ascii="Arial" w:cs="Arial" w:eastAsia="Arial" w:hAnsi="Arial"/>
                <w:sz w:val="14"/>
                <w:szCs w:val="14"/>
                <w:color w:val="auto"/>
              </w:rPr>
              <w:t>Sears</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1720" w:type="dxa"/>
            <w:vAlign w:val="bottom"/>
            <w:gridSpan w:val="5"/>
            <w:shd w:val="clear" w:color="auto" w:fill="CCEEFF"/>
          </w:tcPr>
          <w:p>
            <w:pPr>
              <w:spacing w:after="0" w:line="138" w:lineRule="exact"/>
              <w:rPr>
                <w:sz w:val="20"/>
                <w:szCs w:val="20"/>
                <w:color w:val="auto"/>
              </w:rPr>
            </w:pPr>
            <w:r>
              <w:rPr>
                <w:rFonts w:ascii="Arial" w:cs="Arial" w:eastAsia="Arial" w:hAnsi="Arial"/>
                <w:sz w:val="14"/>
                <w:szCs w:val="14"/>
                <w:color w:val="auto"/>
              </w:rPr>
              <w:t>Campus Plaza</w:t>
            </w:r>
          </w:p>
        </w:tc>
        <w:tc>
          <w:tcPr>
            <w:tcW w:w="3000" w:type="dxa"/>
            <w:vAlign w:val="bottom"/>
            <w:gridSpan w:val="3"/>
            <w:shd w:val="clear" w:color="auto" w:fill="CCEEFF"/>
          </w:tcPr>
          <w:p>
            <w:pPr>
              <w:ind w:left="180"/>
              <w:spacing w:after="0" w:line="138" w:lineRule="exact"/>
              <w:rPr>
                <w:sz w:val="20"/>
                <w:szCs w:val="20"/>
                <w:color w:val="auto"/>
              </w:rPr>
            </w:pPr>
            <w:r>
              <w:rPr>
                <w:rFonts w:ascii="Arial" w:cs="Arial" w:eastAsia="Arial" w:hAnsi="Arial"/>
                <w:sz w:val="14"/>
                <w:szCs w:val="14"/>
                <w:color w:val="auto"/>
                <w:w w:val="90"/>
              </w:rPr>
              <w:t>Boston-Worcester-Lawrence-Lowell-Brockton, MA</w:t>
            </w:r>
          </w:p>
        </w:tc>
        <w:tc>
          <w:tcPr>
            <w:tcW w:w="74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2004</w:t>
            </w:r>
          </w:p>
        </w:tc>
        <w:tc>
          <w:tcPr>
            <w:tcW w:w="1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20"/>
              <w:spacing w:after="0" w:line="138" w:lineRule="exact"/>
              <w:rPr>
                <w:sz w:val="20"/>
                <w:szCs w:val="20"/>
                <w:color w:val="auto"/>
              </w:rPr>
            </w:pPr>
            <w:r>
              <w:rPr>
                <w:rFonts w:ascii="Arial" w:cs="Arial" w:eastAsia="Arial" w:hAnsi="Arial"/>
                <w:sz w:val="14"/>
                <w:szCs w:val="14"/>
                <w:color w:val="auto"/>
              </w:rPr>
              <w:t>22,212</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2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117,000</w:t>
            </w:r>
          </w:p>
        </w:tc>
        <w:tc>
          <w:tcPr>
            <w:tcW w:w="640" w:type="dxa"/>
            <w:vAlign w:val="bottom"/>
            <w:gridSpan w:val="2"/>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94%</w:t>
            </w:r>
          </w:p>
        </w:tc>
        <w:tc>
          <w:tcPr>
            <w:tcW w:w="58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46,000</w:t>
            </w:r>
          </w:p>
        </w:tc>
        <w:tc>
          <w:tcPr>
            <w:tcW w:w="840" w:type="dxa"/>
            <w:vAlign w:val="bottom"/>
            <w:gridSpan w:val="2"/>
            <w:shd w:val="clear" w:color="auto" w:fill="CCEEFF"/>
          </w:tcPr>
          <w:p>
            <w:pPr>
              <w:ind w:left="80"/>
              <w:spacing w:after="0" w:line="138" w:lineRule="exact"/>
              <w:rPr>
                <w:sz w:val="20"/>
                <w:szCs w:val="20"/>
                <w:color w:val="auto"/>
              </w:rPr>
            </w:pPr>
            <w:r>
              <w:rPr>
                <w:rFonts w:ascii="Arial" w:cs="Arial" w:eastAsia="Arial" w:hAnsi="Arial"/>
                <w:sz w:val="14"/>
                <w:szCs w:val="14"/>
                <w:color w:val="auto"/>
              </w:rPr>
              <w:t>Roche</w:t>
            </w:r>
          </w:p>
        </w:tc>
        <w:tc>
          <w:tcPr>
            <w:tcW w:w="10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Burlington Coat</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80" w:type="dxa"/>
            <w:vAlign w:val="bottom"/>
            <w:tcBorders>
              <w:right w:val="single" w:sz="8" w:color="CCEEFF"/>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rPr>
              <w:t>Brothers</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Factory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720" w:type="dxa"/>
            <w:vAlign w:val="bottom"/>
            <w:gridSpan w:val="5"/>
          </w:tcPr>
          <w:p>
            <w:pPr>
              <w:spacing w:after="0" w:line="149" w:lineRule="exact"/>
              <w:rPr>
                <w:sz w:val="20"/>
                <w:szCs w:val="20"/>
                <w:color w:val="auto"/>
              </w:rPr>
            </w:pPr>
            <w:r>
              <w:rPr>
                <w:rFonts w:ascii="Arial" w:cs="Arial" w:eastAsia="Arial" w:hAnsi="Arial"/>
                <w:sz w:val="14"/>
                <w:szCs w:val="14"/>
                <w:color w:val="auto"/>
              </w:rPr>
              <w:t>Pleasant Shops</w:t>
            </w:r>
          </w:p>
        </w:tc>
        <w:tc>
          <w:tcPr>
            <w:tcW w:w="3000" w:type="dxa"/>
            <w:vAlign w:val="bottom"/>
            <w:gridSpan w:val="3"/>
          </w:tcPr>
          <w:p>
            <w:pPr>
              <w:ind w:left="180"/>
              <w:spacing w:after="0" w:line="149" w:lineRule="exact"/>
              <w:rPr>
                <w:sz w:val="20"/>
                <w:szCs w:val="20"/>
                <w:color w:val="auto"/>
              </w:rPr>
            </w:pPr>
            <w:r>
              <w:rPr>
                <w:rFonts w:ascii="Arial" w:cs="Arial" w:eastAsia="Arial" w:hAnsi="Arial"/>
                <w:sz w:val="14"/>
                <w:szCs w:val="14"/>
                <w:color w:val="auto"/>
                <w:w w:val="90"/>
              </w:rPr>
              <w:t>Boston-Worcester-Lawrence-Lowell-Brockton, MA</w:t>
            </w:r>
          </w:p>
        </w:tc>
        <w:tc>
          <w:tcPr>
            <w:tcW w:w="7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23,046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0"/>
              </w:rPr>
              <w:t>129,000</w:t>
            </w:r>
          </w:p>
        </w:tc>
        <w:tc>
          <w:tcPr>
            <w:tcW w:w="160" w:type="dxa"/>
            <w:vAlign w:val="bottom"/>
          </w:tcPr>
          <w:p>
            <w:pPr>
              <w:spacing w:after="0"/>
              <w:rPr>
                <w:sz w:val="12"/>
                <w:szCs w:val="12"/>
                <w:color w:val="auto"/>
              </w:rPr>
            </w:pP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38,000</w:t>
            </w:r>
          </w:p>
        </w:tc>
        <w:tc>
          <w:tcPr>
            <w:tcW w:w="8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9"/>
              </w:rPr>
              <w:t>Foodmaster</w:t>
            </w:r>
          </w:p>
        </w:tc>
        <w:tc>
          <w:tcPr>
            <w:tcW w:w="100" w:type="dxa"/>
            <w:vAlign w:val="bottom"/>
          </w:tcPr>
          <w:p>
            <w:pPr>
              <w:spacing w:after="0"/>
              <w:rPr>
                <w:sz w:val="12"/>
                <w:szCs w:val="12"/>
                <w:color w:val="auto"/>
              </w:rPr>
            </w:pPr>
          </w:p>
        </w:tc>
        <w:tc>
          <w:tcPr>
            <w:tcW w:w="1000" w:type="dxa"/>
            <w:vAlign w:val="bottom"/>
          </w:tcPr>
          <w:p>
            <w:pPr>
              <w:spacing w:after="0" w:line="149" w:lineRule="exact"/>
              <w:rPr>
                <w:sz w:val="20"/>
                <w:szCs w:val="20"/>
                <w:color w:val="auto"/>
              </w:rPr>
            </w:pPr>
            <w:r>
              <w:rPr>
                <w:rFonts w:ascii="Arial" w:cs="Arial" w:eastAsia="Arial" w:hAnsi="Arial"/>
                <w:sz w:val="14"/>
                <w:szCs w:val="14"/>
                <w:color w:val="auto"/>
              </w:rPr>
              <w:t>Marshalls</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tcBorders>
              <w:right w:val="single" w:sz="8" w:color="CCEEFF"/>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b w:val="1"/>
                <w:bCs w:val="1"/>
                <w:color w:val="auto"/>
              </w:rPr>
              <w:t>Total New England</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63,582</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0"/>
              </w:rPr>
              <w:t>369,000</w:t>
            </w:r>
          </w:p>
        </w:tc>
        <w:tc>
          <w:tcPr>
            <w:tcW w:w="16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92%</w:t>
            </w:r>
          </w:p>
        </w:tc>
        <w:tc>
          <w:tcPr>
            <w:tcW w:w="5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740" w:type="dxa"/>
            <w:vAlign w:val="bottom"/>
            <w:gridSpan w:val="6"/>
            <w:vMerge w:val="restart"/>
          </w:tcPr>
          <w:p>
            <w:pPr>
              <w:spacing w:after="0"/>
              <w:rPr>
                <w:sz w:val="20"/>
                <w:szCs w:val="20"/>
                <w:color w:val="auto"/>
              </w:rPr>
            </w:pPr>
            <w:r>
              <w:rPr>
                <w:rFonts w:ascii="Arial" w:cs="Arial" w:eastAsia="Arial" w:hAnsi="Arial"/>
                <w:sz w:val="14"/>
                <w:szCs w:val="14"/>
                <w:color w:val="auto"/>
              </w:rPr>
              <w:t>Grand Totals</w:t>
            </w: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740" w:type="dxa"/>
            <w:vAlign w:val="bottom"/>
            <w:gridSpan w:val="6"/>
            <w:vMerge w:val="continue"/>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gridSpan w:val="2"/>
          </w:tcPr>
          <w:p>
            <w:pPr>
              <w:ind w:left="160"/>
              <w:spacing w:after="0" w:line="155"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205,205</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5" w:lineRule="exact"/>
              <w:rPr>
                <w:sz w:val="20"/>
                <w:szCs w:val="20"/>
                <w:color w:val="auto"/>
              </w:rPr>
            </w:pPr>
            <w:r>
              <w:rPr>
                <w:rFonts w:ascii="Arial" w:cs="Arial" w:eastAsia="Arial" w:hAnsi="Arial"/>
                <w:sz w:val="14"/>
                <w:szCs w:val="14"/>
                <w:color w:val="auto"/>
              </w:rPr>
              <w:t>57,634</w:t>
            </w:r>
          </w:p>
        </w:tc>
        <w:tc>
          <w:tcPr>
            <w:tcW w:w="66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951,000</w:t>
            </w:r>
          </w:p>
        </w:tc>
        <w:tc>
          <w:tcPr>
            <w:tcW w:w="160" w:type="dxa"/>
            <w:vAlign w:val="bottom"/>
          </w:tcPr>
          <w:p>
            <w:pPr>
              <w:spacing w:after="0"/>
              <w:rPr>
                <w:sz w:val="13"/>
                <w:szCs w:val="13"/>
                <w:color w:val="auto"/>
              </w:rPr>
            </w:pPr>
          </w:p>
        </w:tc>
        <w:tc>
          <w:tcPr>
            <w:tcW w:w="640" w:type="dxa"/>
            <w:vAlign w:val="bottom"/>
            <w:gridSpan w:val="2"/>
          </w:tcPr>
          <w:p>
            <w:pPr>
              <w:jc w:val="right"/>
              <w:ind w:right="120"/>
              <w:spacing w:after="0" w:line="155" w:lineRule="exact"/>
              <w:rPr>
                <w:sz w:val="20"/>
                <w:szCs w:val="20"/>
                <w:color w:val="auto"/>
              </w:rPr>
            </w:pPr>
            <w:r>
              <w:rPr>
                <w:rFonts w:ascii="Arial" w:cs="Arial" w:eastAsia="Arial" w:hAnsi="Arial"/>
                <w:sz w:val="14"/>
                <w:szCs w:val="14"/>
                <w:color w:val="auto"/>
              </w:rPr>
              <w:t>91%</w:t>
            </w: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7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Note:</w:t>
      </w:r>
    </w:p>
    <w:p>
      <w:pPr>
        <w:spacing w:after="0" w:line="15" w:lineRule="exact"/>
        <w:rPr>
          <w:sz w:val="20"/>
          <w:szCs w:val="20"/>
          <w:color w:val="auto"/>
        </w:rPr>
      </w:pPr>
    </w:p>
    <w:p>
      <w:pPr>
        <w:ind w:left="5620" w:right="5260" w:hanging="5612"/>
        <w:spacing w:after="0" w:line="404" w:lineRule="auto"/>
        <w:tabs>
          <w:tab w:leader="none" w:pos="448" w:val="left"/>
        </w:tabs>
        <w:numPr>
          <w:ilvl w:val="0"/>
          <w:numId w:val="21"/>
        </w:numPr>
        <w:rPr>
          <w:rFonts w:ascii="Arial" w:cs="Arial" w:eastAsia="Arial" w:hAnsi="Arial"/>
          <w:sz w:val="15"/>
          <w:szCs w:val="15"/>
          <w:color w:val="auto"/>
        </w:rPr>
      </w:pPr>
      <w:r>
        <w:rPr>
          <w:rFonts w:ascii="Arial" w:cs="Arial" w:eastAsia="Arial" w:hAnsi="Arial"/>
          <w:sz w:val="15"/>
          <w:szCs w:val="15"/>
          <w:color w:val="auto"/>
        </w:rPr>
        <w:t>Grocery anchor is defined as a grocery tenant leasing 15,000 square feet or more. 24</w:t>
      </w:r>
    </w:p>
    <w:p>
      <w:pPr>
        <w:sectPr>
          <w:pgSz w:w="11900" w:h="16838" w:orient="portrait"/>
          <w:cols w:equalWidth="0" w:num="1">
            <w:col w:w="11420"/>
          </w:cols>
          <w:pgMar w:left="240" w:top="422" w:right="23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Glossary of Terms</w:t>
      </w:r>
    </w:p>
    <w:p>
      <w:pPr>
        <w:spacing w:after="0" w:line="17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Adjusted EBITDA is a non-GAAP measure that means net income or loss attributable to the Trust plus depreciation and amortization, net</w:t>
      </w:r>
      <w:r>
        <w:rPr>
          <w:rFonts w:ascii="Arial" w:cs="Arial" w:eastAsia="Arial" w:hAnsi="Arial"/>
          <w:sz w:val="18"/>
          <w:szCs w:val="18"/>
          <w:b w:val="1"/>
          <w:bCs w:val="1"/>
          <w:color w:val="auto"/>
        </w:rPr>
        <w:t xml:space="preserve"> </w:t>
      </w:r>
      <w:r>
        <w:rPr>
          <w:rFonts w:ascii="Arial" w:cs="Arial" w:eastAsia="Arial" w:hAnsi="Arial"/>
          <w:sz w:val="18"/>
          <w:szCs w:val="18"/>
          <w:color w:val="auto"/>
        </w:rPr>
        <w:t>interest expense, income taxes, gain or loss on sale of real estate and impairments of real estate, if any. Adjusted EBITDA is presented because it approximates a key performance measure in our debt covenants, but it should not be considered an alternative measure of operating results or cash flow from operations as determined in accordance with GAAP. The reconciliation of net income attributable to the Trust to EBITDA and Adjusted EBITDA for the three and nine months ended September 30, 2010 and 2009 is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0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2010</w:t>
            </w:r>
          </w:p>
        </w:tc>
        <w:tc>
          <w:tcPr>
            <w:tcW w:w="2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7"/>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rPr>
              <w:t>2010</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3"/>
          </w:tcPr>
          <w:p>
            <w:pPr>
              <w:jc w:val="right"/>
              <w:ind w:right="317"/>
              <w:spacing w:after="0" w:line="142" w:lineRule="exact"/>
              <w:rPr>
                <w:sz w:val="20"/>
                <w:szCs w:val="20"/>
                <w:color w:val="auto"/>
              </w:rPr>
            </w:pPr>
            <w:r>
              <w:rPr>
                <w:rFonts w:ascii="Arial" w:cs="Arial" w:eastAsia="Arial" w:hAnsi="Arial"/>
                <w:sz w:val="14"/>
                <w:szCs w:val="14"/>
                <w:b w:val="1"/>
                <w:bCs w:val="1"/>
                <w:color w:val="auto"/>
                <w:w w:val="82"/>
              </w:rPr>
              <w:t>thousands)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60" w:type="dxa"/>
            <w:vAlign w:val="bottom"/>
            <w:gridSpan w:val="6"/>
          </w:tcPr>
          <w:p>
            <w:pPr>
              <w:jc w:val="right"/>
              <w:ind w:right="620"/>
              <w:spacing w:after="0" w:line="142" w:lineRule="exact"/>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Trust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$29,640</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$27,433</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89,974</w:t>
            </w:r>
          </w:p>
        </w:tc>
        <w:tc>
          <w:tcPr>
            <w:tcW w:w="28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29,591</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28,410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89,701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86,635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25,299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30,209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76,679</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79,622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Early extinguishment of debt</w:t>
            </w:r>
          </w:p>
        </w:tc>
        <w:tc>
          <w:tcPr>
            <w:tcW w:w="20" w:type="dxa"/>
            <w:vAlign w:val="bottom"/>
          </w:tcPr>
          <w:p>
            <w:pPr>
              <w:spacing w:after="0"/>
              <w:rPr>
                <w:sz w:val="18"/>
                <w:szCs w:val="18"/>
                <w:color w:val="auto"/>
              </w:rPr>
            </w:pPr>
          </w:p>
        </w:tc>
        <w:tc>
          <w:tcPr>
            <w:tcW w:w="840" w:type="dxa"/>
            <w:vAlign w:val="bottom"/>
            <w:gridSpan w:val="2"/>
          </w:tcPr>
          <w:p>
            <w:pPr>
              <w:jc w:val="right"/>
              <w:ind w:right="292"/>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2,801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Other interest income</w:t>
            </w:r>
          </w:p>
        </w:tc>
        <w:tc>
          <w:tcPr>
            <w:tcW w:w="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(18)</w:t>
            </w:r>
          </w:p>
        </w:tc>
        <w:tc>
          <w:tcPr>
            <w:tcW w:w="10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1"/>
        </w:trPr>
        <w:tc>
          <w:tcPr>
            <w:tcW w:w="4600" w:type="dxa"/>
            <w:vAlign w:val="bottom"/>
          </w:tcPr>
          <w:p>
            <w:pPr>
              <w:spacing w:after="0"/>
              <w:rPr>
                <w:sz w:val="20"/>
                <w:szCs w:val="20"/>
                <w:color w:val="auto"/>
              </w:rPr>
            </w:pPr>
            <w:r>
              <w:rPr>
                <w:rFonts w:ascii="Arial" w:cs="Arial" w:eastAsia="Arial" w:hAnsi="Arial"/>
                <w:sz w:val="18"/>
                <w:szCs w:val="18"/>
                <w:color w:val="auto"/>
              </w:rPr>
              <w:t>EBITDA</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84,512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85,128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258,922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232,285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Gain on sale of real estate</w:t>
            </w:r>
          </w:p>
        </w:tc>
        <w:tc>
          <w:tcPr>
            <w:tcW w:w="2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(1,298)</w:t>
            </w: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00" w:type="dxa"/>
            <w:vAlign w:val="bottom"/>
            <w:vMerge w:val="continue"/>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84,512</w:t>
            </w: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85,128</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257,512</w:t>
            </w:r>
          </w:p>
        </w:tc>
        <w:tc>
          <w:tcPr>
            <w:tcW w:w="280" w:type="dxa"/>
            <w:vAlign w:val="bottom"/>
          </w:tcPr>
          <w:p>
            <w:pPr>
              <w:spacing w:after="0"/>
              <w:rPr>
                <w:sz w:val="19"/>
                <w:szCs w:val="19"/>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230,987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line="288" w:lineRule="auto"/>
        <w:rPr>
          <w:sz w:val="20"/>
          <w:szCs w:val="20"/>
          <w:color w:val="auto"/>
        </w:rPr>
      </w:pPr>
      <w:r>
        <w:rPr>
          <w:rFonts w:ascii="Arial" w:cs="Arial" w:eastAsia="Arial" w:hAnsi="Arial"/>
          <w:sz w:val="16"/>
          <w:szCs w:val="16"/>
          <w:b w:val="1"/>
          <w:bCs w:val="1"/>
          <w:color w:val="auto"/>
        </w:rPr>
        <w:t xml:space="preserve">Funds From Operations (FFO): </w:t>
      </w:r>
      <w:r>
        <w:rPr>
          <w:rFonts w:ascii="Arial" w:cs="Arial" w:eastAsia="Arial" w:hAnsi="Arial"/>
          <w:sz w:val="16"/>
          <w:szCs w:val="16"/>
          <w:color w:val="auto"/>
        </w:rPr>
        <w:t>FFO is a supplemental measure of real estate companies’ operating performances. The National Association of Real Estate</w:t>
      </w:r>
      <w:r>
        <w:rPr>
          <w:rFonts w:ascii="Arial" w:cs="Arial" w:eastAsia="Arial" w:hAnsi="Arial"/>
          <w:sz w:val="16"/>
          <w:szCs w:val="16"/>
          <w:b w:val="1"/>
          <w:bCs w:val="1"/>
          <w:color w:val="auto"/>
        </w:rPr>
        <w:t xml:space="preserve"> </w:t>
      </w:r>
      <w:r>
        <w:rPr>
          <w:rFonts w:ascii="Arial" w:cs="Arial" w:eastAsia="Arial" w:hAnsi="Arial"/>
          <w:sz w:val="16"/>
          <w:szCs w:val="16"/>
          <w:color w:val="auto"/>
        </w:rPr>
        <w:t>Investment Trusts (“NAREIT”) defines FFO as follows: net income, computed in accordance with GAAP plus depreciation and amortization of real estate assets and excluding extraordinary items and gains and losses on sale of real estate. NAREIT developed FFO as a relative measure of performance and liquidity of an equity REIT in order to recognize that the value of income-producing real estate historically has not depreciated on the basis determined under GAAP. However, FFO does not represent cash flows from operating activities in accordance with GAAP (which, unlike FFO, generally reflects all cash effects of transactions and other events in the determination of net income); should not be considered an alternative to net income as an indication of our performance; and is not necessarily indicative of cash flow as a measure of liquidity or ability to pay dividends. We consider FFO a meaningful, additional measure of operating performance primarily because it excludes the assumption that the value of real estate assets diminishes predictably over time, and because industry analysts have accepted it as a performance measure. Comparison of our presentation of FFO to similarly titled measures for other REITs may not necessarily be meaningful due to possible differences in the application of the NAREIT definition used by such REITs.</w:t>
      </w:r>
    </w:p>
    <w:p>
      <w:pPr>
        <w:spacing w:after="0" w:line="115" w:lineRule="exact"/>
        <w:rPr>
          <w:sz w:val="20"/>
          <w:szCs w:val="20"/>
          <w:color w:val="auto"/>
        </w:rPr>
      </w:pPr>
    </w:p>
    <w:p>
      <w:pPr>
        <w:ind w:right="460"/>
        <w:spacing w:after="0" w:line="275" w:lineRule="auto"/>
        <w:rPr>
          <w:sz w:val="20"/>
          <w:szCs w:val="20"/>
          <w:color w:val="auto"/>
        </w:rPr>
      </w:pPr>
      <w:r>
        <w:rPr>
          <w:rFonts w:ascii="Arial" w:cs="Arial" w:eastAsia="Arial" w:hAnsi="Arial"/>
          <w:sz w:val="18"/>
          <w:szCs w:val="18"/>
          <w:b w:val="1"/>
          <w:bCs w:val="1"/>
          <w:color w:val="auto"/>
        </w:rPr>
        <w:t xml:space="preserve">Property Operating Income: </w:t>
      </w:r>
      <w:r>
        <w:rPr>
          <w:rFonts w:ascii="Arial" w:cs="Arial" w:eastAsia="Arial" w:hAnsi="Arial"/>
          <w:sz w:val="18"/>
          <w:szCs w:val="18"/>
          <w:color w:val="auto"/>
        </w:rPr>
        <w:t>Rental income, other property income and mortgage interest income, less rental expenses and real estate taxes and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operating results from discontinued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Overall Portfolio: </w:t>
      </w:r>
      <w:r>
        <w:rPr>
          <w:rFonts w:ascii="Arial" w:cs="Arial" w:eastAsia="Arial" w:hAnsi="Arial"/>
          <w:sz w:val="18"/>
          <w:szCs w:val="18"/>
          <w:color w:val="auto"/>
        </w:rPr>
        <w:t>Includes all operating properties owned in reporting period.</w:t>
      </w:r>
    </w:p>
    <w:p>
      <w:pPr>
        <w:spacing w:after="0" w:line="17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b w:val="1"/>
          <w:bCs w:val="1"/>
          <w:color w:val="auto"/>
        </w:rPr>
        <w:t xml:space="preserve">Same Center: </w:t>
      </w:r>
      <w:r>
        <w:rPr>
          <w:rFonts w:ascii="Arial" w:cs="Arial" w:eastAsia="Arial" w:hAnsi="Arial"/>
          <w:sz w:val="18"/>
          <w:szCs w:val="18"/>
          <w:color w:val="auto"/>
        </w:rPr>
        <w:t>Information provided on a same center basis is provided for only those properties that were owned and operated for the entirety of both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being compared, excludes properties that were redeveloped, expanded or under development and properties purchased or sold at any time during the periods being compared.</w:t>
      </w:r>
    </w:p>
    <w:p>
      <w:pPr>
        <w:spacing w:after="0" w:line="132"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Tenant Improvements and Incentives: </w:t>
      </w:r>
      <w:r>
        <w:rPr>
          <w:rFonts w:ascii="Arial" w:cs="Arial" w:eastAsia="Arial" w:hAnsi="Arial"/>
          <w:sz w:val="18"/>
          <w:szCs w:val="18"/>
          <w:color w:val="auto"/>
        </w:rPr>
        <w:t>Represents not only the total dollars committed for the improvement (fit-out) of a space as it relates to a specific lease</w:t>
      </w:r>
      <w:r>
        <w:rPr>
          <w:rFonts w:ascii="Arial" w:cs="Arial" w:eastAsia="Arial" w:hAnsi="Arial"/>
          <w:sz w:val="18"/>
          <w:szCs w:val="18"/>
          <w:b w:val="1"/>
          <w:bCs w:val="1"/>
          <w:color w:val="auto"/>
        </w:rPr>
        <w:t xml:space="preserve"> </w:t>
      </w:r>
      <w:r>
        <w:rPr>
          <w:rFonts w:ascii="Arial" w:cs="Arial" w:eastAsia="Arial" w:hAnsi="Arial"/>
          <w:sz w:val="18"/>
          <w:szCs w:val="18"/>
          <w:color w:val="auto"/>
        </w:rPr>
        <w:t>but may also include base building costs (i.e. expansion, escalators or new entrances) which are required to make the space leasable. Incentives include amounts paid to tenants as an inducement to sign a lease that do not represent building improvements.</w:t>
      </w: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sectPr>
      <w:pgSz w:w="11900" w:h="16838" w:orient="portrait"/>
      <w:cols w:equalWidth="0" w:num="1">
        <w:col w:w="11400"/>
      </w:cols>
      <w:pgMar w:left="240" w:top="503"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1)"/>
      <w:numFmt w:val="lowerLetter"/>
      <w:start w:val="3"/>
    </w:lvl>
  </w:abstractNum>
  <w:abstractNum w:abstractNumId="2">
    <w:nsid w:val="66EF438D"/>
    <w:multiLevelType w:val="hybridMultilevel"/>
    <w:lvl w:ilvl="0">
      <w:lvlJc w:val="left"/>
      <w:lvlText w:val="%1."/>
      <w:numFmt w:val="decimal"/>
      <w:start w:val="3"/>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1)"/>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decimal"/>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2019-12-10T00:37:59Z</dcterms:created>
  <dcterms:modified xsi:type="dcterms:W3CDTF">2019-12-10T00:37:59Z</dcterms:modified>
</cp:coreProperties>
</file>