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0"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30, 2016</w:t>
      </w:r>
    </w:p>
    <w:p>
      <w:pPr>
        <w:spacing w:after="0" w:line="200" w:lineRule="exact"/>
        <w:rPr>
          <w:sz w:val="24"/>
          <w:szCs w:val="24"/>
          <w:color w:val="auto"/>
        </w:rPr>
      </w:pPr>
    </w:p>
    <w:p>
      <w:pPr>
        <w:spacing w:after="0" w:line="364"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tbl>
      <w:tblPr>
        <w:tblLayout w:type="fixed"/>
        <w:tblInd w:w="1560" w:type="dxa"/>
        <w:tblCellMar>
          <w:top w:w="0" w:type="dxa"/>
          <w:left w:w="0" w:type="dxa"/>
          <w:bottom w:w="0" w:type="dxa"/>
          <w:right w:w="0" w:type="dxa"/>
        </w:tblCellMar>
      </w:tblPr>
      <w:tr>
        <w:trPr>
          <w:trHeight w:val="238"/>
        </w:trPr>
        <w:tc>
          <w:tcPr>
            <w:tcW w:w="2660" w:type="dxa"/>
            <w:vAlign w:val="bottom"/>
          </w:tcPr>
          <w:p>
            <w:pPr>
              <w:jc w:val="center"/>
              <w:ind w:right="1168"/>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1-07533</w:t>
            </w:r>
          </w:p>
        </w:tc>
        <w:tc>
          <w:tcPr>
            <w:tcW w:w="2280" w:type="dxa"/>
            <w:vAlign w:val="bottom"/>
          </w:tcPr>
          <w:p>
            <w:pPr>
              <w:jc w:val="center"/>
              <w:ind w:left="1208"/>
              <w:spacing w:after="0"/>
              <w:rPr>
                <w:sz w:val="20"/>
                <w:szCs w:val="20"/>
                <w:color w:val="auto"/>
              </w:rPr>
            </w:pPr>
            <w:r>
              <w:rPr>
                <w:rFonts w:ascii="Times New Roman" w:cs="Times New Roman" w:eastAsia="Times New Roman" w:hAnsi="Times New Roman"/>
                <w:sz w:val="18"/>
                <w:szCs w:val="18"/>
                <w:b w:val="1"/>
                <w:bCs w:val="1"/>
                <w:color w:val="auto"/>
              </w:rPr>
              <w:t>52-0782497</w:t>
            </w:r>
          </w:p>
        </w:tc>
      </w:tr>
      <w:tr>
        <w:trPr>
          <w:trHeight w:val="169"/>
        </w:trPr>
        <w:tc>
          <w:tcPr>
            <w:tcW w:w="2660" w:type="dxa"/>
            <w:vAlign w:val="bottom"/>
          </w:tcPr>
          <w:p>
            <w:pPr>
              <w:jc w:val="center"/>
              <w:ind w:right="1168"/>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326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2280" w:type="dxa"/>
            <w:vAlign w:val="bottom"/>
          </w:tcPr>
          <w:p>
            <w:pPr>
              <w:jc w:val="center"/>
              <w:ind w:left="1208"/>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660" w:type="dxa"/>
            <w:vAlign w:val="bottom"/>
          </w:tcPr>
          <w:p>
            <w:pPr>
              <w:jc w:val="center"/>
              <w:ind w:right="1148"/>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2280" w:type="dxa"/>
            <w:vAlign w:val="bottom"/>
          </w:tcPr>
          <w:p>
            <w:pPr>
              <w:jc w:val="center"/>
              <w:ind w:left="1208"/>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bl>
    <w:p>
      <w:pPr>
        <w:spacing w:after="0" w:line="200" w:lineRule="exact"/>
        <w:rPr>
          <w:sz w:val="24"/>
          <w:szCs w:val="24"/>
          <w:color w:val="auto"/>
        </w:rPr>
      </w:pPr>
    </w:p>
    <w:p>
      <w:pPr>
        <w:sectPr>
          <w:pgSz w:w="11900" w:h="16838" w:orient="portrait"/>
          <w:cols w:equalWidth="0" w:num="1">
            <w:col w:w="10980"/>
          </w:cols>
          <w:pgMar w:left="240" w:top="673"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20852-4041</w:t>
      </w:r>
    </w:p>
    <w:p>
      <w:pPr>
        <w:spacing w:after="0" w:line="77" w:lineRule="exact"/>
        <w:rPr>
          <w:sz w:val="24"/>
          <w:szCs w:val="24"/>
          <w:color w:val="auto"/>
        </w:rPr>
      </w:pPr>
    </w:p>
    <w:p>
      <w:pPr>
        <w:sectPr>
          <w:pgSz w:w="11900" w:h="16838" w:orient="portrait"/>
          <w:cols w:equalWidth="0" w:num="2">
            <w:col w:w="7280" w:space="720"/>
            <w:col w:w="2980"/>
          </w:cols>
          <w:pgMar w:left="240" w:top="673" w:right="67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84" w:lineRule="exact"/>
        <w:rPr>
          <w:sz w:val="24"/>
          <w:szCs w:val="24"/>
          <w:color w:val="auto"/>
        </w:rPr>
      </w:pPr>
    </w:p>
    <w:p>
      <w:pPr>
        <w:sectPr>
          <w:pgSz w:w="11900" w:h="16838" w:orient="portrait"/>
          <w:cols w:equalWidth="0" w:num="2">
            <w:col w:w="7420" w:space="720"/>
            <w:col w:w="2840"/>
          </w:cols>
          <w:pgMar w:left="240" w:top="673" w:right="679" w:bottom="1440" w:gutter="0" w:footer="0" w:header="0"/>
          <w:type w:val="continuous"/>
        </w:sectPr>
      </w:pPr>
    </w:p>
    <w:p>
      <w:pPr>
        <w:ind w:left="32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940" w:hanging="412"/>
        <w:spacing w:after="0"/>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Times New Roman" w:cs="Times New Roman" w:eastAsia="Times New Roman" w:hAnsi="Times New Roman"/>
          <w:sz w:val="18"/>
          <w:szCs w:val="18"/>
          <w:color w:val="auto"/>
        </w:rPr>
      </w:pPr>
    </w:p>
    <w:p>
      <w:pPr>
        <w:ind w:left="940" w:hanging="412"/>
        <w:spacing w:after="0"/>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Times New Roman" w:cs="Times New Roman" w:eastAsia="Times New Roman" w:hAnsi="Times New Roman"/>
          <w:sz w:val="18"/>
          <w:szCs w:val="18"/>
          <w:color w:val="auto"/>
        </w:rPr>
      </w:pPr>
    </w:p>
    <w:p>
      <w:pPr>
        <w:ind w:left="940" w:hanging="412"/>
        <w:spacing w:after="0"/>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Times New Roman" w:cs="Times New Roman" w:eastAsia="Times New Roman" w:hAnsi="Times New Roman"/>
          <w:sz w:val="18"/>
          <w:szCs w:val="18"/>
          <w:color w:val="auto"/>
        </w:rPr>
      </w:pPr>
    </w:p>
    <w:p>
      <w:pPr>
        <w:ind w:left="940" w:hanging="412"/>
        <w:spacing w:after="0"/>
        <w:tabs>
          <w:tab w:leader="none" w:pos="9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0980"/>
          </w:cols>
          <w:pgMar w:left="240" w:top="673" w:right="6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24"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1"/>
          <w:szCs w:val="21"/>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66" w:lineRule="exact"/>
        <w:rPr>
          <w:sz w:val="20"/>
          <w:szCs w:val="20"/>
          <w:color w:val="auto"/>
        </w:rPr>
      </w:pPr>
    </w:p>
    <w:p>
      <w:pPr>
        <w:jc w:val="both"/>
        <w:ind w:right="200" w:firstLine="648"/>
        <w:spacing w:after="0" w:line="257" w:lineRule="auto"/>
        <w:rPr>
          <w:sz w:val="20"/>
          <w:szCs w:val="20"/>
          <w:color w:val="auto"/>
        </w:rPr>
      </w:pPr>
      <w:r>
        <w:rPr>
          <w:rFonts w:ascii="Times New Roman" w:cs="Times New Roman" w:eastAsia="Times New Roman" w:hAnsi="Times New Roman"/>
          <w:sz w:val="22"/>
          <w:szCs w:val="22"/>
          <w:color w:val="auto"/>
        </w:rPr>
        <w:t>On November 2, 2016, Federal Realty Investment Trust issued supplemental data pertaining to its operations, as well as a press release, to report its financial results for the quarter ended September 30, 2016. The supplemental data and press release are furnished as Exhibit 99.1 hereto.</w:t>
      </w:r>
    </w:p>
    <w:p>
      <w:pPr>
        <w:spacing w:after="0" w:line="16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37"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Supplemental information at September 30, 2016 (including press release dated November 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40"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FEDERAL REALTY INVESTMENT TRUST</w:t>
      </w:r>
    </w:p>
    <w:p>
      <w:pPr>
        <w:spacing w:after="0" w:line="372" w:lineRule="exact"/>
        <w:rPr>
          <w:sz w:val="20"/>
          <w:szCs w:val="20"/>
          <w:color w:val="auto"/>
        </w:rPr>
      </w:pPr>
    </w:p>
    <w:p>
      <w:pPr>
        <w:ind w:left="1120"/>
        <w:spacing w:after="0"/>
        <w:tabs>
          <w:tab w:leader="none" w:pos="1780" w:val="left"/>
          <w:tab w:leader="none" w:pos="4960" w:val="left"/>
        </w:tabs>
        <w:rPr>
          <w:sz w:val="20"/>
          <w:szCs w:val="20"/>
          <w:color w:val="auto"/>
        </w:rPr>
      </w:pPr>
      <w:r>
        <w:rPr>
          <w:rFonts w:ascii="Times New Roman" w:cs="Times New Roman" w:eastAsia="Times New Roman" w:hAnsi="Times New Roman"/>
          <w:sz w:val="22"/>
          <w:szCs w:val="22"/>
          <w:color w:val="auto"/>
        </w:rPr>
        <w:t>Date:</w:t>
        <w:tab/>
        <w:t>November 2, 2016</w:t>
      </w:r>
      <w:r>
        <w:rPr>
          <w:sz w:val="20"/>
          <w:szCs w:val="20"/>
          <w:color w:val="auto"/>
        </w:rPr>
        <w:tab/>
      </w:r>
      <w:r>
        <w:rPr>
          <w:rFonts w:ascii="Times New Roman" w:cs="Times New Roman" w:eastAsia="Times New Roman" w:hAnsi="Times New Roman"/>
          <w:sz w:val="21"/>
          <w:szCs w:val="21"/>
          <w:u w:val="single" w:color="auto"/>
          <w:color w:val="auto"/>
        </w:rPr>
        <w:t>/s/ Daniel Guglielmone</w:t>
      </w:r>
    </w:p>
    <w:p>
      <w:pPr>
        <w:spacing w:after="0" w:line="36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Daniel Guglielmone</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ectPr>
          <w:pgSz w:w="11900" w:h="16838" w:orient="portrait"/>
          <w:cols w:equalWidth="0" w:num="1">
            <w:col w:w="11380"/>
          </w:cols>
          <w:pgMar w:left="240" w:top="581" w:right="279" w:bottom="1440" w:gutter="0" w:footer="0" w:header="0"/>
        </w:sectPr>
      </w:pPr>
    </w:p>
    <w:bookmarkStart w:id="2" w:name="page3"/>
    <w:bookmarkEnd w:id="2"/>
    <w:p>
      <w:pPr>
        <w:jc w:val="right"/>
        <w:ind w:right="3719"/>
        <w:spacing w:after="0"/>
        <w:rPr>
          <w:sz w:val="20"/>
          <w:szCs w:val="20"/>
          <w:color w:val="auto"/>
        </w:rPr>
      </w:pPr>
      <w:r>
        <w:rPr>
          <w:rFonts w:ascii="Times New Roman" w:cs="Times New Roman" w:eastAsia="Times New Roman" w:hAnsi="Times New Roman"/>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2"/>
          <w:szCs w:val="22"/>
          <w:u w:val="single" w:color="auto"/>
          <w:color w:val="auto"/>
        </w:rPr>
        <w:t>Exh No.</w:t>
      </w:r>
      <w:r>
        <w:rPr>
          <w:sz w:val="20"/>
          <w:szCs w:val="20"/>
          <w:color w:val="auto"/>
        </w:rPr>
        <w:tab/>
      </w:r>
      <w:r>
        <w:rPr>
          <w:rFonts w:ascii="Times New Roman" w:cs="Times New Roman" w:eastAsia="Times New Roman" w:hAnsi="Times New Roman"/>
          <w:sz w:val="21"/>
          <w:szCs w:val="21"/>
          <w:u w:val="single" w:color="auto"/>
          <w:color w:val="auto"/>
        </w:rPr>
        <w:t>Exhibit</w:t>
      </w:r>
    </w:p>
    <w:p>
      <w:pPr>
        <w:spacing w:after="0" w:line="30"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Supplemental Information at September 30, 2016</w:t>
      </w:r>
    </w:p>
    <w:p>
      <w:pPr>
        <w:sectPr>
          <w:pgSz w:w="11900" w:h="16838" w:orient="portrait"/>
          <w:cols w:equalWidth="0" w:num="1">
            <w:col w:w="10219"/>
          </w:cols>
          <w:pgMar w:left="240" w:top="585"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2016</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8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Third Quarter 2016 Earnings Press Release</w:t>
            </w:r>
          </w:p>
        </w:tc>
        <w:tc>
          <w:tcPr>
            <w:tcW w:w="200" w:type="dxa"/>
            <w:vAlign w:val="bottom"/>
            <w:gridSpan w:val="3"/>
            <w:shd w:val="clear" w:color="auto" w:fill="CCEEFF"/>
          </w:tcPr>
          <w:p>
            <w:pPr>
              <w:jc w:val="right"/>
              <w:ind w:right="2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Times New Roman" w:cs="Times New Roman" w:eastAsia="Times New Roman" w:hAnsi="Times New Roman"/>
                <w:sz w:val="18"/>
                <w:szCs w:val="18"/>
                <w:color w:val="auto"/>
              </w:rPr>
              <w:t>Consolidated Income Statements</w:t>
            </w: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Times New Roman" w:cs="Times New Roman" w:eastAsia="Times New Roman" w:hAnsi="Times New Roman"/>
                <w:sz w:val="18"/>
                <w:szCs w:val="18"/>
                <w:color w:val="auto"/>
              </w:rPr>
              <w:t>Consolidated Balance Sheets</w:t>
            </w: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Times New Roman" w:cs="Times New Roman" w:eastAsia="Times New Roman" w:hAnsi="Times New Roman"/>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Times New Roman" w:cs="Times New Roman" w:eastAsia="Times New Roman" w:hAnsi="Times New Roman"/>
                <w:sz w:val="18"/>
                <w:szCs w:val="18"/>
                <w:color w:val="auto"/>
              </w:rPr>
              <w:t>Market Data</w:t>
            </w: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13">
              <w:r>
                <w:rPr>
                  <w:rFonts w:ascii="Times New Roman" w:cs="Times New Roman" w:eastAsia="Times New Roman" w:hAnsi="Times New Roman"/>
                  <w:sz w:val="18"/>
                  <w:szCs w:val="18"/>
                  <w:color w:val="0000EE"/>
                  <w:w w:val="88"/>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Times New Roman" w:cs="Times New Roman" w:eastAsia="Times New Roman" w:hAnsi="Times New Roman"/>
                <w:sz w:val="18"/>
                <w:szCs w:val="18"/>
                <w:color w:val="auto"/>
              </w:rPr>
              <w:t>Components of Rental Income</w:t>
            </w: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14">
              <w:r>
                <w:rPr>
                  <w:rFonts w:ascii="Times New Roman" w:cs="Times New Roman" w:eastAsia="Times New Roman" w:hAnsi="Times New Roman"/>
                  <w:sz w:val="18"/>
                  <w:szCs w:val="18"/>
                  <w:color w:val="0000EE"/>
                  <w:w w:val="88"/>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9" w:lineRule="exact"/>
        <w:rPr>
          <w:sz w:val="20"/>
          <w:szCs w:val="20"/>
          <w:color w:val="auto"/>
        </w:rPr>
      </w:pPr>
    </w:p>
    <w:p>
      <w:pPr>
        <w:ind w:left="900" w:hanging="87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Debt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15">
              <w:r>
                <w:rPr>
                  <w:rFonts w:ascii="Times New Roman" w:cs="Times New Roman" w:eastAsia="Times New Roman" w:hAnsi="Times New Roman"/>
                  <w:sz w:val="18"/>
                  <w:szCs w:val="18"/>
                  <w:color w:val="0000EE"/>
                  <w:w w:val="88"/>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Times New Roman" w:cs="Times New Roman" w:eastAsia="Times New Roman" w:hAnsi="Times New Roman"/>
                <w:sz w:val="18"/>
                <w:szCs w:val="18"/>
                <w:color w:val="auto"/>
              </w:rPr>
              <w:t>Summary of Debt Maturities</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17">
              <w:r>
                <w:rPr>
                  <w:rFonts w:ascii="Times New Roman" w:cs="Times New Roman" w:eastAsia="Times New Roman" w:hAnsi="Times New Roman"/>
                  <w:sz w:val="18"/>
                  <w:szCs w:val="18"/>
                  <w:color w:val="0000EE"/>
                  <w:w w:val="88"/>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4</w:t>
            </w:r>
          </w:p>
        </w:tc>
        <w:tc>
          <w:tcPr>
            <w:tcW w:w="87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Summary of Redevelopment Opportunities</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18">
              <w:r>
                <w:rPr>
                  <w:rFonts w:ascii="Times New Roman" w:cs="Times New Roman" w:eastAsia="Times New Roman" w:hAnsi="Times New Roman"/>
                  <w:sz w:val="18"/>
                  <w:szCs w:val="18"/>
                  <w:color w:val="0000EE"/>
                  <w:w w:val="88"/>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5</w:t>
            </w:r>
          </w:p>
        </w:tc>
        <w:tc>
          <w:tcPr>
            <w:tcW w:w="87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Assembly Row, Pike &amp; Rose, and Santana Row</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19">
              <w:r>
                <w:rPr>
                  <w:rFonts w:ascii="Times New Roman" w:cs="Times New Roman" w:eastAsia="Times New Roman" w:hAnsi="Times New Roman"/>
                  <w:sz w:val="18"/>
                  <w:szCs w:val="18"/>
                  <w:color w:val="0000EE"/>
                  <w:w w:val="88"/>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6</w:t>
            </w:r>
          </w:p>
        </w:tc>
        <w:tc>
          <w:tcPr>
            <w:tcW w:w="87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Assembly Row and Pike &amp; Rose Site Plans</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20">
              <w:r>
                <w:rPr>
                  <w:rFonts w:ascii="Times New Roman" w:cs="Times New Roman" w:eastAsia="Times New Roman" w:hAnsi="Times New Roman"/>
                  <w:sz w:val="18"/>
                  <w:szCs w:val="18"/>
                  <w:color w:val="0000EE"/>
                  <w:w w:val="88"/>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87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Future Redevelopment Opportunities</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22">
              <w:r>
                <w:rPr>
                  <w:rFonts w:ascii="Times New Roman" w:cs="Times New Roman" w:eastAsia="Times New Roman" w:hAnsi="Times New Roman"/>
                  <w:sz w:val="18"/>
                  <w:szCs w:val="18"/>
                  <w:color w:val="0000EE"/>
                  <w:w w:val="88"/>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8</w:t>
            </w:r>
          </w:p>
        </w:tc>
        <w:tc>
          <w:tcPr>
            <w:tcW w:w="87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2016 Significant Acquisitions and Disposition</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20</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9</w:t>
            </w:r>
          </w:p>
        </w:tc>
        <w:tc>
          <w:tcPr>
            <w:tcW w:w="87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Real Estate Status Report</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24">
              <w:r>
                <w:rPr>
                  <w:rFonts w:ascii="Times New Roman" w:cs="Times New Roman" w:eastAsia="Times New Roman" w:hAnsi="Times New Roman"/>
                  <w:sz w:val="18"/>
                  <w:szCs w:val="18"/>
                  <w:color w:val="0000EE"/>
                  <w:w w:val="88"/>
                </w:rPr>
                <w:t>21</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87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Retail Leasing Summary</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87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Lease Expirations</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87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Portfolio Leased Statistics</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27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87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Summary of Top 25 Tenants</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31">
              <w:r>
                <w:rPr>
                  <w:rFonts w:ascii="Times New Roman" w:cs="Times New Roman" w:eastAsia="Times New Roman" w:hAnsi="Times New Roman"/>
                  <w:sz w:val="18"/>
                  <w:szCs w:val="18"/>
                  <w:color w:val="0000EE"/>
                  <w:w w:val="88"/>
                </w:rPr>
                <w:t>28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87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Reconciliation of FFO Guidance</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32">
              <w:r>
                <w:rPr>
                  <w:rFonts w:ascii="Times New Roman" w:cs="Times New Roman" w:eastAsia="Times New Roman" w:hAnsi="Times New Roman"/>
                  <w:sz w:val="18"/>
                  <w:szCs w:val="18"/>
                  <w:color w:val="0000EE"/>
                  <w:w w:val="88"/>
                </w:rPr>
                <w:t>29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15</w:t>
            </w:r>
          </w:p>
        </w:tc>
        <w:tc>
          <w:tcPr>
            <w:tcW w:w="872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Glossary of Terms</w:t>
            </w:r>
          </w:p>
        </w:tc>
        <w:tc>
          <w:tcPr>
            <w:tcW w:w="200" w:type="dxa"/>
            <w:vAlign w:val="bottom"/>
            <w:gridSpan w:val="2"/>
          </w:tcPr>
          <w:p>
            <w:pPr>
              <w:jc w:val="right"/>
              <w:ind w:right="20"/>
              <w:spacing w:after="0" w:line="202" w:lineRule="exact"/>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30</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Rockville, Maryland 20852-4041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0115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301/998-8100</w:t>
      </w:r>
    </w:p>
    <w:p>
      <w:pPr>
        <w:sectPr>
          <w:pgSz w:w="11900" w:h="16838" w:orient="portrait"/>
          <w:cols w:equalWidth="0" w:num="1">
            <w:col w:w="9460"/>
          </w:cols>
          <w:pgMar w:left="1220" w:top="738" w:right="121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460"/>
          </w:cols>
          <w:pgMar w:left="1220" w:top="738" w:right="12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Language</w:t>
      </w:r>
    </w:p>
    <w:p>
      <w:pPr>
        <w:spacing w:after="0" w:line="3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9, 2016, and include the following:</w:t>
      </w:r>
    </w:p>
    <w:p>
      <w:pPr>
        <w:spacing w:after="0" w:line="184" w:lineRule="exact"/>
        <w:rPr>
          <w:sz w:val="20"/>
          <w:szCs w:val="20"/>
          <w:color w:val="auto"/>
        </w:rPr>
      </w:pPr>
    </w:p>
    <w:p>
      <w:pPr>
        <w:ind w:left="980" w:right="140" w:hanging="324"/>
        <w:spacing w:after="0" w:line="26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tenants will not pay rent, may vacate early or may file for bankruptcy or that we may be unable to renew leases or re-let space at favorable rents as leases expire;</w:t>
      </w:r>
    </w:p>
    <w:p>
      <w:pPr>
        <w:ind w:left="980" w:right="2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980" w:right="240" w:hanging="324"/>
        <w:spacing w:after="0" w:line="250" w:lineRule="auto"/>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Times New Roman" w:cs="Times New Roman" w:eastAsia="Times New Roman" w:hAnsi="Times New Roman"/>
          <w:sz w:val="18"/>
          <w:szCs w:val="18"/>
          <w:i w:val="1"/>
          <w:iCs w:val="1"/>
          <w:color w:val="auto"/>
        </w:rPr>
      </w:pPr>
    </w:p>
    <w:p>
      <w:pPr>
        <w:ind w:left="980" w:right="4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growth will be limited if we cannot obtain additional capital;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general economic conditions, including local economic conditions in our geographic markets;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Times New Roman" w:cs="Times New Roman" w:eastAsia="Times New Roman" w:hAnsi="Times New Roman"/>
          <w:sz w:val="18"/>
          <w:szCs w:val="18"/>
          <w:color w:val="auto"/>
        </w:rPr>
      </w:pPr>
    </w:p>
    <w:p>
      <w:pPr>
        <w:jc w:val="both"/>
        <w:ind w:left="980" w:right="580" w:hanging="324"/>
        <w:spacing w:after="0" w:line="255"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9, 2016.</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5848985" cy="1457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326"/>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i w:val="1"/>
                <w:iCs w:val="1"/>
                <w:color w:val="auto"/>
                <w:w w:val="99"/>
              </w:rPr>
              <w:t>Investor Inquiries</w:t>
            </w:r>
          </w:p>
        </w:tc>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Media Inquiries</w:t>
            </w:r>
          </w:p>
        </w:tc>
      </w:tr>
      <w:tr>
        <w:trPr>
          <w:trHeight w:val="20"/>
        </w:trPr>
        <w:tc>
          <w:tcPr>
            <w:tcW w:w="4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81"/>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Leah Andress</w:t>
            </w:r>
          </w:p>
        </w:tc>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Andrea Simpson</w:t>
            </w:r>
          </w:p>
        </w:tc>
      </w:tr>
      <w:tr>
        <w:trPr>
          <w:trHeight w:val="257"/>
        </w:trPr>
        <w:tc>
          <w:tcPr>
            <w:tcW w:w="4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Investor Relations Coordinator</w:t>
            </w:r>
          </w:p>
        </w:tc>
        <w:tc>
          <w:tcPr>
            <w:tcW w:w="4040" w:type="dxa"/>
            <w:vAlign w:val="bottom"/>
            <w:gridSpan w:val="3"/>
          </w:tcPr>
          <w:p>
            <w:pPr>
              <w:ind w:left="1720"/>
              <w:spacing w:after="0"/>
              <w:rPr>
                <w:sz w:val="20"/>
                <w:szCs w:val="20"/>
                <w:color w:val="auto"/>
              </w:rPr>
            </w:pPr>
            <w:r>
              <w:rPr>
                <w:rFonts w:ascii="Arial" w:cs="Arial" w:eastAsia="Arial" w:hAnsi="Arial"/>
                <w:sz w:val="18"/>
                <w:szCs w:val="18"/>
                <w:color w:val="auto"/>
              </w:rPr>
              <w:t>Vice President, Marketing</w:t>
            </w:r>
          </w:p>
        </w:tc>
      </w:tr>
      <w:tr>
        <w:trPr>
          <w:trHeight w:val="257"/>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301/998-8265</w:t>
            </w:r>
          </w:p>
        </w:tc>
        <w:tc>
          <w:tcPr>
            <w:tcW w:w="2780" w:type="dxa"/>
            <w:vAlign w:val="bottom"/>
          </w:tcPr>
          <w:p>
            <w:pPr>
              <w:spacing w:after="0"/>
              <w:rPr>
                <w:sz w:val="22"/>
                <w:szCs w:val="22"/>
                <w:color w:val="auto"/>
              </w:rPr>
            </w:pPr>
          </w:p>
        </w:tc>
        <w:tc>
          <w:tcPr>
            <w:tcW w:w="2940" w:type="dxa"/>
            <w:vAlign w:val="bottom"/>
            <w:gridSpan w:val="2"/>
          </w:tcPr>
          <w:p>
            <w:pPr>
              <w:ind w:left="1720"/>
              <w:spacing w:after="0"/>
              <w:rPr>
                <w:sz w:val="20"/>
                <w:szCs w:val="20"/>
                <w:color w:val="auto"/>
              </w:rPr>
            </w:pPr>
            <w:r>
              <w:rPr>
                <w:rFonts w:ascii="Arial" w:cs="Arial" w:eastAsia="Arial" w:hAnsi="Arial"/>
                <w:sz w:val="18"/>
                <w:szCs w:val="18"/>
                <w:color w:val="auto"/>
              </w:rPr>
              <w:t>617/684-1511</w:t>
            </w:r>
          </w:p>
        </w:tc>
        <w:tc>
          <w:tcPr>
            <w:tcW w:w="1100" w:type="dxa"/>
            <w:vAlign w:val="bottom"/>
          </w:tcPr>
          <w:p>
            <w:pPr>
              <w:spacing w:after="0"/>
              <w:rPr>
                <w:sz w:val="22"/>
                <w:szCs w:val="22"/>
                <w:color w:val="auto"/>
              </w:rPr>
            </w:pPr>
          </w:p>
        </w:tc>
      </w:tr>
      <w:tr>
        <w:trPr>
          <w:trHeight w:val="257"/>
        </w:trPr>
        <w:tc>
          <w:tcPr>
            <w:tcW w:w="4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Arial" w:cs="Arial" w:eastAsia="Arial" w:hAnsi="Arial"/>
                <w:sz w:val="18"/>
                <w:szCs w:val="18"/>
                <w:i w:val="1"/>
                <w:iCs w:val="1"/>
                <w:color w:val="auto"/>
              </w:rPr>
              <w:t>landress@federalrealty.com</w:t>
            </w:r>
          </w:p>
        </w:tc>
        <w:tc>
          <w:tcPr>
            <w:tcW w:w="4040" w:type="dxa"/>
            <w:vAlign w:val="bottom"/>
            <w:gridSpan w:val="3"/>
          </w:tcPr>
          <w:p>
            <w:pPr>
              <w:ind w:left="1720"/>
              <w:spacing w:after="0"/>
              <w:rPr>
                <w:sz w:val="20"/>
                <w:szCs w:val="20"/>
                <w:color w:val="auto"/>
              </w:rPr>
            </w:pPr>
            <w:r>
              <w:rPr>
                <w:rFonts w:ascii="Arial" w:cs="Arial" w:eastAsia="Arial" w:hAnsi="Arial"/>
                <w:sz w:val="18"/>
                <w:szCs w:val="18"/>
                <w:i w:val="1"/>
                <w:iCs w:val="1"/>
                <w:color w:val="auto"/>
                <w:w w:val="98"/>
              </w:rPr>
              <w:t>asimpson@federalrealty.com</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THIRD QUARTER 2016 OPERATING RESULTS</w:t>
      </w:r>
    </w:p>
    <w:p>
      <w:pPr>
        <w:spacing w:after="0" w:line="281" w:lineRule="exact"/>
        <w:rPr>
          <w:sz w:val="20"/>
          <w:szCs w:val="20"/>
          <w:color w:val="auto"/>
        </w:rPr>
      </w:pPr>
    </w:p>
    <w:p>
      <w:pPr>
        <w:spacing w:after="0" w:line="401" w:lineRule="auto"/>
        <w:rPr>
          <w:sz w:val="20"/>
          <w:szCs w:val="20"/>
          <w:color w:val="auto"/>
        </w:rPr>
      </w:pPr>
      <w:r>
        <w:rPr>
          <w:rFonts w:ascii="Arial" w:cs="Arial" w:eastAsia="Arial" w:hAnsi="Arial"/>
          <w:sz w:val="18"/>
          <w:szCs w:val="18"/>
          <w:color w:val="auto"/>
        </w:rPr>
        <w:t xml:space="preserve">ROCKVILLE, Md. (November 2, 2016) - </w:t>
      </w:r>
      <w:r>
        <w:rPr>
          <w:rFonts w:ascii="Arial" w:cs="Arial" w:eastAsia="Arial" w:hAnsi="Arial"/>
          <w:sz w:val="18"/>
          <w:szCs w:val="18"/>
          <w:u w:val="single" w:color="auto"/>
          <w:color w:val="0000FF"/>
        </w:rPr>
        <w:t>Federal Realty Investment Trust</w:t>
      </w:r>
      <w:r>
        <w:rPr>
          <w:rFonts w:ascii="Arial" w:cs="Arial" w:eastAsia="Arial" w:hAnsi="Arial"/>
          <w:sz w:val="18"/>
          <w:szCs w:val="18"/>
          <w:color w:val="auto"/>
        </w:rPr>
        <w:t xml:space="preserve"> (NYSE:FRT) today reported operating results for its third quarter ended September 30, 2016. Highlights of the quarter and recent activity include:</w:t>
      </w:r>
    </w:p>
    <w:p>
      <w:pPr>
        <w:spacing w:after="0" w:line="24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Generated earnings per diluted share of $0.82 for the quarter compared to $0.75 in third quarter 2015.</w:t>
      </w:r>
    </w:p>
    <w:p>
      <w:pPr>
        <w:spacing w:after="0" w:line="1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FFO per diluted share of $1.41 for the quarter compared to $1.36 in third quarter 2015.</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same center property operating income growth of 1.5% (or 0.4% when properties under redevelopment are excluded).</w:t>
      </w:r>
    </w:p>
    <w:p>
      <w:pPr>
        <w:spacing w:after="0" w:line="103" w:lineRule="exact"/>
        <w:rPr>
          <w:rFonts w:ascii="Arial" w:cs="Arial" w:eastAsia="Arial" w:hAnsi="Arial"/>
          <w:sz w:val="18"/>
          <w:szCs w:val="18"/>
          <w:color w:val="auto"/>
        </w:rPr>
      </w:pPr>
    </w:p>
    <w:p>
      <w:pPr>
        <w:ind w:left="660" w:righ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427,021 sf of comparable space at an average rent of $31.25 psf and achieved cash basis rollover growth on comparable spaces of 14%.</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Opportunistically issued $250 million aggregate principal amount of 3.625% senior unsecured notes due August 1, 2046.</w:t>
      </w:r>
    </w:p>
    <w:p>
      <w:pPr>
        <w:spacing w:after="0" w:line="320" w:lineRule="exact"/>
        <w:rPr>
          <w:sz w:val="20"/>
          <w:szCs w:val="20"/>
          <w:color w:val="auto"/>
        </w:rPr>
      </w:pPr>
    </w:p>
    <w:p>
      <w:pPr>
        <w:jc w:val="both"/>
        <w:spacing w:after="0" w:line="374" w:lineRule="auto"/>
        <w:rPr>
          <w:sz w:val="20"/>
          <w:szCs w:val="20"/>
          <w:color w:val="auto"/>
        </w:rPr>
      </w:pPr>
      <w:r>
        <w:rPr>
          <w:rFonts w:ascii="Arial" w:cs="Arial" w:eastAsia="Arial" w:hAnsi="Arial"/>
          <w:sz w:val="18"/>
          <w:szCs w:val="18"/>
          <w:color w:val="auto"/>
        </w:rPr>
        <w:t>"We continue to execute on our long term goal of positioning our portfolio for the changing consumer", said Donald C. Wood, President and Chief Executive Officer of Federal Realty. "The right balance of aggressive shopping center re-leasing and re-development, along with the development of new mixed use communities with a balance sheet constructed for the long term is at the heart of our decision making. Third quarter results reflect that balance."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06" w:lineRule="exact"/>
        <w:rPr>
          <w:sz w:val="20"/>
          <w:szCs w:val="20"/>
          <w:color w:val="auto"/>
        </w:rPr>
      </w:pPr>
    </w:p>
    <w:p>
      <w:pPr>
        <w:jc w:val="both"/>
        <w:spacing w:after="0" w:line="374" w:lineRule="auto"/>
        <w:rPr>
          <w:sz w:val="20"/>
          <w:szCs w:val="20"/>
          <w:color w:val="auto"/>
        </w:rPr>
      </w:pPr>
      <w:r>
        <w:rPr>
          <w:rFonts w:ascii="Arial" w:cs="Arial" w:eastAsia="Arial" w:hAnsi="Arial"/>
          <w:sz w:val="18"/>
          <w:szCs w:val="18"/>
          <w:color w:val="auto"/>
        </w:rPr>
        <w:t>Net income available for common shareholders was $58.8 million and earnings per diluted share was $0.82 for third quarter 2016 versus $52.3 million and $0.75, respectively, for third quarter 2015. Year-to-date Federal Realty reported net income available for common shareholders of $191.5 million and earnings per diluted share of $2.70. This compares to net income available for common shareholders of $141.9 million and earnings per diluted share of $2.05 for the nine months ended September 30,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52" w:lineRule="exact"/>
        <w:rPr>
          <w:sz w:val="20"/>
          <w:szCs w:val="20"/>
          <w:color w:val="auto"/>
        </w:rPr>
      </w:pPr>
    </w:p>
    <w:p>
      <w:pPr>
        <w:jc w:val="both"/>
        <w:spacing w:after="0" w:line="370" w:lineRule="auto"/>
        <w:rPr>
          <w:sz w:val="20"/>
          <w:szCs w:val="20"/>
          <w:color w:val="auto"/>
        </w:rPr>
      </w:pPr>
      <w:r>
        <w:rPr>
          <w:rFonts w:ascii="Arial" w:cs="Arial" w:eastAsia="Arial" w:hAnsi="Arial"/>
          <w:sz w:val="18"/>
          <w:szCs w:val="18"/>
          <w:color w:val="auto"/>
        </w:rPr>
        <w:t>In the third quarter 2016, Federal Realty generated funds from operations available for common shareholders (FFO) of $101.7 million, or $1.41 per diluted share. This compares to FFO of $95.2 million, or $1.36 per diluted share, in third quarter 2015. For the nine months ended September 30, 2016, FFO was $301.4 million, or $4.21 per diluted share, compared to $256.4 million, or $3.68 per diluted share for the same nine month period in 2015. Excluding early extinguishment of debt charge in 2015, FFO per diluted share for the nine months ended September 30, 2015 was $3.95.</w:t>
      </w:r>
    </w:p>
    <w:p>
      <w:pPr>
        <w:spacing w:after="0" w:line="268" w:lineRule="exact"/>
        <w:rPr>
          <w:sz w:val="20"/>
          <w:szCs w:val="20"/>
          <w:color w:val="auto"/>
        </w:rPr>
      </w:pPr>
    </w:p>
    <w:p>
      <w:pPr>
        <w:jc w:val="both"/>
        <w:ind w:right="20"/>
        <w:spacing w:after="0" w:line="40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06" w:lineRule="exact"/>
        <w:rPr>
          <w:sz w:val="20"/>
          <w:szCs w:val="20"/>
          <w:color w:val="auto"/>
        </w:rPr>
      </w:pPr>
    </w:p>
    <w:p>
      <w:pPr>
        <w:jc w:val="both"/>
        <w:spacing w:after="0" w:line="381" w:lineRule="auto"/>
        <w:rPr>
          <w:sz w:val="20"/>
          <w:szCs w:val="20"/>
          <w:color w:val="auto"/>
        </w:rPr>
      </w:pPr>
      <w:r>
        <w:rPr>
          <w:rFonts w:ascii="Arial" w:cs="Arial" w:eastAsia="Arial" w:hAnsi="Arial"/>
          <w:sz w:val="18"/>
          <w:szCs w:val="18"/>
          <w:color w:val="auto"/>
        </w:rPr>
        <w:t>In third quarter 2016, same-center property operating income increased 1.5% over the prior year when including properties that are being redeveloped and 0.4% when excluding those properties. As anticipated, the impact of anchor vacancies, both proactively pursued and otherwise, weighed on the three month results and quarter end occupancy.</w:t>
      </w:r>
    </w:p>
    <w:p>
      <w:pPr>
        <w:spacing w:after="0" w:line="257" w:lineRule="exact"/>
        <w:rPr>
          <w:sz w:val="20"/>
          <w:szCs w:val="20"/>
          <w:color w:val="auto"/>
        </w:rPr>
      </w:pPr>
    </w:p>
    <w:p>
      <w:pPr>
        <w:jc w:val="both"/>
        <w:spacing w:after="0" w:line="401" w:lineRule="auto"/>
        <w:rPr>
          <w:sz w:val="20"/>
          <w:szCs w:val="20"/>
          <w:color w:val="auto"/>
        </w:rPr>
      </w:pPr>
      <w:r>
        <w:rPr>
          <w:rFonts w:ascii="Arial" w:cs="Arial" w:eastAsia="Arial" w:hAnsi="Arial"/>
          <w:sz w:val="18"/>
          <w:szCs w:val="18"/>
          <w:color w:val="auto"/>
        </w:rPr>
        <w:t>The overall portfolio was 94.3% leased as of September 30, 2016, compared to 95.5% on September 30, 2015. Federal Realty’s same center portfolio was 95.5% leased on September 30, 2016, compared to 96.1% on September 30, 2015.</w:t>
      </w:r>
    </w:p>
    <w:p>
      <w:pPr>
        <w:spacing w:after="0" w:line="240" w:lineRule="exact"/>
        <w:rPr>
          <w:sz w:val="20"/>
          <w:szCs w:val="20"/>
          <w:color w:val="auto"/>
        </w:rPr>
      </w:pPr>
    </w:p>
    <w:p>
      <w:pPr>
        <w:jc w:val="both"/>
        <w:spacing w:after="0" w:line="367" w:lineRule="auto"/>
        <w:rPr>
          <w:sz w:val="20"/>
          <w:szCs w:val="20"/>
          <w:color w:val="auto"/>
        </w:rPr>
      </w:pPr>
      <w:r>
        <w:rPr>
          <w:rFonts w:ascii="Arial" w:cs="Arial" w:eastAsia="Arial" w:hAnsi="Arial"/>
          <w:sz w:val="18"/>
          <w:szCs w:val="18"/>
          <w:color w:val="auto"/>
        </w:rPr>
        <w:t>During third quarter 2016, Federal Realty signed 102 leases for 452,836 square feet of retail space. On a comparable space basis (i.e., spaces for which there was a former tenant), Federal Realty leased 427,021 square feet at an average cash basis contractual rent increase per square foot (i.e., excluding the impact of straight-line rents) of 14%. The average contractual rent on this comparable space for the first year of the new leases is $31.25 per square foot compared to the average contractual rent of $27.40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27% for third quarter 2016.</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06" w:lineRule="exact"/>
        <w:rPr>
          <w:sz w:val="20"/>
          <w:szCs w:val="20"/>
          <w:color w:val="auto"/>
        </w:rPr>
      </w:pPr>
    </w:p>
    <w:p>
      <w:pPr>
        <w:jc w:val="both"/>
        <w:spacing w:after="0" w:line="381" w:lineRule="auto"/>
        <w:rPr>
          <w:sz w:val="20"/>
          <w:szCs w:val="20"/>
          <w:color w:val="auto"/>
        </w:rPr>
      </w:pPr>
      <w:r>
        <w:rPr>
          <w:rFonts w:ascii="Arial" w:cs="Arial" w:eastAsia="Arial" w:hAnsi="Arial"/>
          <w:sz w:val="18"/>
          <w:szCs w:val="18"/>
          <w:color w:val="auto"/>
        </w:rPr>
        <w:t>Federal Realty also announced today that its Board of Trustees declared a regular quarterly cash dividend of $0.98 per share, resulting in an indicated annual rate of $3.92 per share. The regular common dividend will be payable on January 17, 2017 to common shareholders of record as of January 3, 2017.</w:t>
      </w:r>
    </w:p>
    <w:p>
      <w:pPr>
        <w:sectPr>
          <w:pgSz w:w="11900" w:h="16838" w:orient="portrait"/>
          <w:cols w:equalWidth="0" w:num="1">
            <w:col w:w="11420"/>
          </w:cols>
          <w:pgMar w:left="240" w:top="13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319"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2016 OPERATING RESULTS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NOVEMBER 2,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200" w:lineRule="exact"/>
        <w:rPr>
          <w:sz w:val="20"/>
          <w:szCs w:val="20"/>
          <w:color w:val="auto"/>
        </w:rPr>
      </w:pPr>
    </w:p>
    <w:p>
      <w:pPr>
        <w:spacing w:after="0" w:line="216" w:lineRule="exact"/>
        <w:rPr>
          <w:sz w:val="20"/>
          <w:szCs w:val="20"/>
          <w:color w:val="auto"/>
        </w:rPr>
      </w:pPr>
    </w:p>
    <w:p>
      <w:pPr>
        <w:ind w:left="660" w:right="340" w:hanging="328"/>
        <w:spacing w:after="0" w:line="359"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July 12, 2016 - Federal Realty closed on the public offering of $250 million aggregate principal amount of 3.625% senior unsecured notes due August 1, 2046. The notes were offered at 97.756% of the principal amount with a yield to maturity of 3.750%</w:t>
      </w:r>
    </w:p>
    <w:p>
      <w:pPr>
        <w:ind w:left="660" w:right="100" w:hanging="328"/>
        <w:spacing w:after="0" w:line="37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July 13, 2016 - Federal Realty announced the appointment of Dan Guglielmone to the position of Executive Vice President, Chief Financial Officer and Treasurer effective August 15, 2016. Mr. Guglielmone will be a member of the Firm's Executive and Investment Committees and will be responsible for all capital markets activity along with east coast acquisitions. In addition, he will be responsible for the oversight of the accounting, financial reporting and investor relations functions. Dan will be based at Federal's headquarters in Rockville, Md.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06" w:lineRule="exact"/>
        <w:rPr>
          <w:sz w:val="20"/>
          <w:szCs w:val="20"/>
          <w:color w:val="auto"/>
        </w:rPr>
      </w:pPr>
    </w:p>
    <w:p>
      <w:pPr>
        <w:jc w:val="both"/>
        <w:spacing w:after="0" w:line="401" w:lineRule="auto"/>
        <w:rPr>
          <w:sz w:val="20"/>
          <w:szCs w:val="20"/>
          <w:color w:val="auto"/>
        </w:rPr>
      </w:pPr>
      <w:r>
        <w:rPr>
          <w:rFonts w:ascii="Arial" w:cs="Arial" w:eastAsia="Arial" w:hAnsi="Arial"/>
          <w:sz w:val="18"/>
          <w:szCs w:val="18"/>
          <w:color w:val="auto"/>
        </w:rPr>
        <w:t>Federal Realty narrowed its guidance for 2016 FFO per diluted to a range of $5.63 to $5.67 and adjusted 2016 earnings per diluted share guidance to a range of $3.47 to $3.51.</w:t>
      </w:r>
    </w:p>
    <w:p>
      <w:pPr>
        <w:spacing w:after="0" w:line="240" w:lineRule="exact"/>
        <w:rPr>
          <w:sz w:val="20"/>
          <w:szCs w:val="20"/>
          <w:color w:val="auto"/>
        </w:rPr>
      </w:pPr>
    </w:p>
    <w:p>
      <w:pPr>
        <w:jc w:val="both"/>
        <w:spacing w:after="0" w:line="381" w:lineRule="auto"/>
        <w:rPr>
          <w:sz w:val="20"/>
          <w:szCs w:val="20"/>
          <w:color w:val="auto"/>
        </w:rPr>
      </w:pPr>
      <w:r>
        <w:rPr>
          <w:rFonts w:ascii="Arial" w:cs="Arial" w:eastAsia="Arial" w:hAnsi="Arial"/>
          <w:sz w:val="18"/>
          <w:szCs w:val="18"/>
          <w:color w:val="auto"/>
        </w:rPr>
        <w:t>In addition, Federal Realty provided initial 2017 FFO per diluted share guidance of $5.83 to $5.93 and 2017 earnings per diluted share guidance of $3.13 to $3.23. Federal Realty has provided additional disclosure around its 2017 guidance on the reconciliation page attached at the end of this press release.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06" w:lineRule="exact"/>
        <w:rPr>
          <w:sz w:val="20"/>
          <w:szCs w:val="20"/>
          <w:color w:val="auto"/>
        </w:rPr>
      </w:pPr>
    </w:p>
    <w:p>
      <w:pPr>
        <w:ind w:right="40"/>
        <w:spacing w:after="0" w:line="370"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third quarter 2016 earnings conference call, which is scheduled for Thursday, November 3, 2016 at 11:00AM ET. To participate, please call 877.445.3230 five to ten minutes prior to the call start time and use the passcode 75378394 (required). Federal Realty will also provide an online webcast on the Company’s website,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which will remain available for 30 days following the call. A telephonic replay of the conference call will also be available through November 10, 2016 by dialing 855.859.2056; Passcode: 75378394.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06" w:lineRule="exact"/>
        <w:rPr>
          <w:sz w:val="20"/>
          <w:szCs w:val="20"/>
          <w:color w:val="auto"/>
        </w:rPr>
      </w:pPr>
    </w:p>
    <w:p>
      <w:pPr>
        <w:ind w:right="60"/>
        <w:spacing w:after="0" w:line="368"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our mission is to deliver long term, sustainable growth through investing in densely populated, affluent communities where retail demand exceeds supply. Our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06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2016 OPERATING RESULTS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NOVEMBER 2,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Federal Realty's 96 properties include over 2,800 tenants, in approximately 22 million square feet, and over 1,800 residential units.</w:t>
      </w:r>
    </w:p>
    <w:p>
      <w:pPr>
        <w:spacing w:after="0" w:line="200" w:lineRule="exact"/>
        <w:rPr>
          <w:sz w:val="20"/>
          <w:szCs w:val="20"/>
          <w:color w:val="auto"/>
        </w:rPr>
      </w:pPr>
    </w:p>
    <w:p>
      <w:pPr>
        <w:spacing w:after="0" w:line="214" w:lineRule="exact"/>
        <w:rPr>
          <w:sz w:val="20"/>
          <w:szCs w:val="20"/>
          <w:color w:val="auto"/>
        </w:rPr>
      </w:pPr>
    </w:p>
    <w:p>
      <w:pPr>
        <w:ind w:right="160"/>
        <w:spacing w:after="0" w:line="381" w:lineRule="auto"/>
        <w:rPr>
          <w:sz w:val="20"/>
          <w:szCs w:val="20"/>
          <w:color w:val="auto"/>
        </w:rPr>
      </w:pPr>
      <w:r>
        <w:rPr>
          <w:rFonts w:ascii="Arial" w:cs="Arial" w:eastAsia="Arial" w:hAnsi="Arial"/>
          <w:sz w:val="18"/>
          <w:szCs w:val="18"/>
          <w:color w:val="auto"/>
        </w:rPr>
        <w:t>Federal Realty has paid quarterly dividends to its shareholders continuously since its founding in 1962, and has increased its dividend rate for 49 consecutive years, the longest record in the REIT industry. Federal Realty shares are traded on the NYSE under the symbol FRT. For additional information about Federal Realty and its properties, visit www.FederalRealty.com.</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9, 2016, and include the following:</w:t>
      </w:r>
    </w:p>
    <w:p>
      <w:pPr>
        <w:spacing w:after="0" w:line="198" w:lineRule="exact"/>
        <w:rPr>
          <w:sz w:val="20"/>
          <w:szCs w:val="20"/>
          <w:color w:val="auto"/>
        </w:rPr>
      </w:pPr>
    </w:p>
    <w:p>
      <w:pPr>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2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24"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24" w:lineRule="exact"/>
        <w:rPr>
          <w:rFonts w:ascii="Times New Roman" w:cs="Times New Roman" w:eastAsia="Times New Roman" w:hAnsi="Times New Roman"/>
          <w:sz w:val="18"/>
          <w:szCs w:val="18"/>
          <w:color w:val="auto"/>
        </w:rPr>
      </w:pPr>
    </w:p>
    <w:p>
      <w:pPr>
        <w:jc w:val="both"/>
        <w:ind w:left="660" w:hanging="328"/>
        <w:spacing w:after="0" w:line="292"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23" w:lineRule="exact"/>
        <w:rPr>
          <w:rFonts w:ascii="Times New Roman" w:cs="Times New Roman" w:eastAsia="Times New Roman" w:hAnsi="Times New Roman"/>
          <w:sz w:val="18"/>
          <w:szCs w:val="18"/>
          <w:color w:val="auto"/>
        </w:rPr>
      </w:pPr>
    </w:p>
    <w:p>
      <w:pPr>
        <w:jc w:val="both"/>
        <w:ind w:left="660" w:right="20" w:hanging="328"/>
        <w:spacing w:after="0" w:line="283"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24" w:lineRule="exact"/>
        <w:rPr>
          <w:rFonts w:ascii="Times New Roman" w:cs="Times New Roman" w:eastAsia="Times New Roman" w:hAnsi="Times New Roman"/>
          <w:sz w:val="18"/>
          <w:szCs w:val="18"/>
          <w:color w:val="auto"/>
        </w:rPr>
      </w:pPr>
    </w:p>
    <w:p>
      <w:pPr>
        <w:jc w:val="both"/>
        <w:ind w:left="660" w:right="20" w:hanging="328"/>
        <w:spacing w:after="0" w:line="302"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9, 2016.</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062" w:right="239"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22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75"/>
        </w:trPr>
        <w:tc>
          <w:tcPr>
            <w:tcW w:w="4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23"/>
                <w:szCs w:val="2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45"/>
        </w:trPr>
        <w:tc>
          <w:tcPr>
            <w:tcW w:w="4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Rental income</w:t>
            </w: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197,469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181,562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585,712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538,612</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property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9,364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 interest income</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3,529</w:t>
            </w:r>
          </w:p>
        </w:tc>
        <w:tc>
          <w:tcPr>
            <w:tcW w:w="0" w:type="dxa"/>
            <w:vAlign w:val="bottom"/>
          </w:tcPr>
          <w:p>
            <w:pPr>
              <w:spacing w:after="0"/>
              <w:rPr>
                <w:sz w:val="1"/>
                <w:szCs w:val="1"/>
                <w:color w:val="auto"/>
              </w:rPr>
            </w:pPr>
          </w:p>
        </w:tc>
      </w:tr>
      <w:tr>
        <w:trPr>
          <w:trHeight w:val="237"/>
        </w:trPr>
        <w:tc>
          <w:tcPr>
            <w:tcW w:w="5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201,157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185,252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597,482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551,505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Rental expenses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38,588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34,439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118,385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108,501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Real estate taxes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24,973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21,804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71,164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62,865</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9,374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25,278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48,903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43,718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145,137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128,373</w:t>
            </w:r>
          </w:p>
        </w:tc>
        <w:tc>
          <w:tcPr>
            <w:tcW w:w="0" w:type="dxa"/>
            <w:vAlign w:val="bottom"/>
          </w:tcPr>
          <w:p>
            <w:pPr>
              <w:spacing w:after="0"/>
              <w:rPr>
                <w:sz w:val="1"/>
                <w:szCs w:val="1"/>
                <w:color w:val="auto"/>
              </w:rPr>
            </w:pPr>
          </w:p>
        </w:tc>
      </w:tr>
      <w:tr>
        <w:trPr>
          <w:trHeight w:val="237"/>
        </w:trPr>
        <w:tc>
          <w:tcPr>
            <w:tcW w:w="52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120,696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109,335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359,964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327,265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80,461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75,917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237,518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224,240</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interest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(69,346)</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from real estate partnerships</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56,253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54,550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166,701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136,917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interests</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32,458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11,509</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61,198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54,550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199,159</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148,426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58,977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52,447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191,873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142,265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78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58,841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52,311</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191,467</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141,859</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Continuing operations</w:t>
            </w: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Gain on sale of real estate and change in control of interests,</w:t>
            </w:r>
          </w:p>
        </w:tc>
        <w:tc>
          <w:tcPr>
            <w:tcW w:w="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shd w:val="clear" w:color="auto" w:fill="CCEEFF"/>
              </w:rPr>
              <w:t>net</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700" w:type="dxa"/>
            <w:vAlign w:val="bottom"/>
            <w:tcBorders>
              <w:bottom w:val="single" w:sz="8" w:color="CCEEFF"/>
            </w:tcBorders>
          </w:tcPr>
          <w:p>
            <w:pPr>
              <w:spacing w:after="0"/>
              <w:rPr>
                <w:sz w:val="5"/>
                <w:szCs w:val="5"/>
                <w:color w:val="auto"/>
              </w:rPr>
            </w:pPr>
          </w:p>
        </w:tc>
        <w:tc>
          <w:tcPr>
            <w:tcW w:w="7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number of common shares, basic</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71,319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69,006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70,626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68,637</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gridSpan w:val="2"/>
            <w:vMerge w:val="continue"/>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Continuing operations</w:t>
            </w: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interests, net</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Weighted average number of common shares, diluted</w:t>
            </w:r>
          </w:p>
        </w:tc>
        <w:tc>
          <w:tcPr>
            <w:tcW w:w="7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71,489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69,181</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70,804</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68,821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85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49"/>
        </w:trPr>
        <w:tc>
          <w:tcPr>
            <w:tcW w:w="8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gridSpan w:val="4"/>
          </w:tcPr>
          <w:p>
            <w:pPr>
              <w:jc w:val="right"/>
              <w:ind w:right="51"/>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r>
      <w:tr>
        <w:trPr>
          <w:trHeight w:val="190"/>
        </w:trPr>
        <w:tc>
          <w:tcPr>
            <w:tcW w:w="8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data)</w:t>
            </w:r>
          </w:p>
        </w:tc>
        <w:tc>
          <w:tcPr>
            <w:tcW w:w="1180" w:type="dxa"/>
            <w:vAlign w:val="bottom"/>
          </w:tcPr>
          <w:p>
            <w:pPr>
              <w:spacing w:after="0"/>
              <w:rPr>
                <w:sz w:val="16"/>
                <w:szCs w:val="16"/>
                <w:color w:val="auto"/>
              </w:rPr>
            </w:pPr>
          </w:p>
        </w:tc>
      </w:tr>
      <w:tr>
        <w:trPr>
          <w:trHeight w:val="270"/>
        </w:trPr>
        <w:tc>
          <w:tcPr>
            <w:tcW w:w="8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 estate, at cost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(including $1,219,223 and $1,192,336 of consolidated variable interest entities, 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6,017,414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5,630,771</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Construction-in-progress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586,918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433,635</w:t>
            </w:r>
          </w:p>
        </w:tc>
      </w:tr>
      <w:tr>
        <w:trPr>
          <w:trHeight w:val="237"/>
        </w:trPr>
        <w:tc>
          <w:tcPr>
            <w:tcW w:w="85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6,604,332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6,064,406</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Less accumulated depreciation and amortization (including $200,877 and $176,057 of consolidated variable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1"/>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(1,688,510)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(1,574,041)</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real estate</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4,915,822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4,490,365</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101,281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21,046</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110,402</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41,618</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 in real estate partnerships</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41,546</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219,066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191,582</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5,397,337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4,896,559</w:t>
            </w:r>
          </w:p>
        </w:tc>
      </w:tr>
      <w:tr>
        <w:trPr>
          <w:trHeight w:val="67"/>
        </w:trPr>
        <w:tc>
          <w:tcPr>
            <w:tcW w:w="85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Mortgages payable (including $441,294 and $448,315 of consolidated variable interest entities,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1"/>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473,490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481,084</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71,597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71,620</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288,489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341,961</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Senior notes and debentures</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1,975,988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1,732,551</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184,007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146,532</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Dividends payable</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66,338</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15,439</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121,787</w:t>
            </w: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3,200,261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2,977,312</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125,861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137,316</w:t>
            </w:r>
          </w:p>
        </w:tc>
      </w:tr>
      <w:tr>
        <w:trPr>
          <w:trHeight w:val="243"/>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85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Preferred shares, authorized 15,000,000 shares, $.01 par: 5.417% Series 1 Cumulative Convertible Preferred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1"/>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Shares, (stated at liquidation preference $25 per share), 399,896 shares issued and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9,997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9,997</w:t>
            </w:r>
          </w:p>
        </w:tc>
      </w:tr>
      <w:tr>
        <w:trPr>
          <w:trHeight w:val="225"/>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Common shares of beneficial interest, $.01 par, 100,000,000 shares authorized, 71,782,989 and 69,493,392</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696</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2,704,490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2,381,867</w:t>
            </w:r>
          </w:p>
        </w:tc>
      </w:tr>
      <w:tr>
        <w:trPr>
          <w:trHeight w:val="243"/>
        </w:trPr>
        <w:tc>
          <w:tcPr>
            <w:tcW w:w="85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(724,701)</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1,972,690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1,663,749</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98,525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118,182</w:t>
            </w: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2,071,215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1,781,931</w:t>
            </w: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5,397,337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4,896,559</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738" w:right="239" w:bottom="1440"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75"/>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23"/>
                <w:szCs w:val="2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5"/>
        </w:trPr>
        <w:tc>
          <w:tcPr>
            <w:tcW w:w="20" w:type="dxa"/>
            <w:vAlign w:val="bottom"/>
            <w:shd w:val="clear" w:color="auto" w:fill="CCEEFF"/>
          </w:tcPr>
          <w:p>
            <w:pPr>
              <w:spacing w:after="0"/>
              <w:rPr>
                <w:sz w:val="22"/>
                <w:szCs w:val="22"/>
                <w:color w:val="auto"/>
              </w:rPr>
            </w:pPr>
          </w:p>
        </w:tc>
        <w:tc>
          <w:tcPr>
            <w:tcW w:w="5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Funds from Operations available for common shareholders (FFO) (1)</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50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ind w:right="92"/>
              <w:spacing w:after="0"/>
              <w:rPr>
                <w:sz w:val="20"/>
                <w:szCs w:val="20"/>
                <w:color w:val="auto"/>
              </w:rPr>
            </w:pPr>
            <w:r>
              <w:rPr>
                <w:rFonts w:ascii="Times New Roman" w:cs="Times New Roman" w:eastAsia="Times New Roman" w:hAnsi="Times New Roman"/>
                <w:sz w:val="18"/>
                <w:szCs w:val="18"/>
                <w:color w:val="auto"/>
              </w:rPr>
              <w:t>61,198</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CEEFF"/>
            </w:tcBorders>
          </w:tcPr>
          <w:p>
            <w:pPr>
              <w:jc w:val="right"/>
              <w:ind w:right="112"/>
              <w:spacing w:after="0"/>
              <w:rPr>
                <w:sz w:val="20"/>
                <w:szCs w:val="20"/>
                <w:color w:val="auto"/>
              </w:rPr>
            </w:pPr>
            <w:r>
              <w:rPr>
                <w:rFonts w:ascii="Times New Roman" w:cs="Times New Roman" w:eastAsia="Times New Roman" w:hAnsi="Times New Roman"/>
                <w:sz w:val="18"/>
                <w:szCs w:val="18"/>
                <w:color w:val="auto"/>
              </w:rPr>
              <w:t>54,550</w:t>
            </w:r>
          </w:p>
        </w:tc>
        <w:tc>
          <w:tcPr>
            <w:tcW w:w="1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ind w:right="112"/>
              <w:spacing w:after="0"/>
              <w:rPr>
                <w:sz w:val="20"/>
                <w:szCs w:val="20"/>
                <w:color w:val="auto"/>
              </w:rPr>
            </w:pPr>
            <w:r>
              <w:rPr>
                <w:rFonts w:ascii="Times New Roman" w:cs="Times New Roman" w:eastAsia="Times New Roman" w:hAnsi="Times New Roman"/>
                <w:sz w:val="18"/>
                <w:szCs w:val="18"/>
                <w:color w:val="auto"/>
              </w:rPr>
              <w:t>199,159</w:t>
            </w:r>
          </w:p>
        </w:tc>
        <w:tc>
          <w:tcPr>
            <w:tcW w:w="10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tcPr>
          <w:p>
            <w:pPr>
              <w:jc w:val="right"/>
              <w:ind w:right="111"/>
              <w:spacing w:after="0"/>
              <w:rPr>
                <w:sz w:val="20"/>
                <w:szCs w:val="20"/>
                <w:color w:val="auto"/>
              </w:rPr>
            </w:pPr>
            <w:r>
              <w:rPr>
                <w:rFonts w:ascii="Times New Roman" w:cs="Times New Roman" w:eastAsia="Times New Roman" w:hAnsi="Times New Roman"/>
                <w:sz w:val="18"/>
                <w:szCs w:val="18"/>
                <w:color w:val="auto"/>
              </w:rPr>
              <w:t>148,426</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(7,286)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(6,161)</w:t>
            </w:r>
          </w:p>
        </w:tc>
      </w:tr>
      <w:tr>
        <w:trPr>
          <w:trHeight w:val="243"/>
        </w:trPr>
        <w:tc>
          <w:tcPr>
            <w:tcW w:w="5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interests, net</w:t>
            </w:r>
          </w:p>
        </w:tc>
        <w:tc>
          <w:tcPr>
            <w:tcW w:w="3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(31,133)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(11,509)</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42,779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38,603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126,806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113,613</w:t>
            </w:r>
          </w:p>
        </w:tc>
      </w:tr>
      <w:tr>
        <w:trPr>
          <w:trHeight w:val="243"/>
        </w:trPr>
        <w:tc>
          <w:tcPr>
            <w:tcW w:w="5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4,260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3,689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12,729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10,805</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Funds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101,310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94,739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300,275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255,174</w:t>
            </w:r>
          </w:p>
        </w:tc>
      </w:tr>
      <w:tr>
        <w:trPr>
          <w:trHeight w:val="243"/>
        </w:trPr>
        <w:tc>
          <w:tcPr>
            <w:tcW w:w="5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3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(406)</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operating partnership units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2,520</w:t>
            </w:r>
          </w:p>
        </w:tc>
      </w:tr>
      <w:tr>
        <w:trPr>
          <w:trHeight w:val="243"/>
        </w:trPr>
        <w:tc>
          <w:tcPr>
            <w:tcW w:w="5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30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(899)</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82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FFO (2)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101,661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95,157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301,440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256,389</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91"/>
        </w:trPr>
        <w:tc>
          <w:tcPr>
            <w:tcW w:w="58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diluted</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72,254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70,115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71,642</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69,761</w:t>
            </w:r>
          </w:p>
        </w:tc>
      </w:tr>
      <w:tr>
        <w:trPr>
          <w:trHeight w:val="251"/>
        </w:trPr>
        <w:tc>
          <w:tcPr>
            <w:tcW w:w="58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per diluted share (2)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3.68</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auto"/>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Summary of Capital Expenditures</w:t>
            </w:r>
          </w:p>
        </w:tc>
        <w:tc>
          <w:tcPr>
            <w:tcW w:w="3360" w:type="dxa"/>
            <w:vAlign w:val="bottom"/>
            <w:tcBorders>
              <w:bottom w:val="single" w:sz="8" w:color="CCEEFF"/>
            </w:tcBorders>
            <w:gridSpan w:val="2"/>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Non-maintenance capital expenditures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Development, redevelopment and expansions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130,312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51,847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295,533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180,475</w:t>
            </w:r>
          </w:p>
        </w:tc>
      </w:tr>
      <w:tr>
        <w:trPr>
          <w:trHeight w:val="243"/>
        </w:trPr>
        <w:tc>
          <w:tcPr>
            <w:tcW w:w="20" w:type="dxa"/>
            <w:vAlign w:val="bottom"/>
          </w:tcPr>
          <w:p>
            <w:pPr>
              <w:spacing w:after="0"/>
              <w:rPr>
                <w:sz w:val="21"/>
                <w:szCs w:val="21"/>
                <w:color w:val="auto"/>
              </w:rPr>
            </w:pPr>
          </w:p>
        </w:tc>
        <w:tc>
          <w:tcPr>
            <w:tcW w:w="58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Tenant improvements and incentives</w:t>
            </w: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8,976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4,943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24,404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15,729</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non-maintenance capital expenditures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139,288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56,790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319,937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196,204</w:t>
            </w:r>
          </w:p>
        </w:tc>
      </w:tr>
      <w:tr>
        <w:trPr>
          <w:trHeight w:val="243"/>
        </w:trPr>
        <w:tc>
          <w:tcPr>
            <w:tcW w:w="20" w:type="dxa"/>
            <w:vAlign w:val="bottom"/>
          </w:tcPr>
          <w:p>
            <w:pPr>
              <w:spacing w:after="0"/>
              <w:rPr>
                <w:sz w:val="21"/>
                <w:szCs w:val="21"/>
                <w:color w:val="auto"/>
              </w:rPr>
            </w:pPr>
          </w:p>
        </w:tc>
        <w:tc>
          <w:tcPr>
            <w:tcW w:w="582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0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8,949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16,130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9,309</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58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148,237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61,010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336,067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205,513</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Dividends and Payout Ratios</w:t>
            </w:r>
          </w:p>
        </w:tc>
        <w:tc>
          <w:tcPr>
            <w:tcW w:w="3720" w:type="dxa"/>
            <w:vAlign w:val="bottom"/>
            <w:tcBorders>
              <w:bottom w:val="single" w:sz="8" w:color="CCEEFF"/>
            </w:tcBorders>
            <w:gridSpan w:val="3"/>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Regular common dividends declared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70,301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65,276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203,890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185,071</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58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Dividend payout ratio as a percentage of FFO (2)</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7"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Glossary of Terms.</w:t>
      </w:r>
    </w:p>
    <w:p>
      <w:pPr>
        <w:spacing w:after="0" w:line="9" w:lineRule="exact"/>
        <w:rPr>
          <w:rFonts w:ascii="Times New Roman" w:cs="Times New Roman" w:eastAsia="Times New Roman" w:hAnsi="Times New Roman"/>
          <w:sz w:val="18"/>
          <w:szCs w:val="18"/>
          <w:color w:val="auto"/>
        </w:rPr>
      </w:pPr>
    </w:p>
    <w:p>
      <w:pPr>
        <w:ind w:left="660" w:right="60" w:hanging="652"/>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$19.1 million early extinguishment of debt charge incurred in the second quarter of 2015 was excluded, our FFO for the nine months ended September 30, 2015 would have been $275.4 million, and FFO per diluted share would have been $3.95. Additionally, the dividend payout ratio as a percentage of FFO for the nine months ended September 30, 2015 would have been 67%.</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38" w:right="239"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264"/>
        </w:trPr>
        <w:tc>
          <w:tcPr>
            <w:tcW w:w="8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55"/>
        </w:trPr>
        <w:tc>
          <w:tcPr>
            <w:tcW w:w="8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shares outstanding and operating partnership units (1)</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72,547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70,383</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153.93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136.45</w:t>
            </w:r>
          </w:p>
        </w:tc>
      </w:tr>
      <w:tr>
        <w:trPr>
          <w:trHeight w:val="237"/>
        </w:trPr>
        <w:tc>
          <w:tcPr>
            <w:tcW w:w="8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Common equity market capitalization including operating partnership units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11,167,160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9,603,760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25.00</w:t>
            </w:r>
          </w:p>
        </w:tc>
      </w:tr>
      <w:tr>
        <w:trPr>
          <w:trHeight w:val="237"/>
        </w:trPr>
        <w:tc>
          <w:tcPr>
            <w:tcW w:w="8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market capitalization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11,177,160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9,613,760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2,809,564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2,517,548</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13,986,724</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12,131,308</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debt to market capitalization at the current market price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8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6"/>
                <w:szCs w:val="16"/>
                <w:color w:val="auto"/>
              </w:rPr>
              <w:t>&lt;1%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&lt;1%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4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763,797 and 934,405 operating partnership units outstanding at September 30, 2016 and 2015, respectively.</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issued March 8, 2007, are unregistered.</w:t>
      </w:r>
    </w:p>
    <w:p>
      <w:pPr>
        <w:spacing w:after="0" w:line="59" w:lineRule="exact"/>
        <w:rPr>
          <w:rFonts w:ascii="Times New Roman" w:cs="Times New Roman" w:eastAsia="Times New Roman" w:hAnsi="Times New Roman"/>
          <w:sz w:val="16"/>
          <w:szCs w:val="16"/>
          <w:color w:val="auto"/>
        </w:rPr>
      </w:pPr>
    </w:p>
    <w:p>
      <w:pPr>
        <w:ind w:left="660" w:right="60" w:hanging="652"/>
        <w:spacing w:after="0" w:line="258"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debt includes capital leases, mortgages payable, notes payable, senior notes and debentures, net of premiums and debt issuance costs from our consolidated balance sheet. The September 30, 2016 and 2015 balances are net of debt issuance costs of $16.0 million and $15.3 million, respectively, reflecting our January 1, 2016 adoption of ASU 2015-03, "Simplifying the Presentation of Debt Issuance Costs." See Note 2 of our September 30, 2016 Form 10-Q for additional information regarding the adoption.</w:t>
      </w:r>
    </w:p>
    <w:p>
      <w:pPr>
        <w:spacing w:after="0" w:line="1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738" w:right="239"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198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75"/>
        </w:trPr>
        <w:tc>
          <w:tcPr>
            <w:tcW w:w="65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23"/>
                <w:szCs w:val="23"/>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2015</w:t>
            </w:r>
          </w:p>
        </w:tc>
      </w:tr>
      <w:tr>
        <w:trPr>
          <w:trHeight w:val="250"/>
        </w:trPr>
        <w:tc>
          <w:tcPr>
            <w:tcW w:w="6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Minimum rents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Retail and commercial (1)</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137,009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127,564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409,027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377,565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12,886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36,476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31,693</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reimbursements</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40,565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36,272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119,004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110,694</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Percentage rent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7,866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8,641</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13,339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10,019</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rental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197,469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181,562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585,712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538,612</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59" w:lineRule="exact"/>
        <w:rPr>
          <w:sz w:val="20"/>
          <w:szCs w:val="20"/>
          <w:color w:val="auto"/>
        </w:rPr>
      </w:pPr>
    </w:p>
    <w:p>
      <w:pPr>
        <w:ind w:left="660" w:right="200" w:hanging="652"/>
        <w:spacing w:after="0" w:line="258"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rents include $1.5 million and $1.9 million for the three months ended September 30, 2016 and 2015, respectively, and $6.2 million and $5.0 million for the nine months ended September 30, 2016 and 2015, respectively, to recognize minimum rents on a straight-line basis. In addition, minimum rents include $0.5 million and $0.6 million for the three months ended September 30, 2016 and 2015, respectively, and $1.2 million and $1.9 million for the nine months ended September 30, 2016 and 2015,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738" w:right="23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As of September 30, 2016</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Stated maturity date</w:t>
            </w:r>
          </w:p>
        </w:tc>
        <w:tc>
          <w:tcPr>
            <w:tcW w:w="100" w:type="dxa"/>
            <w:vAlign w:val="bottom"/>
            <w:vMerge w:val="restart"/>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vMerge w:val="restart"/>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effective rate (4)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Mortgages Payable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Plaza El Segundo</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8/5/2017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10/1/2017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42,797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The Grove at Shrewsbury (West)</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3/1/2018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10,852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Rollingwood Apartments</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5/1/2019</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21,395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The Shops at Sunset Place</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9/1/2020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68,960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29th Place</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1/31/2021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4,604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THE AVENUE at White Marsh</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1/1/2022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52,705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Montrose Crossing</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1/10/2022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73,133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Brook 35</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7/1/2029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Chelsea</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1/15/2031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6,650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467,596</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Times New Roman" w:cs="Times New Roman" w:eastAsia="Times New Roman" w:hAnsi="Times New Roman"/>
                <w:sz w:val="16"/>
                <w:szCs w:val="16"/>
                <w:color w:val="auto"/>
              </w:rPr>
              <w:t>Net unamortized premium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5,894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mortgages payable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473,490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4.49%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payable</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Term loan (1)</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11/21/2018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LIBOR + 0.90%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Various</w:t>
            </w: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Various through 2028</w:t>
            </w: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5,320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Unsecured variable rate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Escondido (Municipal bonds) (2)</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10/1/2016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Revolving credit facility (3)</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4/20/2020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LIBOR + 0.825%</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289,720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Times New Roman" w:cs="Times New Roman" w:eastAsia="Times New Roman" w:hAnsi="Times New Roman"/>
                <w:sz w:val="16"/>
                <w:szCs w:val="16"/>
                <w:color w:val="auto"/>
              </w:rPr>
              <w:t>Total notes payable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288,489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2.95%</w:t>
            </w:r>
          </w:p>
        </w:tc>
        <w:tc>
          <w:tcPr>
            <w:tcW w:w="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6"/>
              </w:rPr>
              <w:t>(5)</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Senior notes and debentures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5.90% notes</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4/1/2020</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2.55%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1/15/2021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3.00% notes</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8/1/2022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2.75%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6/1/2023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3.95% notes</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1/15/2024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7.48% debentures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8/15/2026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29,200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6.82% medium term notes</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8/1/2027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4.50%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12/1/2044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3.625% notes</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8/1/2046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1,994,200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Times New Roman" w:cs="Times New Roman" w:eastAsia="Times New Roman" w:hAnsi="Times New Roman"/>
                <w:sz w:val="16"/>
                <w:szCs w:val="16"/>
                <w:color w:val="auto"/>
              </w:rPr>
              <w:t>Net unamortized premium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senior notes and debentures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1,975,988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3.99%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lease obligations</w:t>
            </w:r>
          </w:p>
        </w:tc>
        <w:tc>
          <w:tcPr>
            <w:tcW w:w="2640" w:type="dxa"/>
            <w:vAlign w:val="bottom"/>
            <w:tcBorders>
              <w:bottom w:val="single" w:sz="8" w:color="CCEEFF"/>
            </w:tcBorders>
            <w:gridSpan w:val="3"/>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Various</w:t>
            </w: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Various through 2106</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Various</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71,597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8.04%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 and capital lease obligations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2,809,564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fixed rate debt and capital lease obligations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2,800,164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4.08%</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Total variable rate debt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9,400</w:t>
            </w:r>
          </w:p>
        </w:tc>
        <w:tc>
          <w:tcPr>
            <w:tcW w:w="10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&lt;1%</w:t>
            </w: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1.55%</w:t>
            </w:r>
          </w:p>
        </w:tc>
        <w:tc>
          <w:tcPr>
            <w:tcW w:w="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6"/>
              </w:rPr>
              <w:t>(5)</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 and capital lease obligations</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2,809,564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4.07%</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6"/>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5" w:right="239" w:bottom="171"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60" w:top="745" w:right="239" w:bottom="171" w:gutter="0" w:footer="0" w:header="0"/>
          <w:type w:val="continuous"/>
        </w:sectPr>
      </w:pPr>
    </w:p>
    <w:bookmarkStart w:id="15" w:name="page16"/>
    <w:bookmarkEnd w:id="15"/>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09"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24765</wp:posOffset>
            </wp:positionV>
            <wp:extent cx="1183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89" w:lineRule="exact"/>
        <w:rPr>
          <w:sz w:val="20"/>
          <w:szCs w:val="20"/>
          <w:color w:val="auto"/>
        </w:rPr>
      </w:pPr>
    </w:p>
    <w:p>
      <w:pPr>
        <w:ind w:left="8000"/>
        <w:spacing w:after="0"/>
        <w:tabs>
          <w:tab w:leader="none" w:pos="890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0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24765</wp:posOffset>
            </wp:positionV>
            <wp:extent cx="1132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89"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9" w:lineRule="exact"/>
        <w:rPr>
          <w:sz w:val="20"/>
          <w:szCs w:val="20"/>
          <w:color w:val="auto"/>
        </w:rPr>
      </w:pPr>
    </w:p>
    <w:p>
      <w:pPr>
        <w:sectPr>
          <w:pgSz w:w="11900" w:h="16838" w:orient="portrait"/>
          <w:cols w:equalWidth="0" w:num="2">
            <w:col w:w="9260" w:space="660"/>
            <w:col w:w="1500"/>
          </w:cols>
          <w:pgMar w:left="240" w:top="804" w:right="239" w:bottom="1440" w:gutter="0" w:footer="0" w:header="0"/>
        </w:sectPr>
      </w:pPr>
    </w:p>
    <w:tbl>
      <w:tblPr>
        <w:tblLayout w:type="fixed"/>
        <w:tblInd w:w="20" w:type="dxa"/>
        <w:tblCellMar>
          <w:top w:w="0" w:type="dxa"/>
          <w:left w:w="0" w:type="dxa"/>
          <w:bottom w:w="0" w:type="dxa"/>
          <w:right w:w="0" w:type="dxa"/>
        </w:tblCellMar>
      </w:tblPr>
      <w:tr>
        <w:trPr>
          <w:trHeight w:val="254"/>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400" w:type="dxa"/>
            <w:vAlign w:val="bottom"/>
            <w:tcBorders>
              <w:top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Operational Statistics</w:t>
            </w:r>
          </w:p>
        </w:tc>
        <w:tc>
          <w:tcPr>
            <w:tcW w:w="622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37"/>
        </w:trPr>
        <w:tc>
          <w:tcPr>
            <w:tcW w:w="76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Excluding early extinguishment of debt:</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Ratio of EBITDA to combined fixed charges and preferred share dividends (6)(7)</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x</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x</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x</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2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x</w:t>
            </w:r>
          </w:p>
        </w:tc>
      </w:tr>
      <w:tr>
        <w:trPr>
          <w:trHeight w:val="237"/>
        </w:trPr>
        <w:tc>
          <w:tcPr>
            <w:tcW w:w="20" w:type="dxa"/>
            <w:vAlign w:val="bottom"/>
          </w:tcPr>
          <w:p>
            <w:pPr>
              <w:spacing w:after="0"/>
              <w:rPr>
                <w:sz w:val="20"/>
                <w:szCs w:val="20"/>
                <w:color w:val="auto"/>
              </w:rPr>
            </w:pPr>
          </w:p>
        </w:tc>
        <w:tc>
          <w:tcPr>
            <w:tcW w:w="76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Ratio of adjusted EBITDA to combined fixed charges and preferred share dividends (6)(7)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x</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x</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r>
      <w:tr>
        <w:trPr>
          <w:trHeight w:val="3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Including early extinguishment of debt:</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6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Ratio of EBITDA to combined fixed charges and preferred share dividends (6)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x</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x</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2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r>
      <w:tr>
        <w:trPr>
          <w:trHeight w:val="3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Ratio of adjusted EBITDA to combined fixed charges and preferred share dividends (6)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x</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x</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x</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x</w:t>
            </w:r>
          </w:p>
        </w:tc>
      </w:tr>
      <w:tr>
        <w:trPr>
          <w:trHeight w:val="33"/>
        </w:trPr>
        <w:tc>
          <w:tcPr>
            <w:tcW w:w="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5" w:lineRule="exact"/>
        <w:rPr>
          <w:sz w:val="20"/>
          <w:szCs w:val="20"/>
          <w:color w:val="auto"/>
        </w:rPr>
      </w:pPr>
    </w:p>
    <w:p>
      <w:pPr>
        <w:ind w:left="660" w:right="160" w:hanging="652"/>
        <w:spacing w:after="0" w:line="281"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entered into two interest rate swap agreements to fix the variable rate portion of our $275.0 million term loan at 1.72% through November 1, 2018. The swap agreements effectively fix the rate on the term loan at 2.62% and thus, the loan is included in fixed rate debt.</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1, 2016 we repaid the $9.4 million Escondido municipal bonds at par.</w:t>
      </w:r>
    </w:p>
    <w:p>
      <w:pPr>
        <w:spacing w:after="0" w:line="55" w:lineRule="exact"/>
        <w:rPr>
          <w:rFonts w:ascii="Times New Roman" w:cs="Times New Roman" w:eastAsia="Times New Roman" w:hAnsi="Times New Roman"/>
          <w:sz w:val="14"/>
          <w:szCs w:val="14"/>
          <w:color w:val="auto"/>
        </w:rPr>
      </w:pPr>
    </w:p>
    <w:p>
      <w:pPr>
        <w:jc w:val="both"/>
        <w:ind w:left="660" w:right="320" w:hanging="652"/>
        <w:spacing w:after="0" w:line="261"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amount drawn under our revolving credit facility during the three and nine months ended September 30, 2016 was $95.0 million and $251.5 million, respectively. The weighted average interest rate on borrowings under our revolving credit facility, before amortization of debt fees, for both the three and nine months ended September 30, 2016, was 1.3%.</w:t>
      </w:r>
    </w:p>
    <w:p>
      <w:pPr>
        <w:spacing w:after="0" w:line="14" w:lineRule="exact"/>
        <w:rPr>
          <w:rFonts w:ascii="Times New Roman" w:cs="Times New Roman" w:eastAsia="Times New Roman" w:hAnsi="Times New Roman"/>
          <w:sz w:val="14"/>
          <w:szCs w:val="14"/>
          <w:color w:val="auto"/>
        </w:rPr>
      </w:pPr>
    </w:p>
    <w:p>
      <w:pPr>
        <w:ind w:left="660" w:right="140" w:hanging="652"/>
        <w:spacing w:after="0" w:line="281"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interest rate includes the amortization of any deferred financing fees, discounts and premiums, and debt issuance costs, if applicable, except as described in Note 5.</w:t>
      </w:r>
    </w:p>
    <w:p>
      <w:pPr>
        <w:spacing w:after="0" w:line="1" w:lineRule="exact"/>
        <w:rPr>
          <w:rFonts w:ascii="Times New Roman" w:cs="Times New Roman" w:eastAsia="Times New Roman" w:hAnsi="Times New Roman"/>
          <w:sz w:val="14"/>
          <w:szCs w:val="14"/>
          <w:color w:val="auto"/>
        </w:rPr>
      </w:pPr>
    </w:p>
    <w:p>
      <w:pPr>
        <w:ind w:left="660" w:right="40" w:hanging="652"/>
        <w:spacing w:after="0" w:line="261"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interest rate excludes $0.6 million in quarterly financing fees and quarterly debt fee amortization on our revolving credit facility which had no outstanding balance on September 30, 2016. In addition, the weighted average effective interest rate is calculated using the fixed rate on our term loan of 2.62% as the result of the interest rate swap agreements discussed in Note 1. The term loan is included in fixed rate debt.</w:t>
      </w:r>
    </w:p>
    <w:p>
      <w:pPr>
        <w:spacing w:after="0" w:line="14" w:lineRule="exact"/>
        <w:rPr>
          <w:rFonts w:ascii="Times New Roman" w:cs="Times New Roman" w:eastAsia="Times New Roman" w:hAnsi="Times New Roman"/>
          <w:sz w:val="14"/>
          <w:szCs w:val="14"/>
          <w:color w:val="auto"/>
        </w:rPr>
      </w:pPr>
    </w:p>
    <w:p>
      <w:pPr>
        <w:jc w:val="both"/>
        <w:ind w:left="660" w:right="80" w:hanging="652"/>
        <w:spacing w:after="0" w:line="255"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charges consist of interest on borrowed funds (including capitalized interest), amortization of debt discount/premium and debt costs and the portion of rent expense representing an interest factor. EBITDA includes a gain on the sale of real estate of $4.9 million for the three months ended September 30, 2016, and a gain on sale of real estate and change in control of interests of $32.5 million for the nine months ended September 30, 2016. For the nine months ended September 30, 2015, EBITDA includes a gain on sale of real estate of $11.5 million. Adjusted EBITDA is reconciled to net income in the Glossary of Terms.</w:t>
      </w:r>
    </w:p>
    <w:p>
      <w:pPr>
        <w:spacing w:after="0" w:line="18" w:lineRule="exact"/>
        <w:rPr>
          <w:rFonts w:ascii="Times New Roman" w:cs="Times New Roman" w:eastAsia="Times New Roman" w:hAnsi="Times New Roman"/>
          <w:sz w:val="14"/>
          <w:szCs w:val="14"/>
          <w:color w:val="auto"/>
        </w:rPr>
      </w:pPr>
    </w:p>
    <w:p>
      <w:pPr>
        <w:ind w:left="660" w:right="140" w:hanging="652"/>
        <w:spacing w:after="0" w:line="282" w:lineRule="auto"/>
        <w:tabs>
          <w:tab w:leader="none" w:pos="6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charges for the nine months ended September 30, 2015 exclude the $19.1 million early extinguishment of debt charge related to the make-whole premium paid as part of the early redemption of the 6.20% senior notes in the second quarter of 2015.</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804" w:right="239"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Cumulative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Percent of Debt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 of Debt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80" w:type="dxa"/>
            <w:vAlign w:val="bottom"/>
          </w:tcPr>
          <w:p>
            <w:pPr>
              <w:spacing w:after="0"/>
              <w:rPr>
                <w:sz w:val="18"/>
                <w:szCs w:val="18"/>
                <w:color w:val="auto"/>
              </w:rPr>
            </w:pPr>
          </w:p>
        </w:tc>
        <w:tc>
          <w:tcPr>
            <w:tcW w:w="1740" w:type="dxa"/>
            <w:vAlign w:val="bottom"/>
            <w:gridSpan w:val="2"/>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116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1,310</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9,400</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10,710</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6,228</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216,732</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222,960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5,519</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285,502</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291,021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5,449</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20,160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25,609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19.5%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9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4,763</w:t>
            </w:r>
          </w:p>
        </w:tc>
        <w:tc>
          <w:tcPr>
            <w:tcW w:w="5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210,593</w:t>
            </w:r>
          </w:p>
        </w:tc>
        <w:tc>
          <w:tcPr>
            <w:tcW w:w="56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215,356</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5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27.1%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3,101</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253,625</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256,726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1,228</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366,323</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367,551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49.2%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330,010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331,263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1,054</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300,000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301,054</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71.6%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540</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71.6%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19,623</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780,700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800,323</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50,068</w:t>
            </w:r>
          </w:p>
        </w:tc>
        <w:tc>
          <w:tcPr>
            <w:tcW w:w="5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2,773,045</w:t>
            </w:r>
          </w:p>
        </w:tc>
        <w:tc>
          <w:tcPr>
            <w:tcW w:w="56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line="263" w:lineRule="exact"/>
              <w:rPr>
                <w:sz w:val="20"/>
                <w:szCs w:val="20"/>
                <w:color w:val="auto"/>
              </w:rPr>
            </w:pPr>
            <w:r>
              <w:rPr>
                <w:rFonts w:ascii="Times New Roman" w:cs="Times New Roman" w:eastAsia="Times New Roman" w:hAnsi="Times New Roman"/>
                <w:sz w:val="18"/>
                <w:szCs w:val="18"/>
                <w:color w:val="auto"/>
              </w:rPr>
              <w:t xml:space="preserve">2,823,113  </w:t>
            </w:r>
            <w:r>
              <w:rPr>
                <w:rFonts w:ascii="Times New Roman" w:cs="Times New Roman" w:eastAsia="Times New Roman" w:hAnsi="Times New Roman"/>
                <w:sz w:val="28"/>
                <w:szCs w:val="28"/>
                <w:color w:val="auto"/>
                <w:vertAlign w:val="subscript"/>
              </w:rPr>
              <w:t>(2)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auto"/>
              </w:rPr>
              <w:t>Notes:</w:t>
            </w:r>
          </w:p>
        </w:tc>
        <w:tc>
          <w:tcPr>
            <w:tcW w:w="9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2016, there was no outstanding balance on our $800.0 million revolving credit facility.</w:t>
      </w:r>
    </w:p>
    <w:p>
      <w:pPr>
        <w:spacing w:after="0" w:line="59" w:lineRule="exact"/>
        <w:rPr>
          <w:rFonts w:ascii="Times New Roman" w:cs="Times New Roman" w:eastAsia="Times New Roman" w:hAnsi="Times New Roman"/>
          <w:sz w:val="16"/>
          <w:szCs w:val="16"/>
          <w:color w:val="auto"/>
        </w:rPr>
      </w:pPr>
    </w:p>
    <w:p>
      <w:pPr>
        <w:ind w:left="660" w:right="380" w:hanging="652"/>
        <w:spacing w:after="0" w:line="281"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debt maturities differs from the total reported on the consolidated balance sheet due to the unamortized net premium and debt issuance costs on certain mortgage loans, notes payable, and senior notes as of September 30, 2016.</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reflects the weighted average interest rate on debt maturing in the respective year.</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excludes $0.6 million in quarterly financing fees and quarterly debt fee amortization on our revolving credit facility.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738" w:right="239"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2016</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The following redevelopment opportunities have received or will shortly receive all necessary approvals to proceed and are actively being worked on by the Trust.</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 to</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0" w:type="dxa"/>
            <w:vAlign w:val="bottom"/>
          </w:tcPr>
          <w:p>
            <w:pPr>
              <w:spacing w:after="0"/>
              <w:rPr>
                <w:sz w:val="1"/>
                <w:szCs w:val="1"/>
                <w:color w:val="auto"/>
              </w:rPr>
            </w:pPr>
          </w:p>
        </w:tc>
      </w:tr>
      <w:tr>
        <w:trPr>
          <w:trHeight w:val="149"/>
        </w:trPr>
        <w:tc>
          <w:tcPr>
            <w:tcW w:w="152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96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8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Stabilization</w:t>
            </w:r>
          </w:p>
        </w:tc>
        <w:tc>
          <w:tcPr>
            <w:tcW w:w="0" w:type="dxa"/>
            <w:vAlign w:val="bottom"/>
          </w:tcPr>
          <w:p>
            <w:pPr>
              <w:spacing w:after="0"/>
              <w:rPr>
                <w:sz w:val="1"/>
                <w:szCs w:val="1"/>
                <w:color w:val="auto"/>
              </w:rPr>
            </w:pPr>
          </w:p>
        </w:tc>
      </w:tr>
      <w:tr>
        <w:trPr>
          <w:trHeight w:val="195"/>
        </w:trPr>
        <w:tc>
          <w:tcPr>
            <w:tcW w:w="15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49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259"/>
        </w:trPr>
        <w:tc>
          <w:tcPr>
            <w:tcW w:w="15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Santana Row - Lot 11</w:t>
            </w:r>
          </w:p>
        </w:tc>
        <w:tc>
          <w:tcPr>
            <w:tcW w:w="1420" w:type="dxa"/>
            <w:vAlign w:val="bottom"/>
            <w:shd w:val="clear" w:color="auto" w:fill="CCEEFF"/>
          </w:tcPr>
          <w:p>
            <w:pPr>
              <w:ind w:left="120"/>
              <w:spacing w:after="0" w:line="153" w:lineRule="exact"/>
              <w:rPr>
                <w:sz w:val="20"/>
                <w:szCs w:val="20"/>
                <w:color w:val="auto"/>
              </w:rPr>
            </w:pPr>
            <w:r>
              <w:rPr>
                <w:rFonts w:ascii="Times New Roman" w:cs="Times New Roman" w:eastAsia="Times New Roman" w:hAnsi="Times New Roman"/>
                <w:sz w:val="14"/>
                <w:szCs w:val="14"/>
                <w:color w:val="auto"/>
              </w:rPr>
              <w:t>San Jose, CA</w:t>
            </w:r>
          </w:p>
        </w:tc>
        <w:tc>
          <w:tcPr>
            <w:tcW w:w="4960" w:type="dxa"/>
            <w:vAlign w:val="bottom"/>
            <w:shd w:val="clear" w:color="auto" w:fill="CCEEFF"/>
          </w:tcPr>
          <w:p>
            <w:pPr>
              <w:ind w:left="180"/>
              <w:spacing w:after="0" w:line="153" w:lineRule="exact"/>
              <w:rPr>
                <w:sz w:val="20"/>
                <w:szCs w:val="20"/>
                <w:color w:val="auto"/>
              </w:rPr>
            </w:pPr>
            <w:r>
              <w:rPr>
                <w:rFonts w:ascii="Times New Roman" w:cs="Times New Roman" w:eastAsia="Times New Roman" w:hAnsi="Times New Roman"/>
                <w:sz w:val="14"/>
                <w:szCs w:val="14"/>
                <w:color w:val="auto"/>
              </w:rPr>
              <w:t>Addition of 6-story building with 234,500 square feet of office space, and 670</w:t>
            </w:r>
          </w:p>
        </w:tc>
        <w:tc>
          <w:tcPr>
            <w:tcW w:w="8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9%</w:t>
            </w:r>
          </w:p>
        </w:tc>
        <w:tc>
          <w:tcPr>
            <w:tcW w:w="840" w:type="dxa"/>
            <w:vAlign w:val="bottom"/>
            <w:shd w:val="clear" w:color="auto" w:fill="CCEEFF"/>
          </w:tcPr>
          <w:p>
            <w:pPr>
              <w:jc w:val="right"/>
              <w:ind w:right="8"/>
              <w:spacing w:after="0" w:line="153" w:lineRule="exact"/>
              <w:rPr>
                <w:sz w:val="20"/>
                <w:szCs w:val="20"/>
                <w:color w:val="auto"/>
              </w:rPr>
            </w:pPr>
            <w:r>
              <w:rPr>
                <w:rFonts w:ascii="Times New Roman" w:cs="Times New Roman" w:eastAsia="Times New Roman" w:hAnsi="Times New Roman"/>
                <w:sz w:val="14"/>
                <w:szCs w:val="14"/>
                <w:color w:val="auto"/>
              </w:rPr>
              <w:t>$110 - $115</w:t>
            </w:r>
          </w:p>
        </w:tc>
        <w:tc>
          <w:tcPr>
            <w:tcW w:w="820" w:type="dxa"/>
            <w:vAlign w:val="bottom"/>
            <w:shd w:val="clear" w:color="auto" w:fill="CCEEFF"/>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$84</w:t>
            </w:r>
          </w:p>
        </w:tc>
        <w:tc>
          <w:tcPr>
            <w:tcW w:w="102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98"/>
        </w:trPr>
        <w:tc>
          <w:tcPr>
            <w:tcW w:w="15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parking spaces</w:t>
            </w: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The Point</w:t>
            </w:r>
          </w:p>
        </w:tc>
        <w:tc>
          <w:tcPr>
            <w:tcW w:w="1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El Segundo, CA</w:t>
            </w:r>
          </w:p>
        </w:tc>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 of 90,000 square feet of retail and 25,000 square feet of office space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$84</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0" w:type="dxa"/>
            <w:vAlign w:val="bottom"/>
          </w:tcPr>
          <w:p>
            <w:pPr>
              <w:spacing w:after="0"/>
              <w:rPr>
                <w:sz w:val="1"/>
                <w:szCs w:val="1"/>
                <w:color w:val="auto"/>
              </w:rPr>
            </w:pPr>
          </w:p>
        </w:tc>
      </w:tr>
      <w:tr>
        <w:trPr>
          <w:trHeight w:val="78"/>
        </w:trPr>
        <w:tc>
          <w:tcPr>
            <w:tcW w:w="15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49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Congressional Plaza</w:t>
            </w:r>
          </w:p>
        </w:tc>
        <w:tc>
          <w:tcPr>
            <w:tcW w:w="1420" w:type="dxa"/>
            <w:vAlign w:val="bottom"/>
            <w:shd w:val="clear" w:color="auto" w:fill="CCEEFF"/>
          </w:tcPr>
          <w:p>
            <w:pPr>
              <w:ind w:left="120"/>
              <w:spacing w:after="0" w:line="153" w:lineRule="exact"/>
              <w:rPr>
                <w:sz w:val="20"/>
                <w:szCs w:val="20"/>
                <w:color w:val="auto"/>
              </w:rPr>
            </w:pPr>
            <w:r>
              <w:rPr>
                <w:rFonts w:ascii="Times New Roman" w:cs="Times New Roman" w:eastAsia="Times New Roman" w:hAnsi="Times New Roman"/>
                <w:sz w:val="14"/>
                <w:szCs w:val="14"/>
                <w:color w:val="auto"/>
              </w:rPr>
              <w:t>Rockville, MD</w:t>
            </w:r>
          </w:p>
        </w:tc>
        <w:tc>
          <w:tcPr>
            <w:tcW w:w="4960" w:type="dxa"/>
            <w:vAlign w:val="bottom"/>
            <w:shd w:val="clear" w:color="auto" w:fill="CCEEFF"/>
          </w:tcPr>
          <w:p>
            <w:pPr>
              <w:ind w:left="180"/>
              <w:spacing w:after="0" w:line="153" w:lineRule="exact"/>
              <w:rPr>
                <w:sz w:val="20"/>
                <w:szCs w:val="20"/>
                <w:color w:val="auto"/>
              </w:rPr>
            </w:pPr>
            <w:r>
              <w:rPr>
                <w:rFonts w:ascii="Times New Roman" w:cs="Times New Roman" w:eastAsia="Times New Roman" w:hAnsi="Times New Roman"/>
                <w:sz w:val="14"/>
                <w:szCs w:val="14"/>
                <w:color w:val="auto"/>
              </w:rPr>
              <w:t>New 48 unit rental apartment building and conversion of office space into 39,000</w:t>
            </w:r>
          </w:p>
        </w:tc>
        <w:tc>
          <w:tcPr>
            <w:tcW w:w="8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7%</w:t>
            </w:r>
          </w:p>
        </w:tc>
        <w:tc>
          <w:tcPr>
            <w:tcW w:w="840" w:type="dxa"/>
            <w:vAlign w:val="bottom"/>
            <w:shd w:val="clear" w:color="auto" w:fill="CCEEFF"/>
          </w:tcPr>
          <w:p>
            <w:pPr>
              <w:jc w:val="right"/>
              <w:ind w:right="8"/>
              <w:spacing w:after="0" w:line="153" w:lineRule="exact"/>
              <w:rPr>
                <w:sz w:val="20"/>
                <w:szCs w:val="20"/>
                <w:color w:val="auto"/>
              </w:rPr>
            </w:pPr>
            <w:r>
              <w:rPr>
                <w:rFonts w:ascii="Times New Roman" w:cs="Times New Roman" w:eastAsia="Times New Roman" w:hAnsi="Times New Roman"/>
                <w:sz w:val="14"/>
                <w:szCs w:val="14"/>
                <w:color w:val="auto"/>
              </w:rPr>
              <w:t>$23</w:t>
            </w:r>
          </w:p>
        </w:tc>
        <w:tc>
          <w:tcPr>
            <w:tcW w:w="820" w:type="dxa"/>
            <w:vAlign w:val="bottom"/>
            <w:shd w:val="clear" w:color="auto" w:fill="CCEEFF"/>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$22</w:t>
            </w:r>
          </w:p>
        </w:tc>
        <w:tc>
          <w:tcPr>
            <w:tcW w:w="102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98"/>
        </w:trPr>
        <w:tc>
          <w:tcPr>
            <w:tcW w:w="15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square feet of retail anchor space to accommodate new tenant</w:t>
            </w: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Westgate Center</w:t>
            </w:r>
          </w:p>
        </w:tc>
        <w:tc>
          <w:tcPr>
            <w:tcW w:w="1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San Jose, CA</w:t>
            </w:r>
          </w:p>
        </w:tc>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Façade and interior mall renovation, addition of food court and pad site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78"/>
        </w:trPr>
        <w:tc>
          <w:tcPr>
            <w:tcW w:w="15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49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Towson Residential</w:t>
            </w:r>
          </w:p>
        </w:tc>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Towson, MD</w:t>
            </w:r>
          </w:p>
        </w:tc>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New 105 unit 5-story apartment building with above grade parking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78"/>
        </w:trPr>
        <w:tc>
          <w:tcPr>
            <w:tcW w:w="15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49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Plaza Del Mercado</w:t>
            </w:r>
          </w:p>
        </w:tc>
        <w:tc>
          <w:tcPr>
            <w:tcW w:w="142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Silver Spring, MD</w:t>
            </w:r>
          </w:p>
        </w:tc>
        <w:tc>
          <w:tcPr>
            <w:tcW w:w="496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Demolition of former grocery anchor space to construct spaces for new grocery</w:t>
            </w: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w:t>
            </w:r>
          </w:p>
        </w:tc>
        <w:tc>
          <w:tcPr>
            <w:tcW w:w="840" w:type="dxa"/>
            <w:vAlign w:val="bottom"/>
          </w:tcPr>
          <w:p>
            <w:pPr>
              <w:jc w:val="right"/>
              <w:ind w:right="8"/>
              <w:spacing w:after="0" w:line="153" w:lineRule="exact"/>
              <w:rPr>
                <w:sz w:val="20"/>
                <w:szCs w:val="20"/>
                <w:color w:val="auto"/>
              </w:rPr>
            </w:pPr>
            <w:r>
              <w:rPr>
                <w:rFonts w:ascii="Times New Roman" w:cs="Times New Roman" w:eastAsia="Times New Roman" w:hAnsi="Times New Roman"/>
                <w:sz w:val="14"/>
                <w:szCs w:val="14"/>
                <w:color w:val="auto"/>
              </w:rPr>
              <w:t>$16</w:t>
            </w:r>
          </w:p>
        </w:tc>
        <w:tc>
          <w:tcPr>
            <w:tcW w:w="82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$8</w:t>
            </w:r>
          </w:p>
        </w:tc>
        <w:tc>
          <w:tcPr>
            <w:tcW w:w="10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2017</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anchor and fitness center tenants</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Tower Shops</w:t>
            </w:r>
          </w:p>
        </w:tc>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Davie, FL</w:t>
            </w:r>
          </w:p>
        </w:tc>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 of 50,000 square foot pad building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0" w:type="dxa"/>
            <w:vAlign w:val="bottom"/>
          </w:tcPr>
          <w:p>
            <w:pPr>
              <w:spacing w:after="0"/>
              <w:rPr>
                <w:sz w:val="1"/>
                <w:szCs w:val="1"/>
                <w:color w:val="auto"/>
              </w:rPr>
            </w:pPr>
          </w:p>
        </w:tc>
      </w:tr>
      <w:tr>
        <w:trPr>
          <w:trHeight w:val="78"/>
        </w:trPr>
        <w:tc>
          <w:tcPr>
            <w:tcW w:w="15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49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Melville Mall</w:t>
            </w:r>
          </w:p>
        </w:tc>
        <w:tc>
          <w:tcPr>
            <w:tcW w:w="142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Huntington, NY</w:t>
            </w:r>
          </w:p>
        </w:tc>
        <w:tc>
          <w:tcPr>
            <w:tcW w:w="496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Redevelopment of 92,000 square foot vacant anchor space to convert into two</w:t>
            </w: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6%</w:t>
            </w:r>
          </w:p>
        </w:tc>
        <w:tc>
          <w:tcPr>
            <w:tcW w:w="840" w:type="dxa"/>
            <w:vAlign w:val="bottom"/>
          </w:tcPr>
          <w:p>
            <w:pPr>
              <w:jc w:val="right"/>
              <w:ind w:right="8"/>
              <w:spacing w:after="0" w:line="153" w:lineRule="exact"/>
              <w:rPr>
                <w:sz w:val="20"/>
                <w:szCs w:val="20"/>
                <w:color w:val="auto"/>
              </w:rPr>
            </w:pPr>
            <w:r>
              <w:rPr>
                <w:rFonts w:ascii="Times New Roman" w:cs="Times New Roman" w:eastAsia="Times New Roman" w:hAnsi="Times New Roman"/>
                <w:sz w:val="14"/>
                <w:szCs w:val="14"/>
                <w:color w:val="auto"/>
              </w:rPr>
              <w:t>$15</w:t>
            </w:r>
          </w:p>
        </w:tc>
        <w:tc>
          <w:tcPr>
            <w:tcW w:w="82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$11</w:t>
            </w:r>
          </w:p>
        </w:tc>
        <w:tc>
          <w:tcPr>
            <w:tcW w:w="10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9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anchor spaces for a value retailer and a sporting goods tenant and revamp current</w:t>
            </w: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anchor space</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Del Mar Village</w:t>
            </w:r>
          </w:p>
        </w:tc>
        <w:tc>
          <w:tcPr>
            <w:tcW w:w="142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Boca Raton, FL</w:t>
            </w:r>
          </w:p>
        </w:tc>
        <w:tc>
          <w:tcPr>
            <w:tcW w:w="496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Demolition of small shop spaces and relocation of tenants to accommodate new</w:t>
            </w:r>
          </w:p>
        </w:tc>
        <w:tc>
          <w:tcPr>
            <w:tcW w:w="84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7%</w:t>
            </w:r>
          </w:p>
        </w:tc>
        <w:tc>
          <w:tcPr>
            <w:tcW w:w="840" w:type="dxa"/>
            <w:vAlign w:val="bottom"/>
            <w:shd w:val="clear" w:color="auto" w:fill="CCEEFF"/>
          </w:tcPr>
          <w:p>
            <w:pPr>
              <w:jc w:val="right"/>
              <w:ind w:right="8"/>
              <w:spacing w:after="0" w:line="158" w:lineRule="exact"/>
              <w:rPr>
                <w:sz w:val="20"/>
                <w:szCs w:val="20"/>
                <w:color w:val="auto"/>
              </w:rPr>
            </w:pPr>
            <w:r>
              <w:rPr>
                <w:rFonts w:ascii="Times New Roman" w:cs="Times New Roman" w:eastAsia="Times New Roman" w:hAnsi="Times New Roman"/>
                <w:sz w:val="14"/>
                <w:szCs w:val="14"/>
                <w:color w:val="auto"/>
              </w:rPr>
              <w:t>$11</w:t>
            </w:r>
          </w:p>
        </w:tc>
        <w:tc>
          <w:tcPr>
            <w:tcW w:w="820" w:type="dxa"/>
            <w:vAlign w:val="bottom"/>
            <w:shd w:val="clear" w:color="auto" w:fill="CCEEFF"/>
          </w:tcPr>
          <w:p>
            <w:pPr>
              <w:jc w:val="right"/>
              <w:ind w:right="48"/>
              <w:spacing w:after="0" w:line="158" w:lineRule="exact"/>
              <w:rPr>
                <w:sz w:val="20"/>
                <w:szCs w:val="20"/>
                <w:color w:val="auto"/>
              </w:rPr>
            </w:pPr>
            <w:r>
              <w:rPr>
                <w:rFonts w:ascii="Times New Roman" w:cs="Times New Roman" w:eastAsia="Times New Roman" w:hAnsi="Times New Roman"/>
                <w:sz w:val="14"/>
                <w:szCs w:val="14"/>
                <w:color w:val="auto"/>
              </w:rPr>
              <w:t>$3</w:t>
            </w:r>
          </w:p>
        </w:tc>
        <w:tc>
          <w:tcPr>
            <w:tcW w:w="102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198"/>
        </w:trPr>
        <w:tc>
          <w:tcPr>
            <w:tcW w:w="15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37,000 square foot fitness center tenant</w:t>
            </w: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5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Montrose Crossing</w:t>
            </w:r>
          </w:p>
        </w:tc>
        <w:tc>
          <w:tcPr>
            <w:tcW w:w="142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Rockville, MD</w:t>
            </w:r>
          </w:p>
        </w:tc>
        <w:tc>
          <w:tcPr>
            <w:tcW w:w="496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Demolition of 10,000 square foot restaurant building to construct an 18,000</w:t>
            </w: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11%</w:t>
            </w:r>
          </w:p>
        </w:tc>
        <w:tc>
          <w:tcPr>
            <w:tcW w:w="840" w:type="dxa"/>
            <w:vAlign w:val="bottom"/>
          </w:tcPr>
          <w:p>
            <w:pPr>
              <w:jc w:val="right"/>
              <w:ind w:right="8"/>
              <w:spacing w:after="0" w:line="153" w:lineRule="exact"/>
              <w:rPr>
                <w:sz w:val="20"/>
                <w:szCs w:val="20"/>
                <w:color w:val="auto"/>
              </w:rPr>
            </w:pPr>
            <w:r>
              <w:rPr>
                <w:rFonts w:ascii="Times New Roman" w:cs="Times New Roman" w:eastAsia="Times New Roman" w:hAnsi="Times New Roman"/>
                <w:sz w:val="14"/>
                <w:szCs w:val="14"/>
                <w:color w:val="auto"/>
              </w:rPr>
              <w:t>$10</w:t>
            </w:r>
          </w:p>
        </w:tc>
        <w:tc>
          <w:tcPr>
            <w:tcW w:w="82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$0</w:t>
            </w:r>
          </w:p>
        </w:tc>
        <w:tc>
          <w:tcPr>
            <w:tcW w:w="10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square foot multi-tenant pad building</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Santana Row</w:t>
            </w:r>
          </w:p>
        </w:tc>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San Jose, CA</w:t>
            </w:r>
          </w:p>
        </w:tc>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 of two retail kiosks and open air plaza upgrades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0" w:type="dxa"/>
            <w:vAlign w:val="bottom"/>
          </w:tcPr>
          <w:p>
            <w:pPr>
              <w:spacing w:after="0"/>
              <w:rPr>
                <w:sz w:val="1"/>
                <w:szCs w:val="1"/>
                <w:color w:val="auto"/>
              </w:rPr>
            </w:pPr>
          </w:p>
        </w:tc>
      </w:tr>
      <w:tr>
        <w:trPr>
          <w:trHeight w:val="78"/>
        </w:trPr>
        <w:tc>
          <w:tcPr>
            <w:tcW w:w="15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49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The AVENUE at White</w:t>
            </w:r>
          </w:p>
        </w:tc>
        <w:tc>
          <w:tcPr>
            <w:tcW w:w="142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White Marsh, MD</w:t>
            </w:r>
          </w:p>
        </w:tc>
        <w:tc>
          <w:tcPr>
            <w:tcW w:w="496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Addition of two new pad sites totaling 13,000 square feet, a new 3,600 square</w:t>
            </w: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10%</w:t>
            </w:r>
          </w:p>
        </w:tc>
        <w:tc>
          <w:tcPr>
            <w:tcW w:w="840" w:type="dxa"/>
            <w:vAlign w:val="bottom"/>
          </w:tcPr>
          <w:p>
            <w:pPr>
              <w:jc w:val="right"/>
              <w:ind w:right="8"/>
              <w:spacing w:after="0" w:line="153" w:lineRule="exact"/>
              <w:rPr>
                <w:sz w:val="20"/>
                <w:szCs w:val="20"/>
                <w:color w:val="auto"/>
              </w:rPr>
            </w:pPr>
            <w:r>
              <w:rPr>
                <w:rFonts w:ascii="Times New Roman" w:cs="Times New Roman" w:eastAsia="Times New Roman" w:hAnsi="Times New Roman"/>
                <w:sz w:val="14"/>
                <w:szCs w:val="14"/>
                <w:color w:val="auto"/>
              </w:rPr>
              <w:t>$5</w:t>
            </w:r>
          </w:p>
        </w:tc>
        <w:tc>
          <w:tcPr>
            <w:tcW w:w="82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$3</w:t>
            </w:r>
          </w:p>
        </w:tc>
        <w:tc>
          <w:tcPr>
            <w:tcW w:w="10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2017</w:t>
            </w:r>
          </w:p>
        </w:tc>
        <w:tc>
          <w:tcPr>
            <w:tcW w:w="0" w:type="dxa"/>
            <w:vAlign w:val="bottom"/>
          </w:tcPr>
          <w:p>
            <w:pPr>
              <w:spacing w:after="0"/>
              <w:rPr>
                <w:sz w:val="1"/>
                <w:szCs w:val="1"/>
                <w:color w:val="auto"/>
              </w:rPr>
            </w:pPr>
          </w:p>
        </w:tc>
      </w:tr>
      <w:tr>
        <w:trPr>
          <w:trHeight w:val="193"/>
        </w:trPr>
        <w:tc>
          <w:tcPr>
            <w:tcW w:w="1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Marsh</w:t>
            </w:r>
          </w:p>
        </w:tc>
        <w:tc>
          <w:tcPr>
            <w:tcW w:w="1420" w:type="dxa"/>
            <w:vAlign w:val="bottom"/>
          </w:tcPr>
          <w:p>
            <w:pPr>
              <w:spacing w:after="0"/>
              <w:rPr>
                <w:sz w:val="16"/>
                <w:szCs w:val="16"/>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foot restaurant building, and a drive up ATM</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Willow Lawn</w:t>
            </w:r>
          </w:p>
        </w:tc>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Richmond, VA</w:t>
            </w:r>
          </w:p>
        </w:tc>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Construction of two new in-line retail spaces totaling 17,400 square feet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78"/>
        </w:trPr>
        <w:tc>
          <w:tcPr>
            <w:tcW w:w="152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49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Eastgate Crossing</w:t>
            </w:r>
          </w:p>
        </w:tc>
        <w:tc>
          <w:tcPr>
            <w:tcW w:w="1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Chapel Hill, NC</w:t>
            </w:r>
          </w:p>
        </w:tc>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New 7,400 square foot multi-tenant pad building on site of existing gas station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2017</w:t>
            </w:r>
          </w:p>
        </w:tc>
        <w:tc>
          <w:tcPr>
            <w:tcW w:w="0" w:type="dxa"/>
            <w:vAlign w:val="bottom"/>
          </w:tcPr>
          <w:p>
            <w:pPr>
              <w:spacing w:after="0"/>
              <w:rPr>
                <w:sz w:val="1"/>
                <w:szCs w:val="1"/>
                <w:color w:val="auto"/>
              </w:rPr>
            </w:pPr>
          </w:p>
        </w:tc>
      </w:tr>
      <w:tr>
        <w:trPr>
          <w:trHeight w:val="78"/>
        </w:trPr>
        <w:tc>
          <w:tcPr>
            <w:tcW w:w="15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49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Free State Shopping</w:t>
            </w:r>
          </w:p>
        </w:tc>
        <w:tc>
          <w:tcPr>
            <w:tcW w:w="1420" w:type="dxa"/>
            <w:vAlign w:val="bottom"/>
            <w:shd w:val="clear" w:color="auto" w:fill="CCEEFF"/>
          </w:tcPr>
          <w:p>
            <w:pPr>
              <w:ind w:left="120"/>
              <w:spacing w:after="0" w:line="153" w:lineRule="exact"/>
              <w:rPr>
                <w:sz w:val="20"/>
                <w:szCs w:val="20"/>
                <w:color w:val="auto"/>
              </w:rPr>
            </w:pPr>
            <w:r>
              <w:rPr>
                <w:rFonts w:ascii="Times New Roman" w:cs="Times New Roman" w:eastAsia="Times New Roman" w:hAnsi="Times New Roman"/>
                <w:sz w:val="14"/>
                <w:szCs w:val="14"/>
                <w:color w:val="auto"/>
              </w:rPr>
              <w:t>Bowie, MD</w:t>
            </w:r>
          </w:p>
        </w:tc>
        <w:tc>
          <w:tcPr>
            <w:tcW w:w="4960" w:type="dxa"/>
            <w:vAlign w:val="bottom"/>
            <w:shd w:val="clear" w:color="auto" w:fill="CCEEFF"/>
          </w:tcPr>
          <w:p>
            <w:pPr>
              <w:ind w:left="180"/>
              <w:spacing w:after="0" w:line="153" w:lineRule="exact"/>
              <w:rPr>
                <w:sz w:val="20"/>
                <w:szCs w:val="20"/>
                <w:color w:val="auto"/>
              </w:rPr>
            </w:pPr>
            <w:r>
              <w:rPr>
                <w:rFonts w:ascii="Times New Roman" w:cs="Times New Roman" w:eastAsia="Times New Roman" w:hAnsi="Times New Roman"/>
                <w:sz w:val="14"/>
                <w:szCs w:val="14"/>
                <w:color w:val="auto"/>
              </w:rPr>
              <w:t>Demolition of 26,000 square foot vacant building to allow for construction of new</w:t>
            </w:r>
          </w:p>
        </w:tc>
        <w:tc>
          <w:tcPr>
            <w:tcW w:w="84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8%</w:t>
            </w:r>
          </w:p>
        </w:tc>
        <w:tc>
          <w:tcPr>
            <w:tcW w:w="840" w:type="dxa"/>
            <w:vAlign w:val="bottom"/>
            <w:shd w:val="clear" w:color="auto" w:fill="CCEEFF"/>
          </w:tcPr>
          <w:p>
            <w:pPr>
              <w:jc w:val="right"/>
              <w:ind w:right="8"/>
              <w:spacing w:after="0" w:line="153" w:lineRule="exact"/>
              <w:rPr>
                <w:sz w:val="20"/>
                <w:szCs w:val="20"/>
                <w:color w:val="auto"/>
              </w:rPr>
            </w:pPr>
            <w:r>
              <w:rPr>
                <w:rFonts w:ascii="Times New Roman" w:cs="Times New Roman" w:eastAsia="Times New Roman" w:hAnsi="Times New Roman"/>
                <w:sz w:val="14"/>
                <w:szCs w:val="14"/>
                <w:color w:val="auto"/>
              </w:rPr>
              <w:t>$4</w:t>
            </w:r>
          </w:p>
        </w:tc>
        <w:tc>
          <w:tcPr>
            <w:tcW w:w="820" w:type="dxa"/>
            <w:vAlign w:val="bottom"/>
            <w:shd w:val="clear" w:color="auto" w:fill="CCEEFF"/>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$3</w:t>
            </w:r>
          </w:p>
        </w:tc>
        <w:tc>
          <w:tcPr>
            <w:tcW w:w="102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rPr>
              <w:t>2017</w:t>
            </w:r>
          </w:p>
        </w:tc>
        <w:tc>
          <w:tcPr>
            <w:tcW w:w="0" w:type="dxa"/>
            <w:vAlign w:val="bottom"/>
          </w:tcPr>
          <w:p>
            <w:pPr>
              <w:spacing w:after="0"/>
              <w:rPr>
                <w:sz w:val="1"/>
                <w:szCs w:val="1"/>
                <w:color w:val="auto"/>
              </w:rPr>
            </w:pPr>
          </w:p>
        </w:tc>
      </w:tr>
      <w:tr>
        <w:trPr>
          <w:trHeight w:val="198"/>
        </w:trPr>
        <w:tc>
          <w:tcPr>
            <w:tcW w:w="1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Center</w:t>
            </w:r>
          </w:p>
        </w:tc>
        <w:tc>
          <w:tcPr>
            <w:tcW w:w="1420" w:type="dxa"/>
            <w:vAlign w:val="bottom"/>
            <w:shd w:val="clear" w:color="auto" w:fill="CCEEFF"/>
          </w:tcPr>
          <w:p>
            <w:pPr>
              <w:spacing w:after="0"/>
              <w:rPr>
                <w:sz w:val="17"/>
                <w:szCs w:val="17"/>
                <w:color w:val="auto"/>
              </w:rPr>
            </w:pPr>
          </w:p>
        </w:tc>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12,500 square foot pad building for new daycare tenant</w:t>
            </w: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5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Mercer Mall</w:t>
            </w:r>
          </w:p>
        </w:tc>
        <w:tc>
          <w:tcPr>
            <w:tcW w:w="142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Lawrenceville, NJ</w:t>
            </w:r>
          </w:p>
        </w:tc>
        <w:tc>
          <w:tcPr>
            <w:tcW w:w="496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color w:val="auto"/>
              </w:rPr>
              <w:t>Demolition of existing 3,000 square foot pad building to allow for construction of</w:t>
            </w:r>
          </w:p>
        </w:tc>
        <w:tc>
          <w:tcPr>
            <w:tcW w:w="8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10%</w:t>
            </w:r>
          </w:p>
        </w:tc>
        <w:tc>
          <w:tcPr>
            <w:tcW w:w="840" w:type="dxa"/>
            <w:vAlign w:val="bottom"/>
          </w:tcPr>
          <w:p>
            <w:pPr>
              <w:jc w:val="right"/>
              <w:ind w:right="8"/>
              <w:spacing w:after="0" w:line="153" w:lineRule="exact"/>
              <w:rPr>
                <w:sz w:val="20"/>
                <w:szCs w:val="20"/>
                <w:color w:val="auto"/>
              </w:rPr>
            </w:pPr>
            <w:r>
              <w:rPr>
                <w:rFonts w:ascii="Times New Roman" w:cs="Times New Roman" w:eastAsia="Times New Roman" w:hAnsi="Times New Roman"/>
                <w:sz w:val="14"/>
                <w:szCs w:val="14"/>
                <w:color w:val="auto"/>
              </w:rPr>
              <w:t>$2</w:t>
            </w:r>
          </w:p>
        </w:tc>
        <w:tc>
          <w:tcPr>
            <w:tcW w:w="820" w:type="dxa"/>
            <w:vAlign w:val="bottom"/>
          </w:tcPr>
          <w:p>
            <w:pPr>
              <w:jc w:val="right"/>
              <w:ind w:right="48"/>
              <w:spacing w:after="0" w:line="153" w:lineRule="exact"/>
              <w:rPr>
                <w:sz w:val="20"/>
                <w:szCs w:val="20"/>
                <w:color w:val="auto"/>
              </w:rPr>
            </w:pPr>
            <w:r>
              <w:rPr>
                <w:rFonts w:ascii="Times New Roman" w:cs="Times New Roman" w:eastAsia="Times New Roman" w:hAnsi="Times New Roman"/>
                <w:sz w:val="14"/>
                <w:szCs w:val="14"/>
                <w:color w:val="auto"/>
              </w:rPr>
              <w:t>$1</w:t>
            </w:r>
          </w:p>
        </w:tc>
        <w:tc>
          <w:tcPr>
            <w:tcW w:w="10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2016</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 multi-restaurant pad building totaling 5,600 square feet</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Wynnewood</w:t>
            </w:r>
          </w:p>
        </w:tc>
        <w:tc>
          <w:tcPr>
            <w:tcW w:w="1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Wynnewood, PA</w:t>
            </w:r>
          </w:p>
        </w:tc>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Conversion of obsolete 2nd floor office space to residential</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78"/>
        </w:trPr>
        <w:tc>
          <w:tcPr>
            <w:tcW w:w="2940" w:type="dxa"/>
            <w:vAlign w:val="bottom"/>
            <w:gridSpan w:val="2"/>
            <w:shd w:val="clear" w:color="auto" w:fill="CCEEFF"/>
          </w:tcPr>
          <w:p>
            <w:pPr>
              <w:spacing w:after="0"/>
              <w:rPr>
                <w:sz w:val="6"/>
                <w:szCs w:val="6"/>
                <w:color w:val="auto"/>
              </w:rPr>
            </w:pPr>
          </w:p>
        </w:tc>
        <w:tc>
          <w:tcPr>
            <w:tcW w:w="4960" w:type="dxa"/>
            <w:vAlign w:val="bottom"/>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9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Active Redevelopment projects (4)</w:t>
            </w:r>
          </w:p>
        </w:tc>
        <w:tc>
          <w:tcPr>
            <w:tcW w:w="49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$356 - $361</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$269</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44450</wp:posOffset>
            </wp:positionV>
            <wp:extent cx="1586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-95885</wp:posOffset>
            </wp:positionV>
            <wp:extent cx="15862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ind w:left="660" w:hanging="652"/>
        <w:spacing w:after="0" w:line="241"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41"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Stabilization is generally the year in which 95% occupancy of the redeveloped space is achieved.</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subtotals and totals reflect cost weighted-average ROIs.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758" w:right="239"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Assembly Row, Pike &amp; Rose, and Santana Row</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2016</w:t>
      </w:r>
    </w:p>
    <w:p>
      <w:pPr>
        <w:spacing w:after="0" w:line="200" w:lineRule="exact"/>
        <w:rPr>
          <w:sz w:val="20"/>
          <w:szCs w:val="20"/>
          <w:color w:val="auto"/>
        </w:rPr>
      </w:pPr>
    </w:p>
    <w:p>
      <w:pPr>
        <w:spacing w:after="0" w:line="273"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Projected POI Delivered (as a % of Total)</w:t>
            </w:r>
          </w:p>
        </w:tc>
        <w:tc>
          <w:tcPr>
            <w:tcW w:w="2440" w:type="dxa"/>
            <w:vAlign w:val="bottom"/>
          </w:tcPr>
          <w:p>
            <w:pPr>
              <w:spacing w:after="0"/>
              <w:rPr>
                <w:sz w:val="14"/>
                <w:szCs w:val="14"/>
                <w:color w:val="auto"/>
              </w:rPr>
            </w:pPr>
          </w:p>
        </w:tc>
      </w:tr>
      <w:tr>
        <w:trPr>
          <w:trHeight w:val="280"/>
        </w:trPr>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497"/>
              <w:spacing w:after="0"/>
              <w:rPr>
                <w:sz w:val="20"/>
                <w:szCs w:val="20"/>
                <w:color w:val="auto"/>
              </w:rPr>
            </w:pPr>
            <w:r>
              <w:rPr>
                <w:rFonts w:ascii="Times New Roman" w:cs="Times New Roman" w:eastAsia="Times New Roman" w:hAnsi="Times New Roman"/>
                <w:sz w:val="13"/>
                <w:szCs w:val="13"/>
                <w:b w:val="1"/>
                <w:bCs w:val="1"/>
                <w:color w:val="auto"/>
                <w:w w:val="97"/>
              </w:rPr>
              <w:t>Projected</w:t>
            </w:r>
          </w:p>
        </w:tc>
        <w:tc>
          <w:tcPr>
            <w:tcW w:w="720" w:type="dxa"/>
            <w:vAlign w:val="bottom"/>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Costs to</w:t>
            </w:r>
          </w:p>
        </w:tc>
        <w:tc>
          <w:tcPr>
            <w:tcW w:w="244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For Year Ended December 31, (2)</w:t>
            </w:r>
          </w:p>
        </w:tc>
        <w:tc>
          <w:tcPr>
            <w:tcW w:w="2440" w:type="dxa"/>
            <w:vAlign w:val="bottom"/>
          </w:tcPr>
          <w:p>
            <w:pPr>
              <w:spacing w:after="0"/>
              <w:rPr>
                <w:sz w:val="24"/>
                <w:szCs w:val="24"/>
                <w:color w:val="auto"/>
              </w:rPr>
            </w:pPr>
          </w:p>
        </w:tc>
      </w:tr>
      <w:tr>
        <w:trPr>
          <w:trHeight w:val="250"/>
        </w:trPr>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(1)</w:t>
            </w: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Opportunity</w:t>
            </w:r>
          </w:p>
        </w:tc>
        <w:tc>
          <w:tcPr>
            <w:tcW w:w="1480" w:type="dxa"/>
            <w:vAlign w:val="bottom"/>
            <w:tcBorders>
              <w:bottom w:val="single" w:sz="8" w:color="auto"/>
            </w:tcBorders>
          </w:tcPr>
          <w:p>
            <w:pPr>
              <w:jc w:val="center"/>
              <w:ind w:left="497"/>
              <w:spacing w:after="0"/>
              <w:rPr>
                <w:sz w:val="20"/>
                <w:szCs w:val="20"/>
                <w:color w:val="auto"/>
              </w:rPr>
            </w:pPr>
            <w:r>
              <w:rPr>
                <w:rFonts w:ascii="Times New Roman" w:cs="Times New Roman" w:eastAsia="Times New Roman" w:hAnsi="Times New Roman"/>
                <w:sz w:val="13"/>
                <w:szCs w:val="13"/>
                <w:b w:val="1"/>
                <w:bCs w:val="1"/>
                <w:color w:val="auto"/>
                <w:w w:val="92"/>
              </w:rPr>
              <w:t>ROI (3)</w:t>
            </w:r>
          </w:p>
        </w:tc>
        <w:tc>
          <w:tcPr>
            <w:tcW w:w="720" w:type="dxa"/>
            <w:vAlign w:val="bottom"/>
            <w:tcBorders>
              <w:bottom w:val="single" w:sz="8" w:color="auto"/>
            </w:tcBorders>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6"/>
              </w:rPr>
              <w:t>Cost (4)</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2016</w:t>
            </w:r>
          </w:p>
        </w:tc>
        <w:tc>
          <w:tcPr>
            <w:tcW w:w="5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2017</w:t>
            </w:r>
          </w:p>
        </w:tc>
        <w:tc>
          <w:tcPr>
            <w:tcW w:w="5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2018</w:t>
            </w:r>
          </w:p>
        </w:tc>
        <w:tc>
          <w:tcPr>
            <w:tcW w:w="5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21"/>
                <w:szCs w:val="21"/>
                <w:color w:val="auto"/>
              </w:rPr>
            </w:pPr>
          </w:p>
        </w:tc>
        <w:tc>
          <w:tcPr>
            <w:tcW w:w="2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Expected Opening Timeframe</w:t>
            </w:r>
          </w:p>
        </w:tc>
      </w:tr>
    </w:tbl>
    <w:p>
      <w:pPr>
        <w:spacing w:after="0" w:line="200" w:lineRule="exact"/>
        <w:rPr>
          <w:sz w:val="20"/>
          <w:szCs w:val="20"/>
          <w:color w:val="auto"/>
        </w:rPr>
      </w:pPr>
    </w:p>
    <w:p>
      <w:pPr>
        <w:sectPr>
          <w:pgSz w:w="11900" w:h="16838" w:orient="portrait"/>
          <w:cols w:equalWidth="0" w:num="1">
            <w:col w:w="11420"/>
          </w:cols>
          <w:pgMar w:left="240" w:top="758" w:right="239" w:bottom="1440" w:gutter="0" w:footer="0" w:header="0"/>
        </w:sectPr>
      </w:pPr>
    </w:p>
    <w:p>
      <w:pPr>
        <w:spacing w:after="0" w:line="150"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Assembly Row</w:t>
            </w: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Somerville, MA</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$196</w:t>
            </w: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Phase I</w:t>
            </w:r>
          </w:p>
        </w:tc>
        <w:tc>
          <w:tcPr>
            <w:tcW w:w="1120" w:type="dxa"/>
            <w:vAlign w:val="bottom"/>
          </w:tcPr>
          <w:p>
            <w:pPr>
              <w:spacing w:after="0"/>
              <w:rPr>
                <w:sz w:val="22"/>
                <w:szCs w:val="22"/>
                <w:color w:val="auto"/>
              </w:rPr>
            </w:pPr>
          </w:p>
        </w:tc>
        <w:tc>
          <w:tcPr>
            <w:tcW w:w="2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- 331,000 SF of retail</w:t>
            </w:r>
          </w:p>
        </w:tc>
        <w:tc>
          <w:tcPr>
            <w:tcW w:w="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5-6%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w:t>
            </w:r>
          </w:p>
        </w:tc>
        <w:tc>
          <w:tcPr>
            <w:tcW w:w="4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Complete</w:t>
            </w:r>
          </w:p>
        </w:tc>
        <w:tc>
          <w:tcPr>
            <w:tcW w:w="0" w:type="dxa"/>
            <w:vAlign w:val="bottom"/>
          </w:tcPr>
          <w:p>
            <w:pPr>
              <w:spacing w:after="0"/>
              <w:rPr>
                <w:sz w:val="1"/>
                <w:szCs w:val="1"/>
                <w:color w:val="auto"/>
              </w:rPr>
            </w:pPr>
          </w:p>
        </w:tc>
      </w:tr>
      <w:tr>
        <w:trPr>
          <w:trHeight w:val="278"/>
        </w:trPr>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- 98,000 SF of office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- 445 residential units (by AVB)</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Orange Line T-Stop by MBTA</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Phase II</w:t>
            </w:r>
          </w:p>
        </w:tc>
        <w:tc>
          <w:tcPr>
            <w:tcW w:w="1120" w:type="dxa"/>
            <w:vAlign w:val="bottom"/>
          </w:tcPr>
          <w:p>
            <w:pPr>
              <w:spacing w:after="0"/>
              <w:rPr>
                <w:sz w:val="15"/>
                <w:szCs w:val="15"/>
                <w:color w:val="auto"/>
              </w:rPr>
            </w:pPr>
          </w:p>
        </w:tc>
        <w:tc>
          <w:tcPr>
            <w:tcW w:w="21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- 161,000 SF of retail</w:t>
            </w: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7%</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(5)</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$270 - 285</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1120" w:type="dxa"/>
            <w:vAlign w:val="bottom"/>
          </w:tcPr>
          <w:p>
            <w:pPr>
              <w:spacing w:after="0"/>
              <w:rPr>
                <w:sz w:val="7"/>
                <w:szCs w:val="7"/>
                <w:color w:val="auto"/>
              </w:rPr>
            </w:pPr>
          </w:p>
        </w:tc>
        <w:tc>
          <w:tcPr>
            <w:tcW w:w="21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- 447 residential units</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- 159 boutique hotel rooms</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1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- 122 for-sale condominium units</w:t>
            </w: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0"/>
                <w:szCs w:val="10"/>
                <w:color w:val="auto"/>
              </w:rPr>
            </w:pPr>
          </w:p>
        </w:tc>
        <w:tc>
          <w:tcPr>
            <w:tcW w:w="6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vMerge w:val="restart"/>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1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vMerge w:val="continue"/>
          </w:tcPr>
          <w:p>
            <w:pPr>
              <w:spacing w:after="0"/>
              <w:rPr>
                <w:sz w:val="11"/>
                <w:szCs w:val="11"/>
                <w:color w:val="auto"/>
              </w:rPr>
            </w:pPr>
          </w:p>
        </w:tc>
        <w:tc>
          <w:tcPr>
            <w:tcW w:w="4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2"/>
                <w:shd w:val="clear" w:color="auto" w:fill="CCEEFF"/>
              </w:rPr>
              <w:t>$70 - 75</w:t>
            </w:r>
          </w:p>
        </w:tc>
        <w:tc>
          <w:tcPr>
            <w:tcW w:w="1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Future Phases</w:t>
            </w:r>
          </w:p>
        </w:tc>
        <w:tc>
          <w:tcPr>
            <w:tcW w:w="1120" w:type="dxa"/>
            <w:vAlign w:val="bottom"/>
          </w:tcPr>
          <w:p>
            <w:pPr>
              <w:spacing w:after="0"/>
              <w:rPr>
                <w:sz w:val="24"/>
                <w:szCs w:val="24"/>
                <w:color w:val="auto"/>
              </w:rPr>
            </w:pPr>
          </w:p>
        </w:tc>
        <w:tc>
          <w:tcPr>
            <w:tcW w:w="2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- 2M SF of commercial</w:t>
            </w:r>
          </w:p>
        </w:tc>
        <w:tc>
          <w:tcPr>
            <w:tcW w:w="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TBD</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TBD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TBD</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- 826 residential units</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North Bethesda,</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Pike &amp; Rose</w:t>
            </w:r>
          </w:p>
        </w:tc>
        <w:tc>
          <w:tcPr>
            <w:tcW w:w="3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MD</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-2108835</wp:posOffset>
            </wp:positionV>
            <wp:extent cx="717804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3429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-874395</wp:posOffset>
            </wp:positionV>
            <wp:extent cx="71780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tabs>
          <w:tab w:leader="none" w:pos="500" w:val="left"/>
          <w:tab w:leader="none" w:pos="1080" w:val="left"/>
          <w:tab w:leader="none" w:pos="1660" w:val="left"/>
        </w:tabs>
        <w:rPr>
          <w:sz w:val="20"/>
          <w:szCs w:val="20"/>
          <w:color w:val="auto"/>
        </w:rPr>
      </w:pPr>
      <w:r>
        <w:rPr>
          <w:rFonts w:ascii="Times New Roman" w:cs="Times New Roman" w:eastAsia="Times New Roman" w:hAnsi="Times New Roman"/>
          <w:sz w:val="13"/>
          <w:szCs w:val="13"/>
          <w:color w:val="auto"/>
        </w:rPr>
        <w:t>90%</w:t>
      </w:r>
      <w:r>
        <w:rPr>
          <w:sz w:val="20"/>
          <w:szCs w:val="20"/>
          <w:color w:val="auto"/>
        </w:rPr>
        <w:tab/>
      </w:r>
      <w:r>
        <w:rPr>
          <w:rFonts w:ascii="Times New Roman" w:cs="Times New Roman" w:eastAsia="Times New Roman" w:hAnsi="Times New Roman"/>
          <w:sz w:val="13"/>
          <w:szCs w:val="13"/>
          <w:color w:val="auto"/>
        </w:rPr>
        <w:t>100%</w:t>
      </w:r>
      <w:r>
        <w:rPr>
          <w:sz w:val="20"/>
          <w:szCs w:val="20"/>
          <w:color w:val="auto"/>
        </w:rPr>
        <w:tab/>
      </w:r>
      <w:r>
        <w:rPr>
          <w:rFonts w:ascii="Times New Roman" w:cs="Times New Roman" w:eastAsia="Times New Roman" w:hAnsi="Times New Roman"/>
          <w:sz w:val="13"/>
          <w:szCs w:val="13"/>
          <w:color w:val="auto"/>
        </w:rPr>
        <w:t>100%</w:t>
      </w:r>
      <w:r>
        <w:rPr>
          <w:sz w:val="20"/>
          <w:szCs w:val="20"/>
          <w:color w:val="auto"/>
        </w:rPr>
        <w:tab/>
      </w: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191135</wp:posOffset>
            </wp:positionV>
            <wp:extent cx="5908675"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0867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560" w:val="left"/>
          <w:tab w:leader="none" w:pos="1140" w:val="left"/>
          <w:tab w:leader="none" w:pos="1720" w:val="left"/>
          <w:tab w:leader="none" w:pos="212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50%</w:t>
      </w:r>
      <w:r>
        <w:rPr>
          <w:sz w:val="20"/>
          <w:szCs w:val="20"/>
          <w:color w:val="auto"/>
        </w:rPr>
        <w:tab/>
      </w:r>
      <w:r>
        <w:rPr>
          <w:rFonts w:ascii="Times New Roman" w:cs="Times New Roman" w:eastAsia="Times New Roman" w:hAnsi="Times New Roman"/>
          <w:sz w:val="13"/>
          <w:szCs w:val="13"/>
          <w:color w:val="auto"/>
        </w:rPr>
        <w:t>90%</w:t>
      </w:r>
      <w:r>
        <w:rPr>
          <w:sz w:val="20"/>
          <w:szCs w:val="20"/>
          <w:color w:val="auto"/>
        </w:rPr>
        <w:tab/>
      </w:r>
      <w:r>
        <w:rPr>
          <w:rFonts w:ascii="Times New Roman" w:cs="Times New Roman" w:eastAsia="Times New Roman" w:hAnsi="Times New Roman"/>
          <w:sz w:val="12"/>
          <w:szCs w:val="12"/>
          <w:color w:val="auto"/>
        </w:rPr>
        <w:t>Opening projected 3Q 2017 through 2Q 2018</w:t>
      </w:r>
    </w:p>
    <w:p>
      <w:pPr>
        <w:spacing w:after="0" w:line="4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2"/>
          <w:szCs w:val="12"/>
          <w:color w:val="auto"/>
        </w:rPr>
        <w:t>741,500 SF Partners Healthcare office space</w:t>
      </w:r>
    </w:p>
    <w:p>
      <w:pPr>
        <w:spacing w:after="0" w:line="1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3"/>
          <w:szCs w:val="13"/>
          <w:color w:val="auto"/>
        </w:rPr>
        <w:t>(built</w:t>
      </w:r>
    </w:p>
    <w:p>
      <w:pPr>
        <w:spacing w:after="0" w:line="10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3"/>
          <w:szCs w:val="13"/>
          <w:color w:val="auto"/>
        </w:rPr>
        <w:t>by Partners) opened in 2016</w:t>
      </w:r>
    </w:p>
    <w:p>
      <w:pPr>
        <w:spacing w:after="0" w:line="12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3"/>
          <w:szCs w:val="13"/>
          <w:color w:val="auto"/>
          <w:shd w:val="clear" w:color="auto" w:fill="CCEEFF"/>
        </w:rPr>
        <w:t>Projected closings to commence 2Q 2018</w:t>
      </w:r>
    </w:p>
    <w:p>
      <w:pPr>
        <w:spacing w:after="0" w:line="1165" w:lineRule="exact"/>
        <w:rPr>
          <w:sz w:val="20"/>
          <w:szCs w:val="20"/>
          <w:color w:val="auto"/>
        </w:rPr>
      </w:pPr>
    </w:p>
    <w:p>
      <w:pPr>
        <w:sectPr>
          <w:pgSz w:w="11900" w:h="16838" w:orient="portrait"/>
          <w:cols w:equalWidth="0" w:num="2">
            <w:col w:w="6340" w:space="520"/>
            <w:col w:w="4560"/>
          </w:cols>
          <w:pgMar w:left="240" w:top="758" w:right="239" w:bottom="1440" w:gutter="0" w:footer="0" w:header="0"/>
          <w:type w:val="continuous"/>
        </w:sectPr>
      </w:pPr>
    </w:p>
    <w:tbl>
      <w:tblPr>
        <w:tblLayout w:type="fixed"/>
        <w:tblInd w:w="120" w:type="dxa"/>
        <w:tblCellMar>
          <w:top w:w="0" w:type="dxa"/>
          <w:left w:w="0" w:type="dxa"/>
          <w:bottom w:w="0" w:type="dxa"/>
          <w:right w:w="0" w:type="dxa"/>
        </w:tblCellMar>
      </w:tblPr>
      <w:tr>
        <w:trPr>
          <w:trHeight w:val="254"/>
        </w:trPr>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Phase I</w:t>
            </w:r>
          </w:p>
        </w:tc>
        <w:tc>
          <w:tcPr>
            <w:tcW w:w="1120" w:type="dxa"/>
            <w:vAlign w:val="bottom"/>
            <w:shd w:val="clear" w:color="auto" w:fill="CCEEFF"/>
          </w:tcPr>
          <w:p>
            <w:pPr>
              <w:spacing w:after="0"/>
              <w:rPr>
                <w:sz w:val="22"/>
                <w:szCs w:val="22"/>
                <w:color w:val="auto"/>
              </w:rPr>
            </w:pPr>
          </w:p>
        </w:tc>
        <w:tc>
          <w:tcPr>
            <w:tcW w:w="2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- 159,000 SF of retail</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6-7%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$265 - 270</w:t>
            </w:r>
          </w:p>
        </w:tc>
        <w:tc>
          <w:tcPr>
            <w:tcW w:w="7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$264</w:t>
            </w: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50%</w:t>
            </w: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75%</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90%</w:t>
            </w:r>
          </w:p>
        </w:tc>
        <w:tc>
          <w:tcPr>
            <w:tcW w:w="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100%</w:t>
            </w:r>
          </w:p>
        </w:tc>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Retail &amp; office open</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- 80,000 SF of office</w:t>
            </w:r>
          </w:p>
        </w:tc>
        <w:tc>
          <w:tcPr>
            <w:tcW w:w="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Residential opened in 2014 (174 units) and</w:t>
            </w:r>
          </w:p>
        </w:tc>
        <w:tc>
          <w:tcPr>
            <w:tcW w:w="0" w:type="dxa"/>
            <w:vAlign w:val="bottom"/>
          </w:tcPr>
          <w:p>
            <w:pPr>
              <w:spacing w:after="0"/>
              <w:rPr>
                <w:sz w:val="1"/>
                <w:szCs w:val="1"/>
                <w:color w:val="auto"/>
              </w:rPr>
            </w:pPr>
          </w:p>
        </w:tc>
      </w:tr>
      <w:tr>
        <w:trPr>
          <w:trHeight w:val="286"/>
        </w:trPr>
        <w:tc>
          <w:tcPr>
            <w:tcW w:w="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- 493 residential units</w:t>
            </w:r>
          </w:p>
        </w:tc>
        <w:tc>
          <w:tcPr>
            <w:tcW w:w="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2015/16 (319 units)</w:t>
            </w:r>
          </w:p>
        </w:tc>
        <w:tc>
          <w:tcPr>
            <w:tcW w:w="0" w:type="dxa"/>
            <w:vAlign w:val="bottom"/>
          </w:tcPr>
          <w:p>
            <w:pPr>
              <w:spacing w:after="0"/>
              <w:rPr>
                <w:sz w:val="1"/>
                <w:szCs w:val="1"/>
                <w:color w:val="auto"/>
              </w:rPr>
            </w:pPr>
          </w:p>
        </w:tc>
      </w:tr>
      <w:tr>
        <w:trPr>
          <w:trHeight w:val="173"/>
        </w:trPr>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auto"/>
              </w:rPr>
              <w:t>Phase II</w:t>
            </w:r>
          </w:p>
        </w:tc>
        <w:tc>
          <w:tcPr>
            <w:tcW w:w="1120" w:type="dxa"/>
            <w:vAlign w:val="bottom"/>
          </w:tcPr>
          <w:p>
            <w:pPr>
              <w:spacing w:after="0"/>
              <w:rPr>
                <w:sz w:val="15"/>
                <w:szCs w:val="15"/>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- 216,000 SF of retail</w:t>
            </w: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auto"/>
              </w:rPr>
              <w:t>6-7%</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$200 - 207</w:t>
            </w:r>
          </w:p>
        </w:tc>
        <w:tc>
          <w:tcPr>
            <w:tcW w:w="7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$81</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auto"/>
              </w:rPr>
              <w:t>65%</w:t>
            </w:r>
          </w:p>
        </w:tc>
        <w:tc>
          <w:tcPr>
            <w:tcW w:w="5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85%</w:t>
            </w:r>
          </w:p>
        </w:tc>
        <w:tc>
          <w:tcPr>
            <w:tcW w:w="2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Opening projected 3Q 2017 through 2Q 2018</w:t>
            </w:r>
          </w:p>
        </w:tc>
        <w:tc>
          <w:tcPr>
            <w:tcW w:w="0" w:type="dxa"/>
            <w:vAlign w:val="bottom"/>
          </w:tcPr>
          <w:p>
            <w:pPr>
              <w:spacing w:after="0"/>
              <w:rPr>
                <w:sz w:val="1"/>
                <w:szCs w:val="1"/>
                <w:color w:val="auto"/>
              </w:rPr>
            </w:pPr>
          </w:p>
        </w:tc>
      </w:tr>
      <w:tr>
        <w:trPr>
          <w:trHeight w:val="81"/>
        </w:trPr>
        <w:tc>
          <w:tcPr>
            <w:tcW w:w="880" w:type="dxa"/>
            <w:vAlign w:val="bottom"/>
            <w:gridSpan w:val="3"/>
            <w:vMerge w:val="continue"/>
          </w:tcPr>
          <w:p>
            <w:pPr>
              <w:spacing w:after="0"/>
              <w:rPr>
                <w:sz w:val="7"/>
                <w:szCs w:val="7"/>
                <w:color w:val="auto"/>
              </w:rPr>
            </w:pPr>
          </w:p>
        </w:tc>
        <w:tc>
          <w:tcPr>
            <w:tcW w:w="112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- 272 residential units</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- 177 hotel rooms</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- 99 for-sale condominium units</w:t>
            </w:r>
          </w:p>
        </w:tc>
        <w:tc>
          <w:tcPr>
            <w:tcW w:w="6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7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$53 - 58</w:t>
            </w:r>
          </w:p>
        </w:tc>
        <w:tc>
          <w:tcPr>
            <w:tcW w:w="7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color w:val="auto"/>
              </w:rPr>
              <w:t>$19</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5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Projected closings to commence 2Q 2018</w:t>
            </w: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208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34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25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Future Phases</w:t>
            </w:r>
          </w:p>
        </w:tc>
        <w:tc>
          <w:tcPr>
            <w:tcW w:w="11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- 1M SF of commercial</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TBD</w:t>
            </w:r>
          </w:p>
        </w:tc>
        <w:tc>
          <w:tcPr>
            <w:tcW w:w="340" w:type="dxa"/>
            <w:vAlign w:val="bottom"/>
          </w:tcPr>
          <w:p>
            <w:pPr>
              <w:spacing w:after="0"/>
              <w:rPr>
                <w:sz w:val="22"/>
                <w:szCs w:val="22"/>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TBD</w:t>
            </w:r>
          </w:p>
        </w:tc>
        <w:tc>
          <w:tcPr>
            <w:tcW w:w="7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TBD</w:t>
            </w: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- 741 residential units</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6"/>
        </w:trPr>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Santana Row</w:t>
            </w:r>
          </w:p>
        </w:tc>
        <w:tc>
          <w:tcPr>
            <w:tcW w:w="32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San Jose, CA</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80" w:type="dxa"/>
            <w:vAlign w:val="bottom"/>
            <w:gridSpan w:val="3"/>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700 Santana</w:t>
            </w:r>
          </w:p>
        </w:tc>
        <w:tc>
          <w:tcPr>
            <w:tcW w:w="1120" w:type="dxa"/>
            <w:vAlign w:val="bottom"/>
            <w:shd w:val="clear" w:color="auto" w:fill="CCEEFF"/>
          </w:tcPr>
          <w:p>
            <w:pPr>
              <w:spacing w:after="0"/>
              <w:rPr>
                <w:sz w:val="12"/>
                <w:szCs w:val="12"/>
                <w:color w:val="auto"/>
              </w:rPr>
            </w:pPr>
          </w:p>
        </w:tc>
        <w:tc>
          <w:tcPr>
            <w:tcW w:w="20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17"/>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Row</w:t>
            </w:r>
          </w:p>
        </w:tc>
        <w:tc>
          <w:tcPr>
            <w:tcW w:w="1120" w:type="dxa"/>
            <w:vAlign w:val="bottom"/>
            <w:shd w:val="clear" w:color="auto" w:fill="CCEEFF"/>
          </w:tcPr>
          <w:p>
            <w:pPr>
              <w:spacing w:after="0"/>
              <w:rPr>
                <w:sz w:val="14"/>
                <w:szCs w:val="14"/>
                <w:color w:val="auto"/>
              </w:rPr>
            </w:pPr>
          </w:p>
        </w:tc>
        <w:tc>
          <w:tcPr>
            <w:tcW w:w="2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- 284,000 SF of office</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7%</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$205 - 215</w:t>
            </w: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TBD</w:t>
            </w:r>
          </w:p>
        </w:tc>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Commencing construction 4Q 2016</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- 29,000 SF of retail &amp; 1,300 parking</w:t>
            </w: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spaces</w:t>
            </w: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Opening projected 2019</w:t>
            </w:r>
          </w:p>
        </w:tc>
        <w:tc>
          <w:tcPr>
            <w:tcW w:w="0" w:type="dxa"/>
            <w:vAlign w:val="bottom"/>
          </w:tcPr>
          <w:p>
            <w:pPr>
              <w:spacing w:after="0"/>
              <w:rPr>
                <w:sz w:val="1"/>
                <w:szCs w:val="1"/>
                <w:color w:val="auto"/>
              </w:rPr>
            </w:pPr>
          </w:p>
        </w:tc>
      </w:tr>
      <w:tr>
        <w:trPr>
          <w:trHeight w:val="254"/>
        </w:trPr>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Future Phases</w:t>
            </w:r>
          </w:p>
        </w:tc>
        <w:tc>
          <w:tcPr>
            <w:tcW w:w="11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- 321,000 SF of commercial</w:t>
            </w: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TBD</w:t>
            </w:r>
          </w:p>
        </w:tc>
        <w:tc>
          <w:tcPr>
            <w:tcW w:w="340" w:type="dxa"/>
            <w:vAlign w:val="bottom"/>
          </w:tcPr>
          <w:p>
            <w:pPr>
              <w:spacing w:after="0"/>
              <w:rPr>
                <w:sz w:val="22"/>
                <w:szCs w:val="22"/>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TBD</w:t>
            </w:r>
          </w:p>
        </w:tc>
        <w:tc>
          <w:tcPr>
            <w:tcW w:w="70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TBD</w:t>
            </w: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- 395 residential units</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195" w:lineRule="exact"/>
        <w:rPr>
          <w:sz w:val="20"/>
          <w:szCs w:val="20"/>
          <w:color w:val="auto"/>
        </w:rPr>
      </w:pPr>
    </w:p>
    <w:p>
      <w:pPr>
        <w:ind w:left="500" w:right="120" w:hanging="465"/>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Anticipated opening dates, total cost, projected return on investment (ROI), and projected POI percentages are subject to adjustment as a result of factors inherent in the development process, some of which may not be under the</w:t>
      </w:r>
    </w:p>
    <w:p>
      <w:pPr>
        <w:spacing w:after="0" w:line="25" w:lineRule="exact"/>
        <w:rPr>
          <w:rFonts w:ascii="Times New Roman" w:cs="Times New Roman" w:eastAsia="Times New Roman" w:hAnsi="Times New Roman"/>
          <w:sz w:val="13"/>
          <w:szCs w:val="13"/>
          <w:color w:val="auto"/>
        </w:rPr>
      </w:pPr>
    </w:p>
    <w:p>
      <w:pPr>
        <w:ind w:left="5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 control of the Company. Refer to the Company's filings with the Securities and Exchange Commission on Form 10-K and Form 10-Q for other risk factors.</w:t>
      </w:r>
    </w:p>
    <w:p>
      <w:pPr>
        <w:spacing w:after="0" w:line="39" w:lineRule="exact"/>
        <w:rPr>
          <w:rFonts w:ascii="Times New Roman" w:cs="Times New Roman" w:eastAsia="Times New Roman" w:hAnsi="Times New Roman"/>
          <w:sz w:val="13"/>
          <w:szCs w:val="13"/>
          <w:color w:val="auto"/>
        </w:rPr>
      </w:pPr>
    </w:p>
    <w:p>
      <w:pPr>
        <w:ind w:left="5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Percentage figures reflect (i) the projected POI (herein defined) for the stated year divided by (ii) the current projected annual stabilized POI for the Property. These percentages are projections only and we cannot</w:t>
      </w:r>
    </w:p>
    <w:p>
      <w:pPr>
        <w:spacing w:after="0" w:line="11" w:lineRule="exact"/>
        <w:rPr>
          <w:rFonts w:ascii="Times New Roman" w:cs="Times New Roman" w:eastAsia="Times New Roman" w:hAnsi="Times New Roman"/>
          <w:sz w:val="13"/>
          <w:szCs w:val="13"/>
          <w:color w:val="auto"/>
        </w:rPr>
      </w:pPr>
    </w:p>
    <w:p>
      <w:pPr>
        <w:ind w:left="500" w:hanging="465"/>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give any assurances</w:t>
      </w:r>
    </w:p>
    <w:p>
      <w:pPr>
        <w:spacing w:after="0" w:line="25" w:lineRule="exact"/>
        <w:rPr>
          <w:rFonts w:ascii="Times New Roman" w:cs="Times New Roman" w:eastAsia="Times New Roman" w:hAnsi="Times New Roman"/>
          <w:sz w:val="13"/>
          <w:szCs w:val="13"/>
          <w:color w:val="auto"/>
        </w:rPr>
      </w:pPr>
    </w:p>
    <w:p>
      <w:pPr>
        <w:ind w:left="5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these amounts will actually be achieved.</w:t>
      </w:r>
    </w:p>
    <w:p>
      <w:pPr>
        <w:spacing w:after="0" w:line="39" w:lineRule="exact"/>
        <w:rPr>
          <w:rFonts w:ascii="Times New Roman" w:cs="Times New Roman" w:eastAsia="Times New Roman" w:hAnsi="Times New Roman"/>
          <w:sz w:val="13"/>
          <w:szCs w:val="13"/>
          <w:color w:val="auto"/>
        </w:rPr>
      </w:pPr>
    </w:p>
    <w:p>
      <w:pPr>
        <w:ind w:left="500" w:hanging="465"/>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ROI for development projects reflects the unleveraged Property Operating Income (POI) generated by the development and is calculated as POI divided by cost.</w:t>
      </w:r>
    </w:p>
    <w:p>
      <w:pPr>
        <w:spacing w:after="0" w:line="39" w:lineRule="exact"/>
        <w:rPr>
          <w:rFonts w:ascii="Times New Roman" w:cs="Times New Roman" w:eastAsia="Times New Roman" w:hAnsi="Times New Roman"/>
          <w:sz w:val="13"/>
          <w:szCs w:val="13"/>
          <w:color w:val="auto"/>
        </w:rPr>
      </w:pPr>
    </w:p>
    <w:p>
      <w:pPr>
        <w:ind w:left="500" w:hanging="465"/>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costs include an allocation of infrastructure costs for the entire project.</w:t>
      </w:r>
    </w:p>
    <w:p>
      <w:pPr>
        <w:spacing w:after="0" w:line="39" w:lineRule="exact"/>
        <w:rPr>
          <w:rFonts w:ascii="Times New Roman" w:cs="Times New Roman" w:eastAsia="Times New Roman" w:hAnsi="Times New Roman"/>
          <w:sz w:val="13"/>
          <w:szCs w:val="13"/>
          <w:color w:val="auto"/>
        </w:rPr>
      </w:pPr>
    </w:p>
    <w:p>
      <w:pPr>
        <w:ind w:left="500" w:hanging="465"/>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are net of expected reimbursement by third parties and land sale proceeds from expected exercise of option. Phase II total costs include our share of the costs in the hotel.</w:t>
      </w:r>
    </w:p>
    <w:p>
      <w:pPr>
        <w:spacing w:after="0" w:line="39" w:lineRule="exact"/>
        <w:rPr>
          <w:rFonts w:ascii="Times New Roman" w:cs="Times New Roman" w:eastAsia="Times New Roman" w:hAnsi="Times New Roman"/>
          <w:sz w:val="13"/>
          <w:szCs w:val="13"/>
          <w:color w:val="auto"/>
        </w:rPr>
      </w:pPr>
    </w:p>
    <w:p>
      <w:pPr>
        <w:ind w:left="500" w:hanging="465"/>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Condominiums shown at cost; the projected ROI for Phase II does not assume any incremental profit on the sale of condominium units; condominiums are assumed to be sold at cost.</w:t>
      </w:r>
    </w:p>
    <w:p>
      <w:pPr>
        <w:spacing w:after="0" w:line="39" w:lineRule="exact"/>
        <w:rPr>
          <w:rFonts w:ascii="Times New Roman" w:cs="Times New Roman" w:eastAsia="Times New Roman" w:hAnsi="Times New Roman"/>
          <w:sz w:val="13"/>
          <w:szCs w:val="13"/>
          <w:color w:val="auto"/>
        </w:rPr>
      </w:pPr>
    </w:p>
    <w:p>
      <w:pPr>
        <w:ind w:left="500" w:hanging="465"/>
        <w:spacing w:after="0"/>
        <w:tabs>
          <w:tab w:leader="none" w:pos="5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approximately $4 million of costs incurred to date of which we have claims for recovery against 3rd parties.</w:t>
      </w:r>
    </w:p>
    <w:p>
      <w:pPr>
        <w:sectPr>
          <w:pgSz w:w="11900" w:h="16838" w:orient="portrait"/>
          <w:cols w:equalWidth="0" w:num="1">
            <w:col w:w="11420"/>
          </w:cols>
          <w:pgMar w:left="240" w:top="758" w:right="239" w:bottom="1440" w:gutter="0" w:footer="0" w:header="0"/>
          <w:type w:val="continuous"/>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58" w:right="2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Federal Realty Investment Trust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Assembly Row Site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848985" cy="7572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0" w:num="1">
            <w:col w:w="10219"/>
          </w:cols>
          <w:pgMar w:left="240" w:top="5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219"/>
          </w:cols>
          <w:pgMar w:left="240" w:top="576" w:right="1440"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Federal Realty Investment Trust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Pike &amp; Rose Site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848985" cy="7598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985" cy="7598410"/>
                    </a:xfrm>
                    <a:prstGeom prst="rect">
                      <a:avLst/>
                    </a:prstGeom>
                    <a:noFill/>
                  </pic:spPr>
                </pic:pic>
              </a:graphicData>
            </a:graphic>
          </wp:anchor>
        </w:drawing>
      </w:r>
    </w:p>
    <w:p>
      <w:pPr>
        <w:sectPr>
          <w:pgSz w:w="11900" w:h="16838" w:orient="portrait"/>
          <w:cols w:equalWidth="0" w:num="1">
            <w:col w:w="10219"/>
          </w:cols>
          <w:pgMar w:left="240" w:top="5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219"/>
          </w:cols>
          <w:pgMar w:left="240" w:top="576" w:right="1440"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2016</w:t>
      </w:r>
    </w:p>
    <w:p>
      <w:pPr>
        <w:spacing w:after="0" w:line="368" w:lineRule="exact"/>
        <w:rPr>
          <w:sz w:val="20"/>
          <w:szCs w:val="20"/>
          <w:color w:val="auto"/>
        </w:rPr>
      </w:pPr>
    </w:p>
    <w:p>
      <w:pPr>
        <w:ind w:left="40" w:right="40"/>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14" w:lineRule="exact"/>
        <w:rPr>
          <w:sz w:val="20"/>
          <w:szCs w:val="20"/>
          <w:color w:val="auto"/>
        </w:rPr>
      </w:pPr>
    </w:p>
    <w:p>
      <w:pPr>
        <w:ind w:left="40" w:right="960"/>
        <w:spacing w:after="0" w:line="292" w:lineRule="auto"/>
        <w:rPr>
          <w:sz w:val="20"/>
          <w:szCs w:val="20"/>
          <w:color w:val="auto"/>
        </w:rPr>
      </w:pPr>
      <w:r>
        <w:rPr>
          <w:rFonts w:ascii="Times New Roman" w:cs="Times New Roman" w:eastAsia="Times New Roman" w:hAnsi="Times New Roman"/>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tbl>
      <w:tblPr>
        <w:tblLayout w:type="fixed"/>
        <w:tblInd w:w="0" w:type="dxa"/>
        <w:tblCellMar>
          <w:top w:w="0" w:type="dxa"/>
          <w:left w:w="0" w:type="dxa"/>
          <w:bottom w:w="0" w:type="dxa"/>
          <w:right w:w="0" w:type="dxa"/>
        </w:tblCellMar>
      </w:tblP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Bethesda Row</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Bethesda, MD</w:t>
            </w:r>
          </w:p>
        </w:tc>
        <w:tc>
          <w:tcPr>
            <w:tcW w:w="24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Melville Mall</w:t>
            </w:r>
          </w:p>
        </w:tc>
        <w:tc>
          <w:tcPr>
            <w:tcW w:w="44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Huntington, NY</w:t>
            </w:r>
          </w:p>
        </w:tc>
      </w:tr>
      <w:tr>
        <w:trPr>
          <w:trHeight w:val="237"/>
        </w:trPr>
        <w:tc>
          <w:tcPr>
            <w:tcW w:w="24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Dedham Plaza</w:t>
            </w:r>
          </w:p>
        </w:tc>
        <w:tc>
          <w:tcPr>
            <w:tcW w:w="2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Dedham, MA</w:t>
            </w:r>
          </w:p>
        </w:tc>
        <w:tc>
          <w:tcPr>
            <w:tcW w:w="242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Mercer Mall</w:t>
            </w:r>
          </w:p>
        </w:tc>
        <w:tc>
          <w:tcPr>
            <w:tcW w:w="44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Lawrenceville, NJ</w:t>
            </w: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Escondido Promenade</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Escondido, CA</w:t>
            </w:r>
          </w:p>
        </w:tc>
        <w:tc>
          <w:tcPr>
            <w:tcW w:w="24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Pan Am</w:t>
            </w:r>
          </w:p>
        </w:tc>
        <w:tc>
          <w:tcPr>
            <w:tcW w:w="44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Fairfax, VA</w:t>
            </w:r>
          </w:p>
        </w:tc>
      </w:tr>
      <w:tr>
        <w:trPr>
          <w:trHeight w:val="237"/>
        </w:trPr>
        <w:tc>
          <w:tcPr>
            <w:tcW w:w="24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Federal Plaza</w:t>
            </w:r>
          </w:p>
        </w:tc>
        <w:tc>
          <w:tcPr>
            <w:tcW w:w="2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Rockville, MD</w:t>
            </w:r>
          </w:p>
        </w:tc>
        <w:tc>
          <w:tcPr>
            <w:tcW w:w="2420" w:type="dxa"/>
            <w:vAlign w:val="bottom"/>
          </w:tcPr>
          <w:p>
            <w:pPr>
              <w:ind w:left="660"/>
              <w:spacing w:after="0"/>
              <w:rPr>
                <w:sz w:val="20"/>
                <w:szCs w:val="20"/>
                <w:color w:val="auto"/>
              </w:rPr>
            </w:pPr>
            <w:r>
              <w:rPr>
                <w:rFonts w:ascii="Times New Roman" w:cs="Times New Roman" w:eastAsia="Times New Roman" w:hAnsi="Times New Roman"/>
                <w:sz w:val="16"/>
                <w:szCs w:val="16"/>
                <w:b w:val="1"/>
                <w:bCs w:val="1"/>
                <w:color w:val="auto"/>
              </w:rPr>
              <w:t>Pike 7</w:t>
            </w:r>
          </w:p>
        </w:tc>
        <w:tc>
          <w:tcPr>
            <w:tcW w:w="446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Vienna, VA</w:t>
            </w: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Flourtown</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Flourtown, PA</w:t>
            </w:r>
          </w:p>
        </w:tc>
        <w:tc>
          <w:tcPr>
            <w:tcW w:w="24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Wildwood</w:t>
            </w:r>
          </w:p>
        </w:tc>
        <w:tc>
          <w:tcPr>
            <w:tcW w:w="44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Bethesda, MD</w:t>
            </w:r>
          </w:p>
        </w:tc>
      </w:tr>
      <w:tr>
        <w:trPr>
          <w:trHeight w:val="237"/>
        </w:trPr>
        <w:tc>
          <w:tcPr>
            <w:tcW w:w="242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Fresh Meadows</w:t>
            </w:r>
          </w:p>
        </w:tc>
        <w:tc>
          <w:tcPr>
            <w:tcW w:w="21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Queens, NY</w:t>
            </w:r>
          </w:p>
        </w:tc>
        <w:tc>
          <w:tcPr>
            <w:tcW w:w="24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70"/>
        </w:trPr>
        <w:tc>
          <w:tcPr>
            <w:tcW w:w="242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c>
          <w:tcPr>
            <w:tcW w:w="4460" w:type="dxa"/>
            <w:vAlign w:val="bottom"/>
            <w:shd w:val="clear" w:color="auto" w:fill="CCEEFF"/>
          </w:tcPr>
          <w:p>
            <w:pPr>
              <w:spacing w:after="0"/>
              <w:rPr>
                <w:sz w:val="23"/>
                <w:szCs w:val="23"/>
                <w:color w:val="auto"/>
              </w:rPr>
            </w:pPr>
          </w:p>
        </w:tc>
      </w:tr>
    </w:tbl>
    <w:p>
      <w:pPr>
        <w:spacing w:after="0" w:line="11" w:lineRule="exact"/>
        <w:rPr>
          <w:sz w:val="20"/>
          <w:szCs w:val="20"/>
          <w:color w:val="auto"/>
        </w:rPr>
      </w:pPr>
    </w:p>
    <w:p>
      <w:pPr>
        <w:ind w:left="40" w:right="520"/>
        <w:spacing w:after="0" w:line="292" w:lineRule="auto"/>
        <w:rPr>
          <w:sz w:val="20"/>
          <w:szCs w:val="20"/>
          <w:color w:val="auto"/>
        </w:rPr>
      </w:pPr>
      <w:r>
        <w:rPr>
          <w:rFonts w:ascii="Times New Roman" w:cs="Times New Roman" w:eastAsia="Times New Roman" w:hAnsi="Times New Roman"/>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tbl>
      <w:tblPr>
        <w:tblLayout w:type="fixed"/>
        <w:tblInd w:w="0" w:type="dxa"/>
        <w:tblCellMar>
          <w:top w:w="0" w:type="dxa"/>
          <w:left w:w="0" w:type="dxa"/>
          <w:bottom w:w="0" w:type="dxa"/>
          <w:right w:w="0" w:type="dxa"/>
        </w:tblCellMar>
      </w:tblP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Barracks Road</w:t>
            </w:r>
          </w:p>
        </w:tc>
        <w:tc>
          <w:tcPr>
            <w:tcW w:w="25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Charlottesville, VA</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Fresh Meadows</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Queens, NY</w:t>
            </w:r>
          </w:p>
        </w:tc>
      </w:tr>
      <w:tr>
        <w:trPr>
          <w:trHeight w:val="237"/>
        </w:trPr>
        <w:tc>
          <w:tcPr>
            <w:tcW w:w="216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Bethesda Row</w:t>
            </w:r>
          </w:p>
        </w:tc>
        <w:tc>
          <w:tcPr>
            <w:tcW w:w="2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Bethesda, MD</w:t>
            </w:r>
          </w:p>
        </w:tc>
        <w:tc>
          <w:tcPr>
            <w:tcW w:w="27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Northeast</w:t>
            </w:r>
          </w:p>
        </w:tc>
        <w:tc>
          <w:tcPr>
            <w:tcW w:w="40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Philadelphia, PA</w:t>
            </w:r>
          </w:p>
        </w:tc>
      </w:tr>
      <w:tr>
        <w:trPr>
          <w:trHeight w:val="33"/>
        </w:trPr>
        <w:tc>
          <w:tcPr>
            <w:tcW w:w="2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Brick</w:t>
            </w:r>
          </w:p>
        </w:tc>
        <w:tc>
          <w:tcPr>
            <w:tcW w:w="25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Brick, NJ</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The Shops at Sunset Place</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South Miami, FL</w:t>
            </w:r>
          </w:p>
        </w:tc>
      </w:tr>
      <w:tr>
        <w:trPr>
          <w:trHeight w:val="237"/>
        </w:trPr>
        <w:tc>
          <w:tcPr>
            <w:tcW w:w="216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CocoWalk</w:t>
            </w:r>
          </w:p>
        </w:tc>
        <w:tc>
          <w:tcPr>
            <w:tcW w:w="2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Coconut Grove, FL</w:t>
            </w:r>
          </w:p>
        </w:tc>
        <w:tc>
          <w:tcPr>
            <w:tcW w:w="27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Third Street Promenade</w:t>
            </w:r>
          </w:p>
        </w:tc>
        <w:tc>
          <w:tcPr>
            <w:tcW w:w="40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Santa Monica, CA</w:t>
            </w:r>
          </w:p>
        </w:tc>
      </w:tr>
      <w:tr>
        <w:trPr>
          <w:trHeight w:val="33"/>
        </w:trPr>
        <w:tc>
          <w:tcPr>
            <w:tcW w:w="2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b w:val="1"/>
                <w:bCs w:val="1"/>
                <w:color w:val="auto"/>
              </w:rPr>
              <w:t>Crossroads</w:t>
            </w:r>
          </w:p>
        </w:tc>
        <w:tc>
          <w:tcPr>
            <w:tcW w:w="252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Highland Park, IL</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Troy</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Parsippany, NJ</w:t>
            </w:r>
          </w:p>
        </w:tc>
      </w:tr>
      <w:tr>
        <w:trPr>
          <w:trHeight w:val="237"/>
        </w:trPr>
        <w:tc>
          <w:tcPr>
            <w:tcW w:w="216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Darien</w:t>
            </w:r>
          </w:p>
        </w:tc>
        <w:tc>
          <w:tcPr>
            <w:tcW w:w="252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Darien, CT</w:t>
            </w:r>
          </w:p>
        </w:tc>
        <w:tc>
          <w:tcPr>
            <w:tcW w:w="272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Wildwood</w:t>
            </w:r>
          </w:p>
        </w:tc>
        <w:tc>
          <w:tcPr>
            <w:tcW w:w="40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Bethesda, MD</w:t>
            </w:r>
          </w:p>
        </w:tc>
      </w:tr>
      <w:tr>
        <w:trPr>
          <w:trHeight w:val="33"/>
        </w:trPr>
        <w:tc>
          <w:tcPr>
            <w:tcW w:w="2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70"/>
        </w:trPr>
        <w:tc>
          <w:tcPr>
            <w:tcW w:w="2160" w:type="dxa"/>
            <w:vAlign w:val="bottom"/>
            <w:shd w:val="clear" w:color="auto" w:fill="CCEEFF"/>
          </w:tcPr>
          <w:p>
            <w:pPr>
              <w:spacing w:after="0"/>
              <w:rPr>
                <w:sz w:val="23"/>
                <w:szCs w:val="23"/>
                <w:color w:val="auto"/>
              </w:rPr>
            </w:pPr>
          </w:p>
        </w:tc>
        <w:tc>
          <w:tcPr>
            <w:tcW w:w="252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4020" w:type="dxa"/>
            <w:vAlign w:val="bottom"/>
            <w:shd w:val="clear" w:color="auto" w:fill="CCEEFF"/>
          </w:tcPr>
          <w:p>
            <w:pPr>
              <w:spacing w:after="0"/>
              <w:rPr>
                <w:sz w:val="23"/>
                <w:szCs w:val="23"/>
                <w:color w:val="auto"/>
              </w:rPr>
            </w:pPr>
          </w:p>
        </w:tc>
      </w:tr>
    </w:tbl>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Residential Opportunities - Opportunity to add residential units to existing retail and mixed-use properties.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Barracks Road</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Charlottesville, VA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Graham Park Plaza</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Falls Church, VA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Bala Cynwyd</w:t>
            </w:r>
          </w:p>
        </w:tc>
        <w:tc>
          <w:tcPr>
            <w:tcW w:w="1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Bala Cynwyd, PA</w:t>
            </w:r>
          </w:p>
        </w:tc>
        <w:tc>
          <w:tcPr>
            <w:tcW w:w="300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Village at Shirlington</w:t>
            </w:r>
          </w:p>
        </w:tc>
        <w:tc>
          <w:tcPr>
            <w:tcW w:w="3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Arlington, VA</w:t>
            </w:r>
          </w:p>
        </w:tc>
      </w:tr>
      <w:tr>
        <w:trPr>
          <w:trHeight w:val="33"/>
        </w:trPr>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r>
      <w:tr>
        <w:trPr>
          <w:trHeight w:val="224"/>
        </w:trPr>
        <w:tc>
          <w:tcPr>
            <w:tcW w:w="28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Longer Term Mixed-Use Opportunities</w:t>
            </w:r>
          </w:p>
        </w:tc>
        <w:tc>
          <w:tcPr>
            <w:tcW w:w="19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Assembly Row (1)</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Somerville, MA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San Antonio Center</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Mountain View, CA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Bala Cynwyd</w:t>
            </w:r>
          </w:p>
        </w:tc>
        <w:tc>
          <w:tcPr>
            <w:tcW w:w="1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Bala Cynwyd, PA</w:t>
            </w:r>
          </w:p>
        </w:tc>
        <w:tc>
          <w:tcPr>
            <w:tcW w:w="300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Santana Row (3)</w:t>
            </w:r>
          </w:p>
        </w:tc>
        <w:tc>
          <w:tcPr>
            <w:tcW w:w="3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San Jose, CA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14"/>
        </w:trPr>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Santana Row - Winchester Theater</w:t>
            </w:r>
          </w:p>
        </w:tc>
        <w:tc>
          <w:tcPr>
            <w:tcW w:w="3700" w:type="dxa"/>
            <w:vAlign w:val="bottom"/>
            <w:shd w:val="clear" w:color="auto" w:fill="CCEEFF"/>
          </w:tcPr>
          <w:p>
            <w:pPr>
              <w:spacing w:after="0"/>
              <w:rPr>
                <w:sz w:val="18"/>
                <w:szCs w:val="18"/>
                <w:color w:val="auto"/>
              </w:rPr>
            </w:pPr>
          </w:p>
        </w:tc>
      </w:tr>
      <w:tr>
        <w:trPr>
          <w:trHeight w:val="225"/>
        </w:trPr>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Pike 7 Plaza</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Vienna, VA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b w:val="1"/>
                <w:bCs w:val="1"/>
                <w:color w:val="auto"/>
              </w:rPr>
              <w:t>site</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San Jose, CA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Pike &amp; Rose (2)</w:t>
            </w:r>
          </w:p>
        </w:tc>
        <w:tc>
          <w:tcPr>
            <w:tcW w:w="19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North Bethesda, MD</w:t>
            </w:r>
          </w:p>
        </w:tc>
        <w:tc>
          <w:tcPr>
            <w:tcW w:w="30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r>
      <w:tr>
        <w:trPr>
          <w:trHeight w:val="230"/>
        </w:trPr>
        <w:tc>
          <w:tcPr>
            <w:tcW w:w="282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Notes:</w:t>
            </w:r>
          </w:p>
        </w:tc>
        <w:tc>
          <w:tcPr>
            <w:tcW w:w="19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03"/>
        </w:trPr>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w:t>
            </w:r>
          </w:p>
        </w:tc>
        <w:tc>
          <w:tcPr>
            <w:tcW w:w="2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Assembly Row</w:t>
            </w:r>
          </w:p>
        </w:tc>
        <w:tc>
          <w:tcPr>
            <w:tcW w:w="8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Remaining entitlements after Phase II include approximately 2 million square feet of commercial-use buildings and 826 residential units.</w:t>
            </w:r>
          </w:p>
        </w:tc>
      </w:tr>
      <w:tr>
        <w:trPr>
          <w:trHeight w:val="198"/>
        </w:trPr>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w:t>
            </w:r>
          </w:p>
        </w:tc>
        <w:tc>
          <w:tcPr>
            <w:tcW w:w="25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Pike &amp; Rose</w:t>
            </w:r>
          </w:p>
        </w:tc>
        <w:tc>
          <w:tcPr>
            <w:tcW w:w="86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Remaining entitlements after Phase II include 1 million square feet of commercial-use buildings and 741 residential units.</w:t>
            </w:r>
          </w:p>
        </w:tc>
      </w:tr>
      <w:tr>
        <w:trPr>
          <w:trHeight w:val="208"/>
        </w:trPr>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w:t>
            </w:r>
          </w:p>
        </w:tc>
        <w:tc>
          <w:tcPr>
            <w:tcW w:w="2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Santana Row</w:t>
            </w:r>
          </w:p>
        </w:tc>
        <w:tc>
          <w:tcPr>
            <w:tcW w:w="86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Remaining entitlements include approximately 321,000 square feet of commercial space and 395 residential units.</w:t>
            </w:r>
          </w:p>
        </w:tc>
      </w:tr>
      <w:tr>
        <w:trPr>
          <w:trHeight w:val="459"/>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19</w:t>
            </w:r>
          </w:p>
        </w:tc>
        <w:tc>
          <w:tcPr>
            <w:tcW w:w="3700" w:type="dxa"/>
            <w:vAlign w:val="bottom"/>
          </w:tcPr>
          <w:p>
            <w:pPr>
              <w:spacing w:after="0"/>
              <w:rPr>
                <w:sz w:val="24"/>
                <w:szCs w:val="24"/>
                <w:color w:val="auto"/>
              </w:rPr>
            </w:pPr>
          </w:p>
        </w:tc>
      </w:tr>
    </w:tbl>
    <w:p>
      <w:pPr>
        <w:sectPr>
          <w:pgSz w:w="11900" w:h="16838" w:orient="portrait"/>
          <w:cols w:equalWidth="0" w:num="1">
            <w:col w:w="11420"/>
          </w:cols>
          <w:pgMar w:left="240" w:top="745" w:right="239"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2016 Significant Acquisitions and Disposition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3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rPr>
        <w:t>2016 Significant Acquisitions</w:t>
      </w:r>
    </w:p>
    <w:p>
      <w:pPr>
        <w:spacing w:after="0" w:line="185" w:lineRule="exact"/>
        <w:rPr>
          <w:sz w:val="20"/>
          <w:szCs w:val="20"/>
          <w:color w:val="auto"/>
        </w:rPr>
      </w:pPr>
    </w:p>
    <w:p>
      <w:pPr>
        <w:ind w:left="40" w:right="240"/>
        <w:spacing w:after="0" w:line="256" w:lineRule="auto"/>
        <w:rPr>
          <w:sz w:val="20"/>
          <w:szCs w:val="20"/>
          <w:color w:val="auto"/>
        </w:rPr>
      </w:pPr>
      <w:r>
        <w:rPr>
          <w:rFonts w:ascii="Times New Roman" w:cs="Times New Roman" w:eastAsia="Times New Roman" w:hAnsi="Times New Roman"/>
          <w:sz w:val="17"/>
          <w:szCs w:val="17"/>
          <w:color w:val="auto"/>
        </w:rPr>
        <w:t>On January 13, 2016, we acquired our partner's 70% interest in our joint venture arrangement (the "Partnership") with affiliates of a discretionary fund created and advised by Clarion Partners ("Clarion") for $153.7 million, which included $130 million of cash and the assumption of mortgage loans totaling $34.4 million. As a result of the transaction, we gained control of the six underlying properties and effective January 13, 2016, have consolidated the properties. We also recognized a gain on acquisition of the controlling interest of $25.7 million related to the difference between the carrying value and fair value of the previously held equity interest.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24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City/State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GLA</w:t>
            </w:r>
          </w:p>
        </w:tc>
        <w:tc>
          <w:tcPr>
            <w:tcW w:w="5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Principal Tenants</w:t>
            </w:r>
          </w:p>
        </w:tc>
        <w:tc>
          <w:tcPr>
            <w:tcW w:w="0" w:type="dxa"/>
            <w:vAlign w:val="bottom"/>
          </w:tcPr>
          <w:p>
            <w:pPr>
              <w:spacing w:after="0"/>
              <w:rPr>
                <w:sz w:val="1"/>
                <w:szCs w:val="1"/>
                <w:color w:val="auto"/>
              </w:rPr>
            </w:pPr>
          </w:p>
        </w:tc>
      </w:tr>
      <w:tr>
        <w:trPr>
          <w:trHeight w:val="191"/>
        </w:trPr>
        <w:tc>
          <w:tcPr>
            <w:tcW w:w="2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square feet)</w:t>
            </w:r>
          </w:p>
        </w:tc>
        <w:tc>
          <w:tcPr>
            <w:tcW w:w="5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2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Atlantic Plaza</w:t>
            </w:r>
          </w:p>
        </w:tc>
        <w:tc>
          <w:tcPr>
            <w:tcW w:w="24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North Reading, MA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123,000</w:t>
            </w:r>
          </w:p>
        </w:tc>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Stop &amp; Shop</w:t>
            </w:r>
          </w:p>
        </w:tc>
        <w:tc>
          <w:tcPr>
            <w:tcW w:w="0" w:type="dxa"/>
            <w:vAlign w:val="bottom"/>
          </w:tcPr>
          <w:p>
            <w:pPr>
              <w:spacing w:after="0"/>
              <w:rPr>
                <w:sz w:val="1"/>
                <w:szCs w:val="1"/>
                <w:color w:val="auto"/>
              </w:rPr>
            </w:pPr>
          </w:p>
        </w:tc>
      </w:tr>
      <w:tr>
        <w:trPr>
          <w:trHeight w:val="224"/>
        </w:trPr>
        <w:tc>
          <w:tcPr>
            <w:tcW w:w="2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Barcroft Plaza</w:t>
            </w:r>
          </w:p>
        </w:tc>
        <w:tc>
          <w:tcPr>
            <w:tcW w:w="24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Falls Church, VA</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100,000</w:t>
            </w:r>
          </w:p>
        </w:tc>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Harris Teeter / Bank of America</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Campus Plaza</w:t>
            </w:r>
          </w:p>
        </w:tc>
        <w:tc>
          <w:tcPr>
            <w:tcW w:w="24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Bridgewater, MA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116,000</w:t>
            </w:r>
          </w:p>
        </w:tc>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Roche Bros. / Burlington Coat Factory</w:t>
            </w:r>
          </w:p>
        </w:tc>
        <w:tc>
          <w:tcPr>
            <w:tcW w:w="0" w:type="dxa"/>
            <w:vAlign w:val="bottom"/>
          </w:tcPr>
          <w:p>
            <w:pPr>
              <w:spacing w:after="0"/>
              <w:rPr>
                <w:sz w:val="1"/>
                <w:szCs w:val="1"/>
                <w:color w:val="auto"/>
              </w:rPr>
            </w:pPr>
          </w:p>
        </w:tc>
      </w:tr>
      <w:tr>
        <w:trPr>
          <w:trHeight w:val="224"/>
        </w:trPr>
        <w:tc>
          <w:tcPr>
            <w:tcW w:w="2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Free State Shopping Center</w:t>
            </w:r>
          </w:p>
        </w:tc>
        <w:tc>
          <w:tcPr>
            <w:tcW w:w="24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Bowie, MD</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265,000</w:t>
            </w:r>
          </w:p>
        </w:tc>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Giant Food / TJ Maxx / Ross Dress For Less / Office Depot</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Greenlawn Plaza</w:t>
            </w:r>
          </w:p>
        </w:tc>
        <w:tc>
          <w:tcPr>
            <w:tcW w:w="24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Greenlawn, NY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106,000</w:t>
            </w:r>
          </w:p>
        </w:tc>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Greenlawn Farms / Tuesday Morning</w:t>
            </w:r>
          </w:p>
        </w:tc>
        <w:tc>
          <w:tcPr>
            <w:tcW w:w="0" w:type="dxa"/>
            <w:vAlign w:val="bottom"/>
          </w:tcPr>
          <w:p>
            <w:pPr>
              <w:spacing w:after="0"/>
              <w:rPr>
                <w:sz w:val="1"/>
                <w:szCs w:val="1"/>
                <w:color w:val="auto"/>
              </w:rPr>
            </w:pPr>
          </w:p>
        </w:tc>
      </w:tr>
      <w:tr>
        <w:trPr>
          <w:trHeight w:val="224"/>
        </w:trPr>
        <w:tc>
          <w:tcPr>
            <w:tcW w:w="2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Plaza del Mercado</w:t>
            </w:r>
          </w:p>
        </w:tc>
        <w:tc>
          <w:tcPr>
            <w:tcW w:w="24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Silver Spring, MD</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96,000</w:t>
            </w:r>
          </w:p>
        </w:tc>
        <w:tc>
          <w:tcPr>
            <w:tcW w:w="5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CVS</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2460" w:type="dxa"/>
            <w:vAlign w:val="bottom"/>
            <w:vMerge w:val="restart"/>
          </w:tcPr>
          <w:p>
            <w:pPr>
              <w:ind w:left="1700"/>
              <w:spacing w:after="0"/>
              <w:rPr>
                <w:sz w:val="20"/>
                <w:szCs w:val="20"/>
                <w:color w:val="auto"/>
              </w:rPr>
            </w:pPr>
            <w:r>
              <w:rPr>
                <w:rFonts w:ascii="Times New Roman" w:cs="Times New Roman" w:eastAsia="Times New Roman" w:hAnsi="Times New Roman"/>
                <w:sz w:val="16"/>
                <w:szCs w:val="16"/>
                <w:b w:val="1"/>
                <w:bCs w:val="1"/>
                <w:color w:val="auto"/>
                <w:w w:val="98"/>
              </w:rPr>
              <w:t>Total GLA</w:t>
            </w:r>
          </w:p>
        </w:tc>
        <w:tc>
          <w:tcPr>
            <w:tcW w:w="1480" w:type="dxa"/>
            <w:vAlign w:val="bottom"/>
            <w:tcBorders>
              <w:bottom w:val="single" w:sz="8" w:color="auto"/>
            </w:tcBorders>
          </w:tcPr>
          <w:p>
            <w:pPr>
              <w:spacing w:after="0"/>
              <w:rPr>
                <w:sz w:val="4"/>
                <w:szCs w:val="4"/>
                <w:color w:val="auto"/>
              </w:rPr>
            </w:pPr>
          </w:p>
        </w:tc>
        <w:tc>
          <w:tcPr>
            <w:tcW w:w="5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806,000</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right="2880"/>
        <w:spacing w:after="0" w:line="235" w:lineRule="auto"/>
        <w:rPr>
          <w:sz w:val="20"/>
          <w:szCs w:val="20"/>
          <w:color w:val="auto"/>
        </w:rPr>
      </w:pPr>
      <w:r>
        <w:rPr>
          <w:rFonts w:ascii="Times New Roman" w:cs="Times New Roman" w:eastAsia="Times New Roman" w:hAnsi="Times New Roman"/>
          <w:sz w:val="17"/>
          <w:szCs w:val="17"/>
          <w:color w:val="auto"/>
        </w:rPr>
        <w:t>On July 26, 2016, we acquired an additional building in the Coconut Grove neighborhood of Miami, Florida for $5.9 million through our CocoWalk LLC entity.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2016 Disposition</w:t>
      </w:r>
    </w:p>
    <w:p>
      <w:pPr>
        <w:spacing w:after="0" w:line="158"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7"/>
          <w:szCs w:val="17"/>
          <w:color w:val="auto"/>
        </w:rPr>
        <w:t>On May 12, 2016, an unconsolidated joint venture that we hold an interest in, sold a building in Coconut Grove, Florida. Our share of the gain, net of noncontrolling interests, was $0.5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38" w:right="2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Mortgage</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Real</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Grocery</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Estate at</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Obligation</w:t>
            </w: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Anchor</w:t>
            </w:r>
          </w:p>
        </w:tc>
        <w:tc>
          <w:tcPr>
            <w:tcW w:w="82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Grocery</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Year Acquired</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Cost</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6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Leased</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GLA</w:t>
            </w:r>
          </w:p>
        </w:tc>
        <w:tc>
          <w:tcPr>
            <w:tcW w:w="8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3280" w:type="dxa"/>
            <w:vAlign w:val="bottom"/>
            <w:tcBorders>
              <w:bottom w:val="single" w:sz="8" w:color="auto"/>
            </w:tcBorders>
            <w:gridSpan w:val="11"/>
          </w:tcPr>
          <w:p>
            <w:pPr>
              <w:ind w:left="60"/>
              <w:spacing w:after="0"/>
              <w:rPr>
                <w:sz w:val="20"/>
                <w:szCs w:val="20"/>
                <w:color w:val="auto"/>
              </w:rPr>
            </w:pPr>
            <w:r>
              <w:rPr>
                <w:rFonts w:ascii="Times New Roman" w:cs="Times New Roman" w:eastAsia="Times New Roman" w:hAnsi="Times New Roman"/>
                <w:sz w:val="13"/>
                <w:szCs w:val="13"/>
                <w:b w:val="1"/>
                <w:bCs w:val="1"/>
                <w:color w:val="auto"/>
              </w:rPr>
              <w:t>Other Principal Tenants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thousands)</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thousands)</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4"/>
              </w:rPr>
              <w:t>Washington Metropolitan Area</w:t>
            </w: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380" w:type="dxa"/>
            <w:vAlign w:val="bottom"/>
            <w:tcBorders>
              <w:top w:val="single" w:sz="8" w:color="CCEEFF"/>
            </w:tcBorders>
            <w:gridSpan w:val="3"/>
          </w:tcPr>
          <w:p>
            <w:pPr>
              <w:ind w:left="20"/>
              <w:spacing w:after="0"/>
              <w:rPr>
                <w:sz w:val="20"/>
                <w:szCs w:val="20"/>
                <w:color w:val="auto"/>
              </w:rPr>
            </w:pPr>
            <w:r>
              <w:rPr>
                <w:rFonts w:ascii="Times New Roman" w:cs="Times New Roman" w:eastAsia="Times New Roman" w:hAnsi="Times New Roman"/>
                <w:sz w:val="13"/>
                <w:szCs w:val="13"/>
                <w:color w:val="auto"/>
              </w:rPr>
              <w:t>Barcroft Plaza</w:t>
            </w:r>
          </w:p>
        </w:tc>
        <w:tc>
          <w:tcPr>
            <w:tcW w:w="380" w:type="dxa"/>
            <w:vAlign w:val="bottom"/>
            <w:tcBorders>
              <w:top w:val="single" w:sz="8" w:color="CCEEFF"/>
            </w:tcBorders>
          </w:tcPr>
          <w:p>
            <w:pPr>
              <w:jc w:val="right"/>
              <w:ind w:right="77"/>
              <w:spacing w:after="0"/>
              <w:rPr>
                <w:sz w:val="20"/>
                <w:szCs w:val="20"/>
                <w:color w:val="auto"/>
              </w:rPr>
            </w:pPr>
            <w:r>
              <w:rPr>
                <w:rFonts w:ascii="Times New Roman" w:cs="Times New Roman" w:eastAsia="Times New Roman" w:hAnsi="Times New Roman"/>
                <w:sz w:val="13"/>
                <w:szCs w:val="13"/>
                <w:color w:val="auto"/>
              </w:rPr>
              <w:t>(8)</w:t>
            </w:r>
          </w:p>
        </w:tc>
        <w:tc>
          <w:tcPr>
            <w:tcW w:w="160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2006-2007</w:t>
            </w:r>
          </w:p>
        </w:tc>
        <w:tc>
          <w:tcPr>
            <w:tcW w:w="680" w:type="dxa"/>
            <w:vAlign w:val="bottom"/>
            <w:tcBorders>
              <w:top w:val="single" w:sz="8" w:color="CCEEFF"/>
            </w:tcBorders>
          </w:tcPr>
          <w:p>
            <w:pPr>
              <w:jc w:val="right"/>
              <w:ind w:right="57"/>
              <w:spacing w:after="0"/>
              <w:rPr>
                <w:sz w:val="20"/>
                <w:szCs w:val="20"/>
                <w:color w:val="auto"/>
              </w:rPr>
            </w:pPr>
            <w:r>
              <w:rPr>
                <w:rFonts w:ascii="Times New Roman" w:cs="Times New Roman" w:eastAsia="Times New Roman" w:hAnsi="Times New Roman"/>
                <w:sz w:val="13"/>
                <w:szCs w:val="13"/>
                <w:color w:val="auto"/>
              </w:rPr>
              <w:t>$  37,279</w:t>
            </w:r>
          </w:p>
        </w:tc>
        <w:tc>
          <w:tcPr>
            <w:tcW w:w="66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ind w:right="17"/>
              <w:spacing w:after="0"/>
              <w:rPr>
                <w:sz w:val="20"/>
                <w:szCs w:val="20"/>
                <w:color w:val="auto"/>
              </w:rPr>
            </w:pPr>
            <w:r>
              <w:rPr>
                <w:rFonts w:ascii="Times New Roman" w:cs="Times New Roman" w:eastAsia="Times New Roman" w:hAnsi="Times New Roman"/>
                <w:sz w:val="13"/>
                <w:szCs w:val="13"/>
                <w:color w:val="auto"/>
              </w:rPr>
              <w:t>100,000</w:t>
            </w:r>
          </w:p>
        </w:tc>
        <w:tc>
          <w:tcPr>
            <w:tcW w:w="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6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4"/>
              </w:rPr>
              <w:t>46,000</w:t>
            </w:r>
          </w:p>
        </w:tc>
        <w:tc>
          <w:tcPr>
            <w:tcW w:w="820" w:type="dxa"/>
            <w:vAlign w:val="bottom"/>
            <w:tcBorders>
              <w:top w:val="single" w:sz="8" w:color="CCEEFF"/>
            </w:tcBorders>
            <w:gridSpan w:val="4"/>
          </w:tcPr>
          <w:p>
            <w:pPr>
              <w:ind w:left="80"/>
              <w:spacing w:after="0"/>
              <w:rPr>
                <w:sz w:val="20"/>
                <w:szCs w:val="20"/>
                <w:color w:val="auto"/>
              </w:rPr>
            </w:pPr>
            <w:r>
              <w:rPr>
                <w:rFonts w:ascii="Times New Roman" w:cs="Times New Roman" w:eastAsia="Times New Roman" w:hAnsi="Times New Roman"/>
                <w:sz w:val="13"/>
                <w:szCs w:val="13"/>
                <w:color w:val="auto"/>
              </w:rPr>
              <w:t>Harris Teeter</w:t>
            </w:r>
          </w:p>
        </w:tc>
        <w:tc>
          <w:tcPr>
            <w:tcW w:w="3280" w:type="dxa"/>
            <w:vAlign w:val="bottom"/>
            <w:tcBorders>
              <w:top w:val="single" w:sz="8" w:color="CCEEFF"/>
            </w:tcBorders>
            <w:gridSpan w:val="11"/>
          </w:tcPr>
          <w:p>
            <w:pPr>
              <w:ind w:left="60"/>
              <w:spacing w:after="0"/>
              <w:rPr>
                <w:sz w:val="20"/>
                <w:szCs w:val="20"/>
                <w:color w:val="auto"/>
              </w:rPr>
            </w:pPr>
            <w:r>
              <w:rPr>
                <w:rFonts w:ascii="Times New Roman" w:cs="Times New Roman" w:eastAsia="Times New Roman" w:hAnsi="Times New Roman"/>
                <w:sz w:val="13"/>
                <w:szCs w:val="13"/>
                <w:color w:val="auto"/>
              </w:rPr>
              <w:t>Bank of America</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shd w:val="clear" w:color="auto" w:fill="CCEEFF"/>
              </w:rPr>
              <w:t>Bethesda Row</w:t>
            </w:r>
          </w:p>
        </w:tc>
        <w:tc>
          <w:tcPr>
            <w:tcW w:w="380" w:type="dxa"/>
            <w:vAlign w:val="bottom"/>
            <w:shd w:val="clear" w:color="auto" w:fill="CCEEFF"/>
          </w:tcPr>
          <w:p>
            <w:pPr>
              <w:spacing w:after="0"/>
              <w:rPr>
                <w:sz w:val="12"/>
                <w:szCs w:val="12"/>
                <w:color w:val="auto"/>
              </w:rPr>
            </w:pPr>
          </w:p>
        </w:tc>
        <w:tc>
          <w:tcPr>
            <w:tcW w:w="160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shd w:val="clear" w:color="auto" w:fill="CCEEFF"/>
              </w:rPr>
              <w:t>Washington, DC-MD-VA</w:t>
            </w:r>
          </w:p>
        </w:tc>
        <w:tc>
          <w:tcPr>
            <w:tcW w:w="8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shd w:val="clear" w:color="auto" w:fill="CCEEFF"/>
              </w:rPr>
              <w:t>1993-</w:t>
            </w:r>
          </w:p>
        </w:tc>
        <w:tc>
          <w:tcPr>
            <w:tcW w:w="68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224,505</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533,000</w:t>
            </w:r>
          </w:p>
        </w:tc>
        <w:tc>
          <w:tcPr>
            <w:tcW w:w="5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95%</w:t>
            </w:r>
          </w:p>
        </w:tc>
        <w:tc>
          <w:tcPr>
            <w:tcW w:w="60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40,000</w:t>
            </w:r>
          </w:p>
        </w:tc>
        <w:tc>
          <w:tcPr>
            <w:tcW w:w="820" w:type="dxa"/>
            <w:vAlign w:val="bottom"/>
            <w:gridSpan w:val="4"/>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Giant Food</w:t>
            </w:r>
          </w:p>
        </w:tc>
        <w:tc>
          <w:tcPr>
            <w:tcW w:w="3280" w:type="dxa"/>
            <w:vAlign w:val="bottom"/>
            <w:gridSpan w:val="11"/>
            <w:shd w:val="clear" w:color="auto" w:fill="CCEEFF"/>
          </w:tcPr>
          <w:p>
            <w:pPr>
              <w:ind w:left="60"/>
              <w:spacing w:after="0" w:line="144" w:lineRule="exact"/>
              <w:rPr>
                <w:sz w:val="20"/>
                <w:szCs w:val="20"/>
                <w:color w:val="auto"/>
              </w:rPr>
            </w:pPr>
            <w:r>
              <w:rPr>
                <w:rFonts w:ascii="Times New Roman" w:cs="Times New Roman" w:eastAsia="Times New Roman" w:hAnsi="Times New Roman"/>
                <w:sz w:val="13"/>
                <w:szCs w:val="13"/>
                <w:color w:val="auto"/>
              </w:rPr>
              <w:t>Apple Computer / Barnes &amp; Noble / Equinox / Landmark</w:t>
            </w: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shd w:val="clear" w:color="auto" w:fill="CCEEFF"/>
              </w:rPr>
              <w:t>2006/2008/2010</w:t>
            </w:r>
          </w:p>
        </w:tc>
        <w:tc>
          <w:tcPr>
            <w:tcW w:w="6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280" w:type="dxa"/>
            <w:vAlign w:val="bottom"/>
            <w:tcBorders>
              <w:bottom w:val="single" w:sz="8" w:color="CCEEFF"/>
            </w:tcBorders>
            <w:gridSpan w:val="11"/>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Theater</w:t>
            </w:r>
          </w:p>
        </w:tc>
        <w:tc>
          <w:tcPr>
            <w:tcW w:w="0" w:type="dxa"/>
            <w:vAlign w:val="bottom"/>
          </w:tcPr>
          <w:p>
            <w:pPr>
              <w:spacing w:after="0"/>
              <w:rPr>
                <w:sz w:val="1"/>
                <w:szCs w:val="1"/>
                <w:color w:val="auto"/>
              </w:rPr>
            </w:pPr>
          </w:p>
        </w:tc>
      </w:tr>
      <w:tr>
        <w:trPr>
          <w:trHeight w:val="144"/>
        </w:trPr>
        <w:tc>
          <w:tcPr>
            <w:tcW w:w="138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Congressional Plaza</w:t>
            </w:r>
          </w:p>
        </w:tc>
        <w:tc>
          <w:tcPr>
            <w:tcW w:w="38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(3)</w:t>
            </w:r>
          </w:p>
        </w:tc>
        <w:tc>
          <w:tcPr>
            <w:tcW w:w="16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1965</w:t>
            </w: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100,630</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325,000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97%</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25,000</w:t>
            </w:r>
          </w:p>
        </w:tc>
        <w:tc>
          <w:tcPr>
            <w:tcW w:w="820" w:type="dxa"/>
            <w:vAlign w:val="bottom"/>
            <w:gridSpan w:val="4"/>
          </w:tcPr>
          <w:p>
            <w:pPr>
              <w:ind w:left="80"/>
              <w:spacing w:after="0" w:line="144" w:lineRule="exact"/>
              <w:rPr>
                <w:sz w:val="20"/>
                <w:szCs w:val="20"/>
                <w:color w:val="auto"/>
              </w:rPr>
            </w:pPr>
            <w:r>
              <w:rPr>
                <w:rFonts w:ascii="Times New Roman" w:cs="Times New Roman" w:eastAsia="Times New Roman" w:hAnsi="Times New Roman"/>
                <w:sz w:val="13"/>
                <w:szCs w:val="13"/>
                <w:color w:val="auto"/>
              </w:rPr>
              <w:t>The Fresh</w:t>
            </w:r>
          </w:p>
        </w:tc>
        <w:tc>
          <w:tcPr>
            <w:tcW w:w="3280" w:type="dxa"/>
            <w:vAlign w:val="bottom"/>
            <w:gridSpan w:val="11"/>
          </w:tcPr>
          <w:p>
            <w:pPr>
              <w:ind w:left="60"/>
              <w:spacing w:after="0" w:line="144" w:lineRule="exact"/>
              <w:rPr>
                <w:sz w:val="20"/>
                <w:szCs w:val="20"/>
                <w:color w:val="auto"/>
              </w:rPr>
            </w:pPr>
            <w:r>
              <w:rPr>
                <w:rFonts w:ascii="Times New Roman" w:cs="Times New Roman" w:eastAsia="Times New Roman" w:hAnsi="Times New Roman"/>
                <w:sz w:val="13"/>
                <w:szCs w:val="13"/>
                <w:color w:val="auto"/>
                <w:w w:val="98"/>
              </w:rPr>
              <w:t>Buy Buy Baby / Container Store / Last Call Studio by Neiman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Market</w:t>
            </w:r>
          </w:p>
        </w:tc>
        <w:tc>
          <w:tcPr>
            <w:tcW w:w="3280" w:type="dxa"/>
            <w:vAlign w:val="bottom"/>
            <w:gridSpan w:val="11"/>
          </w:tcPr>
          <w:p>
            <w:pPr>
              <w:ind w:left="60"/>
              <w:spacing w:after="0"/>
              <w:rPr>
                <w:sz w:val="20"/>
                <w:szCs w:val="20"/>
                <w:color w:val="auto"/>
              </w:rPr>
            </w:pPr>
            <w:r>
              <w:rPr>
                <w:rFonts w:ascii="Times New Roman" w:cs="Times New Roman" w:eastAsia="Times New Roman" w:hAnsi="Times New Roman"/>
                <w:sz w:val="13"/>
                <w:szCs w:val="13"/>
                <w:color w:val="auto"/>
              </w:rPr>
              <w:t>Marcus / Saks Fifth Avenue Off 5th</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Courthouse Center</w:t>
            </w:r>
          </w:p>
        </w:tc>
        <w:tc>
          <w:tcPr>
            <w:tcW w:w="380" w:type="dxa"/>
            <w:vAlign w:val="bottom"/>
            <w:shd w:val="clear" w:color="auto" w:fill="CCEEFF"/>
          </w:tcPr>
          <w:p>
            <w:pPr>
              <w:spacing w:after="0"/>
              <w:rPr>
                <w:sz w:val="14"/>
                <w:szCs w:val="14"/>
                <w:color w:val="auto"/>
              </w:rPr>
            </w:pP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Washington, DC-MD-VA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4,903</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35,000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38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Falls Plaza/Falls Plaza-</w:t>
            </w:r>
          </w:p>
        </w:tc>
        <w:tc>
          <w:tcPr>
            <w:tcW w:w="380" w:type="dxa"/>
            <w:vAlign w:val="bottom"/>
          </w:tcPr>
          <w:p>
            <w:pPr>
              <w:spacing w:after="0"/>
              <w:rPr>
                <w:sz w:val="12"/>
                <w:szCs w:val="12"/>
                <w:color w:val="auto"/>
              </w:rPr>
            </w:pPr>
          </w:p>
        </w:tc>
        <w:tc>
          <w:tcPr>
            <w:tcW w:w="16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1967/1972</w:t>
            </w: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13,831</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144,000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97%</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51,000</w:t>
            </w:r>
          </w:p>
        </w:tc>
        <w:tc>
          <w:tcPr>
            <w:tcW w:w="820" w:type="dxa"/>
            <w:vAlign w:val="bottom"/>
            <w:gridSpan w:val="4"/>
          </w:tcPr>
          <w:p>
            <w:pPr>
              <w:ind w:left="80"/>
              <w:spacing w:after="0" w:line="144" w:lineRule="exact"/>
              <w:rPr>
                <w:sz w:val="20"/>
                <w:szCs w:val="20"/>
                <w:color w:val="auto"/>
              </w:rPr>
            </w:pPr>
            <w:r>
              <w:rPr>
                <w:rFonts w:ascii="Times New Roman" w:cs="Times New Roman" w:eastAsia="Times New Roman" w:hAnsi="Times New Roman"/>
                <w:sz w:val="13"/>
                <w:szCs w:val="13"/>
                <w:color w:val="auto"/>
              </w:rPr>
              <w:t>Giant Food</w:t>
            </w:r>
          </w:p>
        </w:tc>
        <w:tc>
          <w:tcPr>
            <w:tcW w:w="3280" w:type="dxa"/>
            <w:vAlign w:val="bottom"/>
            <w:gridSpan w:val="11"/>
          </w:tcPr>
          <w:p>
            <w:pPr>
              <w:ind w:left="60"/>
              <w:spacing w:after="0" w:line="144" w:lineRule="exact"/>
              <w:rPr>
                <w:sz w:val="20"/>
                <w:szCs w:val="20"/>
                <w:color w:val="auto"/>
              </w:rPr>
            </w:pPr>
            <w:r>
              <w:rPr>
                <w:rFonts w:ascii="Times New Roman" w:cs="Times New Roman" w:eastAsia="Times New Roman" w:hAnsi="Times New Roman"/>
                <w:sz w:val="13"/>
                <w:szCs w:val="13"/>
                <w:color w:val="auto"/>
              </w:rPr>
              <w:t>CVS / Staples</w:t>
            </w:r>
          </w:p>
        </w:tc>
        <w:tc>
          <w:tcPr>
            <w:tcW w:w="0" w:type="dxa"/>
            <w:vAlign w:val="bottom"/>
          </w:tcPr>
          <w:p>
            <w:pPr>
              <w:spacing w:after="0"/>
              <w:rPr>
                <w:sz w:val="1"/>
                <w:szCs w:val="1"/>
                <w:color w:val="auto"/>
              </w:rPr>
            </w:pPr>
          </w:p>
        </w:tc>
      </w:tr>
      <w:tr>
        <w:trPr>
          <w:trHeight w:val="172"/>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East</w:t>
            </w: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Federal Plaza</w:t>
            </w:r>
          </w:p>
        </w:tc>
        <w:tc>
          <w:tcPr>
            <w:tcW w:w="380" w:type="dxa"/>
            <w:vAlign w:val="bottom"/>
            <w:shd w:val="clear" w:color="auto" w:fill="CCEEFF"/>
          </w:tcPr>
          <w:p>
            <w:pPr>
              <w:spacing w:after="0"/>
              <w:rPr>
                <w:sz w:val="14"/>
                <w:szCs w:val="14"/>
                <w:color w:val="auto"/>
              </w:rPr>
            </w:pP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Washington, DC-MD-VA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66,477</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249,000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14,000</w:t>
            </w:r>
          </w:p>
        </w:tc>
        <w:tc>
          <w:tcPr>
            <w:tcW w:w="8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Trader Joe's</w:t>
            </w:r>
          </w:p>
        </w:tc>
        <w:tc>
          <w:tcPr>
            <w:tcW w:w="3280" w:type="dxa"/>
            <w:vAlign w:val="bottom"/>
            <w:gridSpan w:val="11"/>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TJ Maxx / Micro Center / Ross Dress For Less</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38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Free State Shopping</w:t>
            </w:r>
          </w:p>
        </w:tc>
        <w:tc>
          <w:tcPr>
            <w:tcW w:w="38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(8)</w:t>
            </w:r>
          </w:p>
        </w:tc>
        <w:tc>
          <w:tcPr>
            <w:tcW w:w="16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2007</w:t>
            </w: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63,420</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265,000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90%</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73,000</w:t>
            </w:r>
          </w:p>
        </w:tc>
        <w:tc>
          <w:tcPr>
            <w:tcW w:w="820" w:type="dxa"/>
            <w:vAlign w:val="bottom"/>
            <w:gridSpan w:val="4"/>
          </w:tcPr>
          <w:p>
            <w:pPr>
              <w:ind w:left="80"/>
              <w:spacing w:after="0" w:line="144" w:lineRule="exact"/>
              <w:rPr>
                <w:sz w:val="20"/>
                <w:szCs w:val="20"/>
                <w:color w:val="auto"/>
              </w:rPr>
            </w:pPr>
            <w:r>
              <w:rPr>
                <w:rFonts w:ascii="Times New Roman" w:cs="Times New Roman" w:eastAsia="Times New Roman" w:hAnsi="Times New Roman"/>
                <w:sz w:val="13"/>
                <w:szCs w:val="13"/>
                <w:color w:val="auto"/>
              </w:rPr>
              <w:t>Giant Food</w:t>
            </w:r>
          </w:p>
        </w:tc>
        <w:tc>
          <w:tcPr>
            <w:tcW w:w="3280" w:type="dxa"/>
            <w:vAlign w:val="bottom"/>
            <w:gridSpan w:val="11"/>
          </w:tcPr>
          <w:p>
            <w:pPr>
              <w:ind w:left="60"/>
              <w:spacing w:after="0" w:line="144" w:lineRule="exact"/>
              <w:rPr>
                <w:sz w:val="20"/>
                <w:szCs w:val="20"/>
                <w:color w:val="auto"/>
              </w:rPr>
            </w:pPr>
            <w:r>
              <w:rPr>
                <w:rFonts w:ascii="Times New Roman" w:cs="Times New Roman" w:eastAsia="Times New Roman" w:hAnsi="Times New Roman"/>
                <w:sz w:val="13"/>
                <w:szCs w:val="13"/>
                <w:color w:val="auto"/>
              </w:rPr>
              <w:t>TJ Maxx / Ross Dress For Less / Office Depot</w:t>
            </w:r>
          </w:p>
        </w:tc>
        <w:tc>
          <w:tcPr>
            <w:tcW w:w="0" w:type="dxa"/>
            <w:vAlign w:val="bottom"/>
          </w:tcPr>
          <w:p>
            <w:pPr>
              <w:spacing w:after="0"/>
              <w:rPr>
                <w:sz w:val="1"/>
                <w:szCs w:val="1"/>
                <w:color w:val="auto"/>
              </w:rPr>
            </w:pPr>
          </w:p>
        </w:tc>
      </w:tr>
      <w:tr>
        <w:trPr>
          <w:trHeight w:val="172"/>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Center</w:t>
            </w: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Friendship Center</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37,520</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119,000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500" w:type="dxa"/>
            <w:vAlign w:val="bottom"/>
            <w:gridSpan w:val="9"/>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6"/>
                <w:shd w:val="clear" w:color="auto" w:fill="CCEEFF"/>
              </w:rPr>
              <w:t>DSW / Maggiano's / Nordstrom Rack / Marshalls</w:t>
            </w: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2500" w:type="dxa"/>
            <w:vAlign w:val="bottom"/>
            <w:tcBorders>
              <w:bottom w:val="single" w:sz="8" w:color="CCEEFF"/>
            </w:tcBorders>
            <w:gridSpan w:val="9"/>
            <w:vMerge w:val="continue"/>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38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Gaithersburg Square</w:t>
            </w:r>
          </w:p>
        </w:tc>
        <w:tc>
          <w:tcPr>
            <w:tcW w:w="380" w:type="dxa"/>
            <w:vAlign w:val="bottom"/>
          </w:tcPr>
          <w:p>
            <w:pPr>
              <w:spacing w:after="0"/>
              <w:rPr>
                <w:sz w:val="12"/>
                <w:szCs w:val="12"/>
                <w:color w:val="auto"/>
              </w:rPr>
            </w:pPr>
          </w:p>
        </w:tc>
        <w:tc>
          <w:tcPr>
            <w:tcW w:w="16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1993</w:t>
            </w: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26,769</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207,000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93%</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80" w:type="dxa"/>
            <w:vAlign w:val="bottom"/>
            <w:gridSpan w:val="11"/>
          </w:tcPr>
          <w:p>
            <w:pPr>
              <w:ind w:left="60"/>
              <w:spacing w:after="0" w:line="144" w:lineRule="exact"/>
              <w:rPr>
                <w:sz w:val="20"/>
                <w:szCs w:val="20"/>
                <w:color w:val="auto"/>
              </w:rPr>
            </w:pPr>
            <w:r>
              <w:rPr>
                <w:rFonts w:ascii="Times New Roman" w:cs="Times New Roman" w:eastAsia="Times New Roman" w:hAnsi="Times New Roman"/>
                <w:sz w:val="13"/>
                <w:szCs w:val="13"/>
                <w:color w:val="auto"/>
                <w:w w:val="98"/>
              </w:rPr>
              <w:t>Bed, Bath &amp; Beyond / Ross Dress For Less / Ashley Furniture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11"/>
          </w:tcPr>
          <w:p>
            <w:pPr>
              <w:ind w:left="60"/>
              <w:spacing w:after="0"/>
              <w:rPr>
                <w:sz w:val="20"/>
                <w:szCs w:val="20"/>
                <w:color w:val="auto"/>
              </w:rPr>
            </w:pPr>
            <w:r>
              <w:rPr>
                <w:rFonts w:ascii="Times New Roman" w:cs="Times New Roman" w:eastAsia="Times New Roman" w:hAnsi="Times New Roman"/>
                <w:sz w:val="13"/>
                <w:szCs w:val="13"/>
                <w:color w:val="auto"/>
              </w:rPr>
              <w:t>HomeStore</w:t>
            </w: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Graham Park Plaza</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34,733</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261,000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58,000</w:t>
            </w:r>
          </w:p>
        </w:tc>
        <w:tc>
          <w:tcPr>
            <w:tcW w:w="820" w:type="dxa"/>
            <w:vAlign w:val="bottom"/>
            <w:gridSpan w:val="4"/>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60" w:type="dxa"/>
            <w:vAlign w:val="bottom"/>
            <w:shd w:val="clear" w:color="auto" w:fill="CCEEFF"/>
          </w:tcPr>
          <w:p>
            <w:pPr>
              <w:spacing w:after="0"/>
              <w:rPr>
                <w:sz w:val="15"/>
                <w:szCs w:val="15"/>
                <w:color w:val="auto"/>
              </w:rPr>
            </w:pPr>
          </w:p>
        </w:tc>
        <w:tc>
          <w:tcPr>
            <w:tcW w:w="124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4"/>
                <w:shd w:val="clear" w:color="auto" w:fill="CCEEFF"/>
              </w:rPr>
              <w:t>L.A. Fitness / Stein Mart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240" w:type="dxa"/>
            <w:vAlign w:val="bottom"/>
            <w:tcBorders>
              <w:bottom w:val="single" w:sz="8" w:color="CCEEFF"/>
            </w:tcBorders>
            <w:gridSpan w:val="3"/>
            <w:vMerge w:val="continue"/>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Idylwood Plaza</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16,763</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73,000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30,000</w:t>
            </w:r>
          </w:p>
        </w:tc>
        <w:tc>
          <w:tcPr>
            <w:tcW w:w="82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auto"/>
              </w:rPr>
              <w:t>Whole Foods</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Laurel</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1986</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55,664</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389,000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61,000</w:t>
            </w:r>
          </w:p>
        </w:tc>
        <w:tc>
          <w:tcPr>
            <w:tcW w:w="820" w:type="dxa"/>
            <w:vAlign w:val="bottom"/>
            <w:gridSpan w:val="4"/>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4"/>
                <w:shd w:val="clear" w:color="auto" w:fill="CCEEFF"/>
              </w:rPr>
              <w:t>L.A. Fitness / Marshalls</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200" w:type="dxa"/>
            <w:vAlign w:val="bottom"/>
            <w:tcBorders>
              <w:bottom w:val="single" w:sz="8" w:color="CCEEFF"/>
            </w:tcBorders>
            <w:gridSpan w:val="2"/>
            <w:vMerge w:val="continue"/>
            <w:shd w:val="clear" w:color="auto" w:fill="CCEEFF"/>
          </w:tcPr>
          <w:p>
            <w:pPr>
              <w:spacing w:after="0"/>
              <w:rPr>
                <w:sz w:val="6"/>
                <w:szCs w:val="6"/>
                <w:color w:val="auto"/>
              </w:rPr>
            </w:pPr>
          </w:p>
        </w:tc>
        <w:tc>
          <w:tcPr>
            <w:tcW w:w="80" w:type="dxa"/>
            <w:vAlign w:val="bottom"/>
            <w:tcBorders>
              <w:bottom w:val="single" w:sz="8" w:color="CCEEFF"/>
            </w:tcBorders>
            <w:gridSpan w:val="2"/>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Leesburg Plaza</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35,905</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236,000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55,000</w:t>
            </w:r>
          </w:p>
        </w:tc>
        <w:tc>
          <w:tcPr>
            <w:tcW w:w="82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3280" w:type="dxa"/>
            <w:vAlign w:val="bottom"/>
            <w:gridSpan w:val="11"/>
            <w:vMerge w:val="restart"/>
          </w:tcPr>
          <w:p>
            <w:pPr>
              <w:ind w:left="60"/>
              <w:spacing w:after="0"/>
              <w:rPr>
                <w:sz w:val="20"/>
                <w:szCs w:val="20"/>
                <w:color w:val="auto"/>
              </w:rPr>
            </w:pPr>
            <w:r>
              <w:rPr>
                <w:rFonts w:ascii="Times New Roman" w:cs="Times New Roman" w:eastAsia="Times New Roman" w:hAnsi="Times New Roman"/>
                <w:sz w:val="13"/>
                <w:szCs w:val="13"/>
                <w:color w:val="auto"/>
              </w:rPr>
              <w:t>Petsmart / Pier 1 Imports / Office Depot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328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Montrose Crossing</w:t>
            </w:r>
          </w:p>
        </w:tc>
        <w:tc>
          <w:tcPr>
            <w:tcW w:w="3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2011/2013</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153,907</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73,133</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366,000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73,000</w:t>
            </w:r>
          </w:p>
        </w:tc>
        <w:tc>
          <w:tcPr>
            <w:tcW w:w="8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5"/>
                <w:shd w:val="clear" w:color="auto" w:fill="CCEEFF"/>
              </w:rPr>
              <w:t>Giant Food</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120" w:type="dxa"/>
            <w:vAlign w:val="bottom"/>
            <w:gridSpan w:val="8"/>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6"/>
                <w:shd w:val="clear" w:color="auto" w:fill="CCEEFF"/>
              </w:rPr>
              <w:t>Marshalls / Barnes &amp; Noble / A.C. Moore</w:t>
            </w: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gridSpan w:val="2"/>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2120" w:type="dxa"/>
            <w:vAlign w:val="bottom"/>
            <w:tcBorders>
              <w:bottom w:val="single" w:sz="8" w:color="CCEEFF"/>
            </w:tcBorders>
            <w:gridSpan w:val="8"/>
            <w:vMerge w:val="continue"/>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38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Mount Vernon/South</w:t>
            </w:r>
          </w:p>
        </w:tc>
        <w:tc>
          <w:tcPr>
            <w:tcW w:w="38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(5)</w:t>
            </w:r>
          </w:p>
        </w:tc>
        <w:tc>
          <w:tcPr>
            <w:tcW w:w="16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2003/2006</w:t>
            </w: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83,687</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569,000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96%</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62,000</w:t>
            </w:r>
          </w:p>
        </w:tc>
        <w:tc>
          <w:tcPr>
            <w:tcW w:w="820" w:type="dxa"/>
            <w:vAlign w:val="bottom"/>
            <w:gridSpan w:val="4"/>
          </w:tcPr>
          <w:p>
            <w:pPr>
              <w:ind w:left="80"/>
              <w:spacing w:after="0" w:line="144" w:lineRule="exact"/>
              <w:rPr>
                <w:sz w:val="20"/>
                <w:szCs w:val="20"/>
                <w:color w:val="auto"/>
              </w:rPr>
            </w:pPr>
            <w:r>
              <w:rPr>
                <w:rFonts w:ascii="Times New Roman" w:cs="Times New Roman" w:eastAsia="Times New Roman" w:hAnsi="Times New Roman"/>
                <w:sz w:val="13"/>
                <w:szCs w:val="13"/>
                <w:color w:val="auto"/>
              </w:rPr>
              <w:t>Shoppers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rPr>
              <w:t>Valley/7770 Richmond</w:t>
            </w: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4"/>
          </w:tcPr>
          <w:p>
            <w:pPr>
              <w:ind w:left="80"/>
              <w:spacing w:after="0" w:line="135" w:lineRule="exact"/>
              <w:rPr>
                <w:sz w:val="20"/>
                <w:szCs w:val="20"/>
                <w:color w:val="auto"/>
              </w:rPr>
            </w:pPr>
            <w:r>
              <w:rPr>
                <w:rFonts w:ascii="Times New Roman" w:cs="Times New Roman" w:eastAsia="Times New Roman" w:hAnsi="Times New Roman"/>
                <w:sz w:val="13"/>
                <w:szCs w:val="13"/>
                <w:color w:val="auto"/>
              </w:rPr>
              <w:t>Food</w:t>
            </w:r>
          </w:p>
        </w:tc>
        <w:tc>
          <w:tcPr>
            <w:tcW w:w="3280" w:type="dxa"/>
            <w:vAlign w:val="bottom"/>
            <w:gridSpan w:val="11"/>
          </w:tcPr>
          <w:p>
            <w:pPr>
              <w:ind w:left="60"/>
              <w:spacing w:after="0" w:line="135" w:lineRule="exact"/>
              <w:rPr>
                <w:sz w:val="20"/>
                <w:szCs w:val="20"/>
                <w:color w:val="auto"/>
              </w:rPr>
            </w:pPr>
            <w:r>
              <w:rPr>
                <w:rFonts w:ascii="Times New Roman" w:cs="Times New Roman" w:eastAsia="Times New Roman" w:hAnsi="Times New Roman"/>
                <w:sz w:val="13"/>
                <w:szCs w:val="13"/>
                <w:color w:val="auto"/>
              </w:rPr>
              <w:t>Bed, Bath &amp; Beyond / Michaels / Home Depot / TJ Maxx /</w:t>
            </w:r>
          </w:p>
        </w:tc>
        <w:tc>
          <w:tcPr>
            <w:tcW w:w="0" w:type="dxa"/>
            <w:vAlign w:val="bottom"/>
          </w:tcPr>
          <w:p>
            <w:pPr>
              <w:spacing w:after="0"/>
              <w:rPr>
                <w:sz w:val="1"/>
                <w:szCs w:val="1"/>
                <w:color w:val="auto"/>
              </w:rPr>
            </w:pPr>
          </w:p>
        </w:tc>
      </w:tr>
      <w:tr>
        <w:trPr>
          <w:trHeight w:val="172"/>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Hwy</w:t>
            </w: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Warehouse</w:t>
            </w:r>
          </w:p>
        </w:tc>
        <w:tc>
          <w:tcPr>
            <w:tcW w:w="3280" w:type="dxa"/>
            <w:vAlign w:val="bottom"/>
            <w:gridSpan w:val="11"/>
          </w:tcPr>
          <w:p>
            <w:pPr>
              <w:ind w:left="60"/>
              <w:spacing w:after="0"/>
              <w:rPr>
                <w:sz w:val="20"/>
                <w:szCs w:val="20"/>
                <w:color w:val="auto"/>
              </w:rPr>
            </w:pPr>
            <w:r>
              <w:rPr>
                <w:rFonts w:ascii="Times New Roman" w:cs="Times New Roman" w:eastAsia="Times New Roman" w:hAnsi="Times New Roman"/>
                <w:sz w:val="13"/>
                <w:szCs w:val="13"/>
                <w:color w:val="auto"/>
              </w:rPr>
              <w:t>Gold's Gym / Staples / DSW</w:t>
            </w: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Old Keene Mill</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1976</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6,619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92,000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24,000</w:t>
            </w:r>
          </w:p>
        </w:tc>
        <w:tc>
          <w:tcPr>
            <w:tcW w:w="820" w:type="dxa"/>
            <w:vAlign w:val="bottom"/>
            <w:gridSpan w:val="4"/>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Whole Foods</w:t>
            </w:r>
          </w:p>
        </w:tc>
        <w:tc>
          <w:tcPr>
            <w:tcW w:w="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3"/>
                <w:shd w:val="clear" w:color="auto" w:fill="CCEEFF"/>
              </w:rPr>
              <w:t>Walgreens</w:t>
            </w: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540" w:type="dxa"/>
            <w:vAlign w:val="bottom"/>
            <w:tcBorders>
              <w:bottom w:val="single" w:sz="8" w:color="CCEEFF"/>
            </w:tcBorders>
            <w:vMerge w:val="continue"/>
            <w:shd w:val="clear" w:color="auto" w:fill="CCEEFF"/>
          </w:tcPr>
          <w:p>
            <w:pPr>
              <w:spacing w:after="0"/>
              <w:rPr>
                <w:sz w:val="6"/>
                <w:szCs w:val="6"/>
                <w:color w:val="auto"/>
              </w:rPr>
            </w:pPr>
          </w:p>
        </w:tc>
        <w:tc>
          <w:tcPr>
            <w:tcW w:w="740" w:type="dxa"/>
            <w:vAlign w:val="bottom"/>
            <w:tcBorders>
              <w:bottom w:val="single" w:sz="8" w:color="CCEEFF"/>
            </w:tcBorders>
            <w:gridSpan w:val="3"/>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Pan Am</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1993</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28,859</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227,000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65,000</w:t>
            </w:r>
          </w:p>
        </w:tc>
        <w:tc>
          <w:tcPr>
            <w:tcW w:w="82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auto"/>
              </w:rPr>
              <w:t>Safeway</w:t>
            </w:r>
          </w:p>
        </w:tc>
        <w:tc>
          <w:tcPr>
            <w:tcW w:w="3280" w:type="dxa"/>
            <w:vAlign w:val="bottom"/>
            <w:gridSpan w:val="11"/>
            <w:vMerge w:val="restart"/>
          </w:tcPr>
          <w:p>
            <w:pPr>
              <w:ind w:left="60"/>
              <w:spacing w:after="0"/>
              <w:rPr>
                <w:sz w:val="20"/>
                <w:szCs w:val="20"/>
                <w:color w:val="auto"/>
              </w:rPr>
            </w:pPr>
            <w:r>
              <w:rPr>
                <w:rFonts w:ascii="Times New Roman" w:cs="Times New Roman" w:eastAsia="Times New Roman" w:hAnsi="Times New Roman"/>
                <w:sz w:val="13"/>
                <w:szCs w:val="13"/>
                <w:color w:val="auto"/>
              </w:rPr>
              <w:t>Micro Center / Michaels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328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Pentagon Row</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1998/2010</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96,808</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299,000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45,000</w:t>
            </w:r>
          </w:p>
        </w:tc>
        <w:tc>
          <w:tcPr>
            <w:tcW w:w="820" w:type="dxa"/>
            <w:vAlign w:val="bottom"/>
            <w:gridSpan w:val="4"/>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Harris Teeter</w:t>
            </w:r>
          </w:p>
        </w:tc>
        <w:tc>
          <w:tcPr>
            <w:tcW w:w="60" w:type="dxa"/>
            <w:vAlign w:val="bottom"/>
            <w:shd w:val="clear" w:color="auto" w:fill="CCEEFF"/>
          </w:tcPr>
          <w:p>
            <w:pPr>
              <w:spacing w:after="0"/>
              <w:rPr>
                <w:sz w:val="15"/>
                <w:szCs w:val="15"/>
                <w:color w:val="auto"/>
              </w:rPr>
            </w:pPr>
          </w:p>
        </w:tc>
        <w:tc>
          <w:tcPr>
            <w:tcW w:w="1460" w:type="dxa"/>
            <w:vAlign w:val="bottom"/>
            <w:gridSpan w:val="5"/>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7"/>
                <w:shd w:val="clear" w:color="auto" w:fill="CCEEFF"/>
              </w:rPr>
              <w:t>Bed, Bath &amp; Beyond / DSW</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460" w:type="dxa"/>
            <w:vAlign w:val="bottom"/>
            <w:tcBorders>
              <w:bottom w:val="single" w:sz="8" w:color="CCEEFF"/>
            </w:tcBorders>
            <w:gridSpan w:val="5"/>
            <w:vMerge w:val="continue"/>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Pike &amp; Rose</w:t>
            </w:r>
          </w:p>
        </w:tc>
        <w:tc>
          <w:tcPr>
            <w:tcW w:w="3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w:t>
            </w:r>
          </w:p>
        </w:tc>
        <w:tc>
          <w:tcPr>
            <w:tcW w:w="1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1982/2007/2012</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433,268</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251,000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11"/>
          </w:tcPr>
          <w:p>
            <w:pPr>
              <w:ind w:left="60"/>
              <w:spacing w:after="0"/>
              <w:rPr>
                <w:sz w:val="20"/>
                <w:szCs w:val="20"/>
                <w:color w:val="auto"/>
              </w:rPr>
            </w:pPr>
            <w:r>
              <w:rPr>
                <w:rFonts w:ascii="Times New Roman" w:cs="Times New Roman" w:eastAsia="Times New Roman" w:hAnsi="Times New Roman"/>
                <w:sz w:val="13"/>
                <w:szCs w:val="13"/>
                <w:color w:val="auto"/>
              </w:rPr>
              <w:t>iPic Theater / Sport &amp; Health / Gap / Gap Kids / Nike</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Pike 7 Plaza</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42,020</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164,000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4"/>
                <w:shd w:val="clear" w:color="auto" w:fill="CCEEFF"/>
              </w:rPr>
              <w:t>DSW / Staples / TJ Maxx</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280" w:type="dxa"/>
            <w:vAlign w:val="bottom"/>
            <w:tcBorders>
              <w:bottom w:val="single" w:sz="8" w:color="CCEEFF"/>
            </w:tcBorders>
            <w:gridSpan w:val="4"/>
            <w:vMerge w:val="continue"/>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Plaza del Mercado</w:t>
            </w:r>
          </w:p>
        </w:tc>
        <w:tc>
          <w:tcPr>
            <w:tcW w:w="3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w:t>
            </w:r>
          </w:p>
        </w:tc>
        <w:tc>
          <w:tcPr>
            <w:tcW w:w="1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38,418</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96,000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11"/>
          </w:tcPr>
          <w:p>
            <w:pPr>
              <w:ind w:left="60"/>
              <w:spacing w:after="0"/>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Quince Orchard</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1993</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37,946</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267,000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19,000</w:t>
            </w:r>
          </w:p>
        </w:tc>
        <w:tc>
          <w:tcPr>
            <w:tcW w:w="820" w:type="dxa"/>
            <w:vAlign w:val="bottom"/>
            <w:gridSpan w:val="4"/>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Aldi</w:t>
            </w:r>
          </w:p>
        </w:tc>
        <w:tc>
          <w:tcPr>
            <w:tcW w:w="60" w:type="dxa"/>
            <w:vAlign w:val="bottom"/>
            <w:shd w:val="clear" w:color="auto" w:fill="CCEEFF"/>
          </w:tcPr>
          <w:p>
            <w:pPr>
              <w:spacing w:after="0"/>
              <w:rPr>
                <w:sz w:val="15"/>
                <w:szCs w:val="15"/>
                <w:color w:val="auto"/>
              </w:rPr>
            </w:pPr>
          </w:p>
        </w:tc>
        <w:tc>
          <w:tcPr>
            <w:tcW w:w="1820" w:type="dxa"/>
            <w:vAlign w:val="bottom"/>
            <w:gridSpan w:val="7"/>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6"/>
                <w:shd w:val="clear" w:color="auto" w:fill="CCEEFF"/>
              </w:rPr>
              <w:t>L.A. Fitness / HomeGoods / Staples</w:t>
            </w: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820" w:type="dxa"/>
            <w:vAlign w:val="bottom"/>
            <w:tcBorders>
              <w:bottom w:val="single" w:sz="8" w:color="CCEEFF"/>
            </w:tcBorders>
            <w:gridSpan w:val="7"/>
            <w:vMerge w:val="continue"/>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38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Rockville Town Square</w:t>
            </w:r>
          </w:p>
        </w:tc>
        <w:tc>
          <w:tcPr>
            <w:tcW w:w="38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(6)</w:t>
            </w:r>
          </w:p>
        </w:tc>
        <w:tc>
          <w:tcPr>
            <w:tcW w:w="16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2006-2007</w:t>
            </w: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50,875</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4,479</w:t>
            </w: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187,000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96%</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25,000</w:t>
            </w:r>
          </w:p>
        </w:tc>
        <w:tc>
          <w:tcPr>
            <w:tcW w:w="820" w:type="dxa"/>
            <w:vAlign w:val="bottom"/>
            <w:gridSpan w:val="4"/>
          </w:tcPr>
          <w:p>
            <w:pPr>
              <w:ind w:left="80"/>
              <w:spacing w:after="0" w:line="144" w:lineRule="exact"/>
              <w:rPr>
                <w:sz w:val="20"/>
                <w:szCs w:val="20"/>
                <w:color w:val="auto"/>
              </w:rPr>
            </w:pPr>
            <w:r>
              <w:rPr>
                <w:rFonts w:ascii="Times New Roman" w:cs="Times New Roman" w:eastAsia="Times New Roman" w:hAnsi="Times New Roman"/>
                <w:sz w:val="13"/>
                <w:szCs w:val="13"/>
                <w:color w:val="auto"/>
              </w:rPr>
              <w:t>Dawson's</w:t>
            </w:r>
          </w:p>
        </w:tc>
        <w:tc>
          <w:tcPr>
            <w:tcW w:w="3280" w:type="dxa"/>
            <w:vAlign w:val="bottom"/>
            <w:gridSpan w:val="11"/>
          </w:tcPr>
          <w:p>
            <w:pPr>
              <w:ind w:left="60"/>
              <w:spacing w:after="0" w:line="144" w:lineRule="exact"/>
              <w:rPr>
                <w:sz w:val="20"/>
                <w:szCs w:val="20"/>
                <w:color w:val="auto"/>
              </w:rPr>
            </w:pPr>
            <w:r>
              <w:rPr>
                <w:rFonts w:ascii="Times New Roman" w:cs="Times New Roman" w:eastAsia="Times New Roman" w:hAnsi="Times New Roman"/>
                <w:sz w:val="13"/>
                <w:szCs w:val="13"/>
                <w:color w:val="auto"/>
              </w:rPr>
              <w:t>CVS / Gold's Gym</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Market</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Rollingwood</w:t>
            </w:r>
          </w:p>
        </w:tc>
        <w:tc>
          <w:tcPr>
            <w:tcW w:w="380" w:type="dxa"/>
            <w:vAlign w:val="bottom"/>
            <w:shd w:val="clear" w:color="auto" w:fill="CCEEFF"/>
          </w:tcPr>
          <w:p>
            <w:pPr>
              <w:spacing w:after="0"/>
              <w:rPr>
                <w:sz w:val="13"/>
                <w:szCs w:val="13"/>
                <w:color w:val="auto"/>
              </w:rPr>
            </w:pP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1971</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10,460</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21,395</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N/A</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Apartments</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Sam's Park &amp; Shop</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12,704</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49,000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11"/>
            <w:vMerge w:val="restart"/>
          </w:tcPr>
          <w:p>
            <w:pPr>
              <w:ind w:left="60"/>
              <w:spacing w:after="0"/>
              <w:rPr>
                <w:sz w:val="20"/>
                <w:szCs w:val="20"/>
                <w:color w:val="auto"/>
              </w:rPr>
            </w:pPr>
            <w:r>
              <w:rPr>
                <w:rFonts w:ascii="Times New Roman" w:cs="Times New Roman" w:eastAsia="Times New Roman" w:hAnsi="Times New Roman"/>
                <w:sz w:val="13"/>
                <w:szCs w:val="13"/>
                <w:color w:val="auto"/>
              </w:rPr>
              <w:t>Petco</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8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Tower Shopping Center</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21,499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112,000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26,000</w:t>
            </w:r>
          </w:p>
        </w:tc>
        <w:tc>
          <w:tcPr>
            <w:tcW w:w="8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shd w:val="clear" w:color="auto" w:fill="CCEEFF"/>
              </w:rPr>
              <w:t>L.A. Mart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gridSpan w:val="5"/>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4"/>
                <w:shd w:val="clear" w:color="auto" w:fill="CCEEFF"/>
              </w:rPr>
              <w:t>Talbots / Total Wine &amp; More</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vMerge w:val="continue"/>
            <w:shd w:val="clear" w:color="auto" w:fill="CCEEFF"/>
          </w:tcPr>
          <w:p>
            <w:pPr>
              <w:spacing w:after="0"/>
              <w:rPr>
                <w:sz w:val="6"/>
                <w:szCs w:val="6"/>
                <w:color w:val="auto"/>
              </w:rPr>
            </w:pPr>
          </w:p>
        </w:tc>
        <w:tc>
          <w:tcPr>
            <w:tcW w:w="240" w:type="dxa"/>
            <w:vAlign w:val="bottom"/>
            <w:tcBorders>
              <w:bottom w:val="single" w:sz="8" w:color="CCEEFF"/>
            </w:tcBorders>
            <w:gridSpan w:val="2"/>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460" w:type="dxa"/>
            <w:vAlign w:val="bottom"/>
            <w:tcBorders>
              <w:bottom w:val="single" w:sz="8" w:color="CCEEFF"/>
            </w:tcBorders>
            <w:gridSpan w:val="5"/>
            <w:vMerge w:val="continue"/>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gridSpan w:val="2"/>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Tyson's Station</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4,611</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49,000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11,000</w:t>
            </w:r>
          </w:p>
        </w:tc>
        <w:tc>
          <w:tcPr>
            <w:tcW w:w="82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auto"/>
              </w:rPr>
              <w:t>Trader Joe's</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Village at Shirlington</w:t>
            </w:r>
          </w:p>
        </w:tc>
        <w:tc>
          <w:tcPr>
            <w:tcW w:w="3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w:t>
            </w: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63,197</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6,577</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265,000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28,000</w:t>
            </w:r>
          </w:p>
        </w:tc>
        <w:tc>
          <w:tcPr>
            <w:tcW w:w="820" w:type="dxa"/>
            <w:vAlign w:val="bottom"/>
            <w:gridSpan w:val="4"/>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Harris Teeter</w:t>
            </w:r>
          </w:p>
        </w:tc>
        <w:tc>
          <w:tcPr>
            <w:tcW w:w="60" w:type="dxa"/>
            <w:vAlign w:val="bottom"/>
            <w:shd w:val="clear" w:color="auto" w:fill="CCEEFF"/>
          </w:tcPr>
          <w:p>
            <w:pPr>
              <w:spacing w:after="0"/>
              <w:rPr>
                <w:sz w:val="15"/>
                <w:szCs w:val="15"/>
                <w:color w:val="auto"/>
              </w:rPr>
            </w:pPr>
          </w:p>
        </w:tc>
        <w:tc>
          <w:tcPr>
            <w:tcW w:w="1740" w:type="dxa"/>
            <w:vAlign w:val="bottom"/>
            <w:gridSpan w:val="6"/>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95"/>
                <w:shd w:val="clear" w:color="auto" w:fill="CCEEFF"/>
              </w:rPr>
              <w:t>AMC Loews / Carlyle Grand Café</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740" w:type="dxa"/>
            <w:vAlign w:val="bottom"/>
            <w:tcBorders>
              <w:bottom w:val="single" w:sz="8" w:color="CCEEFF"/>
            </w:tcBorders>
            <w:gridSpan w:val="6"/>
            <w:vMerge w:val="continue"/>
            <w:shd w:val="clear" w:color="auto" w:fill="CCEEFF"/>
          </w:tcPr>
          <w:p>
            <w:pPr>
              <w:spacing w:after="0"/>
              <w:rPr>
                <w:sz w:val="6"/>
                <w:szCs w:val="6"/>
                <w:color w:val="auto"/>
              </w:rPr>
            </w:pPr>
          </w:p>
        </w:tc>
        <w:tc>
          <w:tcPr>
            <w:tcW w:w="380" w:type="dxa"/>
            <w:vAlign w:val="bottom"/>
            <w:tcBorders>
              <w:bottom w:val="single" w:sz="8" w:color="CCEEFF"/>
            </w:tcBorders>
            <w:gridSpan w:val="2"/>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7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Wildwood</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Washington, DC-MD-VA</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19,499</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83,000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20,000</w:t>
            </w:r>
          </w:p>
        </w:tc>
        <w:tc>
          <w:tcPr>
            <w:tcW w:w="82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auto"/>
              </w:rPr>
              <w:t>Balducci's</w:t>
            </w:r>
          </w:p>
        </w:tc>
        <w:tc>
          <w:tcPr>
            <w:tcW w:w="3280" w:type="dxa"/>
            <w:vAlign w:val="bottom"/>
            <w:gridSpan w:val="11"/>
            <w:vMerge w:val="restart"/>
          </w:tcPr>
          <w:p>
            <w:pPr>
              <w:ind w:left="60"/>
              <w:spacing w:after="0"/>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91"/>
        </w:trPr>
        <w:tc>
          <w:tcPr>
            <w:tcW w:w="20" w:type="dxa"/>
            <w:vAlign w:val="bottom"/>
            <w:tcBorders>
              <w:bottom w:val="single" w:sz="8" w:color="CCEEFF"/>
            </w:tcBorders>
          </w:tcPr>
          <w:p>
            <w:pPr>
              <w:spacing w:after="0"/>
              <w:rPr>
                <w:sz w:val="7"/>
                <w:szCs w:val="7"/>
                <w:color w:val="auto"/>
              </w:rPr>
            </w:pPr>
          </w:p>
        </w:tc>
        <w:tc>
          <w:tcPr>
            <w:tcW w:w="620" w:type="dxa"/>
            <w:vAlign w:val="bottom"/>
            <w:tcBorders>
              <w:bottom w:val="single" w:sz="8" w:color="CCEEFF"/>
            </w:tcBorders>
          </w:tcPr>
          <w:p>
            <w:pPr>
              <w:spacing w:after="0"/>
              <w:rPr>
                <w:sz w:val="7"/>
                <w:szCs w:val="7"/>
                <w:color w:val="auto"/>
              </w:rPr>
            </w:pPr>
          </w:p>
        </w:tc>
        <w:tc>
          <w:tcPr>
            <w:tcW w:w="740" w:type="dxa"/>
            <w:vAlign w:val="bottom"/>
            <w:tcBorders>
              <w:bottom w:val="single" w:sz="8" w:color="CCEEFF"/>
            </w:tcBorders>
          </w:tcPr>
          <w:p>
            <w:pPr>
              <w:spacing w:after="0"/>
              <w:rPr>
                <w:sz w:val="7"/>
                <w:szCs w:val="7"/>
                <w:color w:val="auto"/>
              </w:rPr>
            </w:pPr>
          </w:p>
        </w:tc>
        <w:tc>
          <w:tcPr>
            <w:tcW w:w="380" w:type="dxa"/>
            <w:vAlign w:val="bottom"/>
            <w:tcBorders>
              <w:bottom w:val="single" w:sz="8" w:color="CCEEFF"/>
            </w:tcBorders>
          </w:tcPr>
          <w:p>
            <w:pPr>
              <w:spacing w:after="0"/>
              <w:rPr>
                <w:sz w:val="7"/>
                <w:szCs w:val="7"/>
                <w:color w:val="auto"/>
              </w:rPr>
            </w:pPr>
          </w:p>
        </w:tc>
        <w:tc>
          <w:tcPr>
            <w:tcW w:w="1600" w:type="dxa"/>
            <w:vAlign w:val="bottom"/>
            <w:tcBorders>
              <w:bottom w:val="single" w:sz="8" w:color="CCEEFF"/>
            </w:tcBorders>
          </w:tcPr>
          <w:p>
            <w:pPr>
              <w:spacing w:after="0"/>
              <w:rPr>
                <w:sz w:val="7"/>
                <w:szCs w:val="7"/>
                <w:color w:val="auto"/>
              </w:rPr>
            </w:pPr>
          </w:p>
        </w:tc>
        <w:tc>
          <w:tcPr>
            <w:tcW w:w="86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6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0" w:type="dxa"/>
            <w:vAlign w:val="bottom"/>
            <w:tcBorders>
              <w:bottom w:val="single" w:sz="8" w:color="CCEEFF"/>
            </w:tcBorders>
          </w:tcPr>
          <w:p>
            <w:pPr>
              <w:spacing w:after="0"/>
              <w:rPr>
                <w:sz w:val="7"/>
                <w:szCs w:val="7"/>
                <w:color w:val="auto"/>
              </w:rPr>
            </w:pPr>
          </w:p>
        </w:tc>
        <w:tc>
          <w:tcPr>
            <w:tcW w:w="820" w:type="dxa"/>
            <w:vAlign w:val="bottom"/>
            <w:tcBorders>
              <w:bottom w:val="single" w:sz="8" w:color="CCEEFF"/>
            </w:tcBorders>
            <w:gridSpan w:val="4"/>
            <w:vMerge w:val="continue"/>
          </w:tcPr>
          <w:p>
            <w:pPr>
              <w:spacing w:after="0"/>
              <w:rPr>
                <w:sz w:val="7"/>
                <w:szCs w:val="7"/>
                <w:color w:val="auto"/>
              </w:rPr>
            </w:pPr>
          </w:p>
        </w:tc>
        <w:tc>
          <w:tcPr>
            <w:tcW w:w="3280" w:type="dxa"/>
            <w:vAlign w:val="bottom"/>
            <w:tcBorders>
              <w:bottom w:val="single" w:sz="8" w:color="CCEEFF"/>
            </w:tcBorders>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Total Washington Metropolitan Area</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1,822,776</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6,012,000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4"/>
                <w:shd w:val="clear" w:color="auto" w:fill="CCEEFF"/>
              </w:rPr>
              <w:t>California</w:t>
            </w: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600" w:type="dxa"/>
            <w:vAlign w:val="bottom"/>
            <w:tcBorders>
              <w:top w:val="single" w:sz="8" w:color="CCEEFF"/>
            </w:tcBorders>
          </w:tcPr>
          <w:p>
            <w:pPr>
              <w:ind w:left="40"/>
              <w:spacing w:after="0" w:line="144" w:lineRule="exact"/>
              <w:rPr>
                <w:sz w:val="20"/>
                <w:szCs w:val="20"/>
                <w:color w:val="auto"/>
              </w:rPr>
            </w:pPr>
            <w:r>
              <w:rPr>
                <w:rFonts w:ascii="Times New Roman" w:cs="Times New Roman" w:eastAsia="Times New Roman" w:hAnsi="Times New Roman"/>
                <w:sz w:val="13"/>
                <w:szCs w:val="13"/>
                <w:color w:val="auto"/>
              </w:rPr>
              <w:t>Los Angeles-Long Beach,</w:t>
            </w:r>
          </w:p>
        </w:tc>
        <w:tc>
          <w:tcPr>
            <w:tcW w:w="8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Colorado Blvd</w:t>
            </w:r>
          </w:p>
        </w:tc>
        <w:tc>
          <w:tcPr>
            <w:tcW w:w="38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1996/1998</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19,362</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69,000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11"/>
          </w:tcPr>
          <w:p>
            <w:pPr>
              <w:ind w:left="60"/>
              <w:spacing w:after="0"/>
              <w:rPr>
                <w:sz w:val="20"/>
                <w:szCs w:val="20"/>
                <w:color w:val="auto"/>
              </w:rPr>
            </w:pPr>
            <w:r>
              <w:rPr>
                <w:rFonts w:ascii="Times New Roman" w:cs="Times New Roman" w:eastAsia="Times New Roman" w:hAnsi="Times New Roman"/>
                <w:sz w:val="13"/>
                <w:szCs w:val="13"/>
                <w:color w:val="auto"/>
              </w:rPr>
              <w:t>Pottery Barn / Banana Republic</w:t>
            </w:r>
          </w:p>
        </w:tc>
        <w:tc>
          <w:tcPr>
            <w:tcW w:w="0" w:type="dxa"/>
            <w:vAlign w:val="bottom"/>
          </w:tcPr>
          <w:p>
            <w:pPr>
              <w:spacing w:after="0"/>
              <w:rPr>
                <w:sz w:val="1"/>
                <w:szCs w:val="1"/>
                <w:color w:val="auto"/>
              </w:rPr>
            </w:pPr>
          </w:p>
        </w:tc>
      </w:tr>
      <w:tr>
        <w:trPr>
          <w:trHeight w:val="258"/>
        </w:trPr>
        <w:tc>
          <w:tcPr>
            <w:tcW w:w="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Crow Canyon Commons</w:t>
            </w:r>
          </w:p>
        </w:tc>
        <w:tc>
          <w:tcPr>
            <w:tcW w:w="3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San Ramon, CA</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2005/2007</w:t>
            </w:r>
          </w:p>
        </w:tc>
        <w:tc>
          <w:tcPr>
            <w:tcW w:w="6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88,300</w:t>
            </w:r>
          </w:p>
        </w:tc>
        <w:tc>
          <w:tcPr>
            <w:tcW w:w="6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241,000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32,000</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Sprouts</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Orchard Supply Hardware / Rite Aid</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138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East Bay Bridge</w:t>
            </w:r>
          </w:p>
        </w:tc>
        <w:tc>
          <w:tcPr>
            <w:tcW w:w="380" w:type="dxa"/>
            <w:vAlign w:val="bottom"/>
          </w:tcPr>
          <w:p>
            <w:pPr>
              <w:spacing w:after="0"/>
              <w:rPr>
                <w:sz w:val="12"/>
                <w:szCs w:val="12"/>
                <w:color w:val="auto"/>
              </w:rPr>
            </w:pPr>
          </w:p>
        </w:tc>
        <w:tc>
          <w:tcPr>
            <w:tcW w:w="16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San Francisco-Oakland-</w:t>
            </w: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2012</w:t>
            </w: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177,433</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439,000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59,000</w:t>
            </w:r>
          </w:p>
        </w:tc>
        <w:tc>
          <w:tcPr>
            <w:tcW w:w="820" w:type="dxa"/>
            <w:vAlign w:val="bottom"/>
            <w:gridSpan w:val="4"/>
          </w:tcPr>
          <w:p>
            <w:pPr>
              <w:ind w:left="80"/>
              <w:spacing w:after="0" w:line="144" w:lineRule="exact"/>
              <w:rPr>
                <w:sz w:val="20"/>
                <w:szCs w:val="20"/>
                <w:color w:val="auto"/>
              </w:rPr>
            </w:pPr>
            <w:r>
              <w:rPr>
                <w:rFonts w:ascii="Times New Roman" w:cs="Times New Roman" w:eastAsia="Times New Roman" w:hAnsi="Times New Roman"/>
                <w:sz w:val="13"/>
                <w:szCs w:val="13"/>
                <w:color w:val="auto"/>
              </w:rPr>
              <w:t>Pak-N-Save</w:t>
            </w:r>
          </w:p>
        </w:tc>
        <w:tc>
          <w:tcPr>
            <w:tcW w:w="3280" w:type="dxa"/>
            <w:vAlign w:val="bottom"/>
            <w:gridSpan w:val="11"/>
          </w:tcPr>
          <w:p>
            <w:pPr>
              <w:ind w:left="60"/>
              <w:spacing w:after="0" w:line="144" w:lineRule="exact"/>
              <w:rPr>
                <w:sz w:val="20"/>
                <w:szCs w:val="20"/>
                <w:color w:val="auto"/>
              </w:rPr>
            </w:pPr>
            <w:r>
              <w:rPr>
                <w:rFonts w:ascii="Times New Roman" w:cs="Times New Roman" w:eastAsia="Times New Roman" w:hAnsi="Times New Roman"/>
                <w:sz w:val="13"/>
                <w:szCs w:val="13"/>
                <w:color w:val="auto"/>
              </w:rPr>
              <w:t>Home Depot / Michaels / Target / Nordstrom Rack</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Fremont, CA</w:t>
            </w: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TJ Maxx / Toys R Us / Dick’s Sporting Goods / Ross Dress</w:t>
            </w: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Escondido Promenade</w:t>
            </w:r>
          </w:p>
        </w:tc>
        <w:tc>
          <w:tcPr>
            <w:tcW w:w="38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w:t>
            </w:r>
          </w:p>
        </w:tc>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San Diego, CA</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1996/2010</w:t>
            </w:r>
          </w:p>
        </w:tc>
        <w:tc>
          <w:tcPr>
            <w:tcW w:w="6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47,209</w:t>
            </w:r>
          </w:p>
        </w:tc>
        <w:tc>
          <w:tcPr>
            <w:tcW w:w="6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298,000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For Less</w:t>
            </w:r>
          </w:p>
        </w:tc>
        <w:tc>
          <w:tcPr>
            <w:tcW w:w="1580" w:type="dxa"/>
            <w:vAlign w:val="bottom"/>
            <w:tcBorders>
              <w:bottom w:val="single" w:sz="8" w:color="CCEEFF"/>
            </w:tcBorders>
            <w:gridSpan w:val="7"/>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Los Angeles-Long Beach,</w:t>
            </w: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Hermosa Avenue</w:t>
            </w:r>
          </w:p>
        </w:tc>
        <w:tc>
          <w:tcPr>
            <w:tcW w:w="38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5,856</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Los Angeles-Long Beach,</w:t>
            </w:r>
          </w:p>
        </w:tc>
        <w:tc>
          <w:tcPr>
            <w:tcW w:w="8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Hollywood Blvd</w:t>
            </w:r>
          </w:p>
        </w:tc>
        <w:tc>
          <w:tcPr>
            <w:tcW w:w="3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CA</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1999</w:t>
            </w:r>
          </w:p>
        </w:tc>
        <w:tc>
          <w:tcPr>
            <w:tcW w:w="68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46,670</w:t>
            </w:r>
          </w:p>
        </w:tc>
        <w:tc>
          <w:tcPr>
            <w:tcW w:w="6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179,000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50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DSW / L.A. Fitness / Marshalls / La La Land</w:t>
            </w:r>
          </w:p>
        </w:tc>
        <w:tc>
          <w:tcPr>
            <w:tcW w:w="7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8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Kings Court</w:t>
            </w:r>
          </w:p>
        </w:tc>
        <w:tc>
          <w:tcPr>
            <w:tcW w:w="38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(5)</w:t>
            </w:r>
          </w:p>
        </w:tc>
        <w:tc>
          <w:tcPr>
            <w:tcW w:w="16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San Jose, CA</w:t>
            </w:r>
          </w:p>
        </w:tc>
        <w:tc>
          <w:tcPr>
            <w:tcW w:w="8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1998</w:t>
            </w: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11,666</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79,000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31,000</w:t>
            </w:r>
          </w:p>
        </w:tc>
        <w:tc>
          <w:tcPr>
            <w:tcW w:w="820" w:type="dxa"/>
            <w:vAlign w:val="bottom"/>
            <w:gridSpan w:val="4"/>
          </w:tcPr>
          <w:p>
            <w:pPr>
              <w:ind w:left="80"/>
              <w:spacing w:after="0" w:line="144" w:lineRule="exact"/>
              <w:rPr>
                <w:sz w:val="20"/>
                <w:szCs w:val="20"/>
                <w:color w:val="auto"/>
              </w:rPr>
            </w:pPr>
            <w:r>
              <w:rPr>
                <w:rFonts w:ascii="Times New Roman" w:cs="Times New Roman" w:eastAsia="Times New Roman" w:hAnsi="Times New Roman"/>
                <w:sz w:val="13"/>
                <w:szCs w:val="13"/>
                <w:color w:val="auto"/>
              </w:rPr>
              <w:t>Lunardi's</w:t>
            </w:r>
          </w:p>
        </w:tc>
        <w:tc>
          <w:tcPr>
            <w:tcW w:w="3280" w:type="dxa"/>
            <w:vAlign w:val="bottom"/>
            <w:gridSpan w:val="11"/>
          </w:tcPr>
          <w:p>
            <w:pPr>
              <w:ind w:left="60"/>
              <w:spacing w:after="0" w:line="144" w:lineRule="exact"/>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Super Market</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Old Town Center</w:t>
            </w:r>
          </w:p>
        </w:tc>
        <w:tc>
          <w:tcPr>
            <w:tcW w:w="380" w:type="dxa"/>
            <w:vAlign w:val="bottom"/>
            <w:shd w:val="clear" w:color="auto" w:fill="CCEEFF"/>
          </w:tcPr>
          <w:p>
            <w:pPr>
              <w:spacing w:after="0"/>
              <w:rPr>
                <w:sz w:val="21"/>
                <w:szCs w:val="21"/>
                <w:color w:val="auto"/>
              </w:rPr>
            </w:pPr>
          </w:p>
        </w:tc>
        <w:tc>
          <w:tcPr>
            <w:tcW w:w="1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San Jose, CA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35,999</w:t>
            </w:r>
          </w:p>
        </w:tc>
        <w:tc>
          <w:tcPr>
            <w:tcW w:w="6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98,000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1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Anthropologie / Banana Republic / Gap</w:t>
            </w:r>
          </w:p>
        </w:tc>
        <w:tc>
          <w:tcPr>
            <w:tcW w:w="1100" w:type="dxa"/>
            <w:vAlign w:val="bottom"/>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5" w:right="239" w:bottom="1440"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60" w:top="745" w:right="239" w:bottom="1440" w:gutter="0" w:footer="0" w:header="0"/>
          <w:type w:val="continuous"/>
        </w:sectPr>
      </w:pPr>
    </w:p>
    <w:bookmarkStart w:id="24" w:name="page25"/>
    <w:bookmarkEnd w:id="24"/>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Mortgage</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Grocery</w:t>
            </w: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Year</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Real Estate</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Obligation</w:t>
            </w: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Grocery</w:t>
            </w:r>
          </w:p>
        </w:tc>
        <w:tc>
          <w:tcPr>
            <w:tcW w:w="3300" w:type="dxa"/>
            <w:vAlign w:val="bottom"/>
          </w:tcPr>
          <w:p>
            <w:pPr>
              <w:spacing w:after="0"/>
              <w:rPr>
                <w:sz w:val="11"/>
                <w:szCs w:val="11"/>
                <w:color w:val="auto"/>
              </w:rPr>
            </w:pPr>
          </w:p>
        </w:tc>
      </w:tr>
      <w:tr>
        <w:trPr>
          <w:trHeight w:val="176"/>
        </w:trPr>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Acquired</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Leased</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Other Principal Tenants</w:t>
            </w: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(in thousands)</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thousands)</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66"/>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Plaza El Segundo / The</w:t>
            </w:r>
          </w:p>
        </w:tc>
        <w:tc>
          <w:tcPr>
            <w:tcW w:w="4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 Angeles-Long Beach, CA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2011/2015</w:t>
            </w: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277,272</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175,000</w:t>
            </w: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494,000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66,000</w:t>
            </w:r>
          </w:p>
        </w:tc>
        <w:tc>
          <w:tcPr>
            <w:tcW w:w="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Whole Foods</w:t>
            </w:r>
          </w:p>
        </w:tc>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Anthropologie / Best Buy / Container Store / Dick's Sporting</w:t>
            </w:r>
          </w:p>
        </w:tc>
      </w:tr>
      <w:tr>
        <w:trPr>
          <w:trHeight w:val="17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Point</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Goods / H&amp;M / HomeGoods</w:t>
            </w:r>
          </w:p>
        </w:tc>
      </w:tr>
      <w:tr>
        <w:trPr>
          <w:trHeight w:val="152"/>
        </w:trPr>
        <w:tc>
          <w:tcPr>
            <w:tcW w:w="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Santana Row</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shd w:val="clear" w:color="auto" w:fill="CCEEFF"/>
              </w:rPr>
              <w:t>San Jose, CA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780,289</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653,000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6"/>
                <w:shd w:val="clear" w:color="auto" w:fill="CCEEFF"/>
              </w:rPr>
              <w:t>Crate &amp; Barrel / Container Store / Best Buy / CineArts Theatre /</w:t>
            </w: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Hotel Valencia / H&amp;M</w:t>
            </w:r>
          </w:p>
        </w:tc>
      </w:tr>
      <w:tr>
        <w:trPr>
          <w:trHeight w:val="144"/>
        </w:trPr>
        <w:tc>
          <w:tcPr>
            <w:tcW w:w="136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San Antonio Center</w:t>
            </w:r>
          </w:p>
        </w:tc>
        <w:tc>
          <w:tcPr>
            <w:tcW w:w="4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(3) (5)</w:t>
            </w:r>
          </w:p>
        </w:tc>
        <w:tc>
          <w:tcPr>
            <w:tcW w:w="40" w:type="dxa"/>
            <w:vAlign w:val="bottom"/>
          </w:tcPr>
          <w:p>
            <w:pPr>
              <w:spacing w:after="0"/>
              <w:rPr>
                <w:sz w:val="12"/>
                <w:szCs w:val="12"/>
                <w:color w:val="auto"/>
              </w:rPr>
            </w:pPr>
          </w:p>
        </w:tc>
        <w:tc>
          <w:tcPr>
            <w:tcW w:w="16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San Francisco-Oakland-San</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2015</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73,143</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376,000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95%</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11,000</w:t>
            </w:r>
          </w:p>
        </w:tc>
        <w:tc>
          <w:tcPr>
            <w:tcW w:w="8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Trader Joe's</w:t>
            </w:r>
          </w:p>
        </w:tc>
        <w:tc>
          <w:tcPr>
            <w:tcW w:w="3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Kohl's / Wal-mart / 24 Hour Fitness / Jo-Ann Stores</w:t>
            </w:r>
          </w:p>
        </w:tc>
      </w:tr>
      <w:tr>
        <w:trPr>
          <w:trHeight w:val="17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Jose, CA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258"/>
        </w:trPr>
        <w:tc>
          <w:tcPr>
            <w:tcW w:w="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9"/>
                <w:shd w:val="clear" w:color="auto" w:fill="CCEEFF"/>
              </w:rPr>
              <w:t>Third Street Promenade</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shd w:val="clear" w:color="auto" w:fill="CCEEFF"/>
              </w:rPr>
              <w:t>Los Angeles-Long Beach,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1996-2000</w:t>
            </w:r>
          </w:p>
        </w:tc>
        <w:tc>
          <w:tcPr>
            <w:tcW w:w="7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79,335</w:t>
            </w:r>
          </w:p>
        </w:tc>
        <w:tc>
          <w:tcPr>
            <w:tcW w:w="6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209,000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J. Crew / Banana Republic / Old Navy / Abercrombie &amp; Fitch</w:t>
            </w:r>
          </w:p>
        </w:tc>
      </w:tr>
      <w:tr>
        <w:trPr>
          <w:trHeight w:val="144"/>
        </w:trPr>
        <w:tc>
          <w:tcPr>
            <w:tcW w:w="136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Westgate Center</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San Jose, CA</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2004</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149,244</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638,000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96%</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38,000</w:t>
            </w:r>
          </w:p>
        </w:tc>
        <w:tc>
          <w:tcPr>
            <w:tcW w:w="8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Walmart</w:t>
            </w:r>
          </w:p>
        </w:tc>
        <w:tc>
          <w:tcPr>
            <w:tcW w:w="3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Target / Burlington Coat Factory / Ross Dress For Less /</w:t>
            </w: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Neighborhood</w:t>
            </w:r>
          </w:p>
        </w:tc>
        <w:tc>
          <w:tcPr>
            <w:tcW w:w="33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Michaels / Nordstrom Rack / Nike Factory / J. Crew / Gap</w:t>
            </w:r>
          </w:p>
        </w:tc>
      </w:tr>
      <w:tr>
        <w:trPr>
          <w:trHeight w:val="17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w:t>
            </w:r>
          </w:p>
        </w:tc>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Factory Store</w:t>
            </w:r>
          </w:p>
        </w:tc>
      </w:tr>
      <w:tr>
        <w:trPr>
          <w:trHeight w:val="278"/>
        </w:trPr>
        <w:tc>
          <w:tcPr>
            <w:tcW w:w="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150 Post Street</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shd w:val="clear" w:color="auto" w:fill="CCEEFF"/>
              </w:rPr>
              <w:t>San Francisco,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70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36,186</w:t>
            </w:r>
          </w:p>
        </w:tc>
        <w:tc>
          <w:tcPr>
            <w:tcW w:w="6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105,000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6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3300" w:type="dxa"/>
            <w:vAlign w:val="bottom"/>
            <w:tcBorders>
              <w:bottom w:val="single" w:sz="8" w:color="CCEEFF"/>
            </w:tcBorders>
            <w:shd w:val="clear" w:color="auto" w:fill="CCEEFF"/>
          </w:tcPr>
          <w:p>
            <w:pPr>
              <w:spacing w:after="0"/>
              <w:rPr>
                <w:sz w:val="24"/>
                <w:szCs w:val="24"/>
                <w:color w:val="auto"/>
              </w:rPr>
            </w:pPr>
          </w:p>
        </w:tc>
      </w:tr>
      <w:tr>
        <w:trPr>
          <w:trHeight w:val="242"/>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California</w:t>
            </w:r>
          </w:p>
        </w:tc>
        <w:tc>
          <w:tcPr>
            <w:tcW w:w="680" w:type="dxa"/>
            <w:vAlign w:val="bottom"/>
          </w:tcPr>
          <w:p>
            <w:pPr>
              <w:spacing w:after="0"/>
              <w:rPr>
                <w:sz w:val="21"/>
                <w:szCs w:val="21"/>
                <w:color w:val="auto"/>
              </w:rPr>
            </w:pPr>
          </w:p>
        </w:tc>
        <w:tc>
          <w:tcPr>
            <w:tcW w:w="7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1,827,964</w:t>
            </w:r>
          </w:p>
        </w:tc>
        <w:tc>
          <w:tcPr>
            <w:tcW w:w="660" w:type="dxa"/>
            <w:vAlign w:val="bottom"/>
          </w:tcPr>
          <w:p>
            <w:pPr>
              <w:spacing w:after="0"/>
              <w:rPr>
                <w:sz w:val="21"/>
                <w:szCs w:val="21"/>
                <w:color w:val="auto"/>
              </w:rPr>
            </w:pPr>
          </w:p>
        </w:tc>
        <w:tc>
          <w:tcPr>
            <w:tcW w:w="6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3,902,000</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51"/>
        </w:trPr>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r>
      <w:tr>
        <w:trPr>
          <w:trHeight w:val="149"/>
        </w:trPr>
        <w:tc>
          <w:tcPr>
            <w:tcW w:w="20" w:type="dxa"/>
            <w:vAlign w:val="bottom"/>
          </w:tcPr>
          <w:p>
            <w:pPr>
              <w:spacing w:after="0"/>
              <w:rPr>
                <w:sz w:val="12"/>
                <w:szCs w:val="12"/>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NY Metro/New Jersey</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73"/>
        </w:trPr>
        <w:tc>
          <w:tcPr>
            <w:tcW w:w="1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Brick Plaza</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Monmouth-Ocean, NJ</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1989</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67,181</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422,000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AMC Loews / Barnes &amp; Noble</w:t>
            </w:r>
          </w:p>
        </w:tc>
      </w:tr>
      <w:tr>
        <w:trPr>
          <w:trHeight w:val="97"/>
        </w:trPr>
        <w:tc>
          <w:tcPr>
            <w:tcW w:w="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44"/>
        </w:trPr>
        <w:tc>
          <w:tcPr>
            <w:tcW w:w="136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Brook 35</w:t>
            </w:r>
          </w:p>
        </w:tc>
        <w:tc>
          <w:tcPr>
            <w:tcW w:w="4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(3) (5)</w:t>
            </w:r>
          </w:p>
        </w:tc>
        <w:tc>
          <w:tcPr>
            <w:tcW w:w="40" w:type="dxa"/>
            <w:vAlign w:val="bottom"/>
          </w:tcPr>
          <w:p>
            <w:pPr>
              <w:spacing w:after="0"/>
              <w:rPr>
                <w:sz w:val="12"/>
                <w:szCs w:val="12"/>
                <w:color w:val="auto"/>
              </w:rPr>
            </w:pPr>
          </w:p>
        </w:tc>
        <w:tc>
          <w:tcPr>
            <w:tcW w:w="16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New York-Northern New</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2014</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47,082</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11,500</w:t>
            </w: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98,000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Ann Taylor / Banana Republic / Coach / Williams-Sonoma</w:t>
            </w: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Jersey-Long Island, NY-NJ-</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7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52"/>
        </w:trPr>
        <w:tc>
          <w:tcPr>
            <w:tcW w:w="1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Darien</w:t>
            </w: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 Haven-Bridgeport-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2013</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48,849</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95,000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45,000</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Stop &amp; Shop</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Equinox</w:t>
            </w:r>
          </w:p>
        </w:tc>
      </w:tr>
      <w:tr>
        <w:trPr>
          <w:trHeight w:val="180"/>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Stamford-Waterbury</w:t>
            </w: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17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Fresh Meadows</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New York, NY</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1997</w:t>
            </w: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85,093</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404,000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15,000</w:t>
            </w:r>
          </w:p>
        </w:tc>
        <w:tc>
          <w:tcPr>
            <w:tcW w:w="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Island of Gold</w:t>
            </w:r>
          </w:p>
        </w:tc>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AMC Loews / Kohl's / Michaels / Modell's</w:t>
            </w:r>
          </w:p>
        </w:tc>
      </w:tr>
      <w:tr>
        <w:trPr>
          <w:trHeight w:val="97"/>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44"/>
        </w:trPr>
        <w:tc>
          <w:tcPr>
            <w:tcW w:w="1360" w:type="dxa"/>
            <w:vAlign w:val="bottom"/>
            <w:gridSpan w:val="3"/>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Greenlawn Plaza</w:t>
            </w:r>
          </w:p>
        </w:tc>
        <w:tc>
          <w:tcPr>
            <w:tcW w:w="44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rPr>
              <w:t>(8)</w:t>
            </w: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Nassau-Suffolk, NY</w:t>
            </w:r>
          </w:p>
        </w:tc>
        <w:tc>
          <w:tcPr>
            <w:tcW w:w="6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2006</w:t>
            </w:r>
          </w:p>
        </w:tc>
        <w:tc>
          <w:tcPr>
            <w:tcW w:w="700" w:type="dxa"/>
            <w:vAlign w:val="bottom"/>
            <w:shd w:val="clear" w:color="auto" w:fill="CCEEFF"/>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31,741</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106,000</w:t>
            </w:r>
          </w:p>
        </w:tc>
        <w:tc>
          <w:tcPr>
            <w:tcW w:w="5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94%</w:t>
            </w:r>
          </w:p>
        </w:tc>
        <w:tc>
          <w:tcPr>
            <w:tcW w:w="60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46,000</w:t>
            </w:r>
          </w:p>
        </w:tc>
        <w:tc>
          <w:tcPr>
            <w:tcW w:w="86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Greenlawn</w:t>
            </w:r>
          </w:p>
        </w:tc>
        <w:tc>
          <w:tcPr>
            <w:tcW w:w="33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Tuesday Morning</w:t>
            </w:r>
          </w:p>
        </w:tc>
      </w:tr>
      <w:tr>
        <w:trPr>
          <w:trHeight w:val="180"/>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Farms</w:t>
            </w:r>
          </w:p>
        </w:tc>
        <w:tc>
          <w:tcPr>
            <w:tcW w:w="3300" w:type="dxa"/>
            <w:vAlign w:val="bottom"/>
            <w:shd w:val="clear" w:color="auto" w:fill="CCEEFF"/>
          </w:tcPr>
          <w:p>
            <w:pPr>
              <w:spacing w:after="0"/>
              <w:rPr>
                <w:sz w:val="15"/>
                <w:szCs w:val="15"/>
                <w:color w:val="auto"/>
              </w:rPr>
            </w:pPr>
          </w:p>
        </w:tc>
      </w:tr>
      <w:tr>
        <w:trPr>
          <w:trHeight w:val="144"/>
        </w:trPr>
        <w:tc>
          <w:tcPr>
            <w:tcW w:w="136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Greenwich Avenue</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New Haven-Bridgeport-</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1995</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14,127</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36,000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Saks Fifth Avenue</w:t>
            </w:r>
          </w:p>
        </w:tc>
      </w:tr>
      <w:tr>
        <w:trPr>
          <w:trHeight w:val="17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Stamford-Waterbury</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81"/>
        </w:trPr>
        <w:tc>
          <w:tcPr>
            <w:tcW w:w="1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Hauppauge</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Nassau-Suffolk, NY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28,636</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134,000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61,000</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Shop Rite</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 Moore</w:t>
            </w:r>
          </w:p>
        </w:tc>
      </w:tr>
      <w:tr>
        <w:trPr>
          <w:trHeight w:val="97"/>
        </w:trPr>
        <w:tc>
          <w:tcPr>
            <w:tcW w:w="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44"/>
        </w:trPr>
        <w:tc>
          <w:tcPr>
            <w:tcW w:w="136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Huntington</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Nassau-Suffolk, NY</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1988/2007</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43,944</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279,000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Buy Buy Baby / Bed, Bath &amp; Beyond / Michaels / Nordstrom</w:t>
            </w:r>
          </w:p>
        </w:tc>
      </w:tr>
      <w:tr>
        <w:trPr>
          <w:trHeight w:val="17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Rack</w:t>
            </w:r>
          </w:p>
        </w:tc>
      </w:tr>
      <w:tr>
        <w:trPr>
          <w:trHeight w:val="181"/>
        </w:trPr>
        <w:tc>
          <w:tcPr>
            <w:tcW w:w="1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Huntington Square</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Nassau-Suffolk, NY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14,804</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74,000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Barnes &amp; Noble</w:t>
            </w:r>
          </w:p>
        </w:tc>
      </w:tr>
      <w:tr>
        <w:trPr>
          <w:trHeight w:val="97"/>
        </w:trPr>
        <w:tc>
          <w:tcPr>
            <w:tcW w:w="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44"/>
        </w:trPr>
        <w:tc>
          <w:tcPr>
            <w:tcW w:w="136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Melville Mall</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Nassau-Suffolk, NY</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2006</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82,015</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250,000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95%</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Dick’s Sporting Goods / Marshalls / Macy's Backstage / Field</w:t>
            </w:r>
          </w:p>
        </w:tc>
      </w:tr>
      <w:tr>
        <w:trPr>
          <w:trHeight w:val="17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&amp; Stream</w:t>
            </w:r>
          </w:p>
        </w:tc>
      </w:tr>
      <w:tr>
        <w:trPr>
          <w:trHeight w:val="152"/>
        </w:trPr>
        <w:tc>
          <w:tcPr>
            <w:tcW w:w="1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Mercer Mall</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w:t>
            </w:r>
          </w:p>
        </w:tc>
        <w:tc>
          <w:tcPr>
            <w:tcW w:w="40" w:type="dxa"/>
            <w:vAlign w:val="bottom"/>
            <w:shd w:val="clear" w:color="auto" w:fill="CCEEFF"/>
          </w:tcPr>
          <w:p>
            <w:pPr>
              <w:spacing w:after="0"/>
              <w:rPr>
                <w:sz w:val="13"/>
                <w:szCs w:val="13"/>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Trenton, NJ</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120,816</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55,634</w:t>
            </w: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528,000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75,000</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Shop Rite</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Bed, Bath &amp; Beyond / DSW / TJ Maxx / Raymour &amp; Flanigan /</w:t>
            </w:r>
          </w:p>
        </w:tc>
      </w:tr>
      <w:tr>
        <w:trPr>
          <w:trHeight w:val="180"/>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Nordstrom Rack / REI</w:t>
            </w:r>
          </w:p>
        </w:tc>
      </w:tr>
      <w:tr>
        <w:trPr>
          <w:trHeight w:val="144"/>
        </w:trPr>
        <w:tc>
          <w:tcPr>
            <w:tcW w:w="136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w w:val="98"/>
              </w:rPr>
              <w:t>The Grove at Shrewsbury</w:t>
            </w:r>
          </w:p>
        </w:tc>
        <w:tc>
          <w:tcPr>
            <w:tcW w:w="4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(3) (5)</w:t>
            </w:r>
          </w:p>
        </w:tc>
        <w:tc>
          <w:tcPr>
            <w:tcW w:w="40" w:type="dxa"/>
            <w:vAlign w:val="bottom"/>
          </w:tcPr>
          <w:p>
            <w:pPr>
              <w:spacing w:after="0"/>
              <w:rPr>
                <w:sz w:val="12"/>
                <w:szCs w:val="12"/>
                <w:color w:val="auto"/>
              </w:rPr>
            </w:pPr>
          </w:p>
        </w:tc>
        <w:tc>
          <w:tcPr>
            <w:tcW w:w="16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New York-Northern New</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2014</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123,588</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53,649</w:t>
            </w: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192,000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99%</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7"/>
              </w:rPr>
              <w:t>Lululemon / Brooks Brothers / Anthropologie / Pottery Barn / J.</w:t>
            </w: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Jersey-Long Island, NY-NJ-</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Crew / Banana Republic / Williams-Sonoma</w:t>
            </w:r>
          </w:p>
        </w:tc>
      </w:tr>
      <w:tr>
        <w:trPr>
          <w:trHeight w:val="17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81"/>
        </w:trPr>
        <w:tc>
          <w:tcPr>
            <w:tcW w:w="1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Troy</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Newark, NJ</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1980</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35,017</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211,000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 Fitness</w:t>
            </w:r>
          </w:p>
        </w:tc>
      </w:tr>
      <w:tr>
        <w:trPr>
          <w:trHeight w:val="97"/>
        </w:trPr>
        <w:tc>
          <w:tcPr>
            <w:tcW w:w="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NY Metro/New Jersey</w:t>
            </w:r>
          </w:p>
        </w:tc>
        <w:tc>
          <w:tcPr>
            <w:tcW w:w="6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742,893</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2,829,000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2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300" w:type="dxa"/>
            <w:vAlign w:val="bottom"/>
          </w:tcPr>
          <w:p>
            <w:pPr>
              <w:spacing w:after="0"/>
              <w:rPr>
                <w:sz w:val="7"/>
                <w:szCs w:val="7"/>
                <w:color w:val="auto"/>
              </w:rPr>
            </w:pPr>
          </w:p>
        </w:tc>
      </w:tr>
      <w:tr>
        <w:trPr>
          <w:trHeight w:val="243"/>
        </w:trPr>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r>
      <w:tr>
        <w:trPr>
          <w:trHeight w:val="149"/>
        </w:trPr>
        <w:tc>
          <w:tcPr>
            <w:tcW w:w="20" w:type="dxa"/>
            <w:vAlign w:val="bottom"/>
          </w:tcPr>
          <w:p>
            <w:pPr>
              <w:spacing w:after="0"/>
              <w:rPr>
                <w:sz w:val="12"/>
                <w:szCs w:val="12"/>
                <w:color w:val="auto"/>
              </w:rPr>
            </w:pP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w w:val="97"/>
              </w:rPr>
              <w:t>Philadelphia Metropolitan Area</w:t>
            </w: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12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44"/>
        </w:trPr>
        <w:tc>
          <w:tcPr>
            <w:tcW w:w="1360" w:type="dxa"/>
            <w:vAlign w:val="bottom"/>
            <w:gridSpan w:val="3"/>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Andorra</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Philadelphia, PA-NJ</w:t>
            </w:r>
          </w:p>
        </w:tc>
        <w:tc>
          <w:tcPr>
            <w:tcW w:w="6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1988</w:t>
            </w:r>
          </w:p>
        </w:tc>
        <w:tc>
          <w:tcPr>
            <w:tcW w:w="700" w:type="dxa"/>
            <w:vAlign w:val="bottom"/>
            <w:shd w:val="clear" w:color="auto" w:fill="CCEEFF"/>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25,795</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265,000</w:t>
            </w:r>
          </w:p>
        </w:tc>
        <w:tc>
          <w:tcPr>
            <w:tcW w:w="5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94%</w:t>
            </w:r>
          </w:p>
        </w:tc>
        <w:tc>
          <w:tcPr>
            <w:tcW w:w="60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24,000</w:t>
            </w:r>
          </w:p>
        </w:tc>
        <w:tc>
          <w:tcPr>
            <w:tcW w:w="86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Acme</w:t>
            </w:r>
          </w:p>
        </w:tc>
        <w:tc>
          <w:tcPr>
            <w:tcW w:w="33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Kohl's / Staples / L.A. Fitness</w:t>
            </w:r>
          </w:p>
        </w:tc>
      </w:tr>
      <w:tr>
        <w:trPr>
          <w:trHeight w:val="180"/>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Markets</w:t>
            </w:r>
          </w:p>
        </w:tc>
        <w:tc>
          <w:tcPr>
            <w:tcW w:w="3300" w:type="dxa"/>
            <w:vAlign w:val="bottom"/>
            <w:shd w:val="clear" w:color="auto" w:fill="CCEEFF"/>
          </w:tcPr>
          <w:p>
            <w:pPr>
              <w:spacing w:after="0"/>
              <w:rPr>
                <w:sz w:val="15"/>
                <w:szCs w:val="15"/>
                <w:color w:val="auto"/>
              </w:rPr>
            </w:pPr>
          </w:p>
        </w:tc>
      </w:tr>
      <w:tr>
        <w:trPr>
          <w:trHeight w:val="144"/>
        </w:trPr>
        <w:tc>
          <w:tcPr>
            <w:tcW w:w="136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Bala Cynwyd</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Philadelphia, PA-NJ</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1993</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40,391</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295,000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45,000</w:t>
            </w:r>
          </w:p>
        </w:tc>
        <w:tc>
          <w:tcPr>
            <w:tcW w:w="8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Acme</w:t>
            </w:r>
          </w:p>
        </w:tc>
        <w:tc>
          <w:tcPr>
            <w:tcW w:w="3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Lord &amp; Taylor / L.A. Fitness / Michaels</w:t>
            </w:r>
          </w:p>
        </w:tc>
      </w:tr>
      <w:tr>
        <w:trPr>
          <w:trHeight w:val="17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Markets</w:t>
            </w:r>
          </w:p>
        </w:tc>
        <w:tc>
          <w:tcPr>
            <w:tcW w:w="3300" w:type="dxa"/>
            <w:vAlign w:val="bottom"/>
          </w:tcPr>
          <w:p>
            <w:pPr>
              <w:spacing w:after="0"/>
              <w:rPr>
                <w:sz w:val="14"/>
                <w:szCs w:val="14"/>
                <w:color w:val="auto"/>
              </w:rPr>
            </w:pPr>
          </w:p>
        </w:tc>
      </w:tr>
      <w:tr>
        <w:trPr>
          <w:trHeight w:val="181"/>
        </w:trPr>
        <w:tc>
          <w:tcPr>
            <w:tcW w:w="1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Ellisburg</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Philadelphia, PA-NJ</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1992</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34,922</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268,000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47,000</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Whole Foods</w:t>
            </w: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Buy Buy Baby / Stein Mart</w:t>
            </w:r>
          </w:p>
        </w:tc>
      </w:tr>
      <w:tr>
        <w:trPr>
          <w:trHeight w:val="97"/>
        </w:trPr>
        <w:tc>
          <w:tcPr>
            <w:tcW w:w="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7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Flourtown</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Philadelphia, PA-NJ</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1980</w:t>
            </w: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16,830</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156,000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75,000</w:t>
            </w:r>
          </w:p>
        </w:tc>
        <w:tc>
          <w:tcPr>
            <w:tcW w:w="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Movie Tavern</w:t>
            </w:r>
          </w:p>
        </w:tc>
      </w:tr>
      <w:tr>
        <w:trPr>
          <w:trHeight w:val="97"/>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44"/>
        </w:trPr>
        <w:tc>
          <w:tcPr>
            <w:tcW w:w="1360" w:type="dxa"/>
            <w:vAlign w:val="bottom"/>
            <w:gridSpan w:val="3"/>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Langhorne Square</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Philadelphia, PA-NJ</w:t>
            </w:r>
          </w:p>
        </w:tc>
        <w:tc>
          <w:tcPr>
            <w:tcW w:w="6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1985</w:t>
            </w:r>
          </w:p>
        </w:tc>
        <w:tc>
          <w:tcPr>
            <w:tcW w:w="700" w:type="dxa"/>
            <w:vAlign w:val="bottom"/>
            <w:shd w:val="clear" w:color="auto" w:fill="CCEEFF"/>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21,881</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219,000</w:t>
            </w:r>
          </w:p>
        </w:tc>
        <w:tc>
          <w:tcPr>
            <w:tcW w:w="5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60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55,000</w:t>
            </w:r>
          </w:p>
        </w:tc>
        <w:tc>
          <w:tcPr>
            <w:tcW w:w="86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Redner's</w:t>
            </w:r>
          </w:p>
        </w:tc>
        <w:tc>
          <w:tcPr>
            <w:tcW w:w="33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Marshalls</w:t>
            </w:r>
          </w:p>
        </w:tc>
      </w:tr>
      <w:tr>
        <w:trPr>
          <w:trHeight w:val="135"/>
        </w:trPr>
        <w:tc>
          <w:tcPr>
            <w:tcW w:w="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Warehouse</w:t>
            </w:r>
          </w:p>
        </w:tc>
        <w:tc>
          <w:tcPr>
            <w:tcW w:w="3300" w:type="dxa"/>
            <w:vAlign w:val="bottom"/>
            <w:shd w:val="clear" w:color="auto" w:fill="CCEEFF"/>
          </w:tcPr>
          <w:p>
            <w:pPr>
              <w:spacing w:after="0"/>
              <w:rPr>
                <w:sz w:val="11"/>
                <w:szCs w:val="11"/>
                <w:color w:val="auto"/>
              </w:rPr>
            </w:pPr>
          </w:p>
        </w:tc>
      </w:tr>
      <w:tr>
        <w:trPr>
          <w:trHeight w:val="180"/>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Mkts.</w:t>
            </w:r>
          </w:p>
        </w:tc>
        <w:tc>
          <w:tcPr>
            <w:tcW w:w="3300" w:type="dxa"/>
            <w:vAlign w:val="bottom"/>
            <w:shd w:val="clear" w:color="auto" w:fill="CCEEFF"/>
          </w:tcPr>
          <w:p>
            <w:pPr>
              <w:spacing w:after="0"/>
              <w:rPr>
                <w:sz w:val="15"/>
                <w:szCs w:val="15"/>
                <w:color w:val="auto"/>
              </w:rPr>
            </w:pPr>
          </w:p>
        </w:tc>
      </w:tr>
      <w:tr>
        <w:trPr>
          <w:trHeight w:val="144"/>
        </w:trPr>
        <w:tc>
          <w:tcPr>
            <w:tcW w:w="136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Lawrence Park</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Philadelphia, PA-NJ</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1980</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32,714</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364,000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96%</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53,000</w:t>
            </w:r>
          </w:p>
        </w:tc>
        <w:tc>
          <w:tcPr>
            <w:tcW w:w="8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Acme</w:t>
            </w:r>
          </w:p>
        </w:tc>
        <w:tc>
          <w:tcPr>
            <w:tcW w:w="3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Brightwood Career Institute / TJ Maxx / HomeGoods</w:t>
            </w:r>
          </w:p>
        </w:tc>
      </w:tr>
      <w:tr>
        <w:trPr>
          <w:trHeight w:val="17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Markets</w:t>
            </w:r>
          </w:p>
        </w:tc>
        <w:tc>
          <w:tcPr>
            <w:tcW w:w="3300" w:type="dxa"/>
            <w:vAlign w:val="bottom"/>
          </w:tcPr>
          <w:p>
            <w:pPr>
              <w:spacing w:after="0"/>
              <w:rPr>
                <w:sz w:val="14"/>
                <w:szCs w:val="14"/>
                <w:color w:val="auto"/>
              </w:rPr>
            </w:pPr>
          </w:p>
        </w:tc>
      </w:tr>
      <w:tr>
        <w:trPr>
          <w:trHeight w:val="181"/>
        </w:trPr>
        <w:tc>
          <w:tcPr>
            <w:tcW w:w="1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Northeast</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Philadelphia, PA-NJ</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26,594</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288,000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Burlington Coat Factory / Home Gallery / Marshalls</w:t>
            </w:r>
          </w:p>
        </w:tc>
      </w:tr>
      <w:tr>
        <w:trPr>
          <w:trHeight w:val="97"/>
        </w:trPr>
        <w:tc>
          <w:tcPr>
            <w:tcW w:w="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44"/>
        </w:trPr>
        <w:tc>
          <w:tcPr>
            <w:tcW w:w="136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Town Center of New</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Philadelphia, PA-NJ</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2006</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15,046</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124,000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89%</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36,000</w:t>
            </w:r>
          </w:p>
        </w:tc>
        <w:tc>
          <w:tcPr>
            <w:tcW w:w="8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Giant Food</w:t>
            </w:r>
          </w:p>
        </w:tc>
        <w:tc>
          <w:tcPr>
            <w:tcW w:w="33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Rite Aid</w:t>
            </w:r>
          </w:p>
        </w:tc>
      </w:tr>
      <w:tr>
        <w:trPr>
          <w:trHeight w:val="172"/>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Britain</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81"/>
        </w:trPr>
        <w:tc>
          <w:tcPr>
            <w:tcW w:w="1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Willow Grove</w:t>
            </w:r>
          </w:p>
        </w:tc>
        <w:tc>
          <w:tcPr>
            <w:tcW w:w="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Philadelphia, PA-NJ</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30,008</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211,000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HomeGoods / Marshalls / Barnes &amp; Noble</w:t>
            </w:r>
          </w:p>
        </w:tc>
      </w:tr>
      <w:tr>
        <w:trPr>
          <w:trHeight w:val="97"/>
        </w:trPr>
        <w:tc>
          <w:tcPr>
            <w:tcW w:w="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73"/>
        </w:trPr>
        <w:tc>
          <w:tcPr>
            <w:tcW w:w="13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Wynnewood</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Philadelphia, PA-NJ</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42,587</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251,000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98,000</w:t>
            </w:r>
          </w:p>
        </w:tc>
        <w:tc>
          <w:tcPr>
            <w:tcW w:w="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Bed, Bath &amp; Beyond / Old Navy / DSW</w:t>
            </w:r>
          </w:p>
        </w:tc>
      </w:tr>
      <w:tr>
        <w:trPr>
          <w:trHeight w:val="97"/>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400"/>
          </w:cols>
          <w:pgMar w:left="260" w:top="745" w:right="239" w:bottom="1440"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60" w:top="745" w:right="239" w:bottom="1440" w:gutter="0" w:footer="0" w:header="0"/>
          <w:type w:val="continuous"/>
        </w:sectPr>
      </w:pPr>
    </w:p>
    <w:bookmarkStart w:id="25" w:name="page26"/>
    <w:bookmarkEnd w:id="25"/>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Mortgage</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Grocery</w:t>
            </w: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4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Year</w:t>
            </w: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Real Estate</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Obligation</w:t>
            </w: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Grocery</w:t>
            </w: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3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74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Acquired</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6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Leased</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Other Principal Tenants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(in thousands)</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thousands)</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Total Philadelphia Metropolitan Area</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286,768</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2,441,000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New England</w:t>
            </w: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360" w:type="dxa"/>
            <w:vAlign w:val="bottom"/>
            <w:gridSpan w:val="6"/>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Assembly Row /</w:t>
            </w:r>
          </w:p>
        </w:tc>
        <w:tc>
          <w:tcPr>
            <w:tcW w:w="46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rPr>
              <w:t>(4)</w:t>
            </w:r>
          </w:p>
        </w:tc>
        <w:tc>
          <w:tcPr>
            <w:tcW w:w="158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Boston-Cambridge-Quincy,</w:t>
            </w:r>
          </w:p>
        </w:tc>
        <w:tc>
          <w:tcPr>
            <w:tcW w:w="740" w:type="dxa"/>
            <w:vAlign w:val="bottom"/>
            <w:gridSpan w:val="2"/>
            <w:shd w:val="clear" w:color="auto" w:fill="CCEEFF"/>
          </w:tcPr>
          <w:p>
            <w:pPr>
              <w:ind w:left="60"/>
              <w:spacing w:after="0" w:line="144" w:lineRule="exact"/>
              <w:rPr>
                <w:sz w:val="20"/>
                <w:szCs w:val="20"/>
                <w:color w:val="auto"/>
              </w:rPr>
            </w:pPr>
            <w:r>
              <w:rPr>
                <w:rFonts w:ascii="Times New Roman" w:cs="Times New Roman" w:eastAsia="Times New Roman" w:hAnsi="Times New Roman"/>
                <w:sz w:val="13"/>
                <w:szCs w:val="13"/>
                <w:color w:val="auto"/>
              </w:rPr>
              <w:t>2005-2011,</w:t>
            </w:r>
          </w:p>
        </w:tc>
        <w:tc>
          <w:tcPr>
            <w:tcW w:w="700" w:type="dxa"/>
            <w:vAlign w:val="bottom"/>
            <w:shd w:val="clear" w:color="auto" w:fill="CCEEFF"/>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585,728</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761,000</w:t>
            </w:r>
          </w:p>
        </w:tc>
        <w:tc>
          <w:tcPr>
            <w:tcW w:w="5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94%</w:t>
            </w: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34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3"/>
                <w:szCs w:val="13"/>
                <w:color w:val="auto"/>
              </w:rPr>
              <w:t>AMC Theatres / LEGOLAND Discovery Center / Saks Fifth</w:t>
            </w:r>
          </w:p>
        </w:tc>
        <w:tc>
          <w:tcPr>
            <w:tcW w:w="0" w:type="dxa"/>
            <w:vAlign w:val="bottom"/>
          </w:tcPr>
          <w:p>
            <w:pPr>
              <w:spacing w:after="0"/>
              <w:rPr>
                <w:sz w:val="1"/>
                <w:szCs w:val="1"/>
                <w:color w:val="auto"/>
              </w:rPr>
            </w:pPr>
          </w:p>
        </w:tc>
      </w:tr>
      <w:tr>
        <w:trPr>
          <w:trHeight w:val="135"/>
        </w:trPr>
        <w:tc>
          <w:tcPr>
            <w:tcW w:w="1360" w:type="dxa"/>
            <w:vAlign w:val="bottom"/>
            <w:gridSpan w:val="6"/>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Assembly Square</w:t>
            </w:r>
          </w:p>
        </w:tc>
        <w:tc>
          <w:tcPr>
            <w:tcW w:w="460" w:type="dxa"/>
            <w:vAlign w:val="bottom"/>
            <w:shd w:val="clear" w:color="auto" w:fill="CCEEFF"/>
          </w:tcPr>
          <w:p>
            <w:pPr>
              <w:spacing w:after="0"/>
              <w:rPr>
                <w:sz w:val="11"/>
                <w:szCs w:val="11"/>
                <w:color w:val="auto"/>
              </w:rPr>
            </w:pPr>
          </w:p>
        </w:tc>
        <w:tc>
          <w:tcPr>
            <w:tcW w:w="1580" w:type="dxa"/>
            <w:vAlign w:val="bottom"/>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MA-NH</w:t>
            </w:r>
          </w:p>
        </w:tc>
        <w:tc>
          <w:tcPr>
            <w:tcW w:w="46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2013</w:t>
            </w: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34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w w:val="99"/>
              </w:rPr>
              <w:t>Avenue Off 5th / J. Crew / Nike Factory / Bed, Bath &amp; Beyond</w:t>
            </w:r>
          </w:p>
        </w:tc>
        <w:tc>
          <w:tcPr>
            <w:tcW w:w="0" w:type="dxa"/>
            <w:vAlign w:val="bottom"/>
          </w:tcPr>
          <w:p>
            <w:pPr>
              <w:spacing w:after="0"/>
              <w:rPr>
                <w:sz w:val="1"/>
                <w:szCs w:val="1"/>
                <w:color w:val="auto"/>
              </w:rPr>
            </w:pPr>
          </w:p>
        </w:tc>
      </w:tr>
      <w:tr>
        <w:trPr>
          <w:trHeight w:val="180"/>
        </w:trPr>
        <w:tc>
          <w:tcPr>
            <w:tcW w:w="13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Marketplace</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TJ Maxx / Legal on the Mystic</w:t>
            </w:r>
          </w:p>
        </w:tc>
        <w:tc>
          <w:tcPr>
            <w:tcW w:w="0" w:type="dxa"/>
            <w:vAlign w:val="bottom"/>
          </w:tcPr>
          <w:p>
            <w:pPr>
              <w:spacing w:after="0"/>
              <w:rPr>
                <w:sz w:val="1"/>
                <w:szCs w:val="1"/>
                <w:color w:val="auto"/>
              </w:rPr>
            </w:pPr>
          </w:p>
        </w:tc>
      </w:tr>
      <w:tr>
        <w:trPr>
          <w:trHeight w:val="144"/>
        </w:trPr>
        <w:tc>
          <w:tcPr>
            <w:tcW w:w="1360" w:type="dxa"/>
            <w:vAlign w:val="bottom"/>
            <w:gridSpan w:val="6"/>
          </w:tcPr>
          <w:p>
            <w:pPr>
              <w:ind w:left="20"/>
              <w:spacing w:after="0" w:line="144" w:lineRule="exact"/>
              <w:rPr>
                <w:sz w:val="20"/>
                <w:szCs w:val="20"/>
                <w:color w:val="auto"/>
              </w:rPr>
            </w:pPr>
            <w:r>
              <w:rPr>
                <w:rFonts w:ascii="Times New Roman" w:cs="Times New Roman" w:eastAsia="Times New Roman" w:hAnsi="Times New Roman"/>
                <w:sz w:val="13"/>
                <w:szCs w:val="13"/>
                <w:color w:val="auto"/>
              </w:rPr>
              <w:t>Atlantic Plaza</w:t>
            </w:r>
          </w:p>
        </w:tc>
        <w:tc>
          <w:tcPr>
            <w:tcW w:w="4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(8)</w:t>
            </w:r>
          </w:p>
        </w:tc>
        <w:tc>
          <w:tcPr>
            <w:tcW w:w="15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w w:val="98"/>
              </w:rPr>
              <w:t>Boston-Worcester-Lawrence-</w:t>
            </w:r>
          </w:p>
        </w:tc>
        <w:tc>
          <w:tcPr>
            <w:tcW w:w="7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2004</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25,142</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123,000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92%</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64,000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Stop &amp; Shop</w:t>
            </w: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Lowell-Brockton, MA</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Campus Plaza</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w:t>
            </w:r>
          </w:p>
        </w:tc>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8"/>
                <w:shd w:val="clear" w:color="auto" w:fill="CCEEFF"/>
              </w:rPr>
              <w:t>Boston-Worcester-Lawrence-</w:t>
            </w: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4"/>
                <w:shd w:val="clear" w:color="auto" w:fill="CCEEFF"/>
              </w:rPr>
              <w:t>2004</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30,267</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116,000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46,000</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shd w:val="clear" w:color="auto" w:fill="CCEEFF"/>
              </w:rPr>
              <w:t>Roche Bros.</w:t>
            </w:r>
          </w:p>
        </w:tc>
        <w:tc>
          <w:tcPr>
            <w:tcW w:w="3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shd w:val="clear" w:color="auto" w:fill="CCEEFF"/>
              </w:rPr>
              <w:t>Burlington Coat Factory</w:t>
            </w: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Lowell-Brockton, MA</w:t>
            </w:r>
          </w:p>
        </w:tc>
        <w:tc>
          <w:tcPr>
            <w:tcW w:w="4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33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60" w:type="dxa"/>
            <w:vAlign w:val="bottom"/>
            <w:gridSpan w:val="6"/>
          </w:tcPr>
          <w:p>
            <w:pPr>
              <w:ind w:left="20"/>
              <w:spacing w:after="0" w:line="144" w:lineRule="exact"/>
              <w:rPr>
                <w:sz w:val="20"/>
                <w:szCs w:val="20"/>
                <w:color w:val="auto"/>
              </w:rPr>
            </w:pPr>
            <w:r>
              <w:rPr>
                <w:rFonts w:ascii="Times New Roman" w:cs="Times New Roman" w:eastAsia="Times New Roman" w:hAnsi="Times New Roman"/>
                <w:sz w:val="13"/>
                <w:szCs w:val="13"/>
                <w:color w:val="auto"/>
              </w:rPr>
              <w:t>Chelsea Commons</w:t>
            </w:r>
          </w:p>
        </w:tc>
        <w:tc>
          <w:tcPr>
            <w:tcW w:w="460" w:type="dxa"/>
            <w:vAlign w:val="bottom"/>
          </w:tcPr>
          <w:p>
            <w:pPr>
              <w:spacing w:after="0"/>
              <w:rPr>
                <w:sz w:val="12"/>
                <w:szCs w:val="12"/>
                <w:color w:val="auto"/>
              </w:rPr>
            </w:pPr>
          </w:p>
        </w:tc>
        <w:tc>
          <w:tcPr>
            <w:tcW w:w="15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Boston-Cambridge-Quincy,</w:t>
            </w:r>
          </w:p>
        </w:tc>
        <w:tc>
          <w:tcPr>
            <w:tcW w:w="7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2006-2008</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42,823</w:t>
            </w:r>
          </w:p>
        </w:tc>
        <w:tc>
          <w:tcPr>
            <w:tcW w:w="660" w:type="dxa"/>
            <w:vAlign w:val="bottom"/>
          </w:tcPr>
          <w:p>
            <w:pPr>
              <w:jc w:val="right"/>
              <w:ind w:right="59"/>
              <w:spacing w:after="0" w:line="144" w:lineRule="exact"/>
              <w:rPr>
                <w:sz w:val="20"/>
                <w:szCs w:val="20"/>
                <w:color w:val="auto"/>
              </w:rPr>
            </w:pPr>
            <w:r>
              <w:rPr>
                <w:rFonts w:ascii="Times New Roman" w:cs="Times New Roman" w:eastAsia="Times New Roman" w:hAnsi="Times New Roman"/>
                <w:sz w:val="13"/>
                <w:szCs w:val="13"/>
                <w:color w:val="auto"/>
              </w:rPr>
              <w:t>6,650</w:t>
            </w: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222,000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16,000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Sav-A-Lot</w:t>
            </w:r>
          </w:p>
        </w:tc>
        <w:tc>
          <w:tcPr>
            <w:tcW w:w="334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Home Depot / Planet Fitness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MA-NH</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Dedham Plaza</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Boston-Cambridge-Quincy,</w:t>
            </w: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4"/>
                <w:shd w:val="clear" w:color="auto" w:fill="CCEEFF"/>
              </w:rPr>
              <w:t>1993</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35,559</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241,000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80,000</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shd w:val="clear" w:color="auto" w:fill="CCEEFF"/>
              </w:rPr>
              <w:t>Star Market</w:t>
            </w:r>
          </w:p>
        </w:tc>
        <w:tc>
          <w:tcPr>
            <w:tcW w:w="3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MA-NH</w:t>
            </w:r>
          </w:p>
        </w:tc>
        <w:tc>
          <w:tcPr>
            <w:tcW w:w="4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33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360" w:type="dxa"/>
            <w:vAlign w:val="bottom"/>
            <w:gridSpan w:val="6"/>
          </w:tcPr>
          <w:p>
            <w:pPr>
              <w:ind w:left="20"/>
              <w:spacing w:after="0" w:line="144" w:lineRule="exact"/>
              <w:rPr>
                <w:sz w:val="20"/>
                <w:szCs w:val="20"/>
                <w:color w:val="auto"/>
              </w:rPr>
            </w:pPr>
            <w:r>
              <w:rPr>
                <w:rFonts w:ascii="Times New Roman" w:cs="Times New Roman" w:eastAsia="Times New Roman" w:hAnsi="Times New Roman"/>
                <w:sz w:val="13"/>
                <w:szCs w:val="13"/>
                <w:color w:val="auto"/>
              </w:rPr>
              <w:t>Linden Square</w:t>
            </w:r>
          </w:p>
        </w:tc>
        <w:tc>
          <w:tcPr>
            <w:tcW w:w="460" w:type="dxa"/>
            <w:vAlign w:val="bottom"/>
          </w:tcPr>
          <w:p>
            <w:pPr>
              <w:spacing w:after="0"/>
              <w:rPr>
                <w:sz w:val="12"/>
                <w:szCs w:val="12"/>
                <w:color w:val="auto"/>
              </w:rPr>
            </w:pPr>
          </w:p>
        </w:tc>
        <w:tc>
          <w:tcPr>
            <w:tcW w:w="15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Boston-Cambridge-Quincy,</w:t>
            </w:r>
          </w:p>
        </w:tc>
        <w:tc>
          <w:tcPr>
            <w:tcW w:w="7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2006</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147,951</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223,000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95%</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50,000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Roche Bros.</w:t>
            </w:r>
          </w:p>
        </w:tc>
        <w:tc>
          <w:tcPr>
            <w:tcW w:w="334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MA-NH</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North Dartmouth</w:t>
            </w:r>
          </w:p>
        </w:tc>
        <w:tc>
          <w:tcPr>
            <w:tcW w:w="460" w:type="dxa"/>
            <w:vAlign w:val="bottom"/>
            <w:shd w:val="clear" w:color="auto" w:fill="CCEEFF"/>
          </w:tcPr>
          <w:p>
            <w:pPr>
              <w:spacing w:after="0"/>
              <w:rPr>
                <w:sz w:val="14"/>
                <w:szCs w:val="14"/>
                <w:color w:val="auto"/>
              </w:rPr>
            </w:pPr>
          </w:p>
        </w:tc>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Boston-Cambridge-Quincy,</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9,367</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48,000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48,000</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shd w:val="clear" w:color="auto" w:fill="CCEEFF"/>
              </w:rPr>
              <w:t>Stop &amp; Shop</w:t>
            </w:r>
          </w:p>
        </w:tc>
        <w:tc>
          <w:tcPr>
            <w:tcW w:w="3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1580" w:type="dxa"/>
            <w:vAlign w:val="bottom"/>
            <w:tcBorders>
              <w:bottom w:val="single" w:sz="8" w:color="CCEEFF"/>
            </w:tcBorders>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shd w:val="clear" w:color="auto" w:fill="CCEEFF"/>
              </w:rPr>
              <w:t>MA-NH</w:t>
            </w:r>
          </w:p>
        </w:tc>
        <w:tc>
          <w:tcPr>
            <w:tcW w:w="4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33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60" w:type="dxa"/>
            <w:vAlign w:val="bottom"/>
            <w:gridSpan w:val="6"/>
          </w:tcPr>
          <w:p>
            <w:pPr>
              <w:ind w:left="20"/>
              <w:spacing w:after="0" w:line="144" w:lineRule="exact"/>
              <w:rPr>
                <w:sz w:val="20"/>
                <w:szCs w:val="20"/>
                <w:color w:val="auto"/>
              </w:rPr>
            </w:pPr>
            <w:r>
              <w:rPr>
                <w:rFonts w:ascii="Times New Roman" w:cs="Times New Roman" w:eastAsia="Times New Roman" w:hAnsi="Times New Roman"/>
                <w:sz w:val="13"/>
                <w:szCs w:val="13"/>
                <w:color w:val="auto"/>
              </w:rPr>
              <w:t>Queen Anne Plaza</w:t>
            </w:r>
          </w:p>
        </w:tc>
        <w:tc>
          <w:tcPr>
            <w:tcW w:w="460" w:type="dxa"/>
            <w:vAlign w:val="bottom"/>
          </w:tcPr>
          <w:p>
            <w:pPr>
              <w:spacing w:after="0"/>
              <w:rPr>
                <w:sz w:val="12"/>
                <w:szCs w:val="12"/>
                <w:color w:val="auto"/>
              </w:rPr>
            </w:pPr>
          </w:p>
        </w:tc>
        <w:tc>
          <w:tcPr>
            <w:tcW w:w="15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Boston-Cambridge-Quincy,</w:t>
            </w:r>
          </w:p>
        </w:tc>
        <w:tc>
          <w:tcPr>
            <w:tcW w:w="7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1994</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18,416</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149,000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50,000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Big Y Foods</w:t>
            </w:r>
          </w:p>
        </w:tc>
        <w:tc>
          <w:tcPr>
            <w:tcW w:w="334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TJ Maxx / HomeGoods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MA-NH</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Saugus Plaza</w:t>
            </w: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Boston-Cambridge-Quincy,</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15,257</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169,000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55,000</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8"/>
                <w:shd w:val="clear" w:color="auto" w:fill="CCEEFF"/>
              </w:rPr>
              <w:t>Super Stop &amp;</w:t>
            </w:r>
          </w:p>
        </w:tc>
        <w:tc>
          <w:tcPr>
            <w:tcW w:w="3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shd w:val="clear" w:color="auto" w:fill="CCEEFF"/>
              </w:rPr>
              <w:t>Kmart</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MA-NH</w:t>
            </w:r>
          </w:p>
        </w:tc>
        <w:tc>
          <w:tcPr>
            <w:tcW w:w="4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shd w:val="clear" w:color="auto" w:fill="CCEEFF"/>
              </w:rPr>
              <w:t>Shop</w:t>
            </w:r>
          </w:p>
        </w:tc>
        <w:tc>
          <w:tcPr>
            <w:tcW w:w="3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Total New England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910,510</w:t>
            </w:r>
          </w:p>
        </w:tc>
        <w:tc>
          <w:tcPr>
            <w:tcW w:w="660" w:type="dxa"/>
            <w:vAlign w:val="bottom"/>
          </w:tcPr>
          <w:p>
            <w:pPr>
              <w:spacing w:after="0"/>
              <w:rPr>
                <w:sz w:val="14"/>
                <w:szCs w:val="14"/>
                <w:color w:val="auto"/>
              </w:rPr>
            </w:pPr>
          </w:p>
        </w:tc>
        <w:tc>
          <w:tcPr>
            <w:tcW w:w="64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2,052,000</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South Florida</w:t>
            </w: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3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Cocowalk</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 (7)</w:t>
            </w:r>
          </w:p>
        </w:tc>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Miami-Ft Lauderdale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106,282</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221,000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Cinepolis Theaters / Gap / Youfit Health Club</w:t>
            </w: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36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Del Mar Village</w:t>
            </w:r>
          </w:p>
        </w:tc>
        <w:tc>
          <w:tcPr>
            <w:tcW w:w="46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Miami-Ft Lauderdale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2008/2014</w:t>
            </w: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62,062</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196,000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44,000</w:t>
            </w: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Winn Dixie</w:t>
            </w:r>
          </w:p>
        </w:tc>
        <w:tc>
          <w:tcPr>
            <w:tcW w:w="3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360" w:type="dxa"/>
            <w:vAlign w:val="bottom"/>
            <w:gridSpan w:val="6"/>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The Shops at Sunset</w:t>
            </w:r>
          </w:p>
        </w:tc>
        <w:tc>
          <w:tcPr>
            <w:tcW w:w="46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rPr>
              <w:t>(3)</w:t>
            </w:r>
          </w:p>
        </w:tc>
        <w:tc>
          <w:tcPr>
            <w:tcW w:w="158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Miami-Ft Lauderdale</w:t>
            </w:r>
          </w:p>
        </w:tc>
        <w:tc>
          <w:tcPr>
            <w:tcW w:w="7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2015</w:t>
            </w:r>
          </w:p>
        </w:tc>
        <w:tc>
          <w:tcPr>
            <w:tcW w:w="700" w:type="dxa"/>
            <w:vAlign w:val="bottom"/>
            <w:shd w:val="clear" w:color="auto" w:fill="CCEEFF"/>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119,493</w:t>
            </w:r>
          </w:p>
        </w:tc>
        <w:tc>
          <w:tcPr>
            <w:tcW w:w="660" w:type="dxa"/>
            <w:vAlign w:val="bottom"/>
            <w:shd w:val="clear" w:color="auto" w:fill="CCEEFF"/>
          </w:tcPr>
          <w:p>
            <w:pPr>
              <w:jc w:val="right"/>
              <w:ind w:right="59"/>
              <w:spacing w:after="0" w:line="144" w:lineRule="exact"/>
              <w:rPr>
                <w:sz w:val="20"/>
                <w:szCs w:val="20"/>
                <w:color w:val="auto"/>
              </w:rPr>
            </w:pPr>
            <w:r>
              <w:rPr>
                <w:rFonts w:ascii="Times New Roman" w:cs="Times New Roman" w:eastAsia="Times New Roman" w:hAnsi="Times New Roman"/>
                <w:sz w:val="13"/>
                <w:szCs w:val="13"/>
                <w:color w:val="auto"/>
              </w:rPr>
              <w:t>68,960</w:t>
            </w:r>
          </w:p>
        </w:tc>
        <w:tc>
          <w:tcPr>
            <w:tcW w:w="640" w:type="dxa"/>
            <w:vAlign w:val="bottom"/>
            <w:shd w:val="clear" w:color="auto" w:fill="CCEEFF"/>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523,000</w:t>
            </w:r>
          </w:p>
        </w:tc>
        <w:tc>
          <w:tcPr>
            <w:tcW w:w="5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89%</w:t>
            </w: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34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3"/>
                <w:szCs w:val="13"/>
                <w:color w:val="auto"/>
              </w:rPr>
              <w:t>AMC Theatres / L.A. Fitness / Barnes &amp; Noble / GameTime /</w:t>
            </w:r>
          </w:p>
        </w:tc>
        <w:tc>
          <w:tcPr>
            <w:tcW w:w="0" w:type="dxa"/>
            <w:vAlign w:val="bottom"/>
          </w:tcPr>
          <w:p>
            <w:pPr>
              <w:spacing w:after="0"/>
              <w:rPr>
                <w:sz w:val="1"/>
                <w:szCs w:val="1"/>
                <w:color w:val="auto"/>
              </w:rPr>
            </w:pPr>
          </w:p>
        </w:tc>
      </w:tr>
      <w:tr>
        <w:trPr>
          <w:trHeight w:val="180"/>
        </w:trPr>
        <w:tc>
          <w:tcPr>
            <w:tcW w:w="13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Place</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Restoration Hardware Outlet</w:t>
            </w:r>
          </w:p>
        </w:tc>
        <w:tc>
          <w:tcPr>
            <w:tcW w:w="0" w:type="dxa"/>
            <w:vAlign w:val="bottom"/>
          </w:tcPr>
          <w:p>
            <w:pPr>
              <w:spacing w:after="0"/>
              <w:rPr>
                <w:sz w:val="1"/>
                <w:szCs w:val="1"/>
                <w:color w:val="auto"/>
              </w:rPr>
            </w:pPr>
          </w:p>
        </w:tc>
      </w:tr>
      <w:tr>
        <w:trPr>
          <w:trHeight w:val="144"/>
        </w:trPr>
        <w:tc>
          <w:tcPr>
            <w:tcW w:w="1360" w:type="dxa"/>
            <w:vAlign w:val="bottom"/>
            <w:gridSpan w:val="6"/>
          </w:tcPr>
          <w:p>
            <w:pPr>
              <w:ind w:left="20"/>
              <w:spacing w:after="0" w:line="144" w:lineRule="exact"/>
              <w:rPr>
                <w:sz w:val="20"/>
                <w:szCs w:val="20"/>
                <w:color w:val="auto"/>
              </w:rPr>
            </w:pPr>
            <w:r>
              <w:rPr>
                <w:rFonts w:ascii="Times New Roman" w:cs="Times New Roman" w:eastAsia="Times New Roman" w:hAnsi="Times New Roman"/>
                <w:sz w:val="13"/>
                <w:szCs w:val="13"/>
                <w:color w:val="auto"/>
              </w:rPr>
              <w:t>Tower Shops</w:t>
            </w:r>
          </w:p>
        </w:tc>
        <w:tc>
          <w:tcPr>
            <w:tcW w:w="460" w:type="dxa"/>
            <w:vAlign w:val="bottom"/>
          </w:tcPr>
          <w:p>
            <w:pPr>
              <w:spacing w:after="0"/>
              <w:rPr>
                <w:sz w:val="12"/>
                <w:szCs w:val="12"/>
                <w:color w:val="auto"/>
              </w:rPr>
            </w:pPr>
          </w:p>
        </w:tc>
        <w:tc>
          <w:tcPr>
            <w:tcW w:w="15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Miami-Ft Lauderdale</w:t>
            </w:r>
          </w:p>
        </w:tc>
        <w:tc>
          <w:tcPr>
            <w:tcW w:w="7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2011/2014</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95,598</w:t>
            </w:r>
          </w:p>
        </w:tc>
        <w:tc>
          <w:tcPr>
            <w:tcW w:w="660" w:type="dxa"/>
            <w:vAlign w:val="bottom"/>
          </w:tcPr>
          <w:p>
            <w:pPr>
              <w:spacing w:after="0"/>
              <w:rPr>
                <w:sz w:val="12"/>
                <w:szCs w:val="12"/>
                <w:color w:val="auto"/>
              </w:rPr>
            </w:pP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407,000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12,000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Trader Joe's</w:t>
            </w:r>
          </w:p>
        </w:tc>
        <w:tc>
          <w:tcPr>
            <w:tcW w:w="334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w w:val="99"/>
              </w:rPr>
              <w:t>Best Buy / DSW / Old Navy / Ross Dress For Less / TJ Maxx /</w:t>
            </w:r>
          </w:p>
        </w:tc>
        <w:tc>
          <w:tcPr>
            <w:tcW w:w="0" w:type="dxa"/>
            <w:vAlign w:val="bottom"/>
          </w:tcPr>
          <w:p>
            <w:pPr>
              <w:spacing w:after="0"/>
              <w:rPr>
                <w:sz w:val="1"/>
                <w:szCs w:val="1"/>
                <w:color w:val="auto"/>
              </w:rPr>
            </w:pPr>
          </w:p>
        </w:tc>
      </w:tr>
      <w:tr>
        <w:trPr>
          <w:trHeight w:val="174"/>
        </w:trPr>
        <w:tc>
          <w:tcPr>
            <w:tcW w:w="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58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33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Ulta</w:t>
            </w: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Total South Florida</w:t>
            </w: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383,435</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1,347,000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34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Baltimore</w:t>
            </w:r>
          </w:p>
        </w:tc>
        <w:tc>
          <w:tcPr>
            <w:tcW w:w="4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5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3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36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Governor Plaza</w:t>
            </w:r>
          </w:p>
        </w:tc>
        <w:tc>
          <w:tcPr>
            <w:tcW w:w="46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Baltimore, MD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1985</w:t>
            </w: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27,255</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243,000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16,500</w:t>
            </w: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Aldi</w:t>
            </w:r>
          </w:p>
        </w:tc>
        <w:tc>
          <w:tcPr>
            <w:tcW w:w="3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Dick’s Sporting Goods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360" w:type="dxa"/>
            <w:vAlign w:val="bottom"/>
            <w:gridSpan w:val="6"/>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Perring Plaza</w:t>
            </w:r>
          </w:p>
        </w:tc>
        <w:tc>
          <w:tcPr>
            <w:tcW w:w="460" w:type="dxa"/>
            <w:vAlign w:val="bottom"/>
            <w:shd w:val="clear" w:color="auto" w:fill="CCEEFF"/>
          </w:tcPr>
          <w:p>
            <w:pPr>
              <w:spacing w:after="0"/>
              <w:rPr>
                <w:sz w:val="12"/>
                <w:szCs w:val="12"/>
                <w:color w:val="auto"/>
              </w:rPr>
            </w:pPr>
          </w:p>
        </w:tc>
        <w:tc>
          <w:tcPr>
            <w:tcW w:w="158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Baltimore, MD</w:t>
            </w:r>
          </w:p>
        </w:tc>
        <w:tc>
          <w:tcPr>
            <w:tcW w:w="7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1985</w:t>
            </w:r>
          </w:p>
        </w:tc>
        <w:tc>
          <w:tcPr>
            <w:tcW w:w="700" w:type="dxa"/>
            <w:vAlign w:val="bottom"/>
            <w:shd w:val="clear" w:color="auto" w:fill="CCEEFF"/>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30,737</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395,000</w:t>
            </w:r>
          </w:p>
        </w:tc>
        <w:tc>
          <w:tcPr>
            <w:tcW w:w="5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60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58,000</w:t>
            </w:r>
          </w:p>
        </w:tc>
        <w:tc>
          <w:tcPr>
            <w:tcW w:w="82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Shoppers</w:t>
            </w:r>
          </w:p>
        </w:tc>
        <w:tc>
          <w:tcPr>
            <w:tcW w:w="334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3"/>
                <w:szCs w:val="13"/>
                <w:color w:val="auto"/>
                <w:w w:val="98"/>
              </w:rPr>
              <w:t>Home Depot / Burlington Coat Factory / Jo-Ann Stores / Micro</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Food</w:t>
            </w:r>
          </w:p>
        </w:tc>
        <w:tc>
          <w:tcPr>
            <w:tcW w:w="334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Center</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Warehouse</w:t>
            </w:r>
          </w:p>
        </w:tc>
        <w:tc>
          <w:tcPr>
            <w:tcW w:w="3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360" w:type="dxa"/>
            <w:vAlign w:val="bottom"/>
            <w:gridSpan w:val="6"/>
          </w:tcPr>
          <w:p>
            <w:pPr>
              <w:ind w:left="20"/>
              <w:spacing w:after="0" w:line="144" w:lineRule="exact"/>
              <w:rPr>
                <w:sz w:val="20"/>
                <w:szCs w:val="20"/>
                <w:color w:val="auto"/>
              </w:rPr>
            </w:pPr>
            <w:r>
              <w:rPr>
                <w:rFonts w:ascii="Times New Roman" w:cs="Times New Roman" w:eastAsia="Times New Roman" w:hAnsi="Times New Roman"/>
                <w:sz w:val="13"/>
                <w:szCs w:val="13"/>
                <w:color w:val="auto"/>
              </w:rPr>
              <w:t>THE AVENUE at White</w:t>
            </w:r>
          </w:p>
        </w:tc>
        <w:tc>
          <w:tcPr>
            <w:tcW w:w="4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(5)</w:t>
            </w:r>
          </w:p>
        </w:tc>
        <w:tc>
          <w:tcPr>
            <w:tcW w:w="15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Baltimore, MD</w:t>
            </w:r>
          </w:p>
        </w:tc>
        <w:tc>
          <w:tcPr>
            <w:tcW w:w="7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2007</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101,849</w:t>
            </w:r>
          </w:p>
        </w:tc>
        <w:tc>
          <w:tcPr>
            <w:tcW w:w="660" w:type="dxa"/>
            <w:vAlign w:val="bottom"/>
          </w:tcPr>
          <w:p>
            <w:pPr>
              <w:jc w:val="right"/>
              <w:ind w:right="59"/>
              <w:spacing w:after="0" w:line="144" w:lineRule="exact"/>
              <w:rPr>
                <w:sz w:val="20"/>
                <w:szCs w:val="20"/>
                <w:color w:val="auto"/>
              </w:rPr>
            </w:pPr>
            <w:r>
              <w:rPr>
                <w:rFonts w:ascii="Times New Roman" w:cs="Times New Roman" w:eastAsia="Times New Roman" w:hAnsi="Times New Roman"/>
                <w:sz w:val="13"/>
                <w:szCs w:val="13"/>
                <w:color w:val="auto"/>
              </w:rPr>
              <w:t>52,705</w:t>
            </w:r>
          </w:p>
        </w:tc>
        <w:tc>
          <w:tcPr>
            <w:tcW w:w="64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311,000</w:t>
            </w: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99%</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AMC Loews / Old Navy / Barnes &amp; Noble / A.C. Moore</w:t>
            </w:r>
          </w:p>
        </w:tc>
        <w:tc>
          <w:tcPr>
            <w:tcW w:w="0" w:type="dxa"/>
            <w:vAlign w:val="bottom"/>
          </w:tcPr>
          <w:p>
            <w:pPr>
              <w:spacing w:after="0"/>
              <w:rPr>
                <w:sz w:val="1"/>
                <w:szCs w:val="1"/>
                <w:color w:val="auto"/>
              </w:rPr>
            </w:pPr>
          </w:p>
        </w:tc>
      </w:tr>
      <w:tr>
        <w:trPr>
          <w:trHeight w:val="172"/>
        </w:trPr>
        <w:tc>
          <w:tcPr>
            <w:tcW w:w="136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Marsh</w:t>
            </w: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The Shoppes at</w:t>
            </w:r>
          </w:p>
        </w:tc>
        <w:tc>
          <w:tcPr>
            <w:tcW w:w="46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Baltimore, MD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17,458</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32,000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3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Nottingham Square</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White Marsh Plaza</w:t>
            </w:r>
          </w:p>
        </w:tc>
        <w:tc>
          <w:tcPr>
            <w:tcW w:w="46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Baltimore, MD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25,164</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80,000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54,000</w:t>
            </w: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3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White Marsh Other</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Baltimore, MD</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40,695</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73,000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Total Baltimore</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243,158</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1,134,000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Chicago</w:t>
            </w: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36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Crossroads</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Chicago, IL</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1993</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32,132</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168,000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Golfsmith / Guitar Center / L.A. Fitness</w:t>
            </w: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36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Finley Square</w:t>
            </w:r>
          </w:p>
        </w:tc>
        <w:tc>
          <w:tcPr>
            <w:tcW w:w="46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Chicago, IL</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35,827</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316,000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Bed, Bath &amp; Beyond / Buy Buy Baby / Petsmart / Michaels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360" w:type="dxa"/>
            <w:vAlign w:val="bottom"/>
            <w:gridSpan w:val="6"/>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Garden Market</w:t>
            </w:r>
          </w:p>
        </w:tc>
        <w:tc>
          <w:tcPr>
            <w:tcW w:w="460" w:type="dxa"/>
            <w:vAlign w:val="bottom"/>
            <w:shd w:val="clear" w:color="auto" w:fill="CCEEFF"/>
          </w:tcPr>
          <w:p>
            <w:pPr>
              <w:spacing w:after="0"/>
              <w:rPr>
                <w:sz w:val="12"/>
                <w:szCs w:val="12"/>
                <w:color w:val="auto"/>
              </w:rPr>
            </w:pPr>
          </w:p>
        </w:tc>
        <w:tc>
          <w:tcPr>
            <w:tcW w:w="158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Chicago, IL</w:t>
            </w:r>
          </w:p>
        </w:tc>
        <w:tc>
          <w:tcPr>
            <w:tcW w:w="74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1994</w:t>
            </w:r>
          </w:p>
        </w:tc>
        <w:tc>
          <w:tcPr>
            <w:tcW w:w="700" w:type="dxa"/>
            <w:vAlign w:val="bottom"/>
            <w:shd w:val="clear" w:color="auto" w:fill="CCEEFF"/>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13,223</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140,000</w:t>
            </w:r>
          </w:p>
        </w:tc>
        <w:tc>
          <w:tcPr>
            <w:tcW w:w="5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60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63,000</w:t>
            </w:r>
          </w:p>
        </w:tc>
        <w:tc>
          <w:tcPr>
            <w:tcW w:w="82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Mariano's</w:t>
            </w:r>
          </w:p>
        </w:tc>
        <w:tc>
          <w:tcPr>
            <w:tcW w:w="334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Fresh Market</w:t>
            </w:r>
          </w:p>
        </w:tc>
        <w:tc>
          <w:tcPr>
            <w:tcW w:w="3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North Lake Commons</w:t>
            </w:r>
          </w:p>
        </w:tc>
        <w:tc>
          <w:tcPr>
            <w:tcW w:w="46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Chicago, IL</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1994</w:t>
            </w: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16,513</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129,000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77,000</w:t>
            </w: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Jewel Osco</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CCEEFF"/>
            </w:tcBorders>
          </w:tcPr>
          <w:p>
            <w:pPr>
              <w:spacing w:after="0"/>
              <w:rPr>
                <w:sz w:val="7"/>
                <w:szCs w:val="7"/>
                <w:color w:val="auto"/>
              </w:rPr>
            </w:pPr>
          </w:p>
        </w:tc>
        <w:tc>
          <w:tcPr>
            <w:tcW w:w="50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520" w:type="dxa"/>
            <w:vAlign w:val="bottom"/>
            <w:tcBorders>
              <w:bottom w:val="single" w:sz="8" w:color="CCEEFF"/>
            </w:tcBorders>
          </w:tcPr>
          <w:p>
            <w:pPr>
              <w:spacing w:after="0"/>
              <w:rPr>
                <w:sz w:val="7"/>
                <w:szCs w:val="7"/>
                <w:color w:val="auto"/>
              </w:rPr>
            </w:pPr>
          </w:p>
        </w:tc>
        <w:tc>
          <w:tcPr>
            <w:tcW w:w="460" w:type="dxa"/>
            <w:vAlign w:val="bottom"/>
            <w:tcBorders>
              <w:bottom w:val="single" w:sz="8" w:color="CCEEFF"/>
            </w:tcBorders>
          </w:tcPr>
          <w:p>
            <w:pPr>
              <w:spacing w:after="0"/>
              <w:rPr>
                <w:sz w:val="7"/>
                <w:szCs w:val="7"/>
                <w:color w:val="auto"/>
              </w:rPr>
            </w:pPr>
          </w:p>
        </w:tc>
        <w:tc>
          <w:tcPr>
            <w:tcW w:w="1580" w:type="dxa"/>
            <w:vAlign w:val="bottom"/>
            <w:tcBorders>
              <w:bottom w:val="single" w:sz="8" w:color="CCEEFF"/>
            </w:tcBorders>
          </w:tcPr>
          <w:p>
            <w:pPr>
              <w:spacing w:after="0"/>
              <w:rPr>
                <w:sz w:val="7"/>
                <w:szCs w:val="7"/>
                <w:color w:val="auto"/>
              </w:rPr>
            </w:pPr>
          </w:p>
        </w:tc>
        <w:tc>
          <w:tcPr>
            <w:tcW w:w="460" w:type="dxa"/>
            <w:vAlign w:val="bottom"/>
            <w:tcBorders>
              <w:bottom w:val="single" w:sz="8" w:color="CCEEFF"/>
            </w:tcBorders>
          </w:tcPr>
          <w:p>
            <w:pPr>
              <w:spacing w:after="0"/>
              <w:rPr>
                <w:sz w:val="7"/>
                <w:szCs w:val="7"/>
                <w:color w:val="auto"/>
              </w:rPr>
            </w:pPr>
          </w:p>
        </w:tc>
        <w:tc>
          <w:tcPr>
            <w:tcW w:w="28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6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0" w:type="dxa"/>
            <w:vAlign w:val="bottom"/>
            <w:tcBorders>
              <w:bottom w:val="single" w:sz="8" w:color="CCEEFF"/>
            </w:tcBorders>
            <w:vMerge w:val="continue"/>
          </w:tcPr>
          <w:p>
            <w:pPr>
              <w:spacing w:after="0"/>
              <w:rPr>
                <w:sz w:val="7"/>
                <w:szCs w:val="7"/>
                <w:color w:val="auto"/>
              </w:rPr>
            </w:pPr>
          </w:p>
        </w:tc>
        <w:tc>
          <w:tcPr>
            <w:tcW w:w="820" w:type="dxa"/>
            <w:vAlign w:val="bottom"/>
            <w:tcBorders>
              <w:bottom w:val="single" w:sz="8" w:color="CCEEFF"/>
            </w:tcBorders>
          </w:tcPr>
          <w:p>
            <w:pPr>
              <w:spacing w:after="0"/>
              <w:rPr>
                <w:sz w:val="7"/>
                <w:szCs w:val="7"/>
                <w:color w:val="auto"/>
              </w:rPr>
            </w:pPr>
          </w:p>
        </w:tc>
        <w:tc>
          <w:tcPr>
            <w:tcW w:w="334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Total Chicago</w:t>
            </w: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97,695</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753,000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3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60" w:top="745" w:right="2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Mortgage</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and/or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Lease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Grocery</w:t>
            </w: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8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Real Estate</w:t>
            </w: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Obligation</w:t>
            </w:r>
          </w:p>
        </w:tc>
        <w:tc>
          <w:tcPr>
            <w:tcW w:w="68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Grocery</w:t>
            </w:r>
          </w:p>
        </w:tc>
        <w:tc>
          <w:tcPr>
            <w:tcW w:w="3340" w:type="dxa"/>
            <w:vAlign w:val="bottom"/>
          </w:tcPr>
          <w:p>
            <w:pPr>
              <w:spacing w:after="0"/>
              <w:rPr>
                <w:sz w:val="11"/>
                <w:szCs w:val="11"/>
                <w:color w:val="auto"/>
              </w:rPr>
            </w:pPr>
          </w:p>
        </w:tc>
      </w:tr>
      <w:tr>
        <w:trPr>
          <w:trHeight w:val="176"/>
        </w:trPr>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22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Acquired</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6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GLA (2)</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Leased</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3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Other Principal Tenants</w:t>
            </w: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thousands)</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r>
      <w:tr>
        <w:trPr>
          <w:trHeight w:val="265"/>
        </w:trPr>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340" w:type="dxa"/>
            <w:vAlign w:val="bottom"/>
          </w:tcPr>
          <w:p>
            <w:pPr>
              <w:spacing w:after="0"/>
              <w:rPr>
                <w:sz w:val="23"/>
                <w:szCs w:val="23"/>
                <w:color w:val="auto"/>
              </w:rPr>
            </w:pPr>
          </w:p>
        </w:tc>
      </w:tr>
      <w:tr>
        <w:trPr>
          <w:trHeight w:val="149"/>
        </w:trPr>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CCEEFF"/>
            </w:tcBorders>
            <w:shd w:val="clear" w:color="auto" w:fill="CCEEFF"/>
          </w:tcPr>
          <w:p>
            <w:pPr>
              <w:spacing w:after="0"/>
              <w:rPr>
                <w:sz w:val="8"/>
                <w:szCs w:val="8"/>
                <w:color w:val="auto"/>
              </w:rPr>
            </w:pPr>
          </w:p>
        </w:tc>
        <w:tc>
          <w:tcPr>
            <w:tcW w:w="2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340" w:type="dxa"/>
            <w:vAlign w:val="bottom"/>
            <w:tcBorders>
              <w:top w:val="single" w:sz="8" w:color="CCEEFF"/>
            </w:tcBorders>
            <w:shd w:val="clear" w:color="auto" w:fill="CCEEFF"/>
          </w:tcPr>
          <w:p>
            <w:pPr>
              <w:spacing w:after="0"/>
              <w:rPr>
                <w:sz w:val="8"/>
                <w:szCs w:val="8"/>
                <w:color w:val="auto"/>
              </w:rPr>
            </w:pPr>
          </w:p>
        </w:tc>
      </w:tr>
      <w:tr>
        <w:trPr>
          <w:trHeight w:val="144"/>
        </w:trPr>
        <w:tc>
          <w:tcPr>
            <w:tcW w:w="116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Barracks Road</w:t>
            </w:r>
          </w:p>
        </w:tc>
        <w:tc>
          <w:tcPr>
            <w:tcW w:w="2220" w:type="dxa"/>
            <w:vAlign w:val="bottom"/>
          </w:tcPr>
          <w:p>
            <w:pPr>
              <w:ind w:left="640"/>
              <w:spacing w:after="0" w:line="144" w:lineRule="exact"/>
              <w:rPr>
                <w:sz w:val="20"/>
                <w:szCs w:val="20"/>
                <w:color w:val="auto"/>
              </w:rPr>
            </w:pPr>
            <w:r>
              <w:rPr>
                <w:rFonts w:ascii="Times New Roman" w:cs="Times New Roman" w:eastAsia="Times New Roman" w:hAnsi="Times New Roman"/>
                <w:sz w:val="13"/>
                <w:szCs w:val="13"/>
                <w:color w:val="auto"/>
              </w:rPr>
              <w:t>Charlottesville, VA</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1985</w:t>
            </w:r>
          </w:p>
        </w:tc>
        <w:tc>
          <w:tcPr>
            <w:tcW w:w="72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62,390</w:t>
            </w:r>
          </w:p>
        </w:tc>
        <w:tc>
          <w:tcPr>
            <w:tcW w:w="660" w:type="dxa"/>
            <w:vAlign w:val="bottom"/>
          </w:tcPr>
          <w:p>
            <w:pPr>
              <w:spacing w:after="0"/>
              <w:rPr>
                <w:sz w:val="12"/>
                <w:szCs w:val="12"/>
                <w:color w:val="auto"/>
              </w:rPr>
            </w:pPr>
          </w:p>
        </w:tc>
        <w:tc>
          <w:tcPr>
            <w:tcW w:w="68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498,000</w:t>
            </w:r>
          </w:p>
        </w:tc>
        <w:tc>
          <w:tcPr>
            <w:tcW w:w="5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99,000</w:t>
            </w:r>
          </w:p>
        </w:tc>
        <w:tc>
          <w:tcPr>
            <w:tcW w:w="416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Harris Teeter / Anthropologie / Bed, Bath &amp; Beyond / Barnes &amp; Noble / Old</w:t>
            </w:r>
          </w:p>
        </w:tc>
      </w:tr>
      <w:tr>
        <w:trPr>
          <w:trHeight w:val="17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Kroger</w:t>
            </w:r>
          </w:p>
        </w:tc>
        <w:tc>
          <w:tcPr>
            <w:tcW w:w="3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Navy / Michaels / Ulta</w:t>
            </w:r>
          </w:p>
        </w:tc>
      </w:tr>
      <w:tr>
        <w:trPr>
          <w:trHeight w:val="181"/>
        </w:trPr>
        <w:tc>
          <w:tcPr>
            <w:tcW w:w="1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Bristol Plaza</w:t>
            </w:r>
          </w:p>
        </w:tc>
        <w:tc>
          <w:tcPr>
            <w:tcW w:w="2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Hartford, CT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7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30,287</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266,000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74,000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Stop &amp; Shop</w:t>
            </w:r>
          </w:p>
        </w:tc>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TJ Maxx</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r>
      <w:tr>
        <w:trPr>
          <w:trHeight w:val="144"/>
        </w:trPr>
        <w:tc>
          <w:tcPr>
            <w:tcW w:w="116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3"/>
                <w:szCs w:val="13"/>
                <w:color w:val="auto"/>
              </w:rPr>
              <w:t>Eastgate</w:t>
            </w:r>
          </w:p>
        </w:tc>
        <w:tc>
          <w:tcPr>
            <w:tcW w:w="2220" w:type="dxa"/>
            <w:vAlign w:val="bottom"/>
          </w:tcPr>
          <w:p>
            <w:pPr>
              <w:ind w:left="640"/>
              <w:spacing w:after="0" w:line="144" w:lineRule="exact"/>
              <w:rPr>
                <w:sz w:val="20"/>
                <w:szCs w:val="20"/>
                <w:color w:val="auto"/>
              </w:rPr>
            </w:pPr>
            <w:r>
              <w:rPr>
                <w:rFonts w:ascii="Times New Roman" w:cs="Times New Roman" w:eastAsia="Times New Roman" w:hAnsi="Times New Roman"/>
                <w:sz w:val="13"/>
                <w:szCs w:val="13"/>
                <w:color w:val="auto"/>
              </w:rPr>
              <w:t>Raleigh-Durham-Chapel Hill,</w:t>
            </w:r>
          </w:p>
        </w:tc>
        <w:tc>
          <w:tcPr>
            <w:tcW w:w="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1986</w:t>
            </w:r>
          </w:p>
        </w:tc>
        <w:tc>
          <w:tcPr>
            <w:tcW w:w="72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29,774</w:t>
            </w:r>
          </w:p>
        </w:tc>
        <w:tc>
          <w:tcPr>
            <w:tcW w:w="660" w:type="dxa"/>
            <w:vAlign w:val="bottom"/>
          </w:tcPr>
          <w:p>
            <w:pPr>
              <w:spacing w:after="0"/>
              <w:rPr>
                <w:sz w:val="12"/>
                <w:szCs w:val="12"/>
                <w:color w:val="auto"/>
              </w:rPr>
            </w:pPr>
          </w:p>
        </w:tc>
        <w:tc>
          <w:tcPr>
            <w:tcW w:w="680" w:type="dxa"/>
            <w:vAlign w:val="bottom"/>
          </w:tcPr>
          <w:p>
            <w:pPr>
              <w:jc w:val="right"/>
              <w:ind w:right="17"/>
              <w:spacing w:after="0" w:line="144" w:lineRule="exact"/>
              <w:rPr>
                <w:sz w:val="20"/>
                <w:szCs w:val="20"/>
                <w:color w:val="auto"/>
              </w:rPr>
            </w:pPr>
            <w:r>
              <w:rPr>
                <w:rFonts w:ascii="Times New Roman" w:cs="Times New Roman" w:eastAsia="Times New Roman" w:hAnsi="Times New Roman"/>
                <w:sz w:val="13"/>
                <w:szCs w:val="13"/>
                <w:color w:val="auto"/>
              </w:rPr>
              <w:t>153,000</w:t>
            </w:r>
          </w:p>
        </w:tc>
        <w:tc>
          <w:tcPr>
            <w:tcW w:w="5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93%</w:t>
            </w:r>
          </w:p>
        </w:tc>
        <w:tc>
          <w:tcPr>
            <w:tcW w:w="6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13,000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Trader Joe's</w:t>
            </w:r>
          </w:p>
        </w:tc>
        <w:tc>
          <w:tcPr>
            <w:tcW w:w="334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Stein Mart</w:t>
            </w:r>
          </w:p>
        </w:tc>
      </w:tr>
      <w:tr>
        <w:trPr>
          <w:trHeight w:val="17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NC</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181"/>
        </w:trPr>
        <w:tc>
          <w:tcPr>
            <w:tcW w:w="1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Gratiot Plaza</w:t>
            </w:r>
          </w:p>
        </w:tc>
        <w:tc>
          <w:tcPr>
            <w:tcW w:w="2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Detroit, MI</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1973</w:t>
            </w:r>
          </w:p>
        </w:tc>
        <w:tc>
          <w:tcPr>
            <w:tcW w:w="7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19,659</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217,000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69,000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Kroger</w:t>
            </w:r>
          </w:p>
        </w:tc>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Bed, Bath &amp; Beyond / Best Buy / DSW</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r>
      <w:tr>
        <w:trPr>
          <w:trHeight w:val="17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Lancaster</w:t>
            </w:r>
          </w:p>
        </w:tc>
        <w:tc>
          <w:tcPr>
            <w:tcW w:w="222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(6)   Lancaster, PA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1980</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13,700</w:t>
            </w: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4,907</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127,000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75,000</w:t>
            </w: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3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Michaels</w:t>
            </w:r>
          </w:p>
        </w:tc>
      </w:tr>
      <w:tr>
        <w:trPr>
          <w:trHeight w:val="97"/>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73"/>
        </w:trPr>
        <w:tc>
          <w:tcPr>
            <w:tcW w:w="1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29th Place</w:t>
            </w:r>
          </w:p>
        </w:tc>
        <w:tc>
          <w:tcPr>
            <w:tcW w:w="2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Charlottesville, VA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7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40,724</w:t>
            </w:r>
          </w:p>
        </w:tc>
        <w:tc>
          <w:tcPr>
            <w:tcW w:w="6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color w:val="auto"/>
              </w:rPr>
              <w:t>4,604</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169,000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DSW / HomeGoods / Staples / Stein Mart</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r>
      <w:tr>
        <w:trPr>
          <w:trHeight w:val="17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Willow Lawn</w:t>
            </w:r>
          </w:p>
        </w:tc>
        <w:tc>
          <w:tcPr>
            <w:tcW w:w="2220" w:type="dxa"/>
            <w:vAlign w:val="bottom"/>
          </w:tcPr>
          <w:p>
            <w:pPr>
              <w:ind w:left="640"/>
              <w:spacing w:after="0"/>
              <w:rPr>
                <w:sz w:val="20"/>
                <w:szCs w:val="20"/>
                <w:color w:val="auto"/>
              </w:rPr>
            </w:pPr>
            <w:r>
              <w:rPr>
                <w:rFonts w:ascii="Times New Roman" w:cs="Times New Roman" w:eastAsia="Times New Roman" w:hAnsi="Times New Roman"/>
                <w:sz w:val="13"/>
                <w:szCs w:val="13"/>
                <w:color w:val="auto"/>
              </w:rPr>
              <w:t>Richmond-Petersburg, VA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92,599</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462,000</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66,000</w:t>
            </w: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Kroger</w:t>
            </w:r>
          </w:p>
        </w:tc>
        <w:tc>
          <w:tcPr>
            <w:tcW w:w="3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DSW / Old Navy / Staples / Ross Dress For Less</w:t>
            </w:r>
          </w:p>
        </w:tc>
      </w:tr>
      <w:tr>
        <w:trPr>
          <w:trHeight w:val="97"/>
        </w:trPr>
        <w:tc>
          <w:tcPr>
            <w:tcW w:w="2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760" w:type="dxa"/>
            <w:vAlign w:val="bottom"/>
            <w:tcBorders>
              <w:bottom w:val="single" w:sz="8" w:color="CCEEFF"/>
            </w:tcBorders>
          </w:tcPr>
          <w:p>
            <w:pPr>
              <w:spacing w:after="0"/>
              <w:rPr>
                <w:sz w:val="8"/>
                <w:szCs w:val="8"/>
                <w:color w:val="auto"/>
              </w:rPr>
            </w:pPr>
          </w:p>
        </w:tc>
        <w:tc>
          <w:tcPr>
            <w:tcW w:w="222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334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3"/>
                <w:szCs w:val="13"/>
                <w:b w:val="1"/>
                <w:bCs w:val="1"/>
                <w:color w:val="auto"/>
              </w:rPr>
              <w:t>Total Other</w:t>
            </w: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289,133</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1,892,000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34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340" w:type="dxa"/>
            <w:vAlign w:val="bottom"/>
            <w:shd w:val="clear" w:color="auto" w:fill="CCEEFF"/>
          </w:tcPr>
          <w:p>
            <w:pPr>
              <w:spacing w:after="0"/>
              <w:rPr>
                <w:sz w:val="7"/>
                <w:szCs w:val="7"/>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r>
      <w:tr>
        <w:trPr>
          <w:trHeight w:val="167"/>
        </w:trPr>
        <w:tc>
          <w:tcPr>
            <w:tcW w:w="1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Grand Total</w:t>
            </w:r>
          </w:p>
        </w:tc>
        <w:tc>
          <w:tcPr>
            <w:tcW w:w="2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w w:val="93"/>
              </w:rPr>
              <w:t>$ 6,604,332</w:t>
            </w:r>
          </w:p>
        </w:tc>
        <w:tc>
          <w:tcPr>
            <w:tcW w:w="6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w w:val="99"/>
              </w:rPr>
              <w:t>$ 539,193</w:t>
            </w: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9"/>
              </w:rPr>
              <w:t>22,362,000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340" w:type="dxa"/>
            <w:vAlign w:val="bottom"/>
            <w:shd w:val="clear" w:color="auto" w:fill="CCEEFF"/>
          </w:tcPr>
          <w:p>
            <w:pPr>
              <w:spacing w:after="0"/>
              <w:rPr>
                <w:sz w:val="14"/>
                <w:szCs w:val="14"/>
                <w:color w:val="auto"/>
              </w:rPr>
            </w:pPr>
          </w:p>
        </w:tc>
      </w:tr>
      <w:tr>
        <w:trPr>
          <w:trHeight w:val="97"/>
        </w:trPr>
        <w:tc>
          <w:tcPr>
            <w:tcW w:w="2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spacing w:after="0"/>
              <w:rPr>
                <w:sz w:val="8"/>
                <w:szCs w:val="8"/>
                <w:color w:val="auto"/>
              </w:rPr>
            </w:pPr>
          </w:p>
        </w:tc>
        <w:tc>
          <w:tcPr>
            <w:tcW w:w="222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3340" w:type="dxa"/>
            <w:vAlign w:val="bottom"/>
            <w:tcBorders>
              <w:bottom w:val="single" w:sz="8" w:color="auto"/>
            </w:tcBorders>
            <w:shd w:val="clear" w:color="auto" w:fill="CCEEFF"/>
          </w:tcPr>
          <w:p>
            <w:pPr>
              <w:spacing w:after="0"/>
              <w:rPr>
                <w:sz w:val="8"/>
                <w:szCs w:val="8"/>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u w:val="single" w:color="auto"/>
          <w:color w:val="auto"/>
        </w:rPr>
        <w:t>Notes:</w:t>
      </w:r>
    </w:p>
    <w:p>
      <w:pPr>
        <w:spacing w:after="0" w:line="40" w:lineRule="exact"/>
        <w:rPr>
          <w:sz w:val="20"/>
          <w:szCs w:val="20"/>
          <w:color w:val="auto"/>
        </w:rPr>
      </w:pPr>
    </w:p>
    <w:p>
      <w:pPr>
        <w:ind w:left="1360" w:right="180" w:hanging="1338"/>
        <w:spacing w:after="0"/>
        <w:tabs>
          <w:tab w:leader="none" w:pos="13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mortgage or capital lease obligations differ from the total reported on the consolidated balance sheet due to the unamortized discount, premium, and/or debt issuance costs on certain mortgage payables.</w:t>
      </w:r>
    </w:p>
    <w:p>
      <w:pPr>
        <w:spacing w:after="0" w:line="25" w:lineRule="exact"/>
        <w:rPr>
          <w:rFonts w:ascii="Times New Roman" w:cs="Times New Roman" w:eastAsia="Times New Roman" w:hAnsi="Times New Roman"/>
          <w:sz w:val="13"/>
          <w:szCs w:val="13"/>
          <w:color w:val="auto"/>
        </w:rPr>
      </w:pPr>
    </w:p>
    <w:p>
      <w:pPr>
        <w:ind w:left="1360" w:hanging="1338"/>
        <w:spacing w:after="0"/>
        <w:tabs>
          <w:tab w:leader="none" w:pos="13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newly created redevelopment square footage not yet in service, as well as residential and hotel square footage.</w:t>
      </w:r>
    </w:p>
    <w:p>
      <w:pPr>
        <w:spacing w:after="0" w:line="39" w:lineRule="exact"/>
        <w:rPr>
          <w:rFonts w:ascii="Times New Roman" w:cs="Times New Roman" w:eastAsia="Times New Roman" w:hAnsi="Times New Roman"/>
          <w:sz w:val="13"/>
          <w:szCs w:val="13"/>
          <w:color w:val="auto"/>
        </w:rPr>
      </w:pPr>
    </w:p>
    <w:p>
      <w:pPr>
        <w:ind w:left="1360" w:hanging="1338"/>
        <w:spacing w:after="0"/>
        <w:tabs>
          <w:tab w:leader="none" w:pos="13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 has a controlling financial interest in this property.</w:t>
      </w:r>
    </w:p>
    <w:p>
      <w:pPr>
        <w:spacing w:after="0" w:line="39" w:lineRule="exact"/>
        <w:rPr>
          <w:rFonts w:ascii="Times New Roman" w:cs="Times New Roman" w:eastAsia="Times New Roman" w:hAnsi="Times New Roman"/>
          <w:sz w:val="13"/>
          <w:szCs w:val="13"/>
          <w:color w:val="auto"/>
        </w:rPr>
      </w:pPr>
    </w:p>
    <w:p>
      <w:pPr>
        <w:ind w:left="1360" w:hanging="1338"/>
        <w:spacing w:after="0"/>
        <w:tabs>
          <w:tab w:leader="none" w:pos="13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Portion of property is currently under development. See further discussion in the Assembly Row and Pike &amp; Rose schedules on pages 16 to 18.</w:t>
      </w:r>
    </w:p>
    <w:p>
      <w:pPr>
        <w:spacing w:after="0" w:line="39" w:lineRule="exact"/>
        <w:rPr>
          <w:rFonts w:ascii="Times New Roman" w:cs="Times New Roman" w:eastAsia="Times New Roman" w:hAnsi="Times New Roman"/>
          <w:sz w:val="13"/>
          <w:szCs w:val="13"/>
          <w:color w:val="auto"/>
        </w:rPr>
      </w:pPr>
    </w:p>
    <w:p>
      <w:pPr>
        <w:ind w:left="1360" w:right="560" w:hanging="1338"/>
        <w:spacing w:after="0"/>
        <w:tabs>
          <w:tab w:leader="none" w:pos="13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25" w:lineRule="exact"/>
        <w:rPr>
          <w:rFonts w:ascii="Times New Roman" w:cs="Times New Roman" w:eastAsia="Times New Roman" w:hAnsi="Times New Roman"/>
          <w:sz w:val="13"/>
          <w:szCs w:val="13"/>
          <w:color w:val="auto"/>
        </w:rPr>
      </w:pPr>
    </w:p>
    <w:p>
      <w:pPr>
        <w:ind w:left="1360" w:hanging="1338"/>
        <w:spacing w:after="0"/>
        <w:tabs>
          <w:tab w:leader="none" w:pos="13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or a portion of property subject to capital lease obligation.</w:t>
      </w:r>
    </w:p>
    <w:p>
      <w:pPr>
        <w:spacing w:after="0" w:line="39" w:lineRule="exact"/>
        <w:rPr>
          <w:rFonts w:ascii="Times New Roman" w:cs="Times New Roman" w:eastAsia="Times New Roman" w:hAnsi="Times New Roman"/>
          <w:sz w:val="13"/>
          <w:szCs w:val="13"/>
          <w:color w:val="auto"/>
        </w:rPr>
      </w:pPr>
    </w:p>
    <w:p>
      <w:pPr>
        <w:ind w:left="1360" w:hanging="1338"/>
        <w:spacing w:after="0"/>
        <w:tabs>
          <w:tab w:leader="none" w:pos="13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property includes partial interests in eight buildings in addition to our initial acquisition.</w:t>
      </w:r>
    </w:p>
    <w:p>
      <w:pPr>
        <w:spacing w:after="0" w:line="39" w:lineRule="exact"/>
        <w:rPr>
          <w:rFonts w:ascii="Times New Roman" w:cs="Times New Roman" w:eastAsia="Times New Roman" w:hAnsi="Times New Roman"/>
          <w:sz w:val="13"/>
          <w:szCs w:val="13"/>
          <w:color w:val="auto"/>
        </w:rPr>
      </w:pPr>
    </w:p>
    <w:p>
      <w:pPr>
        <w:ind w:left="1360" w:right="280" w:hanging="1338"/>
        <w:spacing w:after="0"/>
        <w:tabs>
          <w:tab w:leader="none" w:pos="136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January 13, 2016, we acquired the 70% controlling interest in these properties and now own the properties 100%. The year acquired reflects the year we first acquired an equity interest in the property.</w:t>
      </w: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60" w:top="745" w:right="2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Retail Leasing Summary (1)</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2016</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2"/>
              </w:rPr>
              <w:t>Weighted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360" w:type="dxa"/>
            <w:vAlign w:val="bottom"/>
          </w:tcPr>
          <w:p>
            <w:pPr>
              <w:spacing w:after="0"/>
              <w:rPr>
                <w:sz w:val="11"/>
                <w:szCs w:val="11"/>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98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Contractual</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Basis %</w:t>
            </w: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98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Rent (3) Per</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(4) Per Sq.</w:t>
            </w:r>
          </w:p>
        </w:tc>
        <w:tc>
          <w:tcPr>
            <w:tcW w:w="8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Increase Over</w:t>
            </w:r>
          </w:p>
        </w:tc>
        <w:tc>
          <w:tcPr>
            <w:tcW w:w="9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Increase Over</w:t>
            </w: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Incentives Per Sq.</w:t>
            </w:r>
          </w:p>
        </w:tc>
        <w:tc>
          <w:tcPr>
            <w:tcW w:w="36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98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0"/>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2016</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427,021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31.25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$ 27.40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1,641,966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15,287,078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35.80</w:t>
            </w:r>
          </w:p>
        </w:tc>
        <w:tc>
          <w:tcPr>
            <w:tcW w:w="360" w:type="dxa"/>
            <w:vAlign w:val="bottom"/>
            <w:shd w:val="clear" w:color="auto" w:fill="CCEEFF"/>
          </w:tcPr>
          <w:p>
            <w:pPr>
              <w:spacing w:after="0"/>
              <w:rPr>
                <w:sz w:val="21"/>
                <w:szCs w:val="21"/>
                <w:color w:val="auto"/>
              </w:rPr>
            </w:pPr>
          </w:p>
        </w:tc>
      </w:tr>
      <w:tr>
        <w:trPr>
          <w:trHeight w:val="265"/>
        </w:trPr>
        <w:tc>
          <w:tcPr>
            <w:tcW w:w="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2016</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372,778</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6"/>
              <w:spacing w:after="0"/>
              <w:rPr>
                <w:sz w:val="20"/>
                <w:szCs w:val="20"/>
                <w:color w:val="auto"/>
              </w:rPr>
            </w:pPr>
            <w:r>
              <w:rPr>
                <w:rFonts w:ascii="Times New Roman" w:cs="Times New Roman" w:eastAsia="Times New Roman" w:hAnsi="Times New Roman"/>
                <w:sz w:val="14"/>
                <w:szCs w:val="14"/>
                <w:color w:val="auto"/>
              </w:rPr>
              <w:t>38.21</w:t>
            </w:r>
          </w:p>
        </w:tc>
        <w:tc>
          <w:tcPr>
            <w:tcW w:w="120" w:type="dxa"/>
            <w:vAlign w:val="bottom"/>
          </w:tcPr>
          <w:p>
            <w:pPr>
              <w:spacing w:after="0"/>
              <w:rPr>
                <w:sz w:val="23"/>
                <w:szCs w:val="23"/>
                <w:color w:val="auto"/>
              </w:rPr>
            </w:pP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w w:val="99"/>
              </w:rPr>
              <w:t>$ 34.13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1,522,734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3"/>
                <w:szCs w:val="23"/>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8,100,475</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21.73</w:t>
            </w:r>
          </w:p>
        </w:tc>
        <w:tc>
          <w:tcPr>
            <w:tcW w:w="360" w:type="dxa"/>
            <w:vAlign w:val="bottom"/>
          </w:tcPr>
          <w:p>
            <w:pPr>
              <w:spacing w:after="0"/>
              <w:rPr>
                <w:sz w:val="23"/>
                <w:szCs w:val="23"/>
                <w:color w:val="auto"/>
              </w:rPr>
            </w:pPr>
          </w:p>
        </w:tc>
      </w:tr>
      <w:tr>
        <w:trPr>
          <w:trHeight w:val="275"/>
        </w:trPr>
        <w:tc>
          <w:tcPr>
            <w:tcW w:w="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2016</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398,820</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33.53</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$ 29.67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1,541,181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12,405,156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31.10</w:t>
            </w:r>
          </w:p>
        </w:tc>
        <w:tc>
          <w:tcPr>
            <w:tcW w:w="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r>
      <w:tr>
        <w:trPr>
          <w:trHeight w:val="265"/>
        </w:trPr>
        <w:tc>
          <w:tcPr>
            <w:tcW w:w="2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4th Quarter 2015</w:t>
            </w: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380,714</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Times New Roman" w:cs="Times New Roman" w:eastAsia="Times New Roman" w:hAnsi="Times New Roman"/>
                <w:sz w:val="14"/>
                <w:szCs w:val="14"/>
                <w:color w:val="auto"/>
              </w:rPr>
              <w:t>31.88</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w w:val="99"/>
              </w:rPr>
              <w:t>$ 26.00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2,238,079</w:t>
            </w: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16,261,721</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42.71</w:t>
            </w:r>
          </w:p>
        </w:tc>
        <w:tc>
          <w:tcPr>
            <w:tcW w:w="3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r>
      <w:tr>
        <w:trPr>
          <w:trHeight w:val="269"/>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1,579,333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33.62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$ 29.22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6,943,960</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52,054,430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32.96</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New Lease Summary - Comparable (2)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3"/>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2"/>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98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Contractual</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Basis %</w:t>
            </w: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98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Rent (3) Per</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(4) Per Sq.</w:t>
            </w:r>
          </w:p>
        </w:tc>
        <w:tc>
          <w:tcPr>
            <w:tcW w:w="8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Increase Over</w:t>
            </w:r>
          </w:p>
        </w:tc>
        <w:tc>
          <w:tcPr>
            <w:tcW w:w="9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Increase Over</w:t>
            </w: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Incentives Per Sq.</w:t>
            </w:r>
          </w:p>
        </w:tc>
        <w:tc>
          <w:tcPr>
            <w:tcW w:w="36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98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0"/>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2016</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168,213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35.12</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$ 28.99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1,030,672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10,692,617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63.57</w:t>
            </w:r>
          </w:p>
        </w:tc>
        <w:tc>
          <w:tcPr>
            <w:tcW w:w="360" w:type="dxa"/>
            <w:vAlign w:val="bottom"/>
            <w:shd w:val="clear" w:color="auto" w:fill="CCEEFF"/>
          </w:tcPr>
          <w:p>
            <w:pPr>
              <w:spacing w:after="0"/>
              <w:rPr>
                <w:sz w:val="21"/>
                <w:szCs w:val="21"/>
                <w:color w:val="auto"/>
              </w:rPr>
            </w:pPr>
          </w:p>
        </w:tc>
      </w:tr>
      <w:tr>
        <w:trPr>
          <w:trHeight w:val="265"/>
        </w:trPr>
        <w:tc>
          <w:tcPr>
            <w:tcW w:w="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2016</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105,307</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6"/>
              <w:spacing w:after="0"/>
              <w:rPr>
                <w:sz w:val="20"/>
                <w:szCs w:val="20"/>
                <w:color w:val="auto"/>
              </w:rPr>
            </w:pPr>
            <w:r>
              <w:rPr>
                <w:rFonts w:ascii="Times New Roman" w:cs="Times New Roman" w:eastAsia="Times New Roman" w:hAnsi="Times New Roman"/>
                <w:sz w:val="14"/>
                <w:szCs w:val="14"/>
                <w:color w:val="auto"/>
              </w:rPr>
              <w:t>43.13</w:t>
            </w:r>
          </w:p>
        </w:tc>
        <w:tc>
          <w:tcPr>
            <w:tcW w:w="120" w:type="dxa"/>
            <w:vAlign w:val="bottom"/>
          </w:tcPr>
          <w:p>
            <w:pPr>
              <w:spacing w:after="0"/>
              <w:rPr>
                <w:sz w:val="23"/>
                <w:szCs w:val="23"/>
                <w:color w:val="auto"/>
              </w:rPr>
            </w:pP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w w:val="99"/>
              </w:rPr>
              <w:t>$ 34.97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858,882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23"/>
                <w:szCs w:val="23"/>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7,235,818</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68.71</w:t>
            </w:r>
          </w:p>
        </w:tc>
        <w:tc>
          <w:tcPr>
            <w:tcW w:w="360" w:type="dxa"/>
            <w:vAlign w:val="bottom"/>
          </w:tcPr>
          <w:p>
            <w:pPr>
              <w:spacing w:after="0"/>
              <w:rPr>
                <w:sz w:val="23"/>
                <w:szCs w:val="23"/>
                <w:color w:val="auto"/>
              </w:rPr>
            </w:pPr>
          </w:p>
        </w:tc>
      </w:tr>
      <w:tr>
        <w:trPr>
          <w:trHeight w:val="275"/>
        </w:trPr>
        <w:tc>
          <w:tcPr>
            <w:tcW w:w="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2016</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154,121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31.02</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$ 25.57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838,752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8,590,661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55.74</w:t>
            </w:r>
          </w:p>
        </w:tc>
        <w:tc>
          <w:tcPr>
            <w:tcW w:w="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r>
      <w:tr>
        <w:trPr>
          <w:trHeight w:val="265"/>
        </w:trPr>
        <w:tc>
          <w:tcPr>
            <w:tcW w:w="2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4th Quarter 2015</w:t>
            </w: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w:t>
            </w: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191,931</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Times New Roman" w:cs="Times New Roman" w:eastAsia="Times New Roman" w:hAnsi="Times New Roman"/>
                <w:sz w:val="14"/>
                <w:szCs w:val="14"/>
                <w:color w:val="auto"/>
              </w:rPr>
              <w:t>30.57</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w w:val="99"/>
              </w:rPr>
              <w:t>$ 21.14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1,810,518</w:t>
            </w: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14,704,178</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76.61</w:t>
            </w:r>
          </w:p>
        </w:tc>
        <w:tc>
          <w:tcPr>
            <w:tcW w:w="3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r>
      <w:tr>
        <w:trPr>
          <w:trHeight w:val="269"/>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36%</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619,572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34.05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$ 26.72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4,538,824</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41,223,274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66.54</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Renewal Lease Summary - Comparable (2) (8)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3"/>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2"/>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98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Contractual</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Basis %</w:t>
            </w: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980" w:type="dxa"/>
            <w:vAlign w:val="bottom"/>
            <w:gridSpan w:val="4"/>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Rent (3) Per</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(4) Per Sq.</w:t>
            </w:r>
          </w:p>
        </w:tc>
        <w:tc>
          <w:tcPr>
            <w:tcW w:w="8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Increase Over</w:t>
            </w:r>
          </w:p>
        </w:tc>
        <w:tc>
          <w:tcPr>
            <w:tcW w:w="9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Increase Over</w:t>
            </w: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Incentives Per Sq.</w:t>
            </w:r>
          </w:p>
        </w:tc>
        <w:tc>
          <w:tcPr>
            <w:tcW w:w="36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98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0"/>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2016</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58%</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258,808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28.74</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$ 26.37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611,294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4,594,461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17.75</w:t>
            </w:r>
          </w:p>
        </w:tc>
        <w:tc>
          <w:tcPr>
            <w:tcW w:w="360" w:type="dxa"/>
            <w:vAlign w:val="bottom"/>
            <w:shd w:val="clear" w:color="auto" w:fill="CCEEFF"/>
          </w:tcPr>
          <w:p>
            <w:pPr>
              <w:spacing w:after="0"/>
              <w:rPr>
                <w:sz w:val="21"/>
                <w:szCs w:val="21"/>
                <w:color w:val="auto"/>
              </w:rPr>
            </w:pPr>
          </w:p>
        </w:tc>
      </w:tr>
      <w:tr>
        <w:trPr>
          <w:trHeight w:val="265"/>
        </w:trPr>
        <w:tc>
          <w:tcPr>
            <w:tcW w:w="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2016</w:t>
            </w: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267,471</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46"/>
              <w:spacing w:after="0"/>
              <w:rPr>
                <w:sz w:val="20"/>
                <w:szCs w:val="20"/>
                <w:color w:val="auto"/>
              </w:rPr>
            </w:pPr>
            <w:r>
              <w:rPr>
                <w:rFonts w:ascii="Times New Roman" w:cs="Times New Roman" w:eastAsia="Times New Roman" w:hAnsi="Times New Roman"/>
                <w:sz w:val="14"/>
                <w:szCs w:val="14"/>
                <w:color w:val="auto"/>
              </w:rPr>
              <w:t>36.28</w:t>
            </w:r>
          </w:p>
        </w:tc>
        <w:tc>
          <w:tcPr>
            <w:tcW w:w="120" w:type="dxa"/>
            <w:vAlign w:val="bottom"/>
          </w:tcPr>
          <w:p>
            <w:pPr>
              <w:spacing w:after="0"/>
              <w:rPr>
                <w:sz w:val="23"/>
                <w:szCs w:val="23"/>
                <w:color w:val="auto"/>
              </w:rPr>
            </w:pP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w w:val="99"/>
              </w:rPr>
              <w:t>$ 33.79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663,852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23"/>
                <w:szCs w:val="23"/>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864,657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3.23</w:t>
            </w:r>
          </w:p>
        </w:tc>
        <w:tc>
          <w:tcPr>
            <w:tcW w:w="360" w:type="dxa"/>
            <w:vAlign w:val="bottom"/>
          </w:tcPr>
          <w:p>
            <w:pPr>
              <w:spacing w:after="0"/>
              <w:rPr>
                <w:sz w:val="23"/>
                <w:szCs w:val="23"/>
                <w:color w:val="auto"/>
              </w:rPr>
            </w:pPr>
          </w:p>
        </w:tc>
      </w:tr>
      <w:tr>
        <w:trPr>
          <w:trHeight w:val="275"/>
        </w:trPr>
        <w:tc>
          <w:tcPr>
            <w:tcW w:w="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2016</w:t>
            </w:r>
          </w:p>
        </w:tc>
        <w:tc>
          <w:tcPr>
            <w:tcW w:w="5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67%</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244,699</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35.12</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$ 32.25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702,429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3,814,495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15.59</w:t>
            </w:r>
          </w:p>
        </w:tc>
        <w:tc>
          <w:tcPr>
            <w:tcW w:w="360" w:type="dxa"/>
            <w:vAlign w:val="bottom"/>
            <w:shd w:val="clear" w:color="auto" w:fill="CCEEFF"/>
          </w:tcPr>
          <w:p>
            <w:pPr>
              <w:spacing w:after="0"/>
              <w:rPr>
                <w:sz w:val="23"/>
                <w:szCs w:val="23"/>
                <w:color w:val="auto"/>
              </w:rPr>
            </w:pPr>
          </w:p>
        </w:tc>
      </w:tr>
      <w:tr>
        <w:trPr>
          <w:trHeight w:val="265"/>
        </w:trPr>
        <w:tc>
          <w:tcPr>
            <w:tcW w:w="2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4th Quarter 2015</w:t>
            </w: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w:t>
            </w: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188,783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Times New Roman" w:cs="Times New Roman" w:eastAsia="Times New Roman" w:hAnsi="Times New Roman"/>
                <w:sz w:val="14"/>
                <w:szCs w:val="14"/>
                <w:color w:val="auto"/>
              </w:rPr>
              <w:t>33.21</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w w:val="99"/>
              </w:rPr>
              <w:t>$ 30.95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color w:val="auto"/>
              </w:rPr>
              <w:t>427,561</w:t>
            </w: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1,557,543</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8.25</w:t>
            </w:r>
          </w:p>
        </w:tc>
        <w:tc>
          <w:tcPr>
            <w:tcW w:w="360" w:type="dxa"/>
            <w:vAlign w:val="bottom"/>
            <w:tcBorders>
              <w:bottom w:val="single" w:sz="8" w:color="auto"/>
            </w:tcBorders>
          </w:tcPr>
          <w:p>
            <w:pPr>
              <w:spacing w:after="0"/>
              <w:rPr>
                <w:sz w:val="23"/>
                <w:szCs w:val="23"/>
                <w:color w:val="auto"/>
              </w:rPr>
            </w:pPr>
          </w:p>
        </w:tc>
      </w:tr>
      <w:tr>
        <w:trPr>
          <w:trHeight w:val="242"/>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959,761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4"/>
                <w:szCs w:val="14"/>
                <w:color w:val="auto"/>
              </w:rPr>
              <w:t>33.35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$ 30.84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2,405,136</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10,831,156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11.29</w:t>
            </w:r>
          </w:p>
        </w:tc>
        <w:tc>
          <w:tcPr>
            <w:tcW w:w="36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Total Lease Summary - Comparable and Non-comparable (2) (9)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3"/>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2"/>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Contractual</w:t>
            </w: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Rent (3) Per Sq.</w:t>
            </w:r>
          </w:p>
        </w:tc>
        <w:tc>
          <w:tcPr>
            <w:tcW w:w="7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Incentives Per Sq.</w:t>
            </w:r>
          </w:p>
        </w:tc>
        <w:tc>
          <w:tcPr>
            <w:tcW w:w="36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40" w:type="dxa"/>
            <w:vAlign w:val="bottom"/>
          </w:tcPr>
          <w:p>
            <w:pPr>
              <w:spacing w:after="0"/>
              <w:rPr>
                <w:sz w:val="12"/>
                <w:szCs w:val="12"/>
                <w:color w:val="auto"/>
              </w:rPr>
            </w:pPr>
          </w:p>
        </w:tc>
        <w:tc>
          <w:tcPr>
            <w:tcW w:w="1680" w:type="dxa"/>
            <w:vAlign w:val="bottom"/>
            <w:gridSpan w:val="4"/>
          </w:tcPr>
          <w:p>
            <w:pPr>
              <w:ind w:left="44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Ft.</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Times New Roman" w:cs="Times New Roman" w:eastAsia="Times New Roman" w:hAnsi="Times New Roman"/>
                <w:sz w:val="11"/>
                <w:szCs w:val="11"/>
                <w:b w:val="1"/>
                <w:bCs w:val="1"/>
                <w:color w:val="auto"/>
                <w:w w:val="90"/>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3rd Quarter 2016</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452,836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32.06</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17,575,645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38.81</w:t>
            </w:r>
          </w:p>
        </w:tc>
        <w:tc>
          <w:tcPr>
            <w:tcW w:w="360" w:type="dxa"/>
            <w:vAlign w:val="bottom"/>
            <w:shd w:val="clear" w:color="auto" w:fill="CCEEFF"/>
          </w:tcPr>
          <w:p>
            <w:pPr>
              <w:spacing w:after="0"/>
              <w:rPr>
                <w:sz w:val="22"/>
                <w:szCs w:val="22"/>
                <w:color w:val="auto"/>
              </w:rPr>
            </w:pPr>
          </w:p>
        </w:tc>
      </w:tr>
      <w:tr>
        <w:trPr>
          <w:trHeight w:val="265"/>
        </w:trPr>
        <w:tc>
          <w:tcPr>
            <w:tcW w:w="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2nd Quarter 2016</w:t>
            </w: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467,364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35.66</w:t>
            </w:r>
          </w:p>
        </w:tc>
        <w:tc>
          <w:tcPr>
            <w:tcW w:w="120" w:type="dxa"/>
            <w:vAlign w:val="bottom"/>
          </w:tcPr>
          <w:p>
            <w:pPr>
              <w:spacing w:after="0"/>
              <w:rPr>
                <w:sz w:val="23"/>
                <w:szCs w:val="23"/>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9,864,863</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21.11</w:t>
            </w:r>
          </w:p>
        </w:tc>
        <w:tc>
          <w:tcPr>
            <w:tcW w:w="360" w:type="dxa"/>
            <w:vAlign w:val="bottom"/>
          </w:tcPr>
          <w:p>
            <w:pPr>
              <w:spacing w:after="0"/>
              <w:rPr>
                <w:sz w:val="23"/>
                <w:szCs w:val="23"/>
                <w:color w:val="auto"/>
              </w:rPr>
            </w:pPr>
          </w:p>
        </w:tc>
      </w:tr>
      <w:tr>
        <w:trPr>
          <w:trHeight w:val="275"/>
        </w:trPr>
        <w:tc>
          <w:tcPr>
            <w:tcW w:w="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1st Quarter 2016</w:t>
            </w: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419,781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33.45</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14,483,247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34.50</w:t>
            </w:r>
          </w:p>
        </w:tc>
        <w:tc>
          <w:tcPr>
            <w:tcW w:w="360" w:type="dxa"/>
            <w:vAlign w:val="bottom"/>
            <w:shd w:val="clear" w:color="auto" w:fill="CCEEFF"/>
          </w:tcPr>
          <w:p>
            <w:pPr>
              <w:spacing w:after="0"/>
              <w:rPr>
                <w:sz w:val="23"/>
                <w:szCs w:val="23"/>
                <w:color w:val="auto"/>
              </w:rPr>
            </w:pPr>
          </w:p>
        </w:tc>
      </w:tr>
      <w:tr>
        <w:trPr>
          <w:trHeight w:val="265"/>
        </w:trPr>
        <w:tc>
          <w:tcPr>
            <w:tcW w:w="2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4th Quarter 2015</w:t>
            </w:r>
          </w:p>
        </w:tc>
        <w:tc>
          <w:tcPr>
            <w:tcW w:w="5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439,061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31.87</w:t>
            </w: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17,663,207</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color w:val="auto"/>
              </w:rPr>
              <w:t>40.23</w:t>
            </w:r>
          </w:p>
        </w:tc>
        <w:tc>
          <w:tcPr>
            <w:tcW w:w="360" w:type="dxa"/>
            <w:vAlign w:val="bottom"/>
            <w:tcBorders>
              <w:bottom w:val="single" w:sz="8" w:color="auto"/>
            </w:tcBorders>
          </w:tcPr>
          <w:p>
            <w:pPr>
              <w:spacing w:after="0"/>
              <w:rPr>
                <w:sz w:val="23"/>
                <w:szCs w:val="23"/>
                <w:color w:val="auto"/>
              </w:rPr>
            </w:pPr>
          </w:p>
        </w:tc>
      </w:tr>
      <w:tr>
        <w:trPr>
          <w:trHeight w:val="269"/>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396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1,779,042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33.29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59,586,962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33.49</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u w:val="single" w:color="auto"/>
          <w:color w:val="auto"/>
        </w:rPr>
        <w:t>Notes:</w:t>
      </w:r>
    </w:p>
    <w:p>
      <w:pPr>
        <w:spacing w:after="0" w:line="40" w:lineRule="exact"/>
        <w:rPr>
          <w:sz w:val="20"/>
          <w:szCs w:val="20"/>
          <w:color w:val="auto"/>
        </w:rPr>
      </w:pPr>
    </w:p>
    <w:p>
      <w:pPr>
        <w:ind w:left="1280" w:hanging="1251"/>
        <w:spacing w:after="0"/>
        <w:tabs>
          <w:tab w:leader="none" w:pos="12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Leases on this report represent retail activity only; office and residential leases are not included.</w:t>
      </w:r>
    </w:p>
    <w:p>
      <w:pPr>
        <w:spacing w:after="0" w:line="39" w:lineRule="exact"/>
        <w:rPr>
          <w:rFonts w:ascii="Times New Roman" w:cs="Times New Roman" w:eastAsia="Times New Roman" w:hAnsi="Times New Roman"/>
          <w:sz w:val="13"/>
          <w:szCs w:val="13"/>
          <w:color w:val="auto"/>
        </w:rPr>
      </w:pPr>
    </w:p>
    <w:p>
      <w:pPr>
        <w:ind w:left="1280" w:hanging="1251"/>
        <w:spacing w:after="0"/>
        <w:tabs>
          <w:tab w:leader="none" w:pos="12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Comparable leases represent those leases signed on spaces for which there was a former tenant.</w:t>
      </w:r>
    </w:p>
    <w:p>
      <w:pPr>
        <w:spacing w:after="0" w:line="39" w:lineRule="exact"/>
        <w:rPr>
          <w:rFonts w:ascii="Times New Roman" w:cs="Times New Roman" w:eastAsia="Times New Roman" w:hAnsi="Times New Roman"/>
          <w:sz w:val="13"/>
          <w:szCs w:val="13"/>
          <w:color w:val="auto"/>
        </w:rPr>
      </w:pPr>
    </w:p>
    <w:p>
      <w:pPr>
        <w:ind w:left="1280" w:hanging="1251"/>
        <w:spacing w:after="0"/>
        <w:tabs>
          <w:tab w:leader="none" w:pos="12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Contractual rent represents contractual minimum rent under the new lease for the first 12 months of the term.</w:t>
      </w:r>
    </w:p>
    <w:p>
      <w:pPr>
        <w:spacing w:after="0" w:line="39" w:lineRule="exact"/>
        <w:rPr>
          <w:rFonts w:ascii="Times New Roman" w:cs="Times New Roman" w:eastAsia="Times New Roman" w:hAnsi="Times New Roman"/>
          <w:sz w:val="13"/>
          <w:szCs w:val="13"/>
          <w:color w:val="auto"/>
        </w:rPr>
      </w:pPr>
    </w:p>
    <w:p>
      <w:pPr>
        <w:ind w:left="1280" w:hanging="1251"/>
        <w:spacing w:after="0"/>
        <w:tabs>
          <w:tab w:leader="none" w:pos="12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rent represents minimum rent and percentage rent, if any, paid by the prior tenant in the final 12 months of the term.</w:t>
      </w:r>
    </w:p>
    <w:p>
      <w:pPr>
        <w:spacing w:after="0" w:line="39" w:lineRule="exact"/>
        <w:rPr>
          <w:rFonts w:ascii="Times New Roman" w:cs="Times New Roman" w:eastAsia="Times New Roman" w:hAnsi="Times New Roman"/>
          <w:sz w:val="13"/>
          <w:szCs w:val="13"/>
          <w:color w:val="auto"/>
        </w:rPr>
      </w:pPr>
    </w:p>
    <w:p>
      <w:pPr>
        <w:ind w:left="1280" w:hanging="1251"/>
        <w:spacing w:after="0"/>
        <w:tabs>
          <w:tab w:leader="none" w:pos="12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Weighted average is determined on the basis of contractual rent for the first 12 months of the term.</w:t>
      </w:r>
    </w:p>
    <w:p>
      <w:pPr>
        <w:spacing w:after="0" w:line="39" w:lineRule="exact"/>
        <w:rPr>
          <w:rFonts w:ascii="Times New Roman" w:cs="Times New Roman" w:eastAsia="Times New Roman" w:hAnsi="Times New Roman"/>
          <w:sz w:val="13"/>
          <w:szCs w:val="13"/>
          <w:color w:val="auto"/>
        </w:rPr>
      </w:pPr>
    </w:p>
    <w:p>
      <w:pPr>
        <w:ind w:left="1280" w:hanging="1251"/>
        <w:spacing w:after="0"/>
        <w:tabs>
          <w:tab w:leader="none" w:pos="12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Glossary of Terms.</w:t>
      </w:r>
    </w:p>
    <w:p>
      <w:pPr>
        <w:spacing w:after="0" w:line="39" w:lineRule="exact"/>
        <w:rPr>
          <w:rFonts w:ascii="Times New Roman" w:cs="Times New Roman" w:eastAsia="Times New Roman" w:hAnsi="Times New Roman"/>
          <w:sz w:val="13"/>
          <w:szCs w:val="13"/>
          <w:color w:val="auto"/>
        </w:rPr>
      </w:pPr>
    </w:p>
    <w:p>
      <w:pPr>
        <w:jc w:val="both"/>
        <w:ind w:left="1280" w:right="260" w:hanging="1251"/>
        <w:spacing w:after="0" w:line="280" w:lineRule="auto"/>
        <w:tabs>
          <w:tab w:leader="none" w:pos="12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Approximately $5.2 million ($8.22 per square foot) in 1st Quarter 2016 and $10.2 million ($21.74 per square foot) in 4th Quarter 2015 of the Tenant Improvements &amp; Incentives are for properties under active redevelopment (e.g. Congressional Plaza, Del Mar Village, Melville Mall) and are included in the Projected Cost for those projects on the Summary of Redevelopment Opportunities.</w:t>
      </w:r>
    </w:p>
    <w:p>
      <w:pPr>
        <w:spacing w:after="0" w:line="2" w:lineRule="exact"/>
        <w:rPr>
          <w:rFonts w:ascii="Times New Roman" w:cs="Times New Roman" w:eastAsia="Times New Roman" w:hAnsi="Times New Roman"/>
          <w:sz w:val="12"/>
          <w:szCs w:val="12"/>
          <w:color w:val="auto"/>
        </w:rPr>
      </w:pPr>
    </w:p>
    <w:p>
      <w:pPr>
        <w:ind w:left="1280" w:hanging="1251"/>
        <w:spacing w:after="0"/>
        <w:tabs>
          <w:tab w:leader="none" w:pos="12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Renewal leases represent expiring leases rolling over with the same tenant in the same location. All other leases are categorized as new.</w:t>
      </w:r>
    </w:p>
    <w:p>
      <w:pPr>
        <w:spacing w:after="0" w:line="39" w:lineRule="exact"/>
        <w:rPr>
          <w:rFonts w:ascii="Times New Roman" w:cs="Times New Roman" w:eastAsia="Times New Roman" w:hAnsi="Times New Roman"/>
          <w:sz w:val="13"/>
          <w:szCs w:val="13"/>
          <w:color w:val="auto"/>
        </w:rPr>
      </w:pPr>
    </w:p>
    <w:p>
      <w:pPr>
        <w:ind w:left="1280" w:right="60" w:hanging="1251"/>
        <w:spacing w:after="0" w:line="257" w:lineRule="auto"/>
        <w:tabs>
          <w:tab w:leader="none" w:pos="12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Leases Signed, GLA Signed, Contractual Rent Per Sq Ft and Weighted Average Lease Term columns include information for leases signed at our Assembly Row and Pike &amp; Rose projects. The Tenant Improvements &amp; Incentives and Tenant Improvements &amp; Incentives Per Sq Ft columns do not include the tenant improvements and incentives on leases signed for those projects; these amounts for leases signed for Assembly Row and Pike &amp; Rose are included in the Projected Cost column for those projects shown on the Assembly Row and Pike &amp; Rose schedule.</w:t>
      </w:r>
    </w:p>
    <w:p>
      <w:pPr>
        <w:sectPr>
          <w:pgSz w:w="11900" w:h="16838" w:orient="portrait"/>
          <w:cols w:equalWidth="0" w:num="1">
            <w:col w:w="11380"/>
          </w:cols>
          <w:pgMar w:left="260" w:top="974" w:right="25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60" w:top="974" w:right="259" w:bottom="1440" w:gutter="0" w:footer="0" w:header="0"/>
          <w:type w:val="continuous"/>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283845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4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3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126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3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13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740" w:type="dxa"/>
            <w:vAlign w:val="bottom"/>
          </w:tcPr>
          <w:p>
            <w:pPr>
              <w:jc w:val="right"/>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5"/>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35"/>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19.91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292,000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28.26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399,000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26.02</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641,000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17.45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877,000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37.10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1,519,000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28.80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1,620,000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15.44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39.36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2,698,000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1,837,000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19.03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937,000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37.50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2,774,000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25.27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16.49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1,014,000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38.53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2,171,000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26.78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1,501,000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19.85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1,009,000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39.66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2,510,000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27.81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16.42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36.42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2,254,000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23.31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410,000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21.65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580,000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39.52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990,000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32.12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18.92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42.72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1,090,000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30.03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729,000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21.41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37.30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1,330,000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28.58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2,387,000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21.09</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44.93</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3,015,000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26.06</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12,449,000</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18.66</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8,302,000</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38.67</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20,750,000</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26.67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4"/>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4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3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126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3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13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740" w:type="dxa"/>
            <w:vAlign w:val="bottom"/>
          </w:tcPr>
          <w:p>
            <w:pPr>
              <w:jc w:val="right"/>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5"/>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35"/>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19.50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249,000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272,000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27.83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159,000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22.29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587,000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37.31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746,000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34.12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41.37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33.34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453,000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21.16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577,000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38.27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1,030,000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30.74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21.22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38.54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34.90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334,000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23.43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571,000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42.45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905,000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35.43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29.57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35.47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34.06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368,000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17.28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473,000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40.33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841,000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30.25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18.08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42.88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30.08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247,000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20.10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532,000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36.99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779,000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31.64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9,754,000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18.15</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3,042,000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38.70</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12,796,000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23.04</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12,449,000</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18.66</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8,302,000</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38.67</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20,750,000</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26.67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Anchor is defined as a retail tenant leasing 15,000 square feet or more.</w:t>
      </w:r>
    </w:p>
    <w:p>
      <w:pPr>
        <w:spacing w:after="0" w:line="72" w:lineRule="exact"/>
        <w:rPr>
          <w:rFonts w:ascii="Times New Roman" w:cs="Times New Roman" w:eastAsia="Times New Roman" w:hAnsi="Times New Roman"/>
          <w:sz w:val="16"/>
          <w:szCs w:val="16"/>
          <w:color w:val="auto"/>
        </w:rPr>
      </w:pPr>
    </w:p>
    <w:p>
      <w:pPr>
        <w:ind w:left="1160" w:hanging="1125"/>
        <w:spacing w:after="0"/>
        <w:tabs>
          <w:tab w:leader="none" w:pos="11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Rent reflects in-place contractual (cash-basis) rent as of September 30, 2016.</w:t>
      </w:r>
    </w:p>
    <w:p>
      <w:pPr>
        <w:spacing w:after="0" w:line="72" w:lineRule="exact"/>
        <w:rPr>
          <w:rFonts w:ascii="Times New Roman" w:cs="Times New Roman" w:eastAsia="Times New Roman" w:hAnsi="Times New Roman"/>
          <w:sz w:val="16"/>
          <w:szCs w:val="16"/>
          <w:color w:val="auto"/>
        </w:rPr>
      </w:pPr>
    </w:p>
    <w:p>
      <w:pPr>
        <w:ind w:left="1160" w:hanging="1125"/>
        <w:spacing w:after="0"/>
        <w:tabs>
          <w:tab w:leader="none" w:pos="11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occupied square footage as of September 30, 2016.</w:t>
      </w:r>
    </w:p>
    <w:p>
      <w:pPr>
        <w:spacing w:after="0" w:line="72" w:lineRule="exact"/>
        <w:rPr>
          <w:rFonts w:ascii="Times New Roman" w:cs="Times New Roman" w:eastAsia="Times New Roman" w:hAnsi="Times New Roman"/>
          <w:sz w:val="16"/>
          <w:szCs w:val="16"/>
          <w:color w:val="auto"/>
        </w:rPr>
      </w:pPr>
    </w:p>
    <w:p>
      <w:pPr>
        <w:ind w:left="1160" w:hanging="1125"/>
        <w:spacing w:after="0"/>
        <w:tabs>
          <w:tab w:leader="none" w:pos="11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738" w:right="239"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Portfolio Leased Statistics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2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Overall Portfolio Statistics (1)</w:t>
            </w:r>
          </w:p>
        </w:tc>
        <w:tc>
          <w:tcPr>
            <w:tcW w:w="2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At September 30, 2016</w:t>
            </w:r>
          </w:p>
        </w:tc>
        <w:tc>
          <w:tcPr>
            <w:tcW w:w="6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At September 30, 2015</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Type</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Size</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8"/>
              </w:rPr>
              <w:t>Leased %</w:t>
            </w:r>
          </w:p>
        </w:tc>
        <w:tc>
          <w:tcPr>
            <w:tcW w:w="102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w w:val="94"/>
              </w:rPr>
              <w:t>Size</w:t>
            </w:r>
          </w:p>
        </w:tc>
        <w:tc>
          <w:tcPr>
            <w:tcW w:w="6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8"/>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Retail Properties (2) (3) (4) (sf)</w:t>
            </w:r>
          </w:p>
        </w:tc>
        <w:tc>
          <w:tcPr>
            <w:tcW w:w="1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22,362,000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21,083,000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20,886,000</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19,947,000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95.5%</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Properties (units)</w:t>
            </w:r>
          </w:p>
        </w:tc>
        <w:tc>
          <w:tcPr>
            <w:tcW w:w="1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1,867</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95.5%</w:t>
            </w:r>
          </w:p>
        </w:tc>
      </w:tr>
      <w:tr>
        <w:trPr>
          <w:trHeight w:val="770"/>
        </w:trPr>
        <w:tc>
          <w:tcPr>
            <w:tcW w:w="4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Same Center Statistics (1)</w:t>
            </w:r>
          </w:p>
        </w:tc>
        <w:tc>
          <w:tcPr>
            <w:tcW w:w="27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At September 30, 2016</w:t>
            </w:r>
          </w:p>
        </w:tc>
        <w:tc>
          <w:tcPr>
            <w:tcW w:w="6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At September 30, 2015</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Times New Roman" w:cs="Times New Roman" w:eastAsia="Times New Roman" w:hAnsi="Times New Roman"/>
                <w:sz w:val="16"/>
                <w:szCs w:val="16"/>
                <w:color w:val="auto"/>
              </w:rPr>
              <w:t>Type</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Size</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w w:val="98"/>
              </w:rPr>
              <w:t>Leased %</w:t>
            </w:r>
          </w:p>
        </w:tc>
        <w:tc>
          <w:tcPr>
            <w:tcW w:w="102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w w:val="94"/>
              </w:rPr>
              <w:t>Size</w:t>
            </w:r>
          </w:p>
        </w:tc>
        <w:tc>
          <w:tcPr>
            <w:tcW w:w="6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8"/>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Retail Properties (2) (4) (5) (sf)</w:t>
            </w:r>
          </w:p>
        </w:tc>
        <w:tc>
          <w:tcPr>
            <w:tcW w:w="12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16,389,000</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15,651,000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95.5%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16,368,000</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15,735,000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96.1%</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452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Properties (units) (5)</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1,326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38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95.6%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5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95.8%</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72" w:lineRule="exact"/>
        <w:rPr>
          <w:rFonts w:ascii="Times New Roman" w:cs="Times New Roman" w:eastAsia="Times New Roman" w:hAnsi="Times New Roman"/>
          <w:sz w:val="16"/>
          <w:szCs w:val="16"/>
          <w:color w:val="auto"/>
        </w:rPr>
      </w:pPr>
    </w:p>
    <w:p>
      <w:pPr>
        <w:ind w:left="840" w:hanging="805"/>
        <w:spacing w:after="0"/>
        <w:tabs>
          <w:tab w:leader="none" w:pos="8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Leasable square feet excludes redevelopment square footage not yet placed in service.</w:t>
      </w:r>
    </w:p>
    <w:p>
      <w:pPr>
        <w:spacing w:after="0" w:line="72" w:lineRule="exact"/>
        <w:rPr>
          <w:rFonts w:ascii="Times New Roman" w:cs="Times New Roman" w:eastAsia="Times New Roman" w:hAnsi="Times New Roman"/>
          <w:sz w:val="16"/>
          <w:szCs w:val="16"/>
          <w:color w:val="auto"/>
        </w:rPr>
      </w:pPr>
    </w:p>
    <w:p>
      <w:pPr>
        <w:ind w:left="840" w:hanging="805"/>
        <w:spacing w:after="0"/>
        <w:tabs>
          <w:tab w:leader="none" w:pos="8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September 30, 2016 leased percentage was 97.0% for anchor tenants and 90.4% for small shop tenants.</w:t>
      </w:r>
    </w:p>
    <w:p>
      <w:pPr>
        <w:spacing w:after="0" w:line="72" w:lineRule="exact"/>
        <w:rPr>
          <w:rFonts w:ascii="Times New Roman" w:cs="Times New Roman" w:eastAsia="Times New Roman" w:hAnsi="Times New Roman"/>
          <w:sz w:val="16"/>
          <w:szCs w:val="16"/>
          <w:color w:val="auto"/>
        </w:rPr>
      </w:pPr>
    </w:p>
    <w:p>
      <w:pPr>
        <w:ind w:left="840" w:right="600" w:hanging="805"/>
        <w:spacing w:after="0" w:line="298" w:lineRule="auto"/>
        <w:tabs>
          <w:tab w:leader="none" w:pos="8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Occupied percentage was 93.1% and 95.1% at September 30, 2016 and 2015, respectively, and same center occupied percentage was 94.9% and 95.7% at September 30, 2016 and 2015, respectively.</w:t>
      </w:r>
    </w:p>
    <w:p>
      <w:pPr>
        <w:spacing w:after="0" w:line="2" w:lineRule="exact"/>
        <w:rPr>
          <w:rFonts w:ascii="Times New Roman" w:cs="Times New Roman" w:eastAsia="Times New Roman" w:hAnsi="Times New Roman"/>
          <w:sz w:val="16"/>
          <w:szCs w:val="16"/>
          <w:color w:val="auto"/>
        </w:rPr>
      </w:pPr>
    </w:p>
    <w:p>
      <w:pPr>
        <w:ind w:left="840" w:right="240" w:hanging="805"/>
        <w:spacing w:after="0" w:line="298" w:lineRule="auto"/>
        <w:tabs>
          <w:tab w:leader="none" w:pos="8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properties purchased, sold or under redevelopment or development. Excludes the six properties discussed on page 20 under significant acquisitions as we did not consolidate the properties in 2015.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38" w:right="239"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Annualized Base</w:t>
            </w:r>
          </w:p>
        </w:tc>
        <w:tc>
          <w:tcPr>
            <w:tcW w:w="156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Rank</w:t>
            </w:r>
          </w:p>
        </w:tc>
        <w:tc>
          <w:tcPr>
            <w:tcW w:w="47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Stores</w:t>
            </w:r>
          </w:p>
        </w:tc>
        <w:tc>
          <w:tcPr>
            <w:tcW w:w="0" w:type="dxa"/>
            <w:vAlign w:val="bottom"/>
          </w:tcPr>
          <w:p>
            <w:pPr>
              <w:spacing w:after="0"/>
              <w:rPr>
                <w:sz w:val="1"/>
                <w:szCs w:val="1"/>
                <w:color w:val="auto"/>
              </w:rPr>
            </w:pPr>
          </w:p>
        </w:tc>
      </w:tr>
      <w:tr>
        <w:trPr>
          <w:trHeight w:val="195"/>
        </w:trPr>
        <w:tc>
          <w:tcPr>
            <w:tcW w:w="540" w:type="dxa"/>
            <w:vAlign w:val="bottom"/>
            <w:tcBorders>
              <w:bottom w:val="single" w:sz="8" w:color="auto"/>
            </w:tcBorders>
            <w:vMerge w:val="continue"/>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Rent (3)</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 GLA (3)</w:t>
            </w:r>
          </w:p>
        </w:tc>
        <w:tc>
          <w:tcPr>
            <w:tcW w:w="8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269"/>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4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TJX Companies, The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14,228,000</w:t>
            </w:r>
          </w:p>
        </w:tc>
        <w:tc>
          <w:tcPr>
            <w:tcW w:w="15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2.57%</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Bed, Bath &amp; Beyond,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4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Gap, Inc., The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12,761,000</w:t>
            </w:r>
          </w:p>
        </w:tc>
        <w:tc>
          <w:tcPr>
            <w:tcW w:w="15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2.31%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L.A. Fitness International LLC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4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CVS Corporation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7,981,000</w:t>
            </w:r>
          </w:p>
        </w:tc>
        <w:tc>
          <w:tcPr>
            <w:tcW w:w="15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Ascena Retail Group, Inc. (Dress Barn, Loft, Lou &amp; Grey, Ann Taylor,</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Catherine's, Justice, Lane Bryant)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218,000</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4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AMC Entertainment Inc.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6,572,000</w:t>
            </w:r>
          </w:p>
        </w:tc>
        <w:tc>
          <w:tcPr>
            <w:tcW w:w="15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DSW,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4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Dick's Sporting Goods, Inc.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6,095,000</w:t>
            </w:r>
          </w:p>
        </w:tc>
        <w:tc>
          <w:tcPr>
            <w:tcW w:w="15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Depot,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4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Barnes &amp; Noble, Inc.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5,417,000</w:t>
            </w:r>
          </w:p>
        </w:tc>
        <w:tc>
          <w:tcPr>
            <w:tcW w:w="15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0.98%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Best Buy Stores, L.P.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0.98%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4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Michaels Stores, Inc.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5,306,000</w:t>
            </w:r>
          </w:p>
        </w:tc>
        <w:tc>
          <w:tcPr>
            <w:tcW w:w="15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0.96%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Bank of America,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0.91%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4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Nordstrom, Inc.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4,913,000</w:t>
            </w:r>
          </w:p>
        </w:tc>
        <w:tc>
          <w:tcPr>
            <w:tcW w:w="15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0.89%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Whole Foods Market,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0.80%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4"/>
        </w:trPr>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4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Ross Stores, Inc.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4,193,000</w:t>
            </w:r>
          </w:p>
        </w:tc>
        <w:tc>
          <w:tcPr>
            <w:tcW w:w="15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0.76%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Kroger Co.,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0.76%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4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Saks &amp; Company</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4,090,000</w:t>
            </w:r>
          </w:p>
        </w:tc>
        <w:tc>
          <w:tcPr>
            <w:tcW w:w="15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0.74%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Staples,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0.70%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4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AB Acquisition LLC (Acme, Safeway)</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3,790,000</w:t>
            </w:r>
          </w:p>
        </w:tc>
        <w:tc>
          <w:tcPr>
            <w:tcW w:w="15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0.68%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Wells Fargo Bank,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0.68%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4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Starbucks Corporation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3,680,000</w:t>
            </w:r>
          </w:p>
        </w:tc>
        <w:tc>
          <w:tcPr>
            <w:tcW w:w="15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0.66%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PetSmart,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0.61%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166,908,000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30.15%</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7,689,000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553,579,000</w:t>
            </w:r>
          </w:p>
        </w:tc>
        <w:tc>
          <w:tcPr>
            <w:tcW w:w="1560" w:type="dxa"/>
            <w:vAlign w:val="bottom"/>
          </w:tcPr>
          <w:p>
            <w:pPr>
              <w:jc w:val="right"/>
              <w:ind w:right="1220"/>
              <w:spacing w:after="0"/>
              <w:rPr>
                <w:sz w:val="20"/>
                <w:szCs w:val="20"/>
                <w:color w:val="auto"/>
              </w:rPr>
            </w:pPr>
            <w:r>
              <w:rPr>
                <w:rFonts w:ascii="Times New Roman" w:cs="Times New Roman" w:eastAsia="Times New Roman" w:hAnsi="Times New Roman"/>
                <w:sz w:val="16"/>
                <w:szCs w:val="16"/>
                <w:color w:val="auto"/>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22,362,000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2,856</w:t>
            </w: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720" w:right="540" w:hanging="685"/>
        <w:spacing w:after="0" w:line="298" w:lineRule="auto"/>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aggregate, annualized in-place contractual (defined as cash-basis including adjustments for concessions) minimum rent for all occupied spaces as of September 30, 2016.</w:t>
      </w:r>
    </w:p>
    <w:p>
      <w:pPr>
        <w:spacing w:after="0" w:line="2" w:lineRule="exact"/>
        <w:rPr>
          <w:rFonts w:ascii="Times New Roman" w:cs="Times New Roman" w:eastAsia="Times New Roman" w:hAnsi="Times New Roman"/>
          <w:sz w:val="16"/>
          <w:szCs w:val="16"/>
          <w:color w:val="auto"/>
        </w:rPr>
      </w:pPr>
    </w:p>
    <w:p>
      <w:pPr>
        <w:ind w:left="720" w:hanging="685"/>
        <w:spacing w:after="0"/>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not yet placed in service.</w:t>
      </w:r>
    </w:p>
    <w:p>
      <w:pPr>
        <w:spacing w:after="0" w:line="99" w:lineRule="exact"/>
        <w:rPr>
          <w:rFonts w:ascii="Times New Roman" w:cs="Times New Roman" w:eastAsia="Times New Roman" w:hAnsi="Times New Roman"/>
          <w:sz w:val="16"/>
          <w:szCs w:val="16"/>
          <w:color w:val="auto"/>
        </w:rPr>
      </w:pPr>
    </w:p>
    <w:p>
      <w:pPr>
        <w:ind w:left="720" w:hanging="685"/>
        <w:spacing w:after="0"/>
        <w:tabs>
          <w:tab w:leader="none" w:pos="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738" w:right="239"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FFO Guidance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2016</w:t>
      </w:r>
    </w:p>
    <w:p>
      <w:pPr>
        <w:spacing w:after="0" w:line="351" w:lineRule="exact"/>
        <w:rPr>
          <w:sz w:val="20"/>
          <w:szCs w:val="20"/>
          <w:color w:val="auto"/>
        </w:rPr>
      </w:pPr>
    </w:p>
    <w:p>
      <w:pPr>
        <w:ind w:left="40" w:right="80"/>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the range of estimated earnings per diluted share to estimated FFO per diluted share for the full year 2016 and 2017. Estimates do not include the impact from potential acquisitions, potential dispositions, or land sale gains which have not closed as of November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157480</wp:posOffset>
            </wp:positionV>
            <wp:extent cx="17322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47"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Full Year 2016 Guidance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36830</wp:posOffset>
            </wp:positionV>
            <wp:extent cx="1732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Low</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High</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net income available to common shareholders, per diluted share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interests, net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depreciation and amortization of 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amortization of initial direct costs of leases</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FFO per diluted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r>
      <w:tr>
        <w:trPr>
          <w:trHeight w:val="20"/>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r>
      <w:tr>
        <w:trPr>
          <w:trHeight w:val="230"/>
        </w:trPr>
        <w:tc>
          <w:tcPr>
            <w:tcW w:w="87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r>
      <w:tr>
        <w:trPr>
          <w:trHeight w:val="237"/>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Full Year 2017 Guidance Range</w:t>
            </w:r>
          </w:p>
        </w:tc>
      </w:tr>
      <w:tr>
        <w:trPr>
          <w:trHeight w:val="27"/>
        </w:trPr>
        <w:tc>
          <w:tcPr>
            <w:tcW w:w="8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8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Low</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High</w:t>
            </w:r>
          </w:p>
        </w:tc>
      </w:tr>
      <w:tr>
        <w:trPr>
          <w:trHeight w:val="237"/>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net income available to common shareholders, per diluted share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depreciation and amortization of real estate</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amortization of initial direct costs of leases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0.24</w:t>
            </w:r>
          </w:p>
        </w:tc>
      </w:tr>
      <w:tr>
        <w:trPr>
          <w:trHeight w:val="257"/>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FFO per diluted share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5.93</w:t>
            </w: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Glossary of Terms. Individual items may not add up to total due to rounding.</w:t>
      </w:r>
    </w:p>
    <w:p>
      <w:pPr>
        <w:spacing w:after="0" w:line="141" w:lineRule="exact"/>
        <w:rPr>
          <w:sz w:val="20"/>
          <w:szCs w:val="20"/>
          <w:color w:val="auto"/>
        </w:rPr>
      </w:pPr>
    </w:p>
    <w:p>
      <w:pPr>
        <w:ind w:left="40" w:right="40"/>
        <w:spacing w:after="0" w:line="262" w:lineRule="auto"/>
        <w:rPr>
          <w:sz w:val="20"/>
          <w:szCs w:val="20"/>
          <w:color w:val="auto"/>
        </w:rPr>
      </w:pPr>
      <w:r>
        <w:rPr>
          <w:rFonts w:ascii="Times New Roman" w:cs="Times New Roman" w:eastAsia="Times New Roman" w:hAnsi="Times New Roman"/>
          <w:sz w:val="18"/>
          <w:szCs w:val="18"/>
          <w:b w:val="1"/>
          <w:bCs w:val="1"/>
          <w:color w:val="auto"/>
        </w:rPr>
        <w:t>Our 2017 guidance range above for earnings per diluted share and FFO per diluted share reflects the following long term value creation initiatives which have a significant negative impact to projected 2017 earnings. The amounts provided are estimates given only to provide some context to understand our 2017 guidance and does not include all items which impact 2017 guidance. The actual impact to 2017 earnings from these items may be higher or lower than set forth below. Amounts are shown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6350</wp:posOffset>
            </wp:positionV>
            <wp:extent cx="17322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8"/>
          <w:szCs w:val="18"/>
          <w:b w:val="1"/>
          <w:bCs w:val="1"/>
          <w:color w:val="auto"/>
        </w:rPr>
        <w:t>Impact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36830</wp:posOffset>
            </wp:positionV>
            <wp:extent cx="17322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04" w:lineRule="exact"/>
        <w:rPr>
          <w:sz w:val="20"/>
          <w:szCs w:val="20"/>
          <w:color w:val="auto"/>
        </w:rPr>
      </w:pPr>
    </w:p>
    <w:p>
      <w:pPr>
        <w:ind w:left="9160"/>
        <w:spacing w:after="0"/>
        <w:tabs>
          <w:tab w:leader="none" w:pos="10600" w:val="left"/>
        </w:tabs>
        <w:rPr>
          <w:sz w:val="20"/>
          <w:szCs w:val="20"/>
          <w:color w:val="auto"/>
        </w:rPr>
      </w:pPr>
      <w:r>
        <w:rPr>
          <w:rFonts w:ascii="Times New Roman" w:cs="Times New Roman" w:eastAsia="Times New Roman" w:hAnsi="Times New Roman"/>
          <w:sz w:val="18"/>
          <w:szCs w:val="18"/>
          <w:color w:val="auto"/>
        </w:rPr>
        <w:t>Low</w:t>
      </w:r>
      <w:r>
        <w:rPr>
          <w:sz w:val="20"/>
          <w:szCs w:val="20"/>
          <w:color w:val="auto"/>
        </w:rPr>
        <w:tab/>
      </w:r>
      <w:r>
        <w:rPr>
          <w:rFonts w:ascii="Times New Roman" w:cs="Times New Roman" w:eastAsia="Times New Roman" w:hAnsi="Times New Roman"/>
          <w:sz w:val="18"/>
          <w:szCs w:val="18"/>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3" w:lineRule="exact"/>
        <w:rPr>
          <w:sz w:val="20"/>
          <w:szCs w:val="20"/>
          <w:color w:val="auto"/>
        </w:rPr>
      </w:pPr>
    </w:p>
    <w:p>
      <w:pPr>
        <w:ind w:left="40"/>
        <w:spacing w:after="0"/>
        <w:tabs>
          <w:tab w:leader="none" w:pos="8700" w:val="left"/>
          <w:tab w:leader="none" w:pos="9440" w:val="left"/>
          <w:tab w:leader="none" w:pos="10180" w:val="left"/>
          <w:tab w:leader="none" w:pos="10920" w:val="left"/>
        </w:tabs>
        <w:rPr>
          <w:sz w:val="20"/>
          <w:szCs w:val="20"/>
          <w:color w:val="auto"/>
        </w:rPr>
      </w:pPr>
      <w:r>
        <w:rPr>
          <w:rFonts w:ascii="Times New Roman" w:cs="Times New Roman" w:eastAsia="Times New Roman" w:hAnsi="Times New Roman"/>
          <w:sz w:val="18"/>
          <w:szCs w:val="18"/>
          <w:b w:val="1"/>
          <w:bCs w:val="1"/>
          <w:color w:val="auto"/>
        </w:rPr>
        <w:t>Impact of Excess Anchor Vacancy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(0.06)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(0.07)</w:t>
      </w:r>
    </w:p>
    <w:p>
      <w:pPr>
        <w:spacing w:after="0" w:line="243" w:lineRule="exact"/>
        <w:rPr>
          <w:sz w:val="20"/>
          <w:szCs w:val="20"/>
          <w:color w:val="auto"/>
        </w:rPr>
      </w:pPr>
    </w:p>
    <w:p>
      <w:pPr>
        <w:ind w:left="40" w:right="100"/>
        <w:spacing w:after="0" w:line="261" w:lineRule="auto"/>
        <w:rPr>
          <w:sz w:val="20"/>
          <w:szCs w:val="20"/>
          <w:color w:val="auto"/>
        </w:rPr>
      </w:pPr>
      <w:r>
        <w:rPr>
          <w:rFonts w:ascii="Times New Roman" w:cs="Times New Roman" w:eastAsia="Times New Roman" w:hAnsi="Times New Roman"/>
          <w:sz w:val="18"/>
          <w:szCs w:val="18"/>
          <w:color w:val="auto"/>
        </w:rPr>
        <w:t xml:space="preserve">As a result of both proactive lease buyouts and recent bankruptcies, anchor and near anchor tenant vacancy in the portfolio is nearly 2% higher than our historical normalized levels. This </w:t>
      </w:r>
      <w:r>
        <w:rPr>
          <w:rFonts w:ascii="Times New Roman" w:cs="Times New Roman" w:eastAsia="Times New Roman" w:hAnsi="Times New Roman"/>
          <w:sz w:val="18"/>
          <w:szCs w:val="18"/>
          <w:u w:val="single" w:color="auto"/>
          <w:color w:val="auto"/>
        </w:rPr>
        <w:t>incremental</w:t>
      </w:r>
      <w:r>
        <w:rPr>
          <w:rFonts w:ascii="Times New Roman" w:cs="Times New Roman" w:eastAsia="Times New Roman" w:hAnsi="Times New Roman"/>
          <w:sz w:val="18"/>
          <w:szCs w:val="18"/>
          <w:color w:val="auto"/>
        </w:rPr>
        <w:t xml:space="preserve"> anchor vacancy adversely impacts our 2017 earnings by approximately $0.06 to $0.07 per diluted share. Specific examples of this unusual level of anchor vacancy are: A&amp;P at Brick Plaza, Melville Mall and Troy Hills; The Sports Authority at Assembly Square, Brick Plaza and Crow Canyon; Hudson Trail at Montrose Crossing and AC Moore at Assembly Square.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0" w:lineRule="exact"/>
        <w:rPr>
          <w:sz w:val="20"/>
          <w:szCs w:val="20"/>
          <w:color w:val="auto"/>
        </w:rPr>
      </w:pPr>
    </w:p>
    <w:p>
      <w:pPr>
        <w:ind w:left="40"/>
        <w:spacing w:after="0"/>
        <w:tabs>
          <w:tab w:leader="none" w:pos="8700" w:val="left"/>
          <w:tab w:leader="none" w:pos="9440" w:val="left"/>
          <w:tab w:leader="none" w:pos="10180" w:val="left"/>
          <w:tab w:leader="none" w:pos="10920" w:val="left"/>
        </w:tabs>
        <w:rPr>
          <w:sz w:val="20"/>
          <w:szCs w:val="20"/>
          <w:color w:val="auto"/>
        </w:rPr>
      </w:pPr>
      <w:r>
        <w:rPr>
          <w:rFonts w:ascii="Times New Roman" w:cs="Times New Roman" w:eastAsia="Times New Roman" w:hAnsi="Times New Roman"/>
          <w:sz w:val="18"/>
          <w:szCs w:val="18"/>
          <w:b w:val="1"/>
          <w:bCs w:val="1"/>
          <w:color w:val="auto"/>
        </w:rPr>
        <w:t>Impact of Development/Redevelopment Value Creation Initiatives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(0.06)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(0.10)</w:t>
      </w:r>
    </w:p>
    <w:p>
      <w:pPr>
        <w:spacing w:after="0" w:line="243" w:lineRule="exact"/>
        <w:rPr>
          <w:sz w:val="20"/>
          <w:szCs w:val="20"/>
          <w:color w:val="auto"/>
        </w:rPr>
      </w:pPr>
    </w:p>
    <w:p>
      <w:pPr>
        <w:ind w:left="40" w:right="40"/>
        <w:spacing w:after="0" w:line="255" w:lineRule="auto"/>
        <w:rPr>
          <w:sz w:val="20"/>
          <w:szCs w:val="20"/>
          <w:color w:val="auto"/>
        </w:rPr>
      </w:pPr>
      <w:r>
        <w:rPr>
          <w:rFonts w:ascii="Times New Roman" w:cs="Times New Roman" w:eastAsia="Times New Roman" w:hAnsi="Times New Roman"/>
          <w:sz w:val="18"/>
          <w:szCs w:val="18"/>
          <w:color w:val="auto"/>
        </w:rPr>
        <w:t>During the latter half of 2017, we anticipate delivering approximately 80% of the 719 residential units being developed as part of Phase 2 of each of Pike &amp; Rose and Assembly Row (with the balance of the units delivered in 2018). As is typical with the delivery and lease-up of large residential developments, these projects will operate at a loss during 2017, their initial year of opening and lease-up, as operating costs, marketing costs and interest expense will exceed revenue. Additionally, assuming we obtain internal approval to proceed with our currently contemplated redevelopment plan, we expect to commence redevelopment of a portion of CocoWalk in mid to late 2017. The costs of repositioning the asset and the impact on revenues of our redevelopment activities at both of our 2015 Miami acquisition properties will be dilutive relative to 2016. The expected dilutive impact of these initiatives to 2017 is $0.06 to $0.10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9" w:lineRule="exact"/>
        <w:rPr>
          <w:sz w:val="20"/>
          <w:szCs w:val="20"/>
          <w:color w:val="auto"/>
        </w:rPr>
      </w:pPr>
    </w:p>
    <w:p>
      <w:pPr>
        <w:ind w:left="40"/>
        <w:spacing w:after="0"/>
        <w:tabs>
          <w:tab w:leader="none" w:pos="8700" w:val="left"/>
          <w:tab w:leader="none" w:pos="9440" w:val="left"/>
          <w:tab w:leader="none" w:pos="10180" w:val="left"/>
          <w:tab w:leader="none" w:pos="10920" w:val="left"/>
        </w:tabs>
        <w:rPr>
          <w:sz w:val="20"/>
          <w:szCs w:val="20"/>
          <w:color w:val="auto"/>
        </w:rPr>
      </w:pPr>
      <w:r>
        <w:rPr>
          <w:rFonts w:ascii="Times New Roman" w:cs="Times New Roman" w:eastAsia="Times New Roman" w:hAnsi="Times New Roman"/>
          <w:sz w:val="18"/>
          <w:szCs w:val="18"/>
          <w:b w:val="1"/>
          <w:bCs w:val="1"/>
          <w:color w:val="auto"/>
        </w:rPr>
        <w:t>Impact of Slower Pike &amp; Rose Maturation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(0.06)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(0.08)</w:t>
      </w:r>
    </w:p>
    <w:p>
      <w:pPr>
        <w:spacing w:after="0" w:line="243" w:lineRule="exact"/>
        <w:rPr>
          <w:sz w:val="20"/>
          <w:szCs w:val="20"/>
          <w:color w:val="auto"/>
        </w:rPr>
      </w:pPr>
    </w:p>
    <w:p>
      <w:pPr>
        <w:ind w:left="40" w:right="80"/>
        <w:spacing w:after="0" w:line="282" w:lineRule="auto"/>
        <w:rPr>
          <w:sz w:val="20"/>
          <w:szCs w:val="20"/>
          <w:color w:val="auto"/>
        </w:rPr>
      </w:pPr>
      <w:r>
        <w:rPr>
          <w:rFonts w:ascii="Times New Roman" w:cs="Times New Roman" w:eastAsia="Times New Roman" w:hAnsi="Times New Roman"/>
          <w:sz w:val="18"/>
          <w:szCs w:val="18"/>
          <w:color w:val="auto"/>
        </w:rPr>
        <w:t>Given the current supply imbalance in Montgomery County Maryland and ongoing disruption due to Phase 2 construction, we now expect Phase 1 of Pike &amp; Rose to achieve economic stabilization in 2019 at a return on cost range of 6-7%.</w:t>
      </w:r>
    </w:p>
    <w:p>
      <w:pPr>
        <w:sectPr>
          <w:pgSz w:w="11900" w:h="16838" w:orient="portrait"/>
          <w:cols w:equalWidth="0" w:num="1">
            <w:col w:w="11420"/>
          </w:cols>
          <w:pgMar w:left="240" w:top="738" w:right="239" w:bottom="968"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738" w:right="239" w:bottom="968"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25"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Adjusted EBITDA is a non-GAAP measure that means net income or loss plus depreciation and amortization, net interest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and nine months ended September 30, 2016 and 2015 is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2180" w:type="dxa"/>
            <w:vAlign w:val="bottom"/>
            <w:gridSpan w:val="4"/>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75"/>
        </w:trPr>
        <w:tc>
          <w:tcPr>
            <w:tcW w:w="60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23"/>
                <w:szCs w:val="23"/>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61,198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54,550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199,159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148,426</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48,903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43,718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145,137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128,373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24,313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21,733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71,143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69,346</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Early extinguishment of debt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19,072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interest income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134,309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119,995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415,154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365,108</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(11,509)</w:t>
            </w:r>
          </w:p>
        </w:tc>
      </w:tr>
      <w:tr>
        <w:trPr>
          <w:trHeight w:val="257"/>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129,364</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119,995</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382,696</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353,599</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Funds From Operations (FFO): </w:t>
      </w:r>
      <w:r>
        <w:rPr>
          <w:rFonts w:ascii="Times New Roman" w:cs="Times New Roman" w:eastAsia="Times New Roman" w:hAnsi="Times New Roman"/>
          <w:sz w:val="18"/>
          <w:szCs w:val="18"/>
          <w:color w:val="auto"/>
        </w:rPr>
        <w:t>FFO is a supplemental measure of real estate companies' operating performances. The National Association of Real Estate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Trusts (“NAREIT”) defines FFO as follows: net income, computed in accordance with GAAP plus real estate related depreciation and amortization and excluding extraordinary items,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Property Operating Income: </w:t>
      </w:r>
      <w:r>
        <w:rPr>
          <w:rFonts w:ascii="Times New Roman" w:cs="Times New Roman" w:eastAsia="Times New Roman" w:hAnsi="Times New Roman"/>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Overall Portfolio: </w:t>
      </w:r>
      <w:r>
        <w:rPr>
          <w:rFonts w:ascii="Times New Roman" w:cs="Times New Roman" w:eastAsia="Times New Roman" w:hAnsi="Times New Roman"/>
          <w:sz w:val="18"/>
          <w:szCs w:val="18"/>
          <w:color w:val="auto"/>
        </w:rPr>
        <w:t>Includes all operating properties owned and consolidated in reporting period.</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Same Center: </w:t>
      </w:r>
      <w:r>
        <w:rPr>
          <w:rFonts w:ascii="Times New Roman" w:cs="Times New Roman" w:eastAsia="Times New Roman" w:hAnsi="Times New Roman"/>
          <w:sz w:val="18"/>
          <w:szCs w:val="18"/>
          <w:color w:val="auto"/>
        </w:rPr>
        <w:t>Information provided on a same center basis is provided for only those properties that were owned, operated, and consolidated for the entirety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both periods being compared, excludes properties that were redeveloped, expanded or under development, unconsolidated properties, and properties purchased or sold at any time during the periods being compared. Same Center growth statistics are calculated on a GAAP basis.</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Tenant Improvements and Incentives: </w:t>
      </w:r>
      <w:r>
        <w:rPr>
          <w:rFonts w:ascii="Times New Roman" w:cs="Times New Roman" w:eastAsia="Times New Roman" w:hAnsi="Times New Roman"/>
          <w:sz w:val="18"/>
          <w:szCs w:val="18"/>
          <w:color w:val="auto"/>
        </w:rPr>
        <w:t>Represents not only the total dollars committed for the improvement (fit-out) of a space as it relates to a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2019-12-29T09:44:27Z</dcterms:created>
  <dcterms:modified xsi:type="dcterms:W3CDTF">2019-12-29T09:44:27Z</dcterms:modified>
</cp:coreProperties>
</file>