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April 12, 2013</w:t>
      </w:r>
    </w:p>
    <w:p>
      <w:pPr>
        <w:spacing w:after="0" w:line="21" w:lineRule="exact"/>
        <w:rPr>
          <w:sz w:val="24"/>
          <w:szCs w:val="24"/>
          <w:color w:val="auto"/>
        </w:rPr>
      </w:pPr>
    </w:p>
    <w:p>
      <w:pPr>
        <w:ind w:left="92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-17780</wp:posOffset>
            </wp:positionV>
            <wp:extent cx="362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UNDER</w:t>
      </w: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3940" w:type="dxa"/>
            <w:vAlign w:val="bottom"/>
          </w:tcPr>
          <w:p>
            <w:pPr>
              <w:jc w:val="center"/>
              <w:ind w:right="2106"/>
              <w:spacing w:after="0"/>
              <w:rPr>
                <w:sz w:val="20"/>
                <w:szCs w:val="20"/>
                <w:color w:val="auto"/>
              </w:rPr>
            </w:pPr>
            <w:r>
              <w:rPr>
                <w:rFonts w:ascii="Arial" w:cs="Arial" w:eastAsia="Arial" w:hAnsi="Arial"/>
                <w:sz w:val="18"/>
                <w:szCs w:val="18"/>
                <w:b w:val="1"/>
                <w:bCs w:val="1"/>
                <w:color w:val="auto"/>
                <w:w w:val="96"/>
              </w:rPr>
              <w:t>Maryland</w:t>
            </w:r>
          </w:p>
        </w:tc>
        <w:tc>
          <w:tcPr>
            <w:tcW w:w="3240" w:type="dxa"/>
            <w:vAlign w:val="bottom"/>
          </w:tcPr>
          <w:p>
            <w:pPr>
              <w:jc w:val="center"/>
              <w:ind w:left="208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3940" w:type="dxa"/>
            <w:vAlign w:val="bottom"/>
          </w:tcPr>
          <w:p>
            <w:pPr>
              <w:jc w:val="center"/>
              <w:ind w:right="210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240" w:type="dxa"/>
            <w:vAlign w:val="bottom"/>
          </w:tcPr>
          <w:p>
            <w:pPr>
              <w:jc w:val="center"/>
              <w:ind w:left="2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40" w:type="dxa"/>
            <w:vAlign w:val="bottom"/>
          </w:tcPr>
          <w:p>
            <w:pPr>
              <w:jc w:val="center"/>
              <w:ind w:right="2106"/>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6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Jeffrey B. Grill,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Eric M. Green,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26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55"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440" w:gutter="0" w:footer="0" w:header="0"/>
        </w:sectPr>
      </w:pPr>
    </w:p>
    <w:bookmarkStart w:id="1" w:name="page2"/>
    <w:bookmarkEnd w:id="1"/>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56" w:lineRule="exact"/>
        <w:rPr>
          <w:sz w:val="20"/>
          <w:szCs w:val="20"/>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56" w:lineRule="exact"/>
        <w:rPr>
          <w:sz w:val="20"/>
          <w:szCs w:val="20"/>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4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7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50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5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460" w:type="dxa"/>
            <w:vAlign w:val="bottom"/>
            <w:tcBorders>
              <w:right w:val="single" w:sz="8" w:color="auto"/>
            </w:tcBorders>
          </w:tcPr>
          <w:p>
            <w:pPr>
              <w:jc w:val="center"/>
              <w:ind w:left="14"/>
              <w:spacing w:after="0" w:line="117" w:lineRule="exact"/>
              <w:rPr>
                <w:sz w:val="20"/>
                <w:szCs w:val="20"/>
                <w:color w:val="auto"/>
              </w:rPr>
            </w:pPr>
            <w:r>
              <w:rPr>
                <w:rFonts w:ascii="Arial" w:cs="Arial" w:eastAsia="Arial" w:hAnsi="Arial"/>
                <w:sz w:val="12"/>
                <w:szCs w:val="12"/>
                <w:b w:val="1"/>
                <w:bCs w:val="1"/>
                <w:color w:val="auto"/>
                <w:w w:val="97"/>
              </w:rPr>
              <w:t>Proposed</w:t>
            </w:r>
          </w:p>
        </w:tc>
        <w:tc>
          <w:tcPr>
            <w:tcW w:w="14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5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48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4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46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83"/>
              </w:rPr>
              <w:t>Aggregate</w:t>
            </w:r>
          </w:p>
        </w:tc>
        <w:tc>
          <w:tcPr>
            <w:tcW w:w="146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Securities to be Registered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Registered(1)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Unit(1)</w:t>
            </w:r>
          </w:p>
        </w:tc>
        <w:tc>
          <w:tcPr>
            <w:tcW w:w="14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Offering Price(1)</w:t>
            </w:r>
          </w:p>
        </w:tc>
        <w:tc>
          <w:tcPr>
            <w:tcW w:w="14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8"/>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w:t>
            </w:r>
          </w:p>
        </w:tc>
        <w:tc>
          <w:tcPr>
            <w:tcW w:w="1500" w:type="dxa"/>
            <w:vAlign w:val="bottom"/>
            <w:tcBorders>
              <w:bottom w:val="single" w:sz="8" w:color="auto"/>
              <w:right w:val="single" w:sz="8" w:color="auto"/>
            </w:tcBorders>
          </w:tcPr>
          <w:p>
            <w:pPr>
              <w:jc w:val="right"/>
              <w:ind w:right="367"/>
              <w:spacing w:after="0"/>
              <w:rPr>
                <w:sz w:val="20"/>
                <w:szCs w:val="20"/>
                <w:color w:val="auto"/>
              </w:rPr>
            </w:pPr>
            <w:r>
              <w:rPr>
                <w:rFonts w:ascii="Arial" w:cs="Arial" w:eastAsia="Arial" w:hAnsi="Arial"/>
                <w:sz w:val="18"/>
                <w:szCs w:val="18"/>
                <w:color w:val="auto"/>
              </w:rPr>
              <w:t>268,420</w:t>
            </w: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color w:val="auto"/>
                <w:w w:val="79"/>
              </w:rPr>
              <w:t>$0</w:t>
            </w: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240" w:hanging="452"/>
        <w:spacing w:after="0" w:line="29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common shares of beneficial interest being registered pursuant to this registration statement consist entirely of unsold common shares of beneficial interest that were previously registered on automatic shelf registration statements on Form S-3 (File Nos. 333-142231 and 333-166060), filed with the Securities and Exchange Commission on April 19, 2007 and April 14, 2010, respectively (collectively, the “Prior Registration Statement”). Pursuant to Rule 415(a)(6) under the Securities Act of 1933, as amended, the filing fee of $3,258.42 paid by the registrant in connection with the Prior Registration Statement shall be applied to the common shares of beneficial interest that were previously registered and unsold under the Prior Registration Statement. Accordingly, there is no registration fee due in connection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194945</wp:posOffset>
            </wp:positionV>
            <wp:extent cx="2160905" cy="82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090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268,420 Common Shares of Beneficial Interest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 value $0.01 per share)</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relates to the offer and sale from time to time by the selling shareholders of up to 268,420 of our common shares of beneficial interest, par value $0.01 per share, which we refer to as our common shares, comprised of common shares (i) issuable upon conversion of our 5.417% Series 1 Cumulative Convertible Preferred Shares of Beneficial Interest, par value $0.01 per share and liquidation preference $25.00 per share, which we refer to as our preferred shares, if and to the extent that selling shareholders tender preferred shares for conversion and offer or sell any of the common shares issued in respect thereof, and (ii) issuable upon redemption of units of limited liability company interest in NVI-Avenue, LLC, our consolidated subsidiary, which we refer to as downREIT units, if and to the extent that redeeming unitholders tender downREIT units for redemption, receive common shares for such redemption and offer or sell any of the common shares issued in respect thereof. We will not receive any proceeds from the sale of the offered shares by the selling shareholders.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8, 2007, we acquired various real properties for aggregate consideration of approximately $189.0 million, part of which consideration consisted of the issuance of (i) 884,066 common shares, (ii) 399,896 preferred shares and (iii) 185,504 downREIT units.</w:t>
      </w:r>
    </w:p>
    <w:p>
      <w:pPr>
        <w:spacing w:after="0" w:line="132"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Beginning on March 8, 2007, the holders of preferred shares may convert their outstanding preferred shares into a number of common shares determined by dividing (A) the product obtained by multiplying: (i) the number of preferred shares being converted by (ii) the liquidation price of $25.00 per preferred share; by (B) the optional conversion price (which conversion price is calculated as provided for in the Articles Supplementary Establishing and Fixing the Rights and Preferences of the preferred shares, which we refer to as the Articles Supplementary) as in effect immediately prior to the close of business on the date of conversion. Holder conversions are subject to (a) limitations on real estate investment trust share ownership, (b) a minimum conversion amount, (c) conversion frequency limits and (d) black-out periods after public offerings of the registrant. At any time after March 8, 2007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(A) the product obtained by multiplying: (i) the number of preferred shares being converted by (ii) the liquidation price of $25.00 per preferred share; by (B)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11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members of NVI-Avenue, LLC have the right to require NVI-Avenue, LLC to redeem their downREIT units for cash beginning on the earlier of March 8, 2008 or the date of an extraordinary transaction (as such term is defined in NVI-Avenue, LLC’s constituent documents), by issuing a notice of redemption to NVI-Avenue, LLC; within 20 days after NVI-Avenue, LLC receives such a notice of redemption, the registrant may elect to acquire the tendered units in exchange for cash or common shares, at the registrant’s election.</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registering the common shares being offered by this prospectus pursuant to contractual obligations under a registration rights agreement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will pay all expenses incident to the registration of the 268,420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40"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Our common shares are listed on the New York Stock Exchange under the symbol “FRT.” On April 11, 2013, the last reported sales price of our common shares, as reported on the New York Stock Exchange, was $112.94 per share.</w:t>
      </w:r>
    </w:p>
    <w:p>
      <w:pPr>
        <w:spacing w:after="0" w:line="126"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Please read this prospectus and the applicable supplement carefully before you invest. Investing in our common shares involves risks. See “Risk Factors” beginning on page 7 of our Annual Report on Form 10-K for the fiscal year ended December 31, 2012, and on page 1 of this prospectus, for risks relating to an investment in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179070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date of this prospectus is April 12, 2013</w:t>
      </w:r>
    </w:p>
    <w:p>
      <w:pPr>
        <w:sectPr>
          <w:pgSz w:w="11900" w:h="16838" w:orient="portrait"/>
          <w:cols w:equalWidth="0" w:num="1">
            <w:col w:w="11400"/>
          </w:cols>
          <w:pgMar w:left="240" w:top="459"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1"/>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Forward-Looking Information</w:t>
              </w:r>
            </w:hyperlink>
          </w:p>
        </w:tc>
        <w:tc>
          <w:tcPr>
            <w:tcW w:w="1820" w:type="dxa"/>
            <w:vAlign w:val="bottom"/>
            <w:gridSpan w:val="3"/>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3060" w:type="dxa"/>
            <w:vAlign w:val="bottom"/>
            <w:gridSpan w:val="8"/>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Trust</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Selling Shareholders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50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selling shareholders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References to “we,” “us” or “our” refer to Federal Realty Investment Trust and its directly or indirectly owned subsidiaries, unless the context otherwise requires. References to the “Trust” refer to Federal Realty Investment Trust. The term “you” refers to a prospective investor.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information, or to publicly release the results if we revise any of them.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2012,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Federal Realty Investment Trust is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2012, we owned or had a majority interest in community and neighborhood shopping centers and mixed-use properties which are operated as 88 predominantly retail real estate projects comprising approximately 19.6 million square feet. In total, the real estate projects were 95.3% leased and 94.9% occupied at December 31, 2012. A joint venture in which we own a 30% interest owned seven retail real estate projects totaling approximately 1.0 million square feet as of December 31, 2012. In total, the joint venture properties in which we own an interest were 86.3% leased and 86.1% occupied at December 31, 2012. We have paid quarterly dividends to our shareholders continuously since our founding in 1962 and have increased our dividends per common share for 45 consecutive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www.federalrealty.com. The information contained on our website is not a part of this prospectus and is not incorporated herein by reference.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not receive any proceeds from the sale of the offered shares by the selling shareholders.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selling shareholders hold an aggregate of 399,896 preferred shares and 172,925 downREIT units, which they acquired on March 8, 2007 in exchange for their interests in certain entities owning real properties. We may issue the offered common shares to the selling shareholders in exchange for (i) the preferred shares if and to the extent that the selling shareholders tender their preferred shares for conversion, and (ii) the downREIT units if and to the extent that the selling shareholders tender their downREIT units for redemption. The common shares offered by this prospectus may be offered from time to time by the selling shareholders named below and by any additional selling shareholders who may be named in a supplement to this prospectus. In addition, the common shares covered by this prospectus may be sold by any permissible transferees who receive common shares, preferred shares or downREIT units from the selling shareholders listed below. The following table sets forth the name of each selling shareholder and the number of our common shares that may be offered by each selling shareholder.</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None of the selling shareholders has had any position, office or other material relationship with us, or any of our predecessors or affiliates, during the past three years. Since the selling shareholders may sell all, some or none of the offered common shares covered by this prospectus, no estimate can be made of the number of common shares that will be sold by the selling shareholders pursuant to this prospectus or that will be owned by the selling shareholders upon completion of the offering. The aggregate number of common shares set forth in the table below (which number assumes the conversion (upon the election of the preferred shareholders) of all outstanding preferred shares and the redemption (upon the election of the downREIT holders and the election of the registrant to acquire all tendered downREIT units in exchange for common shares) of all outstanding downREIT units owned by all of the selling shareholders as of the date hereof, at the conversion price and redemption price in effect as of the date hereof) represents 0.411% of the total number of our common shares outstanding as of April 11, 2013.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1"/>
              </w:rPr>
              <w:t>Number of</w:t>
            </w:r>
          </w:p>
        </w:tc>
        <w:tc>
          <w:tcPr>
            <w:tcW w:w="18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Number of</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Shareholder</w:t>
            </w:r>
          </w:p>
        </w:tc>
        <w:tc>
          <w:tcPr>
            <w:tcW w:w="214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22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2"/>
              </w:rPr>
              <w:t>Being</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226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89"/>
              </w:rPr>
              <w:t>Prior to Offering (1)</w:t>
            </w:r>
          </w:p>
        </w:tc>
        <w:tc>
          <w:tcPr>
            <w:tcW w:w="186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90"/>
              </w:rPr>
              <w:t>Offered (2)</w:t>
            </w:r>
          </w:p>
        </w:tc>
        <w:tc>
          <w:tcPr>
            <w:tcW w:w="13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After the Offering (3)</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 Thomas Campbell</w:t>
            </w:r>
          </w:p>
        </w:tc>
        <w:tc>
          <w:tcPr>
            <w:tcW w:w="20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vMerge w:val="continue"/>
            <w:shd w:val="clear" w:color="auto" w:fill="CCEEFF"/>
          </w:tcPr>
          <w:p>
            <w:pPr>
              <w:spacing w:after="0"/>
              <w:rPr>
                <w:sz w:val="17"/>
                <w:szCs w:val="17"/>
                <w:color w:val="auto"/>
              </w:rPr>
            </w:pPr>
          </w:p>
        </w:tc>
        <w:tc>
          <w:tcPr>
            <w:tcW w:w="2060" w:type="dxa"/>
            <w:vAlign w:val="bottom"/>
            <w:vMerge w:val="continue"/>
            <w:shd w:val="clear" w:color="auto" w:fill="CCEEFF"/>
          </w:tcPr>
          <w:p>
            <w:pPr>
              <w:spacing w:after="0"/>
              <w:rPr>
                <w:sz w:val="17"/>
                <w:szCs w:val="17"/>
                <w:color w:val="auto"/>
              </w:rPr>
            </w:pPr>
          </w:p>
        </w:tc>
        <w:tc>
          <w:tcPr>
            <w:tcW w:w="2260" w:type="dxa"/>
            <w:vAlign w:val="bottom"/>
            <w:gridSpan w:val="2"/>
            <w:shd w:val="clear" w:color="auto" w:fill="CCEEFF"/>
          </w:tcPr>
          <w:p>
            <w:pPr>
              <w:jc w:val="right"/>
              <w:ind w:right="880"/>
              <w:spacing w:after="0" w:line="203" w:lineRule="exact"/>
              <w:rPr>
                <w:sz w:val="20"/>
                <w:szCs w:val="20"/>
                <w:color w:val="auto"/>
              </w:rPr>
            </w:pPr>
            <w:r>
              <w:rPr>
                <w:rFonts w:ascii="Arial" w:cs="Arial" w:eastAsia="Arial" w:hAnsi="Arial"/>
                <w:sz w:val="18"/>
                <w:szCs w:val="18"/>
                <w:color w:val="auto"/>
              </w:rPr>
              <w:t>5,306(4)</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5,306</w:t>
            </w:r>
          </w:p>
        </w:tc>
        <w:tc>
          <w:tcPr>
            <w:tcW w:w="90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Bruce S. Campbell, III</w:t>
            </w:r>
          </w:p>
        </w:tc>
        <w:tc>
          <w:tcPr>
            <w:tcW w:w="4320" w:type="dxa"/>
            <w:vAlign w:val="bottom"/>
            <w:gridSpan w:val="3"/>
          </w:tcPr>
          <w:p>
            <w:pPr>
              <w:jc w:val="right"/>
              <w:ind w:right="880"/>
              <w:spacing w:after="0"/>
              <w:rPr>
                <w:sz w:val="20"/>
                <w:szCs w:val="20"/>
                <w:color w:val="auto"/>
              </w:rPr>
            </w:pPr>
            <w:r>
              <w:rPr>
                <w:rFonts w:ascii="Arial" w:cs="Arial" w:eastAsia="Arial" w:hAnsi="Arial"/>
                <w:sz w:val="18"/>
                <w:szCs w:val="18"/>
                <w:color w:val="auto"/>
              </w:rPr>
              <w:t>16,780(5)</w:t>
            </w:r>
          </w:p>
        </w:tc>
        <w:tc>
          <w:tcPr>
            <w:tcW w:w="960" w:type="dxa"/>
            <w:vAlign w:val="bottom"/>
          </w:tcPr>
          <w:p>
            <w:pPr>
              <w:jc w:val="right"/>
              <w:spacing w:after="0"/>
              <w:rPr>
                <w:sz w:val="20"/>
                <w:szCs w:val="20"/>
                <w:color w:val="auto"/>
              </w:rPr>
            </w:pPr>
            <w:r>
              <w:rPr>
                <w:rFonts w:ascii="Arial" w:cs="Arial" w:eastAsia="Arial" w:hAnsi="Arial"/>
                <w:sz w:val="18"/>
                <w:szCs w:val="18"/>
                <w:color w:val="auto"/>
              </w:rPr>
              <w:t>16,780</w:t>
            </w:r>
          </w:p>
        </w:tc>
        <w:tc>
          <w:tcPr>
            <w:tcW w:w="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S. Campbell, IV</w:t>
            </w:r>
          </w:p>
        </w:tc>
        <w:tc>
          <w:tcPr>
            <w:tcW w:w="43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1,025(6)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Carol C. Haislip</w:t>
            </w:r>
          </w:p>
        </w:tc>
        <w:tc>
          <w:tcPr>
            <w:tcW w:w="4320" w:type="dxa"/>
            <w:vAlign w:val="bottom"/>
            <w:gridSpan w:val="3"/>
          </w:tcPr>
          <w:p>
            <w:pPr>
              <w:jc w:val="right"/>
              <w:ind w:right="880"/>
              <w:spacing w:after="0"/>
              <w:rPr>
                <w:sz w:val="20"/>
                <w:szCs w:val="20"/>
                <w:color w:val="auto"/>
              </w:rPr>
            </w:pPr>
            <w:r>
              <w:rPr>
                <w:rFonts w:ascii="Arial" w:cs="Arial" w:eastAsia="Arial" w:hAnsi="Arial"/>
                <w:sz w:val="18"/>
                <w:szCs w:val="18"/>
                <w:color w:val="auto"/>
              </w:rPr>
              <w:t>5,306(7)</w:t>
            </w:r>
          </w:p>
        </w:tc>
        <w:tc>
          <w:tcPr>
            <w:tcW w:w="960" w:type="dxa"/>
            <w:vAlign w:val="bottom"/>
          </w:tcPr>
          <w:p>
            <w:pPr>
              <w:jc w:val="right"/>
              <w:spacing w:after="0"/>
              <w:rPr>
                <w:sz w:val="20"/>
                <w:szCs w:val="20"/>
                <w:color w:val="auto"/>
              </w:rPr>
            </w:pPr>
            <w:r>
              <w:rPr>
                <w:rFonts w:ascii="Arial" w:cs="Arial" w:eastAsia="Arial" w:hAnsi="Arial"/>
                <w:sz w:val="18"/>
                <w:szCs w:val="18"/>
                <w:color w:val="auto"/>
              </w:rPr>
              <w:t>5,306</w:t>
            </w:r>
          </w:p>
        </w:tc>
        <w:tc>
          <w:tcPr>
            <w:tcW w:w="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Caroline Campbell Hill</w:t>
            </w:r>
          </w:p>
        </w:tc>
        <w:tc>
          <w:tcPr>
            <w:tcW w:w="43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656(8)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Carolyn C. Beall</w:t>
            </w:r>
          </w:p>
        </w:tc>
        <w:tc>
          <w:tcPr>
            <w:tcW w:w="4320" w:type="dxa"/>
            <w:vAlign w:val="bottom"/>
            <w:gridSpan w:val="3"/>
          </w:tcPr>
          <w:p>
            <w:pPr>
              <w:jc w:val="right"/>
              <w:ind w:right="880"/>
              <w:spacing w:after="0"/>
              <w:rPr>
                <w:sz w:val="20"/>
                <w:szCs w:val="20"/>
                <w:color w:val="auto"/>
              </w:rPr>
            </w:pPr>
            <w:r>
              <w:rPr>
                <w:rFonts w:ascii="Arial" w:cs="Arial" w:eastAsia="Arial" w:hAnsi="Arial"/>
                <w:sz w:val="18"/>
                <w:szCs w:val="18"/>
                <w:color w:val="auto"/>
              </w:rPr>
              <w:t>9,004(9)</w:t>
            </w:r>
          </w:p>
        </w:tc>
        <w:tc>
          <w:tcPr>
            <w:tcW w:w="960" w:type="dxa"/>
            <w:vAlign w:val="bottom"/>
          </w:tcPr>
          <w:p>
            <w:pPr>
              <w:jc w:val="right"/>
              <w:spacing w:after="0"/>
              <w:rPr>
                <w:sz w:val="20"/>
                <w:szCs w:val="20"/>
                <w:color w:val="auto"/>
              </w:rPr>
            </w:pPr>
            <w:r>
              <w:rPr>
                <w:rFonts w:ascii="Arial" w:cs="Arial" w:eastAsia="Arial" w:hAnsi="Arial"/>
                <w:sz w:val="18"/>
                <w:szCs w:val="18"/>
                <w:color w:val="auto"/>
              </w:rPr>
              <w:t>7,332</w:t>
            </w:r>
          </w:p>
        </w:tc>
        <w:tc>
          <w:tcPr>
            <w:tcW w:w="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43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33,585(10)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6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Douglas Franklin Campbell</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7,121(11)</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6,020</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Gregg T. Campbell</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39,523(12)</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36,515</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3,008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Judith F. Campbell</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232(13)</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232</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Kathleen Campbell Ackerman</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656(14)</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656</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Madeline C. Modica</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10,021(15)</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7,679</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Marcie C. McHale</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7,110(16)</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6,020</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1,090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Robert Bruce Campbell</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7,177(17)</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7,177</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Russell Tyler Campbell</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7,121(18)</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6,020</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1,101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 James Campbell, Jr.</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5,849(19)</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5,306</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Sarah T. Campbell</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1,025(20)</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1,025</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Taber C. Hook</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9,007(21)</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9,007</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Thomas M. Campbell</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20,822(22)</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20,822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2,566(23)</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2,566</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08"/>
        </w:trPr>
        <w:tc>
          <w:tcPr>
            <w:tcW w:w="5660" w:type="dxa"/>
            <w:vAlign w:val="bottom"/>
          </w:tcPr>
          <w:p>
            <w:pPr>
              <w:spacing w:after="0"/>
              <w:rPr>
                <w:sz w:val="20"/>
                <w:szCs w:val="20"/>
                <w:color w:val="auto"/>
              </w:rPr>
            </w:pPr>
            <w:r>
              <w:rPr>
                <w:rFonts w:ascii="Arial" w:cs="Arial" w:eastAsia="Arial" w:hAnsi="Arial"/>
                <w:sz w:val="18"/>
                <w:szCs w:val="18"/>
                <w:color w:val="auto"/>
                <w:w w:val="88"/>
              </w:rPr>
              <w:t>Trustees of the Generation Skipping Transfer Tax Exempt Trust u/w of S. James</w:t>
            </w:r>
          </w:p>
        </w:tc>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660" w:type="dxa"/>
            <w:vAlign w:val="bottom"/>
          </w:tcPr>
          <w:p>
            <w:pPr>
              <w:ind w:left="220"/>
              <w:spacing w:after="0"/>
              <w:rPr>
                <w:sz w:val="20"/>
                <w:szCs w:val="20"/>
                <w:color w:val="auto"/>
              </w:rPr>
            </w:pPr>
            <w:r>
              <w:rPr>
                <w:rFonts w:ascii="Arial" w:cs="Arial" w:eastAsia="Arial" w:hAnsi="Arial"/>
                <w:sz w:val="18"/>
                <w:szCs w:val="18"/>
                <w:color w:val="auto"/>
              </w:rPr>
              <w:t>Campbell</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9,550(24)</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9,550</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25,467(25)</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25,467</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Paul D. Dollenberg, Jr.</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1,500(26)</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1,500</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Trustees of Trust No. 2 u/w Michael T. Campbell</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10,806(27)</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10,806</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Jamie N. Campbell</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1,542(28)</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1,542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Virginia T. Campbell</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6,136(29)</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6,136</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Kathleen B. Dollenberg</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1,201(30)</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1,201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Brett Campbell Alcarese</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1,756(31)</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1,756</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Kristin D. Chottiner</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3,548(32)</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3,548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4"/>
              </w:rPr>
              <w:t>Douglas F. Campbell, Custodian for Connor M. Campbell under OR-UGMA</w:t>
            </w:r>
          </w:p>
        </w:tc>
        <w:tc>
          <w:tcPr>
            <w:tcW w:w="30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386(33)</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w w:val="93"/>
              </w:rPr>
              <w:t>Douglas F. Campbell, Custodian for Mitchell W. Campbell under OR-UGMA</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386(34)</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386</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356"/>
        </w:trPr>
        <w:tc>
          <w:tcPr>
            <w:tcW w:w="5660" w:type="dxa"/>
            <w:vAlign w:val="bottom"/>
          </w:tcPr>
          <w:p>
            <w:pPr>
              <w:spacing w:after="0"/>
              <w:rPr>
                <w:sz w:val="24"/>
                <w:szCs w:val="24"/>
                <w:color w:val="auto"/>
              </w:rPr>
            </w:pPr>
          </w:p>
        </w:tc>
        <w:tc>
          <w:tcPr>
            <w:tcW w:w="3020" w:type="dxa"/>
            <w:vAlign w:val="bottom"/>
          </w:tcPr>
          <w:p>
            <w:pPr>
              <w:jc w:val="right"/>
              <w:ind w:right="2832"/>
              <w:spacing w:after="0"/>
              <w:rPr>
                <w:sz w:val="20"/>
                <w:szCs w:val="20"/>
                <w:color w:val="auto"/>
              </w:rPr>
            </w:pPr>
            <w:r>
              <w:rPr>
                <w:rFonts w:ascii="Arial" w:cs="Arial" w:eastAsia="Arial" w:hAnsi="Arial"/>
                <w:sz w:val="18"/>
                <w:szCs w:val="18"/>
                <w:color w:val="auto"/>
                <w:w w:val="79"/>
              </w:rPr>
              <w:t>3</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Douglas F. Campbell, Custodian for Sarah A. Campbell under OR-UGMA</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386(35)</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386</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 Mills Dancy</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348(36)</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348</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George Beall</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174(37)</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174</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James C. Alban, IV</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348(38)</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348</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Jesse R. Modica</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348(39)</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348</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Jessica C. Hughes</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9,647(40)</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9,647</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 Custodian for Claire J. McHale under WA-UGMA</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386(41)</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386</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Marcie C. McHale, Custodian for Madeline C. McHale under WA-UGMA</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386(42)</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386</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 Custodian for Samuel H. McHale under WA-UGMA</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386(43)</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386</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Meredith McLean Alcarese</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1,756(44)</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1,756</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Mitchell W. Hook</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348(45)</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348</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Natal Modica</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348(46)</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348</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FR White Marsh, Inc.</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20(47)</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Richard E. Hook, IV</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174(48)</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174</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Russell T. Campbell, Custodian for Jessica J. Campbell under OR-UGMA</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290(49)</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290</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Russell T. Campbell, Custodian for Kelsey N. Campbell under OR-UGMA</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290(50)</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290</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Russell T. Campbell, Custodian for Lindsey M. Campbell under OR-UGMA</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290(51)</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290</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Russell T. Campbell, Custodian for Tyler W. Campbell under OR-UGMA</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290(52)</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290</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Trustees of Trust u/w Michael T. Campbell f/b/o Jamie N. Campbell</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8,991(53)</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8,991</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Trustees u/a dated 4/23/85 (Richard E. Hook, IV, Grantor)</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348(54)</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348</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Taber A. Frederick</w:t>
            </w:r>
          </w:p>
        </w:tc>
        <w:tc>
          <w:tcPr>
            <w:tcW w:w="24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348(55)</w:t>
            </w:r>
          </w:p>
        </w:tc>
        <w:tc>
          <w:tcPr>
            <w:tcW w:w="16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348</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P. Douglas Dollenberg, Sr.</w:t>
            </w:r>
          </w:p>
        </w:tc>
        <w:tc>
          <w:tcPr>
            <w:tcW w:w="2440" w:type="dxa"/>
            <w:vAlign w:val="bottom"/>
          </w:tcPr>
          <w:p>
            <w:pPr>
              <w:jc w:val="right"/>
              <w:ind w:right="512"/>
              <w:spacing w:after="0"/>
              <w:rPr>
                <w:sz w:val="20"/>
                <w:szCs w:val="20"/>
                <w:color w:val="auto"/>
              </w:rPr>
            </w:pPr>
            <w:r>
              <w:rPr>
                <w:rFonts w:ascii="Arial" w:cs="Arial" w:eastAsia="Arial" w:hAnsi="Arial"/>
                <w:sz w:val="18"/>
                <w:szCs w:val="18"/>
                <w:color w:val="auto"/>
              </w:rPr>
              <w:t>1,200(56)</w:t>
            </w:r>
          </w:p>
        </w:tc>
        <w:tc>
          <w:tcPr>
            <w:tcW w:w="1600" w:type="dxa"/>
            <w:vAlign w:val="bottom"/>
          </w:tcPr>
          <w:p>
            <w:pPr>
              <w:jc w:val="right"/>
              <w:ind w:right="532"/>
              <w:spacing w:after="0"/>
              <w:rPr>
                <w:sz w:val="20"/>
                <w:szCs w:val="20"/>
                <w:color w:val="auto"/>
              </w:rPr>
            </w:pPr>
            <w:r>
              <w:rPr>
                <w:rFonts w:ascii="Arial" w:cs="Arial" w:eastAsia="Arial" w:hAnsi="Arial"/>
                <w:sz w:val="18"/>
                <w:szCs w:val="18"/>
                <w:color w:val="auto"/>
              </w:rPr>
              <w:t>1,200</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Assuming (i) the conversion (upon the election of the preferred shareholders) as of the date hereof of all outstanding preferred shares, and (ii) the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 The information set forth in this column is partially based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3" w:lineRule="auto"/>
        <w:rPr>
          <w:sz w:val="20"/>
          <w:szCs w:val="20"/>
          <w:color w:val="auto"/>
        </w:rPr>
      </w:pPr>
      <w:r>
        <w:rPr>
          <w:rFonts w:ascii="Arial" w:cs="Arial" w:eastAsia="Arial" w:hAnsi="Arial"/>
          <w:sz w:val="18"/>
          <w:szCs w:val="18"/>
          <w:color w:val="auto"/>
        </w:rPr>
        <w:t>on information provided to us by the transfer agent and registrar for the common shares on April 1, 2013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ind w:left="460" w:right="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Assuming the sale of all of the shares being offered under this registration statement.</w:t>
      </w:r>
    </w:p>
    <w:p>
      <w:pPr>
        <w:spacing w:after="0" w:line="9"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9,757 common shares that are issuable to the selling shareholder upon conversion of all preferred shares owned by the selling shareholder, and 7,023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369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1,672 outstanding common shares, 0 common shares that are issuable to the selling shareholder upon conversion of all preferred shares owned by the selling shareholder, and 7,332 common shares that are issuable to the selling shareholder upon redemption of all of the downREIT units owned by the selling shareholder.</w:t>
      </w: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33,585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1,101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3,008 outstanding common shares, 26,868 common shares that are issuable to the selling shareholder upon conversion of all preferred shares owned by the selling shareholder, and 9,647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2,342 outstanding common shares, 0 common shares that are issuable to the selling shareholder upon conversion of all preferred shares owned by the selling shareholder, and 7,679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1,090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7,177 common shares that are issuable to the selling shareholder upon redemption of all of the downREIT units owned by the selling shareholder.</w:t>
      </w: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1,101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543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369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1,675 common shares that are issuable to the selling shareholder upon conversion of all preferred shares owned by the selling shareholder, and 7,332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11,175 common shares that are issuable to the selling shareholder upon conversion of all preferred shares owned by the selling shareholder, and 9,647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2,566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9,550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25,467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1,500 common shares that are issuable to the selling shareholder upon redemption of all of the downREIT units owned by the selling shareholder.</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10,806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886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6,136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1,201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3,548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174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9,647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jc w:val="both"/>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174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jc w:val="both"/>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8,991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1,200 common shares that are issuable to the selling shareholder upon redemption of all of the downREIT units owned by the selling shareholder.</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otherwise specified, the information set forth in the table and accompanying footnotes above has been prepared based solely upon information furnished to us by the selling shareholders listed above.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shares. 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26"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This summary is based 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common shares, the treatment of the partnership, and partners in the partnership, will generally depend on the status of the partner and the activities of the partnership. Partnerships holding common shares, and partners in such partnerships, should consult their tax advisors with regard to the U.S. federal income tax treatment of an investment in common shares.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PROSPECTIVE INVESTORS SHOULD CONSULT THEIR TAX ADVISORS REGARDING THE SPECIFIC FEDERAL, STATE, LOCAL, FOREIGN AND OTHER TAX CONSEQUENCES TO THEM OF THE ACQUISITION, OWNERSHIP AND DISPOSITION OF THE COMMON SHARES,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federal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each of our taxable years ended through December 31, 2012;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2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if we fail, in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2012, which is incorporated herein by reference, under the caption “Risk Factors — To maintain our status as a REIT, we limit the amount of shares any one shareholder can own.”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or subsidiary REITs.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80" w:hanging="446"/>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8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our taxable REIT subsidiaries meets these conditions, and on an ongoing basis will use our best efforts to meet them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 discretion that the amount of disqualified rent attributable to the personal property will not jeopardize our status as a REIT; and</w:t>
      </w:r>
    </w:p>
    <w:p>
      <w:pPr>
        <w:spacing w:after="0" w:line="37" w:lineRule="exact"/>
        <w:rPr>
          <w:rFonts w:ascii="Arial" w:cs="Arial" w:eastAsia="Arial" w:hAnsi="Arial"/>
          <w:sz w:val="16"/>
          <w:szCs w:val="16"/>
          <w:color w:val="auto"/>
        </w:rPr>
      </w:pPr>
    </w:p>
    <w:p>
      <w:pPr>
        <w:ind w:left="900" w:right="200" w:hanging="446"/>
        <w:spacing w:after="0" w:line="289"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32" w:lineRule="exact"/>
        <w:rPr>
          <w:sz w:val="20"/>
          <w:szCs w:val="20"/>
          <w:color w:val="auto"/>
        </w:rPr>
      </w:pPr>
    </w:p>
    <w:p>
      <w:pPr>
        <w:ind w:left="900" w:right="1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Code provides a safe harbor that, if met by us, allows us to avoid being treated as engaged in a prohibited transaction. In order to meet the safe harbor,</w:t>
      </w:r>
    </w:p>
    <w:p>
      <w:pPr>
        <w:spacing w:after="0" w:line="50" w:lineRule="exact"/>
        <w:rPr>
          <w:sz w:val="20"/>
          <w:szCs w:val="20"/>
          <w:color w:val="auto"/>
        </w:rPr>
      </w:pPr>
    </w:p>
    <w:p>
      <w:pPr>
        <w:ind w:firstLine="8"/>
        <w:spacing w:after="0" w:line="286"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6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60" w:right="220" w:hanging="547"/>
        <w:spacing w:after="0" w:line="26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60" w:right="340" w:hanging="547"/>
        <w:spacing w:after="0" w:line="259"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900" w:right="60" w:hanging="446"/>
        <w:spacing w:after="0" w:line="283"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323" w:lineRule="auto"/>
        <w:tabs>
          <w:tab w:leader="none" w:pos="2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cash/share dividends, but that revenue procedure does not apply to our 2013 and future taxable years. Accordingly, it is unclear whether and to what extent we will be able to make taxable dividends payable in cash and shares. We have no current intention to make a taxable dividend payable in our shares.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 is:</w:t>
      </w:r>
    </w:p>
    <w:p>
      <w:pPr>
        <w:spacing w:after="0" w:line="113"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 realized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taxable disposition of common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shares will not be treated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For taxable years beginning after December 31, 2012, certain taxable U.S. shareholders who are individuals, estates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trusts are subject to a 3.8% Medicare tax on all or a portion of their “net investment income,” which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20% for taxable years beginning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2012. The maximum tax rate on “qualified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maximum 20% rate does generally apply to:</w:t>
      </w:r>
    </w:p>
    <w:p>
      <w:pPr>
        <w:spacing w:after="0" w:line="3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5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such class of shares are “regularly traded” on an established securities market. If neither of these exceptions were to apply, the gain on the sale of the common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2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44"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Medicare Tax on Unearned Income for Foreign Estates and Trusts</w:t>
      </w:r>
      <w:r>
        <w:rPr>
          <w:rFonts w:ascii="Arial" w:cs="Arial" w:eastAsia="Arial" w:hAnsi="Arial"/>
          <w:sz w:val="16"/>
          <w:szCs w:val="16"/>
          <w:color w:val="auto"/>
        </w:rPr>
        <w:t>. As discussed in more detail under “—Taxation of Taxable U.S.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Medicare Tax on Unearned Income,” a 3.8% Medicare tax will apply, in addition to regular income tax, to certain net investment income. The 3.8% tax generally applies only to taxable U.S. shareholders. However, the IRS has indicated in proposed Treasury regulations that the 3.8% Medicare tax may be applicable to non-U.S. shareholders that are estates or trusts and have one or more U.S. beneficiaries. Non-U.S. shareholders that are estates or trusts should consult their tax advisors about the possible application of the 3.8% Medicare tax.</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3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shares unless (i) in the case of a foreign financial institution,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at a 30% rate on gross proceeds from the sale or other disposition of our common shares by such foreign financial institutions and non-financial foreign entities will generally begin after December 31, 2016.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sale or distribution of all or any portion of the common shares covered by this prospectus may be effected from time to time by the selling shareholders, or any of their permissible transferees.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methods by which the common shares covered by this prospectus may be sold or distributed include any one or more of the following:</w:t>
      </w:r>
    </w:p>
    <w:p>
      <w:pPr>
        <w:spacing w:after="0" w:line="113" w:lineRule="exact"/>
        <w:rPr>
          <w:sz w:val="20"/>
          <w:szCs w:val="20"/>
          <w:color w:val="auto"/>
        </w:rPr>
      </w:pPr>
    </w:p>
    <w:p>
      <w:pPr>
        <w:ind w:left="900" w:right="7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shareholders or successor in interest that is an entity;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thereunder;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4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Exchange Act (Exchange Act File No. 1-07533) made from the date of this prospectus until the selling shareholders sell all of the securities under this prospectus as supplemented or until the earlier termination of the offering described herein.</w:t>
      </w:r>
    </w:p>
    <w:p>
      <w:pPr>
        <w:spacing w:after="0" w:line="3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Definitive Proxy Statement for our 2013 Annual Meeting of Shareholders, filed with the SEC on March 22,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12, 2013 (and dated February 7,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14, 2013;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205740</wp:posOffset>
            </wp:positionV>
            <wp:extent cx="2160905" cy="823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6090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268,420 Common Shares of Beneficial Interest</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 value $0.01 per share)</w:t>
      </w:r>
    </w:p>
    <w:p>
      <w:pPr>
        <w:spacing w:after="0" w:line="24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12, 2013</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Printing and Duplicating Costs</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26,000*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or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2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3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80" w:type="dxa"/>
            <w:vAlign w:val="bottom"/>
          </w:tcPr>
          <w:p>
            <w:pPr>
              <w:spacing w:after="0"/>
              <w:rPr>
                <w:sz w:val="14"/>
                <w:szCs w:val="14"/>
                <w:color w:val="auto"/>
              </w:rPr>
            </w:pPr>
          </w:p>
        </w:tc>
      </w:tr>
      <w:tr>
        <w:trPr>
          <w:trHeight w:val="309"/>
        </w:trPr>
        <w:tc>
          <w:tcPr>
            <w:tcW w:w="720" w:type="dxa"/>
            <w:vAlign w:val="bottom"/>
          </w:tcPr>
          <w:p>
            <w:pPr>
              <w:jc w:val="right"/>
              <w:ind w:right="322"/>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76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60"/>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60"/>
              <w:spacing w:after="0"/>
              <w:rPr>
                <w:sz w:val="20"/>
                <w:szCs w:val="20"/>
                <w:color w:val="auto"/>
              </w:rPr>
            </w:pPr>
            <w:r>
              <w:rPr>
                <w:rFonts w:ascii="Arial" w:cs="Arial" w:eastAsia="Arial" w:hAnsi="Arial"/>
                <w:sz w:val="18"/>
                <w:szCs w:val="18"/>
                <w:color w:val="auto"/>
                <w:w w:val="90"/>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60"/>
              <w:spacing w:after="0"/>
              <w:rPr>
                <w:sz w:val="20"/>
                <w:szCs w:val="20"/>
                <w:color w:val="auto"/>
              </w:rPr>
            </w:pPr>
            <w:r>
              <w:rPr>
                <w:rFonts w:ascii="Arial" w:cs="Arial" w:eastAsia="Arial" w:hAnsi="Arial"/>
                <w:sz w:val="18"/>
                <w:szCs w:val="18"/>
                <w:color w:val="auto"/>
                <w:w w:val="88"/>
              </w:rPr>
              <w:t>Trust of Federal Realty Investment Trust dated May 6, 2009 (previously filed as Exhibit 3.1 to the Trust’s Registration Statement on Form S-</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60"/>
              <w:spacing w:after="0"/>
              <w:rPr>
                <w:sz w:val="20"/>
                <w:szCs w:val="20"/>
                <w:color w:val="auto"/>
              </w:rPr>
            </w:pPr>
            <w:r>
              <w:rPr>
                <w:rFonts w:ascii="Arial" w:cs="Arial" w:eastAsia="Arial" w:hAnsi="Arial"/>
                <w:sz w:val="18"/>
                <w:szCs w:val="18"/>
                <w:color w:val="auto"/>
              </w:rPr>
              <w:t>3, filed on June 16, 2009 (File No. 333-160009) and incorporated herein by reference)</w:t>
            </w:r>
          </w:p>
        </w:tc>
      </w:tr>
    </w:tbl>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0460" w:type="dxa"/>
            <w:vAlign w:val="bottom"/>
          </w:tcPr>
          <w:p>
            <w:pPr>
              <w:ind w:left="460"/>
              <w:spacing w:after="0"/>
              <w:rPr>
                <w:sz w:val="20"/>
                <w:szCs w:val="20"/>
                <w:color w:val="auto"/>
              </w:rPr>
            </w:pPr>
            <w:r>
              <w:rPr>
                <w:rFonts w:ascii="Arial" w:cs="Arial" w:eastAsia="Arial" w:hAnsi="Arial"/>
                <w:sz w:val="18"/>
                <w:szCs w:val="18"/>
                <w:color w:val="auto"/>
                <w:w w:val="90"/>
              </w:rPr>
              <w:t>Amended and Restated Bylaws of Federal Realty Investment Trust dated February 12, 2003, as amended October 29, 2003, May 5, 2004,</w:t>
            </w:r>
          </w:p>
        </w:tc>
      </w:tr>
      <w:tr>
        <w:trPr>
          <w:trHeight w:val="216"/>
        </w:trPr>
        <w:tc>
          <w:tcPr>
            <w:tcW w:w="840" w:type="dxa"/>
            <w:vAlign w:val="bottom"/>
          </w:tcPr>
          <w:p>
            <w:pPr>
              <w:spacing w:after="0"/>
              <w:rPr>
                <w:sz w:val="18"/>
                <w:szCs w:val="18"/>
                <w:color w:val="auto"/>
              </w:rPr>
            </w:pPr>
          </w:p>
        </w:tc>
        <w:tc>
          <w:tcPr>
            <w:tcW w:w="10460" w:type="dxa"/>
            <w:vAlign w:val="bottom"/>
          </w:tcPr>
          <w:p>
            <w:pPr>
              <w:ind w:left="460"/>
              <w:spacing w:after="0"/>
              <w:rPr>
                <w:sz w:val="20"/>
                <w:szCs w:val="20"/>
                <w:color w:val="auto"/>
              </w:rPr>
            </w:pPr>
            <w:r>
              <w:rPr>
                <w:rFonts w:ascii="Arial" w:cs="Arial" w:eastAsia="Arial" w:hAnsi="Arial"/>
                <w:sz w:val="18"/>
                <w:szCs w:val="18"/>
                <w:color w:val="auto"/>
                <w:w w:val="89"/>
              </w:rPr>
              <w:t>February 17, 2006 and May 6, 2009 (previously filed as Exhibit 3.2 to the Trust’s Registration Statement on Form S-3, filed on June 16, 2009</w:t>
            </w:r>
          </w:p>
        </w:tc>
      </w:tr>
      <w:tr>
        <w:trPr>
          <w:trHeight w:val="222"/>
        </w:trPr>
        <w:tc>
          <w:tcPr>
            <w:tcW w:w="840" w:type="dxa"/>
            <w:vAlign w:val="bottom"/>
          </w:tcPr>
          <w:p>
            <w:pPr>
              <w:spacing w:after="0"/>
              <w:rPr>
                <w:sz w:val="19"/>
                <w:szCs w:val="19"/>
                <w:color w:val="auto"/>
              </w:rPr>
            </w:pPr>
          </w:p>
        </w:tc>
        <w:tc>
          <w:tcPr>
            <w:tcW w:w="10460" w:type="dxa"/>
            <w:vAlign w:val="bottom"/>
          </w:tcPr>
          <w:p>
            <w:pPr>
              <w:ind w:left="460"/>
              <w:spacing w:after="0"/>
              <w:rPr>
                <w:sz w:val="20"/>
                <w:szCs w:val="20"/>
                <w:color w:val="auto"/>
              </w:rPr>
            </w:pPr>
            <w:r>
              <w:rPr>
                <w:rFonts w:ascii="Arial" w:cs="Arial" w:eastAsia="Arial" w:hAnsi="Arial"/>
                <w:sz w:val="18"/>
                <w:szCs w:val="18"/>
                <w:color w:val="auto"/>
              </w:rPr>
              <w:t>(File No. 333-160009) and incorporated herein by reference)</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4.3</w:t>
            </w:r>
          </w:p>
        </w:tc>
        <w:tc>
          <w:tcPr>
            <w:tcW w:w="10460" w:type="dxa"/>
            <w:vAlign w:val="bottom"/>
          </w:tcPr>
          <w:p>
            <w:pPr>
              <w:ind w:left="460"/>
              <w:spacing w:after="0"/>
              <w:rPr>
                <w:sz w:val="20"/>
                <w:szCs w:val="20"/>
                <w:color w:val="auto"/>
              </w:rPr>
            </w:pPr>
            <w:r>
              <w:rPr>
                <w:rFonts w:ascii="Arial" w:cs="Arial" w:eastAsia="Arial" w:hAnsi="Arial"/>
                <w:sz w:val="18"/>
                <w:szCs w:val="18"/>
                <w:color w:val="auto"/>
                <w:w w:val="96"/>
              </w:rPr>
              <w:t>Specimen Common Share certificate (previously filed as Exhibit 4(i) to the Trust’s Annual Report on Form 10-K for the year ended</w:t>
            </w:r>
          </w:p>
        </w:tc>
      </w:tr>
      <w:tr>
        <w:trPr>
          <w:trHeight w:val="222"/>
        </w:trPr>
        <w:tc>
          <w:tcPr>
            <w:tcW w:w="840" w:type="dxa"/>
            <w:vAlign w:val="bottom"/>
          </w:tcPr>
          <w:p>
            <w:pPr>
              <w:spacing w:after="0"/>
              <w:rPr>
                <w:sz w:val="19"/>
                <w:szCs w:val="19"/>
                <w:color w:val="auto"/>
              </w:rPr>
            </w:pPr>
          </w:p>
        </w:tc>
        <w:tc>
          <w:tcPr>
            <w:tcW w:w="10460" w:type="dxa"/>
            <w:vAlign w:val="bottom"/>
          </w:tcPr>
          <w:p>
            <w:pPr>
              <w:ind w:left="4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4.4</w:t>
            </w:r>
          </w:p>
        </w:tc>
        <w:tc>
          <w:tcPr>
            <w:tcW w:w="10460" w:type="dxa"/>
            <w:vAlign w:val="bottom"/>
          </w:tcPr>
          <w:p>
            <w:pPr>
              <w:ind w:left="460"/>
              <w:spacing w:after="0"/>
              <w:rPr>
                <w:sz w:val="20"/>
                <w:szCs w:val="20"/>
                <w:color w:val="auto"/>
              </w:rPr>
            </w:pPr>
            <w:r>
              <w:rPr>
                <w:rFonts w:ascii="Arial" w:cs="Arial" w:eastAsia="Arial" w:hAnsi="Arial"/>
                <w:sz w:val="18"/>
                <w:szCs w:val="18"/>
                <w:color w:val="auto"/>
                <w:w w:val="88"/>
              </w:rPr>
              <w:t>Articles Supplementary relating to the 5.417% Series 1 Cumulative Convertible Preferred Shares (previously filed as Exhibit 4.1 to the Trust’s</w:t>
            </w:r>
          </w:p>
        </w:tc>
      </w:tr>
      <w:tr>
        <w:trPr>
          <w:trHeight w:val="222"/>
        </w:trPr>
        <w:tc>
          <w:tcPr>
            <w:tcW w:w="840" w:type="dxa"/>
            <w:vAlign w:val="bottom"/>
          </w:tcPr>
          <w:p>
            <w:pPr>
              <w:spacing w:after="0"/>
              <w:rPr>
                <w:sz w:val="19"/>
                <w:szCs w:val="19"/>
                <w:color w:val="auto"/>
              </w:rPr>
            </w:pPr>
          </w:p>
        </w:tc>
        <w:tc>
          <w:tcPr>
            <w:tcW w:w="10460" w:type="dxa"/>
            <w:vAlign w:val="bottom"/>
          </w:tcPr>
          <w:p>
            <w:pPr>
              <w:ind w:left="460"/>
              <w:spacing w:after="0"/>
              <w:rPr>
                <w:sz w:val="20"/>
                <w:szCs w:val="20"/>
                <w:color w:val="auto"/>
              </w:rPr>
            </w:pPr>
            <w:r>
              <w:rPr>
                <w:rFonts w:ascii="Arial" w:cs="Arial" w:eastAsia="Arial" w:hAnsi="Arial"/>
                <w:sz w:val="18"/>
                <w:szCs w:val="18"/>
                <w:color w:val="auto"/>
              </w:rPr>
              <w:t>Current Report on Form 8-K filed on March 13, 2007 and incorporated herein by reference)</w:t>
            </w: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5.1*</w:t>
            </w:r>
          </w:p>
        </w:tc>
        <w:tc>
          <w:tcPr>
            <w:tcW w:w="10460" w:type="dxa"/>
            <w:vAlign w:val="bottom"/>
          </w:tcPr>
          <w:p>
            <w:pPr>
              <w:ind w:left="4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8.1*</w:t>
            </w:r>
          </w:p>
        </w:tc>
        <w:tc>
          <w:tcPr>
            <w:tcW w:w="10460" w:type="dxa"/>
            <w:vAlign w:val="bottom"/>
          </w:tcPr>
          <w:p>
            <w:pPr>
              <w:ind w:left="4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90"/>
              </w:rPr>
              <w:t>23.1*</w:t>
            </w:r>
          </w:p>
        </w:tc>
        <w:tc>
          <w:tcPr>
            <w:tcW w:w="10460" w:type="dxa"/>
            <w:vAlign w:val="bottom"/>
          </w:tcPr>
          <w:p>
            <w:pPr>
              <w:ind w:left="46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90"/>
              </w:rPr>
              <w:t>23.2*</w:t>
            </w:r>
          </w:p>
        </w:tc>
        <w:tc>
          <w:tcPr>
            <w:tcW w:w="10460" w:type="dxa"/>
            <w:vAlign w:val="bottom"/>
          </w:tcPr>
          <w:p>
            <w:pPr>
              <w:ind w:left="46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90"/>
              </w:rPr>
              <w:t>24.1*</w:t>
            </w:r>
          </w:p>
        </w:tc>
        <w:tc>
          <w:tcPr>
            <w:tcW w:w="10460" w:type="dxa"/>
            <w:vAlign w:val="bottom"/>
          </w:tcPr>
          <w:p>
            <w:pPr>
              <w:ind w:left="4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90" w:lineRule="exact"/>
        <w:rPr>
          <w:rFonts w:ascii="Arial" w:cs="Arial" w:eastAsia="Arial" w:hAnsi="Arial"/>
          <w:sz w:val="18"/>
          <w:szCs w:val="18"/>
          <w:color w:val="auto"/>
        </w:rPr>
      </w:pPr>
    </w:p>
    <w:p>
      <w:pPr>
        <w:ind w:left="920" w:firstLine="421"/>
        <w:spacing w:after="0" w:line="255" w:lineRule="auto"/>
        <w:tabs>
          <w:tab w:leader="none" w:pos="1598"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color w:val="auto"/>
        </w:rPr>
        <w:t>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9" w:lineRule="exact"/>
        <w:rPr>
          <w:sz w:val="20"/>
          <w:szCs w:val="20"/>
          <w:color w:val="auto"/>
        </w:rPr>
      </w:pPr>
    </w:p>
    <w:p>
      <w:pPr>
        <w:ind w:left="920" w:right="320" w:firstLine="421"/>
        <w:spacing w:after="0" w:line="268" w:lineRule="auto"/>
        <w:tabs>
          <w:tab w:leader="none" w:pos="16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460" w:right="80" w:firstLine="443"/>
        <w:spacing w:after="0" w:line="259"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90"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right="40" w:firstLine="421"/>
        <w:spacing w:after="0" w:line="286" w:lineRule="auto"/>
        <w:tabs>
          <w:tab w:leader="none" w:pos="1598"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6" w:lineRule="exact"/>
        <w:rPr>
          <w:rFonts w:ascii="Arial" w:cs="Arial" w:eastAsia="Arial" w:hAnsi="Arial"/>
          <w:sz w:val="16"/>
          <w:szCs w:val="16"/>
          <w:color w:val="auto"/>
        </w:rPr>
      </w:pPr>
    </w:p>
    <w:p>
      <w:pPr>
        <w:ind w:left="460" w:right="600" w:firstLine="443"/>
        <w:spacing w:after="0" w:line="268"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6" w:lineRule="exact"/>
        <w:rPr>
          <w:sz w:val="20"/>
          <w:szCs w:val="20"/>
          <w:color w:val="auto"/>
        </w:rPr>
      </w:pPr>
    </w:p>
    <w:p>
      <w:pPr>
        <w:ind w:left="1560" w:hanging="219"/>
        <w:spacing w:after="0"/>
        <w:tabs>
          <w:tab w:leader="none" w:pos="15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40" w:firstLine="421"/>
        <w:spacing w:after="0" w:line="268" w:lineRule="auto"/>
        <w:tabs>
          <w:tab w:leader="none" w:pos="159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6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firstLine="464"/>
        <w:spacing w:after="0" w:line="255"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89"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April 12, 2013.</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Secretary</w:t>
      </w:r>
    </w:p>
    <w:p>
      <w:pPr>
        <w:spacing w:after="0" w:line="17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320" w:type="dxa"/>
            <w:vAlign w:val="bottom"/>
          </w:tcPr>
          <w:p>
            <w:pPr>
              <w:spacing w:after="0"/>
              <w:rPr>
                <w:sz w:val="14"/>
                <w:szCs w:val="14"/>
                <w:color w:val="auto"/>
              </w:rPr>
            </w:pPr>
          </w:p>
        </w:tc>
      </w:tr>
      <w:tr>
        <w:trPr>
          <w:trHeight w:val="424"/>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720" w:type="dxa"/>
            <w:vAlign w:val="bottom"/>
            <w:tcBorders>
              <w:bottom w:val="single" w:sz="8" w:color="auto"/>
            </w:tcBorders>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w:t>
            </w:r>
          </w:p>
        </w:tc>
        <w:tc>
          <w:tcPr>
            <w:tcW w:w="1980" w:type="dxa"/>
            <w:vAlign w:val="bottom"/>
            <w:gridSpan w:val="3"/>
          </w:tcPr>
          <w:p>
            <w:pPr>
              <w:jc w:val="center"/>
              <w:ind w:left="872"/>
              <w:spacing w:after="0"/>
              <w:rPr>
                <w:sz w:val="20"/>
                <w:szCs w:val="20"/>
                <w:color w:val="auto"/>
              </w:rPr>
            </w:pPr>
            <w:r>
              <w:rPr>
                <w:rFonts w:ascii="Arial" w:cs="Arial" w:eastAsia="Arial" w:hAnsi="Arial"/>
                <w:sz w:val="18"/>
                <w:szCs w:val="18"/>
                <w:color w:val="auto"/>
                <w:w w:val="91"/>
              </w:rPr>
              <w:t>April 12, 2013</w:t>
            </w:r>
          </w:p>
        </w:tc>
      </w:tr>
      <w:tr>
        <w:trPr>
          <w:trHeight w:val="218"/>
        </w:trPr>
        <w:tc>
          <w:tcPr>
            <w:tcW w:w="256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20" w:type="dxa"/>
            <w:vAlign w:val="bottom"/>
          </w:tcPr>
          <w:p>
            <w:pPr>
              <w:spacing w:after="0"/>
              <w:rPr>
                <w:sz w:val="18"/>
                <w:szCs w:val="18"/>
                <w:color w:val="auto"/>
              </w:rPr>
            </w:pPr>
          </w:p>
        </w:tc>
        <w:tc>
          <w:tcPr>
            <w:tcW w:w="4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Officer and Trustee (principal executive officer)</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7"/>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M. Taylor, Jr.</w:t>
            </w:r>
          </w:p>
        </w:tc>
        <w:tc>
          <w:tcPr>
            <w:tcW w:w="1720" w:type="dxa"/>
            <w:vAlign w:val="bottom"/>
            <w:tcBorders>
              <w:bottom w:val="single" w:sz="8" w:color="auto"/>
            </w:tcBorders>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President-Chief Financial Officer and</w:t>
            </w:r>
          </w:p>
        </w:tc>
        <w:tc>
          <w:tcPr>
            <w:tcW w:w="1980" w:type="dxa"/>
            <w:vAlign w:val="bottom"/>
            <w:gridSpan w:val="3"/>
          </w:tcPr>
          <w:p>
            <w:pPr>
              <w:jc w:val="center"/>
              <w:ind w:left="872"/>
              <w:spacing w:after="0"/>
              <w:rPr>
                <w:sz w:val="20"/>
                <w:szCs w:val="20"/>
                <w:color w:val="auto"/>
              </w:rPr>
            </w:pPr>
            <w:r>
              <w:rPr>
                <w:rFonts w:ascii="Arial" w:cs="Arial" w:eastAsia="Arial" w:hAnsi="Arial"/>
                <w:sz w:val="18"/>
                <w:szCs w:val="18"/>
                <w:color w:val="auto"/>
                <w:w w:val="91"/>
              </w:rPr>
              <w:t>April 12, 2013</w:t>
            </w:r>
          </w:p>
        </w:tc>
      </w:tr>
      <w:tr>
        <w:trPr>
          <w:trHeight w:val="218"/>
        </w:trPr>
        <w:tc>
          <w:tcPr>
            <w:tcW w:w="256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1720" w:type="dxa"/>
            <w:vAlign w:val="bottom"/>
          </w:tcPr>
          <w:p>
            <w:pPr>
              <w:spacing w:after="0"/>
              <w:rPr>
                <w:sz w:val="18"/>
                <w:szCs w:val="18"/>
                <w:color w:val="auto"/>
              </w:rPr>
            </w:pPr>
          </w:p>
        </w:tc>
        <w:tc>
          <w:tcPr>
            <w:tcW w:w="4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Treasurer (principal financial and accounting officer)</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Joseph S. Vassalluzzo*</w:t>
            </w:r>
          </w:p>
        </w:tc>
        <w:tc>
          <w:tcPr>
            <w:tcW w:w="1720" w:type="dxa"/>
            <w:vAlign w:val="bottom"/>
            <w:tcBorders>
              <w:bottom w:val="single" w:sz="8" w:color="auto"/>
            </w:tcBorders>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980" w:type="dxa"/>
            <w:vAlign w:val="bottom"/>
            <w:gridSpan w:val="3"/>
          </w:tcPr>
          <w:p>
            <w:pPr>
              <w:jc w:val="center"/>
              <w:ind w:left="872"/>
              <w:spacing w:after="0"/>
              <w:rPr>
                <w:sz w:val="20"/>
                <w:szCs w:val="20"/>
                <w:color w:val="auto"/>
              </w:rPr>
            </w:pPr>
            <w:r>
              <w:rPr>
                <w:rFonts w:ascii="Arial" w:cs="Arial" w:eastAsia="Arial" w:hAnsi="Arial"/>
                <w:sz w:val="18"/>
                <w:szCs w:val="18"/>
                <w:color w:val="auto"/>
                <w:w w:val="91"/>
              </w:rPr>
              <w:t>April 12, 2013</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Jon E. Bortz*</w:t>
            </w:r>
          </w:p>
        </w:tc>
        <w:tc>
          <w:tcPr>
            <w:tcW w:w="1720" w:type="dxa"/>
            <w:vAlign w:val="bottom"/>
            <w:tcBorders>
              <w:bottom w:val="single" w:sz="8" w:color="auto"/>
            </w:tcBorders>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980" w:type="dxa"/>
            <w:vAlign w:val="bottom"/>
            <w:gridSpan w:val="3"/>
          </w:tcPr>
          <w:p>
            <w:pPr>
              <w:jc w:val="center"/>
              <w:ind w:left="872"/>
              <w:spacing w:after="0"/>
              <w:rPr>
                <w:sz w:val="20"/>
                <w:szCs w:val="20"/>
                <w:color w:val="auto"/>
              </w:rPr>
            </w:pPr>
            <w:r>
              <w:rPr>
                <w:rFonts w:ascii="Arial" w:cs="Arial" w:eastAsia="Arial" w:hAnsi="Arial"/>
                <w:sz w:val="18"/>
                <w:szCs w:val="18"/>
                <w:color w:val="auto"/>
                <w:w w:val="91"/>
              </w:rPr>
              <w:t>April 12, 2013</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David W. Faeder*</w:t>
            </w:r>
          </w:p>
        </w:tc>
        <w:tc>
          <w:tcPr>
            <w:tcW w:w="1720" w:type="dxa"/>
            <w:vAlign w:val="bottom"/>
            <w:tcBorders>
              <w:bottom w:val="single" w:sz="8" w:color="auto"/>
            </w:tcBorders>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980" w:type="dxa"/>
            <w:vAlign w:val="bottom"/>
            <w:gridSpan w:val="3"/>
          </w:tcPr>
          <w:p>
            <w:pPr>
              <w:jc w:val="center"/>
              <w:ind w:left="872"/>
              <w:spacing w:after="0"/>
              <w:rPr>
                <w:sz w:val="20"/>
                <w:szCs w:val="20"/>
                <w:color w:val="auto"/>
              </w:rPr>
            </w:pPr>
            <w:r>
              <w:rPr>
                <w:rFonts w:ascii="Arial" w:cs="Arial" w:eastAsia="Arial" w:hAnsi="Arial"/>
                <w:sz w:val="18"/>
                <w:szCs w:val="18"/>
                <w:color w:val="auto"/>
                <w:w w:val="91"/>
              </w:rPr>
              <w:t>April 12, 2013</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Kristin Gamble*</w:t>
            </w:r>
          </w:p>
        </w:tc>
        <w:tc>
          <w:tcPr>
            <w:tcW w:w="1720" w:type="dxa"/>
            <w:vAlign w:val="bottom"/>
            <w:tcBorders>
              <w:bottom w:val="single" w:sz="8" w:color="auto"/>
            </w:tcBorders>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980" w:type="dxa"/>
            <w:vAlign w:val="bottom"/>
            <w:gridSpan w:val="3"/>
          </w:tcPr>
          <w:p>
            <w:pPr>
              <w:jc w:val="center"/>
              <w:ind w:left="872"/>
              <w:spacing w:after="0"/>
              <w:rPr>
                <w:sz w:val="20"/>
                <w:szCs w:val="20"/>
                <w:color w:val="auto"/>
              </w:rPr>
            </w:pPr>
            <w:r>
              <w:rPr>
                <w:rFonts w:ascii="Arial" w:cs="Arial" w:eastAsia="Arial" w:hAnsi="Arial"/>
                <w:sz w:val="18"/>
                <w:szCs w:val="18"/>
                <w:color w:val="auto"/>
                <w:w w:val="91"/>
              </w:rPr>
              <w:t>April 12, 2013</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Gail P. Steinel*</w:t>
            </w: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Trustee</w:t>
            </w:r>
          </w:p>
        </w:tc>
        <w:tc>
          <w:tcPr>
            <w:tcW w:w="3600" w:type="dxa"/>
            <w:vAlign w:val="bottom"/>
          </w:tcPr>
          <w:p>
            <w:pPr>
              <w:ind w:left="2580"/>
              <w:spacing w:after="0"/>
              <w:rPr>
                <w:sz w:val="20"/>
                <w:szCs w:val="20"/>
                <w:color w:val="auto"/>
              </w:rPr>
            </w:pPr>
            <w:r>
              <w:rPr>
                <w:rFonts w:ascii="Arial" w:cs="Arial" w:eastAsia="Arial" w:hAnsi="Arial"/>
                <w:sz w:val="18"/>
                <w:szCs w:val="18"/>
                <w:color w:val="auto"/>
                <w:w w:val="89"/>
              </w:rPr>
              <w:t>April 12, 2013</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Warren M. Thompson*</w:t>
            </w: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Trustee</w:t>
            </w:r>
          </w:p>
        </w:tc>
        <w:tc>
          <w:tcPr>
            <w:tcW w:w="3600" w:type="dxa"/>
            <w:vAlign w:val="bottom"/>
          </w:tcPr>
          <w:p>
            <w:pPr>
              <w:ind w:left="2580"/>
              <w:spacing w:after="0"/>
              <w:rPr>
                <w:sz w:val="20"/>
                <w:szCs w:val="20"/>
                <w:color w:val="auto"/>
              </w:rPr>
            </w:pPr>
            <w:r>
              <w:rPr>
                <w:rFonts w:ascii="Arial" w:cs="Arial" w:eastAsia="Arial" w:hAnsi="Arial"/>
                <w:sz w:val="18"/>
                <w:szCs w:val="18"/>
                <w:color w:val="auto"/>
                <w:w w:val="89"/>
              </w:rPr>
              <w:t>April 12, 2013</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722"/>
        </w:trPr>
        <w:tc>
          <w:tcPr>
            <w:tcW w:w="4280" w:type="dxa"/>
            <w:vAlign w:val="bottom"/>
            <w:gridSpan w:val="2"/>
          </w:tcPr>
          <w:p>
            <w:pPr>
              <w:spacing w:after="0"/>
              <w:rPr>
                <w:sz w:val="20"/>
                <w:szCs w:val="20"/>
                <w:color w:val="auto"/>
              </w:rPr>
            </w:pPr>
            <w:r>
              <w:rPr>
                <w:rFonts w:ascii="Arial" w:cs="Arial" w:eastAsia="Arial" w:hAnsi="Arial"/>
                <w:sz w:val="18"/>
                <w:szCs w:val="18"/>
                <w:color w:val="auto"/>
              </w:rPr>
              <w:t>*By:  /s/ Dawn M. Becker</w:t>
            </w:r>
          </w:p>
        </w:tc>
        <w:tc>
          <w:tcPr>
            <w:tcW w:w="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2"/>
        </w:trPr>
        <w:tc>
          <w:tcPr>
            <w:tcW w:w="440" w:type="dxa"/>
            <w:vAlign w:val="bottom"/>
          </w:tcPr>
          <w:p>
            <w:pPr>
              <w:spacing w:after="0"/>
              <w:rPr>
                <w:sz w:val="17"/>
                <w:szCs w:val="17"/>
                <w:color w:val="auto"/>
              </w:rPr>
            </w:pPr>
          </w:p>
        </w:tc>
        <w:tc>
          <w:tcPr>
            <w:tcW w:w="38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Dawn M. Becker</w:t>
            </w:r>
          </w:p>
        </w:tc>
        <w:tc>
          <w:tcPr>
            <w:tcW w:w="500" w:type="dxa"/>
            <w:vAlign w:val="bottom"/>
            <w:tcBorders>
              <w:top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22"/>
        </w:trPr>
        <w:tc>
          <w:tcPr>
            <w:tcW w:w="44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Attorney-in-fact</w:t>
            </w:r>
          </w:p>
        </w:tc>
        <w:tc>
          <w:tcPr>
            <w:tcW w:w="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392"/>
        </w:trPr>
        <w:tc>
          <w:tcPr>
            <w:tcW w:w="4280" w:type="dxa"/>
            <w:vAlign w:val="bottom"/>
            <w:gridSpan w:val="2"/>
          </w:tcPr>
          <w:p>
            <w:pPr>
              <w:spacing w:after="0"/>
              <w:rPr>
                <w:sz w:val="20"/>
                <w:szCs w:val="20"/>
                <w:color w:val="auto"/>
              </w:rPr>
            </w:pPr>
            <w:r>
              <w:rPr>
                <w:rFonts w:ascii="Arial" w:cs="Arial" w:eastAsia="Arial" w:hAnsi="Arial"/>
                <w:sz w:val="18"/>
                <w:szCs w:val="18"/>
                <w:color w:val="auto"/>
              </w:rPr>
              <w:t>April 12, 2013</w:t>
            </w:r>
          </w:p>
        </w:tc>
        <w:tc>
          <w:tcPr>
            <w:tcW w:w="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ectPr>
          <w:pgSz w:w="11900" w:h="16838" w:orient="portrait"/>
          <w:cols w:equalWidth="0" w:num="1">
            <w:col w:w="11060"/>
          </w:cols>
          <w:pgMar w:left="240" w:top="459" w:right="5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56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20" w:type="dxa"/>
            <w:vAlign w:val="bottom"/>
          </w:tcPr>
          <w:p>
            <w:pPr>
              <w:spacing w:after="0"/>
              <w:rPr>
                <w:sz w:val="24"/>
                <w:szCs w:val="24"/>
                <w:color w:val="auto"/>
              </w:rPr>
            </w:pPr>
          </w:p>
        </w:tc>
      </w:tr>
      <w:tr>
        <w:trPr>
          <w:trHeight w:val="309"/>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8"/>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8"/>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S-3, filed on June 16, 2009 (File No. 333-160009) and 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4.2</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87"/>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filed on June 16,</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4.3</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3"/>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4.4</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w w:val="91"/>
              </w:rPr>
              <w:t>Articles Supplementary relating to the 5.417% Series 1 Cumulative Convertible Preferred Shares (previously filed as Exhibit 4.1 to the</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Trust’s Current Report on Form 8-K filed on March 13, 2007 and incorporated herein by reference)</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5.1*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8.1*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23.1*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23.2*</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24.1*</w:t>
            </w:r>
          </w:p>
        </w:tc>
        <w:tc>
          <w:tcPr>
            <w:tcW w:w="10560" w:type="dxa"/>
            <w:vAlign w:val="bottom"/>
            <w:gridSpan w:val="3"/>
          </w:tcPr>
          <w:p>
            <w:pPr>
              <w:ind w:left="8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280"/>
          </w:cols>
          <w:pgMar w:left="240" w:top="459"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20037</w:t>
      </w:r>
    </w:p>
    <w:p>
      <w:pPr>
        <w:spacing w:after="0" w:line="16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April 12,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8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acting as counsel for Federal Realty Investment Trust, a Maryland real estate investment trust (the “Company”), in connection with the Registration Statement on Form S-3 relating to the registration under the Securities Act of 1933 (the “Act”) of 268,415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(i) the conversion of the Company’s outstanding 5.417% Series 1 Cumulative Convertible Preferred Shares of Beneficial Interest, par value $0.01 per share (the “Preferred Shares”), or (ii) the redemption of outstanding units (the “DownREIT Units”) of limited liability company interest in NVI-Avenue, LLC (“NVI-Avenue”), a consolidated subsidiary of the Company.</w:t>
      </w:r>
    </w:p>
    <w:p>
      <w:pPr>
        <w:spacing w:after="0" w:line="1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(i) conversion of the Preferred Shares into Common Shares in accordance with the Articles Supplementary establishing and fixing the rights and preferences of the Preferred Shares and (ii) redemption of the DownREIT Units for Common Shares in accordance with the Amended and Restated Limited Liability Company Agreement of NVI-Avenue, will be validly issued, fully paid and nonassessable.</w:t>
      </w:r>
    </w:p>
    <w:p>
      <w:pPr>
        <w:spacing w:after="0" w:line="14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assumed that (a) at or prior to the time of the delivery of any of the Selling Shareholder Shares, the Registration Statement will have been declared effective by the U.S. Securities and Exchange Commission (the “Commission”) under the Act, (b) at the time of issuance, the Company has a sufficient number of authorized but unissued Common Shares under the Declaration of Trust of the Company, as amended and corrected, and (c) the Company’s Board of Trustees shall not have rescinded or otherwise modified the authorization of the Selling Shareholder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matters governed by the law of the State of Maryland.</w:t>
      </w:r>
    </w:p>
    <w:p>
      <w:pPr>
        <w:sectPr>
          <w:pgSz w:w="11900" w:h="16838" w:orient="portrait"/>
          <w:cols w:equalWidth="0" w:num="1">
            <w:col w:w="11420"/>
          </w:cols>
          <w:pgMar w:left="240" w:top="125" w:right="239" w:bottom="1440" w:gutter="0" w:footer="0" w:header="0"/>
        </w:sectPr>
      </w:pPr>
    </w:p>
    <w:bookmarkStart w:id="44" w:name="page45"/>
    <w:bookmarkEnd w:id="4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Commission promulgated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80"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 prospectus (the “Prospectus”)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5" w:right="239" w:bottom="1440" w:gutter="0" w:footer="0" w:header="0"/>
        </w:sectPr>
      </w:pPr>
    </w:p>
    <w:bookmarkStart w:id="46" w:name="page47"/>
    <w:bookmarkEnd w:id="4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2013;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(2013) taxable year and for future taxable years, and (iii) the discussions in (x) the Prospectus under the caption “Material Federal Income Tax Considerations,” and (y) the Company’s Annual Report on Form 10-K for the year ended December 31, 2012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2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80" w:right="239" w:bottom="1440" w:gutter="0" w:footer="0" w:header="0"/>
        </w:sectPr>
      </w:pPr>
    </w:p>
    <w:bookmarkStart w:id="47" w:name="page48"/>
    <w:bookmarkEnd w:id="4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00"/>
          </w:cols>
          <w:pgMar w:left="240" w:top="280"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issued our reports dated February 12, 2013, with respect to the consolidated financial statements, schedules and internal control over financial reporting included in the Annual Report on Form 10-K for the year ended December 31, 2012 of Federal Realty Investment Trust, which are incorporated by reference in this Registration Statement. We consent to the incorporation by reference in the Registration Statement of the aforementioned reports, and to the use of our name as it appears under the caption “Experts.”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12, 2013</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James M. Taylor, Jr.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54" w:lineRule="exact"/>
        <w:rPr>
          <w:sz w:val="20"/>
          <w:szCs w:val="20"/>
          <w:color w:val="auto"/>
        </w:rPr>
      </w:pPr>
    </w:p>
    <w:p>
      <w:pPr>
        <w:ind w:left="1740"/>
        <w:spacing w:after="0"/>
        <w:tabs>
          <w:tab w:leader="none" w:pos="6700" w:val="left"/>
          <w:tab w:leader="none" w:pos="10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101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7101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James M. Taylor, Jr.</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Joseph S. Vassalluzzo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710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Joseph S. Vassalluzzo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Jon E. Bortz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10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David W. Faeder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10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Kristin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101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Trustee (principal executive officer)</w:t>
      </w:r>
    </w:p>
    <w:p>
      <w:pPr>
        <w:spacing w:after="0" w:line="3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Executive Vice President and Chief Financial Officer and Treasurer (principal financial and accounting officer)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Non-Executive Chairman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April 12, 2013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April 12, 2013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April 12,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April 12,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April 12,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April 12, 2013</w:t>
      </w:r>
    </w:p>
    <w:p>
      <w:pPr>
        <w:spacing w:after="0" w:line="331" w:lineRule="exact"/>
        <w:rPr>
          <w:sz w:val="20"/>
          <w:szCs w:val="20"/>
          <w:color w:val="auto"/>
        </w:rPr>
      </w:pPr>
    </w:p>
    <w:p>
      <w:pPr>
        <w:sectPr>
          <w:pgSz w:w="11900" w:h="16838" w:orient="portrait"/>
          <w:cols w:equalWidth="0" w:num="3">
            <w:col w:w="3660" w:space="720"/>
            <w:col w:w="4740" w:space="560"/>
            <w:col w:w="1740"/>
          </w:cols>
          <w:pgMar w:left="240" w:top="125"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Gail P.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10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/s. Warren M.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710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5280" w:val="left"/>
        </w:tabs>
        <w:rPr>
          <w:sz w:val="20"/>
          <w:szCs w:val="20"/>
          <w:color w:val="auto"/>
        </w:rPr>
      </w:pPr>
      <w:r>
        <w:rPr>
          <w:rFonts w:ascii="Arial" w:cs="Arial" w:eastAsia="Arial" w:hAnsi="Arial"/>
          <w:sz w:val="16"/>
          <w:szCs w:val="16"/>
          <w:color w:val="auto"/>
        </w:rPr>
        <w:t>Trustee</w:t>
      </w:r>
      <w:r>
        <w:rPr>
          <w:sz w:val="20"/>
          <w:szCs w:val="20"/>
          <w:color w:val="auto"/>
        </w:rPr>
        <w:tab/>
      </w:r>
      <w:r>
        <w:rPr>
          <w:rFonts w:ascii="Arial" w:cs="Arial" w:eastAsia="Arial" w:hAnsi="Arial"/>
          <w:sz w:val="16"/>
          <w:szCs w:val="16"/>
          <w:color w:val="auto"/>
        </w:rPr>
        <w:t>April 12, 2013</w:t>
      </w:r>
    </w:p>
    <w:p>
      <w:pPr>
        <w:spacing w:after="0" w:line="200" w:lineRule="exact"/>
        <w:rPr>
          <w:sz w:val="20"/>
          <w:szCs w:val="20"/>
          <w:color w:val="auto"/>
        </w:rPr>
      </w:pPr>
    </w:p>
    <w:p>
      <w:pPr>
        <w:spacing w:after="0" w:line="291" w:lineRule="exact"/>
        <w:rPr>
          <w:sz w:val="20"/>
          <w:szCs w:val="20"/>
          <w:color w:val="auto"/>
        </w:rPr>
      </w:pPr>
    </w:p>
    <w:p>
      <w:pPr>
        <w:spacing w:after="0"/>
        <w:tabs>
          <w:tab w:leader="none" w:pos="5280" w:val="left"/>
        </w:tabs>
        <w:rPr>
          <w:sz w:val="20"/>
          <w:szCs w:val="20"/>
          <w:color w:val="auto"/>
        </w:rPr>
      </w:pPr>
      <w:r>
        <w:rPr>
          <w:rFonts w:ascii="Arial" w:cs="Arial" w:eastAsia="Arial" w:hAnsi="Arial"/>
          <w:sz w:val="16"/>
          <w:szCs w:val="16"/>
          <w:color w:val="auto"/>
        </w:rPr>
        <w:t>Trustee</w:t>
      </w:r>
      <w:r>
        <w:rPr>
          <w:sz w:val="20"/>
          <w:szCs w:val="20"/>
          <w:color w:val="auto"/>
        </w:rPr>
        <w:tab/>
      </w:r>
      <w:r>
        <w:rPr>
          <w:rFonts w:ascii="Arial" w:cs="Arial" w:eastAsia="Arial" w:hAnsi="Arial"/>
          <w:sz w:val="16"/>
          <w:szCs w:val="16"/>
          <w:color w:val="auto"/>
        </w:rPr>
        <w:t>April 12, 2013</w:t>
      </w:r>
    </w:p>
    <w:sectPr>
      <w:pgSz w:w="11900" w:h="16838" w:orient="portrait"/>
      <w:cols w:equalWidth="0" w:num="2">
        <w:col w:w="3660" w:space="720"/>
        <w:col w:w="704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9"/>
    </w:lvl>
  </w:abstractNum>
  <w:abstractNum w:abstractNumId="4">
    <w:nsid w:val="7C83E458"/>
    <w:multiLevelType w:val="hybridMultilevel"/>
    <w:lvl w:ilvl="0">
      <w:lvlJc w:val="left"/>
      <w:lvlText w:val="(%1)"/>
      <w:numFmt w:val="decimal"/>
      <w:start w:val="17"/>
    </w:lvl>
  </w:abstractNum>
  <w:abstractNum w:abstractNumId="5">
    <w:nsid w:val="257130A3"/>
    <w:multiLevelType w:val="hybridMultilevel"/>
    <w:lvl w:ilvl="0">
      <w:lvlJc w:val="left"/>
      <w:lvlText w:val="(%1)"/>
      <w:numFmt w:val="decimal"/>
      <w:start w:val="26"/>
    </w:lvl>
  </w:abstractNum>
  <w:abstractNum w:abstractNumId="6">
    <w:nsid w:val="62BBD95A"/>
    <w:multiLevelType w:val="hybridMultilevel"/>
    <w:lvl w:ilvl="0">
      <w:lvlJc w:val="left"/>
      <w:lvlText w:val="(%1)"/>
      <w:numFmt w:val="decimal"/>
      <w:start w:val="34"/>
    </w:lvl>
  </w:abstractNum>
  <w:abstractNum w:abstractNumId="7">
    <w:nsid w:val="436C6125"/>
    <w:multiLevelType w:val="hybridMultilevel"/>
    <w:lvl w:ilvl="0">
      <w:lvlJc w:val="left"/>
      <w:lvlText w:val="(%1)"/>
      <w:numFmt w:val="decimal"/>
      <w:start w:val="43"/>
    </w:lvl>
  </w:abstractNum>
  <w:abstractNum w:abstractNumId="8">
    <w:nsid w:val="628C895D"/>
    <w:multiLevelType w:val="hybridMultilevel"/>
    <w:lvl w:ilvl="0">
      <w:lvlJc w:val="left"/>
      <w:lvlText w:val="(%1)"/>
      <w:numFmt w:val="decimal"/>
      <w:start w:val="52"/>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Roman"/>
      <w:start w:val="1"/>
    </w:lvl>
  </w:abstractNum>
  <w:abstractNum w:abstractNumId="18">
    <w:nsid w:val="B03E0C6"/>
    <w:multiLevelType w:val="hybridMultilevel"/>
    <w:lvl w:ilvl="0">
      <w:lvlJc w:val="left"/>
      <w:lvlText w:val="•"/>
      <w:numFmt w:val="bullet"/>
      <w:start w:val="1"/>
    </w:lvl>
    <w:lvl w:ilvl="1">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
      <w:numFmt w:val="bullet"/>
      <w:start w:val="1"/>
    </w:lvl>
  </w:abstractNum>
  <w:abstractNum w:abstractNumId="20">
    <w:nsid w:val="54E49EB4"/>
    <w:multiLevelType w:val="hybridMultilevel"/>
    <w:lvl w:ilvl="0">
      <w:lvlJc w:val="left"/>
      <w:lvlText w:val="(%1)"/>
      <w:numFmt w:val="lowerRoman"/>
      <w:start w:val="2"/>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7C3DBD3D"/>
    <w:multiLevelType w:val="hybridMultilevel"/>
    <w:lvl w:ilvl="0">
      <w:lvlJc w:val="left"/>
      <w:lvlText w:val="(%1)"/>
      <w:numFmt w:val="lowerRoman"/>
      <w:start w:val="3"/>
    </w:lvl>
  </w:abstractNum>
  <w:abstractNum w:abstractNumId="29">
    <w:nsid w:val="737B8DDC"/>
    <w:multiLevelType w:val="hybridMultilevel"/>
    <w:lvl w:ilvl="0">
      <w:lvlJc w:val="left"/>
      <w:lvlText w:val="(%1)"/>
      <w:numFmt w:val="decimal"/>
      <w:start w:val="2"/>
    </w:lvl>
    <w:lvl w:ilvl="1">
      <w:lvlJc w:val="left"/>
      <w:lvlText w:val="(%2)"/>
      <w:numFmt w:val="lowerRoman"/>
      <w:start w:val="1"/>
    </w:lvl>
  </w:abstractNum>
  <w:abstractNum w:abstractNumId="30">
    <w:nsid w:val="6CEAF087"/>
    <w:multiLevelType w:val="hybridMultilevel"/>
    <w:lvl w:ilvl="0">
      <w:lvlJc w:val="left"/>
      <w:lvlText w:val="%1"/>
      <w:numFmt w:val="lowerLetter"/>
      <w:start w:val="1"/>
    </w:lvl>
    <w:lvl w:ilvl="1">
      <w:lvlJc w:val="left"/>
      <w:lvlText w:val="(%2)"/>
      <w:numFmt w:val="lowerRoman"/>
      <w:start w:val="1"/>
    </w:lvl>
  </w:abstractNum>
  <w:abstractNum w:abstractNumId="31">
    <w:nsid w:val="22221A70"/>
    <w:multiLevelType w:val="hybridMultilevel"/>
    <w:lvl w:ilvl="0">
      <w:lvlJc w:val="left"/>
      <w:lvlText w:val="(%1)"/>
      <w:numFmt w:val="lowerLetter"/>
      <w:start w:val="2"/>
    </w:lvl>
    <w:lvl w:ilvl="1">
      <w:lvlJc w:val="left"/>
      <w:lvlText w:val="%2"/>
      <w:numFmt w:val="lowerRoman"/>
      <w:start w:val="1"/>
    </w:lvl>
  </w:abstractNum>
  <w:abstractNum w:abstractNumId="32">
    <w:nsid w:val="4516DD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2019-12-05T10:02:36Z</dcterms:created>
  <dcterms:modified xsi:type="dcterms:W3CDTF">2019-12-05T10:02:36Z</dcterms:modified>
</cp:coreProperties>
</file>