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044"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p>
        </w:tc>
        <w:tc>
          <w:tcPr>
            <w:tcW w:w="42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tc>
        <w:tc>
          <w:tcPr>
            <w:tcW w:w="2100" w:type="dxa"/>
            <w:vAlign w:val="bottom"/>
          </w:tcPr>
          <w:p>
            <w:pPr>
              <w:spacing w:after="0"/>
              <w:rPr>
                <w:sz w:val="20"/>
                <w:szCs w:val="20"/>
                <w:color w:val="auto"/>
              </w:rPr>
            </w:pPr>
          </w:p>
        </w:tc>
      </w:tr>
      <w:tr>
        <w:trPr>
          <w:trHeight w:val="434"/>
        </w:trPr>
        <w:tc>
          <w:tcPr>
            <w:tcW w:w="2440" w:type="dxa"/>
            <w:vAlign w:val="bottom"/>
          </w:tcPr>
          <w:p>
            <w:pPr>
              <w:jc w:val="center"/>
              <w:ind w:right="702"/>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4240" w:type="dxa"/>
            <w:vAlign w:val="bottom"/>
          </w:tcPr>
          <w:p>
            <w:pPr>
              <w:jc w:val="right"/>
              <w:ind w:right="1719"/>
              <w:spacing w:after="0"/>
              <w:rPr>
                <w:sz w:val="20"/>
                <w:szCs w:val="20"/>
                <w:color w:val="auto"/>
              </w:rPr>
            </w:pPr>
            <w:r>
              <w:rPr>
                <w:rFonts w:ascii="Times New Roman" w:cs="Times New Roman" w:eastAsia="Times New Roman" w:hAnsi="Times New Roman"/>
                <w:sz w:val="18"/>
                <w:szCs w:val="18"/>
                <w:b w:val="1"/>
                <w:bCs w:val="1"/>
                <w:color w:val="auto"/>
              </w:rPr>
              <w:t>1-07533</w:t>
            </w:r>
          </w:p>
        </w:tc>
        <w:tc>
          <w:tcPr>
            <w:tcW w:w="2100" w:type="dxa"/>
            <w:vAlign w:val="bottom"/>
          </w:tcPr>
          <w:p>
            <w:pPr>
              <w:jc w:val="center"/>
              <w:ind w:left="882"/>
              <w:spacing w:after="0"/>
              <w:rPr>
                <w:sz w:val="20"/>
                <w:szCs w:val="20"/>
                <w:color w:val="auto"/>
              </w:rPr>
            </w:pPr>
            <w:r>
              <w:rPr>
                <w:rFonts w:ascii="Times New Roman" w:cs="Times New Roman" w:eastAsia="Times New Roman" w:hAnsi="Times New Roman"/>
                <w:sz w:val="18"/>
                <w:szCs w:val="18"/>
                <w:b w:val="1"/>
                <w:bCs w:val="1"/>
                <w:color w:val="auto"/>
                <w:w w:val="98"/>
              </w:rPr>
              <w:t>87-3916363</w:t>
            </w:r>
          </w:p>
        </w:tc>
      </w:tr>
      <w:tr>
        <w:trPr>
          <w:trHeight w:val="148"/>
        </w:trPr>
        <w:tc>
          <w:tcPr>
            <w:tcW w:w="2440" w:type="dxa"/>
            <w:vAlign w:val="bottom"/>
          </w:tcPr>
          <w:p>
            <w:pPr>
              <w:jc w:val="center"/>
              <w:ind w:right="7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240" w:type="dxa"/>
            <w:vAlign w:val="bottom"/>
          </w:tcPr>
          <w:p>
            <w:pPr>
              <w:ind w:left="17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1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40" w:type="dxa"/>
            <w:vAlign w:val="bottom"/>
          </w:tcPr>
          <w:p>
            <w:pPr>
              <w:jc w:val="center"/>
              <w:ind w:right="7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240" w:type="dxa"/>
            <w:vAlign w:val="bottom"/>
          </w:tcPr>
          <w:p>
            <w:pPr>
              <w:ind w:left="17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100" w:type="dxa"/>
            <w:vAlign w:val="bottom"/>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672"/>
        </w:trPr>
        <w:tc>
          <w:tcPr>
            <w:tcW w:w="2440" w:type="dxa"/>
            <w:vAlign w:val="bottom"/>
          </w:tcPr>
          <w:p>
            <w:pPr>
              <w:spacing w:after="0"/>
              <w:rPr>
                <w:sz w:val="24"/>
                <w:szCs w:val="24"/>
                <w:color w:val="auto"/>
              </w:rPr>
            </w:pPr>
          </w:p>
        </w:tc>
        <w:tc>
          <w:tcPr>
            <w:tcW w:w="424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Federal Realty OP LP</w:t>
            </w:r>
          </w:p>
        </w:tc>
        <w:tc>
          <w:tcPr>
            <w:tcW w:w="2100" w:type="dxa"/>
            <w:vAlign w:val="bottom"/>
          </w:tcPr>
          <w:p>
            <w:pPr>
              <w:spacing w:after="0"/>
              <w:rPr>
                <w:sz w:val="24"/>
                <w:szCs w:val="24"/>
                <w:color w:val="auto"/>
              </w:rPr>
            </w:pPr>
          </w:p>
        </w:tc>
      </w:tr>
      <w:tr>
        <w:trPr>
          <w:trHeight w:val="434"/>
        </w:trPr>
        <w:tc>
          <w:tcPr>
            <w:tcW w:w="2440" w:type="dxa"/>
            <w:vAlign w:val="bottom"/>
          </w:tcPr>
          <w:p>
            <w:pPr>
              <w:jc w:val="center"/>
              <w:ind w:right="7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40" w:type="dxa"/>
            <w:vAlign w:val="bottom"/>
          </w:tcPr>
          <w:p>
            <w:pPr>
              <w:jc w:val="right"/>
              <w:ind w:right="1459"/>
              <w:spacing w:after="0"/>
              <w:rPr>
                <w:sz w:val="20"/>
                <w:szCs w:val="20"/>
                <w:color w:val="auto"/>
              </w:rPr>
            </w:pPr>
            <w:r>
              <w:rPr>
                <w:rFonts w:ascii="Times New Roman" w:cs="Times New Roman" w:eastAsia="Times New Roman" w:hAnsi="Times New Roman"/>
                <w:sz w:val="18"/>
                <w:szCs w:val="18"/>
                <w:b w:val="1"/>
                <w:bCs w:val="1"/>
                <w:color w:val="auto"/>
              </w:rPr>
              <w:t>333-262016-01</w:t>
            </w:r>
          </w:p>
        </w:tc>
        <w:tc>
          <w:tcPr>
            <w:tcW w:w="2100" w:type="dxa"/>
            <w:vAlign w:val="bottom"/>
          </w:tcPr>
          <w:p>
            <w:pPr>
              <w:jc w:val="center"/>
              <w:ind w:left="882"/>
              <w:spacing w:after="0"/>
              <w:rPr>
                <w:sz w:val="20"/>
                <w:szCs w:val="20"/>
                <w:color w:val="auto"/>
              </w:rPr>
            </w:pPr>
            <w:r>
              <w:rPr>
                <w:rFonts w:ascii="Times New Roman" w:cs="Times New Roman" w:eastAsia="Times New Roman" w:hAnsi="Times New Roman"/>
                <w:sz w:val="18"/>
                <w:szCs w:val="18"/>
                <w:b w:val="1"/>
                <w:bCs w:val="1"/>
                <w:color w:val="auto"/>
                <w:w w:val="98"/>
              </w:rPr>
              <w:t>52-0782497</w:t>
            </w:r>
          </w:p>
        </w:tc>
      </w:tr>
      <w:tr>
        <w:trPr>
          <w:trHeight w:val="148"/>
        </w:trPr>
        <w:tc>
          <w:tcPr>
            <w:tcW w:w="2440" w:type="dxa"/>
            <w:vAlign w:val="bottom"/>
          </w:tcPr>
          <w:p>
            <w:pPr>
              <w:jc w:val="center"/>
              <w:ind w:right="7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240" w:type="dxa"/>
            <w:vAlign w:val="bottom"/>
          </w:tcPr>
          <w:p>
            <w:pPr>
              <w:ind w:left="17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1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40" w:type="dxa"/>
            <w:vAlign w:val="bottom"/>
          </w:tcPr>
          <w:p>
            <w:pPr>
              <w:jc w:val="center"/>
              <w:ind w:right="7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240" w:type="dxa"/>
            <w:vAlign w:val="bottom"/>
          </w:tcPr>
          <w:p>
            <w:pPr>
              <w:ind w:left="17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100" w:type="dxa"/>
            <w:vAlign w:val="bottom"/>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17" w:lineRule="exact"/>
        <w:rPr>
          <w:sz w:val="24"/>
          <w:szCs w:val="24"/>
          <w:color w:val="auto"/>
        </w:rPr>
      </w:pPr>
    </w:p>
    <w:tbl>
      <w:tblPr>
        <w:tblLayout w:type="fixed"/>
        <w:tblInd w:w="1584" w:type="dxa"/>
        <w:tblCellMar>
          <w:top w:w="0" w:type="dxa"/>
          <w:left w:w="0" w:type="dxa"/>
          <w:bottom w:w="0" w:type="dxa"/>
          <w:right w:w="0" w:type="dxa"/>
        </w:tblCellMar>
      </w:tblPr>
      <w:tr>
        <w:trPr>
          <w:trHeight w:val="216"/>
        </w:trPr>
        <w:tc>
          <w:tcPr>
            <w:tcW w:w="4400" w:type="dxa"/>
            <w:vAlign w:val="bottom"/>
          </w:tcPr>
          <w:p>
            <w:pPr>
              <w:jc w:val="center"/>
              <w:ind w:right="1935"/>
              <w:spacing w:after="0"/>
              <w:rPr>
                <w:sz w:val="20"/>
                <w:szCs w:val="20"/>
                <w:color w:val="auto"/>
              </w:rPr>
            </w:pPr>
            <w:r>
              <w:rPr>
                <w:rFonts w:ascii="Times New Roman" w:cs="Times New Roman" w:eastAsia="Times New Roman" w:hAnsi="Times New Roman"/>
                <w:sz w:val="18"/>
                <w:szCs w:val="18"/>
                <w:b w:val="1"/>
                <w:bCs w:val="1"/>
                <w:color w:val="auto"/>
                <w:w w:val="99"/>
              </w:rPr>
              <w:t>909 Rose Avenue</w:t>
            </w:r>
          </w:p>
        </w:tc>
        <w:tc>
          <w:tcPr>
            <w:tcW w:w="2700" w:type="dxa"/>
            <w:vAlign w:val="bottom"/>
          </w:tcPr>
          <w:p>
            <w:pPr>
              <w:spacing w:after="0"/>
              <w:rPr>
                <w:sz w:val="18"/>
                <w:szCs w:val="18"/>
                <w:color w:val="auto"/>
              </w:rPr>
            </w:pPr>
          </w:p>
        </w:tc>
      </w:tr>
      <w:tr>
        <w:trPr>
          <w:trHeight w:val="216"/>
        </w:trPr>
        <w:tc>
          <w:tcPr>
            <w:tcW w:w="4400" w:type="dxa"/>
            <w:vAlign w:val="bottom"/>
          </w:tcPr>
          <w:p>
            <w:pPr>
              <w:jc w:val="center"/>
              <w:ind w:right="1935"/>
              <w:spacing w:after="0"/>
              <w:rPr>
                <w:sz w:val="20"/>
                <w:szCs w:val="20"/>
                <w:color w:val="auto"/>
              </w:rPr>
            </w:pPr>
            <w:r>
              <w:rPr>
                <w:rFonts w:ascii="Times New Roman" w:cs="Times New Roman" w:eastAsia="Times New Roman" w:hAnsi="Times New Roman"/>
                <w:sz w:val="18"/>
                <w:szCs w:val="18"/>
                <w:b w:val="1"/>
                <w:bCs w:val="1"/>
                <w:color w:val="auto"/>
                <w:w w:val="99"/>
              </w:rPr>
              <w:t>Suite 200</w:t>
            </w:r>
          </w:p>
        </w:tc>
        <w:tc>
          <w:tcPr>
            <w:tcW w:w="2700" w:type="dxa"/>
            <w:vAlign w:val="bottom"/>
          </w:tcPr>
          <w:p>
            <w:pPr>
              <w:spacing w:after="0"/>
              <w:rPr>
                <w:sz w:val="18"/>
                <w:szCs w:val="18"/>
                <w:color w:val="auto"/>
              </w:rPr>
            </w:pPr>
          </w:p>
        </w:tc>
      </w:tr>
      <w:tr>
        <w:trPr>
          <w:trHeight w:val="227"/>
        </w:trPr>
        <w:tc>
          <w:tcPr>
            <w:tcW w:w="4400" w:type="dxa"/>
            <w:vAlign w:val="bottom"/>
          </w:tcPr>
          <w:p>
            <w:pPr>
              <w:jc w:val="center"/>
              <w:ind w:right="1935"/>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270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90"/>
        </w:trPr>
        <w:tc>
          <w:tcPr>
            <w:tcW w:w="4400" w:type="dxa"/>
            <w:vAlign w:val="bottom"/>
          </w:tcPr>
          <w:p>
            <w:pPr>
              <w:jc w:val="center"/>
              <w:ind w:right="193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00" w:type="dxa"/>
            <w:vAlign w:val="bottom"/>
          </w:tcPr>
          <w:p>
            <w:pPr>
              <w:jc w:val="center"/>
              <w:ind w:left="193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Shares of Beneficial Interest $.01 par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FRT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value per share, with associated Common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Purchase Rights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Depositary Shares, each representing 1/1000 of a</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3"/>
              </w:rPr>
              <w:t>FRT-C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5.00% Series C Cumulative Redeemable Preferred</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Share of Beneficial Interest, $.01 par value per</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Federal Realty OP LP</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443" w:right="439" w:bottom="69"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Federal Realty Investment Trust  </w:t>
      </w:r>
      <w:r>
        <w:rPr>
          <w:rFonts w:ascii="MS PGothic" w:cs="MS PGothic" w:eastAsia="MS PGothic" w:hAnsi="MS PGothic"/>
          <w:sz w:val="18"/>
          <w:szCs w:val="18"/>
          <w:color w:val="auto"/>
        </w:rPr>
        <w:t>☐</w:t>
      </w:r>
    </w:p>
    <w:p>
      <w:pPr>
        <w:spacing w:after="0" w:line="9"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Federal Realty OP LP  </w:t>
      </w:r>
      <w:r>
        <w:rPr>
          <w:rFonts w:ascii="MS PGothic" w:cs="MS PGothic" w:eastAsia="MS PGothic" w:hAnsi="MS PGothic"/>
          <w:sz w:val="18"/>
          <w:szCs w:val="18"/>
          <w:color w:val="auto"/>
        </w:rPr>
        <w:t>☐</w:t>
      </w:r>
    </w:p>
    <w:p>
      <w:pPr>
        <w:spacing w:after="0" w:line="212" w:lineRule="exact"/>
        <w:rPr>
          <w:sz w:val="20"/>
          <w:szCs w:val="20"/>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Federal Realty Investment Trust   </w:t>
      </w:r>
      <w:r>
        <w:rPr>
          <w:rFonts w:ascii="MS PGothic" w:cs="MS PGothic" w:eastAsia="MS PGothic" w:hAnsi="MS PGothic"/>
          <w:sz w:val="18"/>
          <w:szCs w:val="18"/>
          <w:color w:val="auto"/>
        </w:rPr>
        <w:t>☐</w:t>
      </w:r>
    </w:p>
    <w:p>
      <w:pPr>
        <w:spacing w:after="0" w:line="63"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Federal Realty OP LP 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154940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16" w:right="43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200"/>
        <w:spacing w:after="0" w:line="258" w:lineRule="auto"/>
        <w:rPr>
          <w:sz w:val="20"/>
          <w:szCs w:val="20"/>
          <w:color w:val="auto"/>
        </w:rPr>
      </w:pPr>
      <w:r>
        <w:rPr>
          <w:rFonts w:ascii="Times New Roman" w:cs="Times New Roman" w:eastAsia="Times New Roman" w:hAnsi="Times New Roman"/>
          <w:sz w:val="18"/>
          <w:szCs w:val="18"/>
          <w:color w:val="auto"/>
        </w:rPr>
        <w:t>As previously disclosed in a Current Report on Form 8-K filed on February 14, 2022, Federal Realty Investment Trust (the “Company”) and Federal Realty OP LP (the “Partnership”) entered into an Equity Distribution Agreement (the “Distribution Agreement”), dated February 14, 2022, with BofA Securities, Inc., Citigroup Global Markets Inc., J.P. Morgan Securities LLC, Wells Fargo Securities, LLC and Jefferies LLC (the “agents”) and the forward purchasers identified therein, under which an aggregate offering price of up to $500,000,000 of the Company’s common shares of beneficial interest, $.01 par value per share (“Shares”), may be offered to or through the agents, acting as sales agents, principals, or forward sellers.</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March 8, 2024, the Company and the Partnership filed a new universal shelf registration statement on Form S-3 (the “New Universal Shelf”). In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connection with the New Universal Shelf, the Company and the Partnership entered into an amendment (the “Amendment”) to the Distribution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 with Wells Fargo Securities, LLC, BNP Paribas Securities Corp., BofA Securities, Inc., Citigroup Global Markets Inc., Deutsche Bank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Inc., J.P. Morgan Securities LLC, Jefferies LLC, Regions Securities LLC, Scotia Capital (USA) Inc., SMBC Nikko Securities America, Inc.,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TD Securities (USA) LLC and Truist Securities, Inc., as agents, and the forward purchasers identified therein. The purpose of the Amendment was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 additional agents and forward purchasers to the Distribution Agreement and to increase the aggregate offering price of Shares that may be sold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under the Distribution Agreement. Prior to the Amendment, the Company had sold Shares under the Distribution Agreement having an aggregate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offering price of $187,879,828. The Amendment increased the amount of Shares the Company may sell under the Distribution Agreement such that 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aggregate offering price of $500,000,000 of Shares remain available, as of March 8, 2024, for sale pursuant to the terms thereof. From and after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8, 2024, sales of Shares under the Distribution Agreement will be made pursuant to the New Universal Shelf and the prospectus supplement filed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the Company on March 8, 2024.</w:t>
      </w:r>
    </w:p>
    <w:p>
      <w:pPr>
        <w:spacing w:after="0" w:line="207"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The Amendment is filed as Exhibit 1.1 to this Current Report on Form 8-K and is incorporated herein by reference. The foregoing description of the material terms of the Amendment is qualified in its entirety by reference to such exhibit.</w:t>
      </w:r>
    </w:p>
    <w:p>
      <w:pPr>
        <w:spacing w:after="0" w:line="162"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Also on March 8, 2024, the Company filed with the Securities and Exchange Commission (i) a prospectus supplement relating to the resale by certain selling shareholders of up to 729,246 Shares (the “DownREIT Shares”) issuable upon (A) the conversion of the Company’s outstanding 5.147% Series 1 Cumulative Convertible Preferred Shares of Beneficial Interest, par value $0.01 per share, and (B) the redemption of outstanding units of limited partnership interest or limited liability company interest in certain of the Company’s downREIT subsidiaries, and (ii) a prospectus supplement relating to the resale by certain selling shareholders of up to 4,739,566 Shares (the “Exchangeable Notes Shares”) issuable upon exercise of the exchange option pursuant to the Partnership’s 3.25% Exchangeable Senior Notes due 2029. The legality opinions with respect to the DownREIT Shares and the Exchangeable Notes Shares are filed as Exhibits 5.2 and 5.3 hereto, respectively.</w:t>
      </w:r>
    </w:p>
    <w:p>
      <w:pPr>
        <w:spacing w:after="0" w:line="333"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460" w:type="dxa"/>
            <w:vAlign w:val="bottom"/>
            <w:tcBorders>
              <w:bottom w:val="single" w:sz="8" w:color="auto"/>
            </w:tcBorders>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5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884" w:right="420" w:hanging="884"/>
        <w:spacing w:after="0" w:line="282" w:lineRule="auto"/>
        <w:tabs>
          <w:tab w:leader="none" w:pos="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0000EE"/>
        </w:rPr>
        <w:t>Amendment No. 1, dated March 8, 2024, to Equity Distribution Agreement dated February 14, 2022 among Federal Realty Investment Trust, Federal Realty OP LP and the forward purchasers and sales agents identified therein (filed herewith)</w:t>
      </w:r>
    </w:p>
    <w:p>
      <w:pPr>
        <w:spacing w:after="0" w:line="53" w:lineRule="exact"/>
        <w:rPr>
          <w:rFonts w:ascii="Times New Roman" w:cs="Times New Roman" w:eastAsia="Times New Roman" w:hAnsi="Times New Roman"/>
          <w:sz w:val="18"/>
          <w:szCs w:val="18"/>
          <w:color w:val="auto"/>
        </w:rPr>
      </w:pPr>
    </w:p>
    <w:p>
      <w:pPr>
        <w:ind w:left="884" w:right="620" w:hanging="884"/>
        <w:spacing w:after="0" w:line="282" w:lineRule="auto"/>
        <w:tabs>
          <w:tab w:leader="none" w:pos="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8"/>
          <w:szCs w:val="18"/>
          <w:u w:val="single" w:color="auto"/>
          <w:color w:val="0000EE"/>
        </w:rPr>
        <w:t>Opinion of Pillsbury Winthrop Shaw Pittman LLP relating to legality of the Shares issuable under the Distribution Agreement (filed herewith)</w:t>
      </w:r>
    </w:p>
    <w:p>
      <w:pPr>
        <w:spacing w:after="0" w:line="53" w:lineRule="exact"/>
        <w:rPr>
          <w:rFonts w:ascii="Times New Roman" w:cs="Times New Roman" w:eastAsia="Times New Roman" w:hAnsi="Times New Roman"/>
          <w:sz w:val="18"/>
          <w:szCs w:val="18"/>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5.2</w:t>
      </w:r>
      <w:r>
        <w:rPr>
          <w:rFonts w:ascii="Times New Roman" w:cs="Times New Roman" w:eastAsia="Times New Roman" w:hAnsi="Times New Roman"/>
          <w:sz w:val="17"/>
          <w:szCs w:val="17"/>
          <w:u w:val="single" w:color="auto"/>
          <w:color w:val="0000EE"/>
        </w:rPr>
        <w:t>Opinion of Pillsbury Winthrop Shaw Pittman LLP relating to the legality of the DownREIT Shares (filed herewith).</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5.3</w:t>
      </w:r>
      <w:r>
        <w:rPr>
          <w:rFonts w:ascii="Times New Roman" w:cs="Times New Roman" w:eastAsia="Times New Roman" w:hAnsi="Times New Roman"/>
          <w:sz w:val="17"/>
          <w:szCs w:val="17"/>
          <w:u w:val="single" w:color="auto"/>
          <w:color w:val="0000EE"/>
        </w:rPr>
        <w:t>Opinion of Pillsbury Winthrop Shaw Pittman LLP relating to the legality of the Exchangeable Notes Shares (filed herewith).</w:t>
      </w:r>
    </w:p>
    <w:p>
      <w:pPr>
        <w:spacing w:after="0" w:line="12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Pillsbury Winthrop Shaw Pittman LLP (contained in the opinion filed as Exhibit 5.1 hereto)</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Pillsbury Winthrop Shaw Pittman LLP (contained in the opinion filed as Exhibit 5.2 hereto).</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u w:val="single" w:color="auto"/>
          <w:color w:val="0000EE"/>
        </w:rPr>
        <w:t>Consent of Pillsbury Winthrop Shaw Pittman LLP (contained in the opinion filed as Exhibit 5.3 hereto).</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Interactive Data File is embedded within the Inline XBRL document)</w:t>
      </w:r>
    </w:p>
    <w:p>
      <w:pPr>
        <w:sectPr>
          <w:pgSz w:w="11900" w:h="16838" w:orient="portrait"/>
          <w:cols w:equalWidth="0" w:num="1">
            <w:col w:w="11004"/>
          </w:cols>
          <w:pgMar w:left="436" w:top="293" w:right="45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220"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March 11,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Dawn M. Becker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President-General Counsel and Secretary</w:t>
      </w:r>
    </w:p>
    <w:p>
      <w:pPr>
        <w:sectPr>
          <w:pgSz w:w="11900" w:h="16838" w:orient="portrait"/>
          <w:cols w:equalWidth="0" w:num="1">
            <w:col w:w="10940"/>
          </w:cols>
          <w:pgMar w:left="440" w:top="297" w:right="5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DATED MARCH 8, 2024,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DISTRIBUTION AGREEMENT, DATED FEBRUARY 14, 2022</w:t>
      </w:r>
    </w:p>
    <w:p>
      <w:pPr>
        <w:spacing w:after="0" w:line="203"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Equity Distribution Agreement, dated February 14, 2022 (the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Federal Realty Investment Trust, a Maryland real estate investment trust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Federal Realty OP LP,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limited partnership (the “</w:t>
      </w:r>
      <w:r>
        <w:rPr>
          <w:rFonts w:ascii="Times New Roman" w:cs="Times New Roman" w:eastAsia="Times New Roman" w:hAnsi="Times New Roman"/>
          <w:sz w:val="18"/>
          <w:szCs w:val="18"/>
          <w:b w:val="1"/>
          <w:bCs w:val="1"/>
          <w:color w:val="auto"/>
        </w:rPr>
        <w:t>Operating Partnership</w:t>
      </w:r>
      <w:r>
        <w:rPr>
          <w:rFonts w:ascii="Times New Roman" w:cs="Times New Roman" w:eastAsia="Times New Roman" w:hAnsi="Times New Roman"/>
          <w:sz w:val="18"/>
          <w:szCs w:val="18"/>
          <w:color w:val="auto"/>
        </w:rPr>
        <w:t>”), and Wells Fargo Bank, National Association, BNP Paribas, Bank of America, N.A., Citibank, N.A., Deutsche Bank AG, London Branch, JPMorgan Chase Bank, National Association, Jefferies LLC, Regions Securities LLC, The Bank of Nova Scotia, The Toronto-Dominion Bank and Truist Bank (each in its capacity as forward purchaser, a “</w:t>
      </w:r>
      <w:r>
        <w:rPr>
          <w:rFonts w:ascii="Times New Roman" w:cs="Times New Roman" w:eastAsia="Times New Roman" w:hAnsi="Times New Roman"/>
          <w:sz w:val="18"/>
          <w:szCs w:val="18"/>
          <w:b w:val="1"/>
          <w:bCs w:val="1"/>
          <w:color w:val="auto"/>
        </w:rPr>
        <w:t>Forward Purchaser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Forward Purchasers</w:t>
      </w:r>
      <w:r>
        <w:rPr>
          <w:rFonts w:ascii="Times New Roman" w:cs="Times New Roman" w:eastAsia="Times New Roman" w:hAnsi="Times New Roman"/>
          <w:sz w:val="18"/>
          <w:szCs w:val="18"/>
          <w:color w:val="auto"/>
        </w:rPr>
        <w:t>”) and Wells Fargo Securities, LLC, BNP Paribas Securities Corp., BofA Securities, Inc., Citigroup Global Markets Inc., Deutsche Bank Securities Inc., J.P. Morgan Securities LLC, Jefferies LLC, Regions Securities LLC, Scotia Capital (USA) Inc., SMBC Nikko Securities America, Inc., TD Securities (USA) LLC and Truist Securities, Inc. (each in its capacity as agent for the Company and/or principal in connection with the offering and sale of any Issuance Securities (as defined in the Distribution Agreement) under the Distribution Agreement as amended hereby, a “</w:t>
      </w:r>
      <w:r>
        <w:rPr>
          <w:rFonts w:ascii="Times New Roman" w:cs="Times New Roman" w:eastAsia="Times New Roman" w:hAnsi="Times New Roman"/>
          <w:sz w:val="18"/>
          <w:szCs w:val="18"/>
          <w:b w:val="1"/>
          <w:bCs w:val="1"/>
          <w:color w:val="auto"/>
        </w:rPr>
        <w:t>Sales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Sales Agents</w:t>
      </w:r>
      <w:r>
        <w:rPr>
          <w:rFonts w:ascii="Times New Roman" w:cs="Times New Roman" w:eastAsia="Times New Roman" w:hAnsi="Times New Roman"/>
          <w:sz w:val="18"/>
          <w:szCs w:val="18"/>
          <w:color w:val="auto"/>
        </w:rPr>
        <w:t>,” and, except in the case of SMBC Nikko Securities America, Inc., as agent for the related Forward Purchaser in connection with the offering and sale of any Forward Hedge Securities (as defined in the Distribution Agreement) under the Distribution Agreement, a “</w:t>
      </w:r>
      <w:r>
        <w:rPr>
          <w:rFonts w:ascii="Times New Roman" w:cs="Times New Roman" w:eastAsia="Times New Roman" w:hAnsi="Times New Roman"/>
          <w:sz w:val="18"/>
          <w:szCs w:val="18"/>
          <w:b w:val="1"/>
          <w:bCs w:val="1"/>
          <w:color w:val="auto"/>
        </w:rPr>
        <w:t>Forward Seller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Forward Sellers</w:t>
      </w:r>
      <w:r>
        <w:rPr>
          <w:rFonts w:ascii="Times New Roman" w:cs="Times New Roman" w:eastAsia="Times New Roman" w:hAnsi="Times New Roman"/>
          <w:sz w:val="18"/>
          <w:szCs w:val="18"/>
          <w:color w:val="auto"/>
        </w:rPr>
        <w:t>”), is dated March 8,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The Company, the Operating Partnership and the other parties named above, in their capacities as Forward Purchasers, Sales Agents and/or Forward Sellers, as applicable, are referred to herein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right="540" w:firstLine="991"/>
        <w:spacing w:after="0" w:line="268" w:lineRule="auto"/>
        <w:rPr>
          <w:sz w:val="20"/>
          <w:szCs w:val="20"/>
          <w:color w:val="auto"/>
        </w:rPr>
      </w:pPr>
      <w:r>
        <w:rPr>
          <w:rFonts w:ascii="Times New Roman" w:cs="Times New Roman" w:eastAsia="Times New Roman" w:hAnsi="Times New Roman"/>
          <w:sz w:val="18"/>
          <w:szCs w:val="18"/>
          <w:color w:val="auto"/>
        </w:rPr>
        <w:t>WHEREAS, pursuant to the Distribution Agreement, the Company has implemented an at-the-market offering program (the “</w:t>
      </w:r>
      <w:r>
        <w:rPr>
          <w:rFonts w:ascii="Times New Roman" w:cs="Times New Roman" w:eastAsia="Times New Roman" w:hAnsi="Times New Roman"/>
          <w:sz w:val="18"/>
          <w:szCs w:val="18"/>
          <w:b w:val="1"/>
          <w:bCs w:val="1"/>
          <w:color w:val="auto"/>
        </w:rPr>
        <w:t>ATM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18"/>
          <w:szCs w:val="18"/>
          <w:color w:val="auto"/>
        </w:rPr>
        <w:t>”) for the offering and sale of common shares of beneficial interest, par value $.01 per share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with an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price of up to $500,000,000;</w:t>
      </w:r>
    </w:p>
    <w:p>
      <w:pPr>
        <w:spacing w:after="0" w:line="17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WHEREAS, prior to the Effective Date, the Company conducted the ATM Program pursuant to an automatic shelf registration statement on Form S-3ASR (File No. 333-262016), including a base prospectus dated January 5, 2022, and a prospectus supplement dated February 14, 2022 specifically relating to the Securities (as defined in the Distribution Agreement);</w:t>
      </w:r>
    </w:p>
    <w:p>
      <w:pPr>
        <w:spacing w:after="0" w:line="176" w:lineRule="exact"/>
        <w:rPr>
          <w:sz w:val="20"/>
          <w:szCs w:val="20"/>
          <w:color w:val="auto"/>
        </w:rPr>
      </w:pPr>
    </w:p>
    <w:p>
      <w:pPr>
        <w:ind w:right="220" w:firstLine="991"/>
        <w:spacing w:after="0" w:line="312" w:lineRule="auto"/>
        <w:rPr>
          <w:sz w:val="20"/>
          <w:szCs w:val="20"/>
          <w:color w:val="auto"/>
        </w:rPr>
      </w:pPr>
      <w:r>
        <w:rPr>
          <w:rFonts w:ascii="Times New Roman" w:cs="Times New Roman" w:eastAsia="Times New Roman" w:hAnsi="Times New Roman"/>
          <w:sz w:val="17"/>
          <w:szCs w:val="17"/>
          <w:color w:val="auto"/>
        </w:rPr>
        <w:t>WHEREAS, prior to the Effective Date, Securities were sold under the ATM Program with an aggregate offering price of $187,879,828, and Common Shares with an aggregate offering price of up to $312,120,172 remained available for offer and sale under the ATM Program;</w:t>
      </w:r>
    </w:p>
    <w:p>
      <w:pPr>
        <w:spacing w:after="0" w:line="140" w:lineRule="exact"/>
        <w:rPr>
          <w:sz w:val="20"/>
          <w:szCs w:val="20"/>
          <w:color w:val="auto"/>
        </w:rPr>
      </w:pPr>
    </w:p>
    <w:p>
      <w:pPr>
        <w:ind w:right="580" w:firstLine="991"/>
        <w:spacing w:after="0" w:line="266" w:lineRule="auto"/>
        <w:rPr>
          <w:sz w:val="20"/>
          <w:szCs w:val="20"/>
          <w:color w:val="auto"/>
        </w:rPr>
      </w:pPr>
      <w:r>
        <w:rPr>
          <w:rFonts w:ascii="Times New Roman" w:cs="Times New Roman" w:eastAsia="Times New Roman" w:hAnsi="Times New Roman"/>
          <w:sz w:val="18"/>
          <w:szCs w:val="18"/>
          <w:color w:val="auto"/>
        </w:rPr>
        <w:t>WHEREAS, the Company and the Operating Partnership desire to increase the Maximum Amount (as defined in the Distribution Agreement) by $187,879,828, from $500,000,000 to $687,879,828, with the result that Common Shares with an aggregate offering price of up to $500,000,000 will be available for offer and sale under the ATM Program as of the Effective Date;</w:t>
      </w:r>
    </w:p>
    <w:p>
      <w:pPr>
        <w:spacing w:after="0" w:line="172" w:lineRule="exact"/>
        <w:rPr>
          <w:sz w:val="20"/>
          <w:szCs w:val="20"/>
          <w:color w:val="auto"/>
        </w:rPr>
      </w:pPr>
    </w:p>
    <w:p>
      <w:pPr>
        <w:ind w:right="80" w:firstLine="991"/>
        <w:spacing w:after="0" w:line="262" w:lineRule="auto"/>
        <w:rPr>
          <w:sz w:val="20"/>
          <w:szCs w:val="20"/>
          <w:color w:val="auto"/>
        </w:rPr>
      </w:pPr>
      <w:r>
        <w:rPr>
          <w:rFonts w:ascii="Times New Roman" w:cs="Times New Roman" w:eastAsia="Times New Roman" w:hAnsi="Times New Roman"/>
          <w:sz w:val="18"/>
          <w:szCs w:val="18"/>
          <w:color w:val="auto"/>
        </w:rPr>
        <w:t>WHEREAS, the Company and the Operating Partnership have prepared an automatic shelf registration statement (the “</w:t>
      </w:r>
      <w:r>
        <w:rPr>
          <w:rFonts w:ascii="Times New Roman" w:cs="Times New Roman" w:eastAsia="Times New Roman" w:hAnsi="Times New Roman"/>
          <w:sz w:val="18"/>
          <w:szCs w:val="18"/>
          <w:b w:val="1"/>
          <w:bCs w:val="1"/>
          <w:color w:val="auto"/>
        </w:rPr>
        <w:t>2024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on Form S-3ASR (File No. 333-277767), including a base prospectus dated March 8, 2024, relating to certain securities,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to be offered and sold from time to time pursuant to the ATM Program, and a prospectus supplement dated March 8, 2024 (the “</w:t>
      </w: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specifically relating to the Securities;</w:t>
      </w:r>
    </w:p>
    <w:p>
      <w:pPr>
        <w:spacing w:after="0" w:line="180"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WHEREAS, from the Effective Date, the ATM Program is to be conducted pursuant to the 2024 Registration Statement and the 2024 Prospectus Supplement;</w:t>
      </w:r>
    </w:p>
    <w:p>
      <w:pPr>
        <w:sectPr>
          <w:pgSz w:w="11900" w:h="16838" w:orient="portrait"/>
          <w:cols w:equalWidth="0" w:num="1">
            <w:col w:w="11020"/>
          </w:cols>
          <w:pgMar w:left="440" w:top="117" w:right="439" w:bottom="1440" w:gutter="0" w:footer="0" w:header="0"/>
        </w:sectPr>
      </w:pPr>
    </w:p>
    <w:bookmarkStart w:id="5" w:name="page6"/>
    <w:bookmarkEnd w:id="5"/>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the Company, the Operating Partnership, Wells Fargo Bank, National Association, Bank of America, N.A., Citibank, N.A., JPMorgan Chase Bank, National Association, Jefferies LLC, Wells Fargo Securities, LLC, BofA Securities, Inc., Citigroup Global Markets Inc. and J.P. Morgan Securities LLC are parties to the Distribution Agreement (the “</w:t>
      </w:r>
      <w:r>
        <w:rPr>
          <w:rFonts w:ascii="Times New Roman" w:cs="Times New Roman" w:eastAsia="Times New Roman" w:hAnsi="Times New Roman"/>
          <w:sz w:val="18"/>
          <w:szCs w:val="18"/>
          <w:b w:val="1"/>
          <w:bCs w:val="1"/>
          <w:color w:val="auto"/>
        </w:rPr>
        <w:t>Original 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t>WHEREAS, the Original Parties wish to amend the Distribution Agreement to modify the definition of certain defined terms set forth in the Distribution Agreement and used therein, and BNP Paribas Securities Corp., Deutsche Bank Securities Inc., Regions Securities LLC, Scotia Capital (USA) Inc., SMBC Nikko Securities America, Inc., TD Securities (USA) LLC, Truist Securities, Inc., BNP Paribas, Deutsche Bank AG, London Branch, The Bank of Nova Scotia, The Toronto-Dominion Bank and Truist Bank wish to become parties to the Distribution Agreement, in each case with effect on and after the Effective Date; and</w:t>
      </w:r>
    </w:p>
    <w:p>
      <w:pPr>
        <w:spacing w:after="0" w:line="183"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WHEREAS, this Amendment shall constitute an amendment to the Distribution Agreement, which shall remain in full force and effect as of the Effective Date as amended by this Amendment.</w:t>
      </w:r>
    </w:p>
    <w:p>
      <w:pPr>
        <w:spacing w:after="0" w:line="162"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The Parties have agreed to amend the Distribution Agreement, as set forth in this Amendment, subject to the terms and conditions set forth below. All capitalized terms used herein and not otherwise defined shall have the meanings given to such terms in the Distribution Agreement.</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set forth above and other good and valuable consideration, the receipt and sufficiency of which are hereby acknowledged, the Parties agree that the Distribution Agreement and the exhibits appended thereto are hereby amended as provided below:</w:t>
      </w:r>
    </w:p>
    <w:p>
      <w:pPr>
        <w:spacing w:after="0" w:line="176" w:lineRule="exact"/>
        <w:rPr>
          <w:sz w:val="20"/>
          <w:szCs w:val="20"/>
          <w:color w:val="auto"/>
        </w:rPr>
      </w:pPr>
    </w:p>
    <w:p>
      <w:pPr>
        <w:ind w:left="4"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 and Warranty</w:t>
      </w:r>
      <w:r>
        <w:rPr>
          <w:rFonts w:ascii="Times New Roman" w:cs="Times New Roman" w:eastAsia="Times New Roman" w:hAnsi="Times New Roman"/>
          <w:sz w:val="18"/>
          <w:szCs w:val="18"/>
          <w:color w:val="auto"/>
        </w:rPr>
        <w:t>. Each of the Company and the Operating Partnership, jointly and severally, represents and warrants to the Sales Agents, the Forward Sellers and the Forward Purchasers that (i) this Amendment has been duly authorized, executed and delivered by, and is a valid and binding agreement of, the Company and the Operating Partnership and (ii) immediately after giving effect to this Amendment, the representations and warranties of the Company and the Operating Partnership contained in the Distribution Agreement are true and correct in all material respects on and as of the date hereof as if such representations and warranties had been made on and as of the date hereof (except to the extent that any such representations and warranties specifically relate to an earlier date, in which case all such representations and warranties are true and correct in all material respects on and as of the applicable date).</w:t>
      </w:r>
    </w:p>
    <w:p>
      <w:pPr>
        <w:spacing w:after="0" w:line="189"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Amendment of the Distribution Agreement</w:t>
      </w:r>
      <w:r>
        <w:rPr>
          <w:rFonts w:ascii="Times New Roman" w:cs="Times New Roman" w:eastAsia="Times New Roman" w:hAnsi="Times New Roman"/>
          <w:sz w:val="18"/>
          <w:szCs w:val="18"/>
          <w:color w:val="auto"/>
        </w:rPr>
        <w:t xml:space="preserve">. The Distribution Agreement is, as of the Effective Date, hereby amended by (i) deleting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(ii) adding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all as set forth in the version of the Distribution Agreement attached to this Amendment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 reflect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2562860</wp:posOffset>
            </wp:positionH>
            <wp:positionV relativeFrom="paragraph">
              <wp:posOffset>-139700</wp:posOffset>
            </wp:positionV>
            <wp:extent cx="10369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61"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Effective Date, the references to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refer to the 2024 Registration Statement.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Effective Date, the references to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shall refer to the 2024 Prospectus Supplement.</w:t>
      </w:r>
    </w:p>
    <w:p>
      <w:pPr>
        <w:spacing w:after="0" w:line="134" w:lineRule="exact"/>
        <w:rPr>
          <w:rFonts w:ascii="Times New Roman" w:cs="Times New Roman" w:eastAsia="Times New Roman" w:hAnsi="Times New Roman"/>
          <w:sz w:val="18"/>
          <w:szCs w:val="18"/>
          <w:color w:val="auto"/>
        </w:rPr>
      </w:pPr>
    </w:p>
    <w:p>
      <w:pPr>
        <w:jc w:val="both"/>
        <w:ind w:left="424" w:right="20"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Effective Date, the first sentence of Section 1 of the Distribution Agreement is hereby amended to reflect the increased Maximum Amount and the remaining aggregate offering price of Common Shares that is available for offer and sale under the ATM Program and replaced in its entirety by the following:</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6" w:name="page7"/>
    <w:bookmarkEnd w:id="6"/>
    <w:p>
      <w:pPr>
        <w:ind w:left="1424"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Company and the Operating Partnership agrees that, from time to time during the term of this Agreement, on the terms and subject to the conditions set forth herein, Securities having an aggregate offering price of up to $687,879,828 (the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may be offered and sold in the manner contemplated by this Agreement, of which $500,000,000 remains available for offer and sale as of March 8, 2024.</w:t>
      </w:r>
    </w:p>
    <w:p>
      <w:pPr>
        <w:spacing w:after="0" w:line="85" w:lineRule="exact"/>
        <w:rPr>
          <w:sz w:val="20"/>
          <w:szCs w:val="20"/>
          <w:color w:val="auto"/>
        </w:rPr>
      </w:pPr>
    </w:p>
    <w:p>
      <w:pPr>
        <w:ind w:left="424"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Effective Date, the first sentence of the second paragraph of Section 1 of the Distribution Agreement is hereby amended to reflect the filing of the 2024 Registration Statement and replaced in its entirety by the following:</w:t>
      </w:r>
    </w:p>
    <w:p>
      <w:pPr>
        <w:spacing w:after="0" w:line="54" w:lineRule="exact"/>
        <w:rPr>
          <w:sz w:val="20"/>
          <w:szCs w:val="20"/>
          <w:color w:val="auto"/>
        </w:rPr>
      </w:pPr>
    </w:p>
    <w:p>
      <w:pPr>
        <w:ind w:left="1424" w:right="120"/>
        <w:spacing w:after="0" w:line="256" w:lineRule="auto"/>
        <w:rPr>
          <w:sz w:val="20"/>
          <w:szCs w:val="20"/>
          <w:color w:val="auto"/>
        </w:rPr>
      </w:pPr>
      <w:r>
        <w:rPr>
          <w:rFonts w:ascii="Times New Roman" w:cs="Times New Roman" w:eastAsia="Times New Roman" w:hAnsi="Times New Roman"/>
          <w:sz w:val="18"/>
          <w:szCs w:val="18"/>
          <w:color w:val="auto"/>
        </w:rPr>
        <w:t>The Company and the Operating Partnership have filed, in accordance with the provisions of the Securities Act,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an automatic shelf registration statement on Form S-3 (File No. 333-277767), including a base prospectus, relating to certain securities, including the Securities, to be offered and sold from time to time, and which incorporates by reference documents that the Company and the Operating Partnership have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ind w:left="424" w:right="10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Effective Date, the first sentence of the second paragraph of Section 5(a)(1) of the Distribution Agreement is hereby amended to reflect the filing of the 2024 Registration Statement and replaced in its entirety by the following:</w:t>
      </w:r>
    </w:p>
    <w:p>
      <w:pPr>
        <w:spacing w:after="0" w:line="54" w:lineRule="exact"/>
        <w:rPr>
          <w:sz w:val="20"/>
          <w:szCs w:val="20"/>
          <w:color w:val="auto"/>
        </w:rPr>
      </w:pPr>
    </w:p>
    <w:p>
      <w:pPr>
        <w:ind w:left="1424" w:right="460"/>
        <w:spacing w:after="0" w:line="282" w:lineRule="auto"/>
        <w:rPr>
          <w:sz w:val="20"/>
          <w:szCs w:val="20"/>
          <w:color w:val="auto"/>
        </w:rPr>
      </w:pPr>
      <w:r>
        <w:rPr>
          <w:rFonts w:ascii="Times New Roman" w:cs="Times New Roman" w:eastAsia="Times New Roman" w:hAnsi="Times New Roman"/>
          <w:sz w:val="18"/>
          <w:szCs w:val="18"/>
          <w:color w:val="auto"/>
        </w:rPr>
        <w:t>The Original Registration Statement became effective upon filing under Rule 462(e) on March 8, 2024, and any post-effective amendment thereto also became effective upon filing under Rule 462(e).</w:t>
      </w:r>
    </w:p>
    <w:p>
      <w:pPr>
        <w:spacing w:after="0" w:line="67" w:lineRule="exact"/>
        <w:rPr>
          <w:sz w:val="20"/>
          <w:szCs w:val="20"/>
          <w:color w:val="auto"/>
        </w:rPr>
      </w:pPr>
    </w:p>
    <w:p>
      <w:pPr>
        <w:ind w:left="424" w:hanging="424"/>
        <w:spacing w:after="0" w:line="26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Effective Date, Section 5(a)(4) of the Distribution Agreement is hereby amended to permit issuances of Common Shares pursuant to the exercise of the exchange option under certain exchangeable notes issued by the Operating Partnership and replaced in its entirety by the following:</w:t>
      </w:r>
    </w:p>
    <w:p>
      <w:pPr>
        <w:spacing w:after="0" w:line="68" w:lineRule="exact"/>
        <w:rPr>
          <w:sz w:val="20"/>
          <w:szCs w:val="20"/>
          <w:color w:val="auto"/>
        </w:rPr>
      </w:pPr>
    </w:p>
    <w:p>
      <w:pPr>
        <w:ind w:left="1424"/>
        <w:spacing w:after="0" w:line="253" w:lineRule="auto"/>
        <w:rPr>
          <w:sz w:val="20"/>
          <w:szCs w:val="20"/>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The Company, the Operating Partnership, and their respective subsidiaries, considered as one enterprise, have not, since the date of the latest audited financial statements included or incorporated by reference in the Registration Statement and the Prospectus, sustained any material loss or interference with their business from fire, explosion, flood or other calamity, whether or not covered by insurance, or from any labor dispute or court or governmental action, order or decree, otherwise than as set forth or contemplated in the Registration Statement and the Prospectus; and, since the date as of which information is given in the Prospectus, there has not been any change in the authorized, issued or outstanding capital shares of the Company (except for subsequent issuances, if any, of Common Shares pursuant to (i) the terms of this Agreement, (ii) conversion of any of the Company’s Preferred Shares outstanding as of the date hereof or exercise of the exchange option under any of the Operating Partnership’s exchangeable notes outstanding as of the date hereof, or the conversion of Preferred Shares, or exercise of an exchange option under exchangeable notes, in each case issued subsequent to the date hereof and disclosed in a report filed pursuant to the Exchange Act (excluding Current Reports of Form 8-K responsive to Item 2.02 or Item 7.01 of such form), (iii) the Company’s Dividend Reinvestment and Share Purchase Plan as in effect on the date hereof or established subsequent to the date hereof and disclosed in a report filed pursuant to the Exchange Act (excluding Current Reports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7" w:name="page8"/>
    <w:bookmarkEnd w:id="7"/>
    <w:p>
      <w:pPr>
        <w:ind w:left="1424"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Form 8-K responsive to Item 2.02 or Item 7.01 of such form), (iv) any of the Company’s employee or trustee benefits plans or employee inducement awards, including upon exercise of share options granted pursuant thereto, as such plans are in effect on the date hereof or consistent with past practice, (v) the exercise of contractual rights by the holders of partnership or other interests in the Operating Partnership and in certain of the “DownREIT” and other subsidiaries, which issuances are either (A) disclosed in the Registration Statement and the Prospectus or (B) not material, or (vi) any non-material acquisition, merger or purchase of assets), any material increase in the consolidated long-term debt of the Company, any material adverse change, any dividend or distribution of any kind declared, paid or made by the Company on any class of its capital stock or by the Operating Partnership with respect to its OP Units (other than ordinary-course dividends or distributions) or any development involving a prospective material adverse change, in or affecting the general affairs, management, financial position, shareholders’ equity or results of operations of the Company, the Operating Partnership, and their subsidiaries taken as a whole, in each case otherwise than as set forth or contemplated in the Prospectus.</w:t>
      </w:r>
    </w:p>
    <w:p>
      <w:pPr>
        <w:spacing w:after="0" w:line="93" w:lineRule="exact"/>
        <w:rPr>
          <w:sz w:val="20"/>
          <w:szCs w:val="20"/>
          <w:color w:val="auto"/>
        </w:rPr>
      </w:pPr>
    </w:p>
    <w:p>
      <w:pPr>
        <w:ind w:left="424" w:right="340" w:hanging="424"/>
        <w:spacing w:after="0" w:line="291" w:lineRule="auto"/>
        <w:tabs>
          <w:tab w:leader="none" w:pos="42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and after the Effective Date, the references to “</w:t>
      </w:r>
      <w:r>
        <w:rPr>
          <w:rFonts w:ascii="Times New Roman" w:cs="Times New Roman" w:eastAsia="Times New Roman" w:hAnsi="Times New Roman"/>
          <w:sz w:val="17"/>
          <w:szCs w:val="17"/>
          <w:b w:val="1"/>
          <w:bCs w:val="1"/>
          <w:color w:val="auto"/>
        </w:rPr>
        <w:t>Forward Purchaser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Forward Purchasers</w:t>
      </w:r>
      <w:r>
        <w:rPr>
          <w:rFonts w:ascii="Times New Roman" w:cs="Times New Roman" w:eastAsia="Times New Roman" w:hAnsi="Times New Roman"/>
          <w:sz w:val="17"/>
          <w:szCs w:val="17"/>
          <w:color w:val="auto"/>
        </w:rPr>
        <w:t>” shall refer to each of Wells Fargo Bank, National Association, BNP Paribas, Bank of America, N.A., Citibank, N.A., Deutsche Bank AG, London Branch, JPMorgan Chase Bank, National Association, Jefferies LLC, Regions Securities LLC, The Bank of Nova Scotia, The Toronto-Dominion Bank and Truist Bank.</w:t>
      </w:r>
    </w:p>
    <w:p>
      <w:pPr>
        <w:spacing w:after="0" w:line="58" w:lineRule="exact"/>
        <w:rPr>
          <w:rFonts w:ascii="Times New Roman" w:cs="Times New Roman" w:eastAsia="Times New Roman" w:hAnsi="Times New Roman"/>
          <w:sz w:val="17"/>
          <w:szCs w:val="17"/>
          <w:color w:val="auto"/>
        </w:rPr>
      </w:pPr>
    </w:p>
    <w:p>
      <w:pPr>
        <w:ind w:left="424" w:right="200" w:hanging="424"/>
        <w:spacing w:after="0" w:line="26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Effective Date, the references to “</w:t>
      </w:r>
      <w:r>
        <w:rPr>
          <w:rFonts w:ascii="Times New Roman" w:cs="Times New Roman" w:eastAsia="Times New Roman" w:hAnsi="Times New Roman"/>
          <w:sz w:val="18"/>
          <w:szCs w:val="18"/>
          <w:b w:val="1"/>
          <w:bCs w:val="1"/>
          <w:color w:val="auto"/>
        </w:rPr>
        <w:t>Sales Agent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Sales Agents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Forward Seller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Forward Sellers</w:t>
      </w:r>
      <w:r>
        <w:rPr>
          <w:rFonts w:ascii="Times New Roman" w:cs="Times New Roman" w:eastAsia="Times New Roman" w:hAnsi="Times New Roman"/>
          <w:sz w:val="18"/>
          <w:szCs w:val="18"/>
          <w:color w:val="auto"/>
        </w:rPr>
        <w:t>,” as the case may be, shall refer to each of Wells Fargo Securities, LLC, BNP Paribas Securities Corp., BofA Securities, Inc., Citigroup Global Markets Inc., Deutsche Bank Securities Inc., J.P. Morgan Securities LLC, Jefferies LLC, Regions Securities LLC, Scotia Capital (USA) Inc., SMBC Nikko Securities America, Inc., TD Securities (USA) LLC and Truist Securities, Inc.</w:t>
      </w:r>
    </w:p>
    <w:p>
      <w:pPr>
        <w:spacing w:after="0" w:line="85" w:lineRule="exact"/>
        <w:rPr>
          <w:rFonts w:ascii="Times New Roman" w:cs="Times New Roman" w:eastAsia="Times New Roman" w:hAnsi="Times New Roman"/>
          <w:sz w:val="18"/>
          <w:szCs w:val="18"/>
          <w:color w:val="auto"/>
        </w:rPr>
      </w:pPr>
    </w:p>
    <w:p>
      <w:pPr>
        <w:jc w:val="both"/>
        <w:ind w:left="424"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Effective Date, the cover of the Distribution Agreement is amended to include the names and addresses of BNP Paribas, Deutsche Bank AG, London Branch, Regions Securities LLC, The Bank of Nova Scotia, The Toronto-Dominion Bank and Truist Bank (each, in its capacity as a Forward Purchaser under the Distribution Agreement from and after the Effective Date, a “</w:t>
      </w:r>
      <w:r>
        <w:rPr>
          <w:rFonts w:ascii="Times New Roman" w:cs="Times New Roman" w:eastAsia="Times New Roman" w:hAnsi="Times New Roman"/>
          <w:sz w:val="18"/>
          <w:szCs w:val="18"/>
          <w:b w:val="1"/>
          <w:bCs w:val="1"/>
          <w:color w:val="auto"/>
        </w:rPr>
        <w:t>New Forward Purchaser</w:t>
      </w:r>
      <w:r>
        <w:rPr>
          <w:rFonts w:ascii="Times New Roman" w:cs="Times New Roman" w:eastAsia="Times New Roman" w:hAnsi="Times New Roman"/>
          <w:sz w:val="18"/>
          <w:szCs w:val="18"/>
          <w:color w:val="auto"/>
        </w:rPr>
        <w:t>”) as follows, in addition to the names and addresses of the other Forward Purchasers:</w:t>
      </w:r>
    </w:p>
    <w:p>
      <w:pPr>
        <w:spacing w:after="0" w:line="180"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c/o Deutsche Bank Securities Inc.</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1 Columbus Circle</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615 S College St, Suite 600</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8" w:name="page9"/>
    <w:bookmarkEnd w:id="8"/>
    <w:p>
      <w:pPr>
        <w:ind w:left="1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Nova Scotia</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44 King Street West</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Central Mail Room</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Toronto, Ontario, Canada M5H 1H1</w:t>
      </w:r>
    </w:p>
    <w:p>
      <w:pPr>
        <w:spacing w:after="0" w:line="20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The Toronto-Dominion Bank</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c/o TD Securities (USA) LLC</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Truist Bank</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3333 Peachtree Road NE, 11th Floor</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Atlanta, Georgia 30326</w:t>
      </w:r>
    </w:p>
    <w:p>
      <w:pPr>
        <w:spacing w:after="0" w:line="112" w:lineRule="exact"/>
        <w:rPr>
          <w:sz w:val="20"/>
          <w:szCs w:val="20"/>
          <w:color w:val="auto"/>
        </w:rPr>
      </w:pPr>
    </w:p>
    <w:p>
      <w:pPr>
        <w:ind w:left="424" w:hanging="424"/>
        <w:spacing w:after="0" w:line="258"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Effective Date, the cover of the Distribution Agreement is amended to include the names and addresses of BNP Paribas Securities Corp., Deutsche Bank Securities Inc., Regions Securities LLC, Scotia Capital (USA) Inc., SMBC Nikko Securities America, Inc., TD Securities (USA) LLC and Truist Securities, Inc. (each, in its capacity as a Sales Agent under the Distribution Agreement from and after the Effective Date, a “</w:t>
      </w:r>
      <w:r>
        <w:rPr>
          <w:rFonts w:ascii="Times New Roman" w:cs="Times New Roman" w:eastAsia="Times New Roman" w:hAnsi="Times New Roman"/>
          <w:sz w:val="18"/>
          <w:szCs w:val="18"/>
          <w:b w:val="1"/>
          <w:bCs w:val="1"/>
          <w:color w:val="auto"/>
        </w:rPr>
        <w:t>New Sales Agent</w:t>
      </w:r>
      <w:r>
        <w:rPr>
          <w:rFonts w:ascii="Times New Roman" w:cs="Times New Roman" w:eastAsia="Times New Roman" w:hAnsi="Times New Roman"/>
          <w:sz w:val="18"/>
          <w:szCs w:val="18"/>
          <w:color w:val="auto"/>
        </w:rPr>
        <w:t>,” and, except in the case of SMBC Nikko Securities America, Inc., in its capacity as a Forward Seller from and after the Effective Date, a “</w:t>
      </w:r>
      <w:r>
        <w:rPr>
          <w:rFonts w:ascii="Times New Roman" w:cs="Times New Roman" w:eastAsia="Times New Roman" w:hAnsi="Times New Roman"/>
          <w:sz w:val="18"/>
          <w:szCs w:val="18"/>
          <w:b w:val="1"/>
          <w:bCs w:val="1"/>
          <w:color w:val="auto"/>
        </w:rPr>
        <w:t>New Forward Seller</w:t>
      </w:r>
      <w:r>
        <w:rPr>
          <w:rFonts w:ascii="Times New Roman" w:cs="Times New Roman" w:eastAsia="Times New Roman" w:hAnsi="Times New Roman"/>
          <w:sz w:val="18"/>
          <w:szCs w:val="18"/>
          <w:color w:val="auto"/>
        </w:rPr>
        <w:t>”) as follows, in addition to the names and addresses of the other Forward Sellers and Sales Agents:</w:t>
      </w:r>
    </w:p>
    <w:p>
      <w:pPr>
        <w:spacing w:after="0" w:line="183"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1 Columbus Circle</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615 S College St, Suite 600</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20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250 Vesey Street, 24th Floor</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20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277 Park Avenue, 5th Floor</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New York, New York 10172</w:t>
      </w:r>
    </w:p>
    <w:p>
      <w:pPr>
        <w:spacing w:after="0" w:line="20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3333 Peachtree Road NE, 11th Floor</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Atlanta, Georgia 30326</w:t>
      </w:r>
    </w:p>
    <w:p>
      <w:pPr>
        <w:spacing w:after="0" w:line="112"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Effective Date, Section 14 of the Distribution Agreement is hereby deleted in its entirety and replaced with the following:</w:t>
      </w:r>
    </w:p>
    <w:p>
      <w:pPr>
        <w:spacing w:after="0" w:line="225" w:lineRule="exact"/>
        <w:rPr>
          <w:sz w:val="20"/>
          <w:szCs w:val="20"/>
          <w:color w:val="auto"/>
        </w:rPr>
      </w:pPr>
    </w:p>
    <w:p>
      <w:pPr>
        <w:jc w:val="both"/>
        <w:ind w:left="1424" w:right="80"/>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provided in this Agreement, all notices and other communications hereunder shall be in writing and shall be deemed to have been duly given if mailed or transmitted by any standard form of telecommunication, and if to the Sales Agents, the Forward Sellers, the Forward Purchasers, the Company or the Operating Partnership shall be delivered or sent by mail to:</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9" w:name="page10"/>
    <w:bookmarkEnd w:id="9"/>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Sales Agents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500 West 33rd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Equity Syndicate Department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212-214-5918</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Robert McDonald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dl.nyk.ste@us.bnpparibas.com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ATM Execution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dg.atm_execution@bofa.com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 ECM Legal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212-230-8730</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646-291-1469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Matthew Morris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Phone: 212-723-7833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setg.origination@citi.com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Columbus Circle, 19th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Attention: Equity Capital Markets – Syndicate Desk</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 Deutsche Bank Securities Inc.</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Columbus Circle, 19th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dbcapmarkets.gcnotices@list.db.com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383 Madison Avenue, 6th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Sanjeet Dewal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212-622-8783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sanjeet.s.dewal@jpmorgan.com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019"/>
          </w:cols>
          <w:pgMar w:left="1440" w:top="270" w:right="1440" w:bottom="1440" w:gutter="0" w:footer="0" w:header="0"/>
        </w:sectPr>
      </w:pPr>
    </w:p>
    <w:bookmarkStart w:id="10" w:name="page11"/>
    <w:bookmarkEnd w:id="1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Jefferies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Attention: General Counsel (shall be delivered, mailed or sent to)</w:t>
      </w:r>
    </w:p>
    <w:p>
      <w:pPr>
        <w:spacing w:after="0" w:line="2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615 S College St, Suite 600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ECM Team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Emails: brit.stephens@regions.com,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ed.armstrong@regions.com,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matthew.stewart@regions.com,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scott.williams2@regions.com, and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ECMDesk@regions.com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250 Vesey Street, 24th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Equity Capital Markets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212-225-6653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Emails: us.ecm@scotiabank.com and us.legal@scotiabank.com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277 Park Avenue, 5th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10172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NYECM@smbcnikko-si.com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Equity Capital Markets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TDS_ATM@tdsecurities.com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3333 Peachtree Road NE, 11th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Atlanta, Georgia 30326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Equity Syndicate Department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404-926-5995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dl.atm.offering@truist.com</w:t>
      </w:r>
    </w:p>
    <w:p>
      <w:pPr>
        <w:spacing w:after="0" w:line="207" w:lineRule="exact"/>
        <w:rPr>
          <w:sz w:val="20"/>
          <w:szCs w:val="20"/>
          <w:color w:val="auto"/>
        </w:rPr>
      </w:pPr>
    </w:p>
    <w:p>
      <w:pPr>
        <w:jc w:val="center"/>
        <w:ind w:right="4139"/>
        <w:spacing w:after="0"/>
        <w:rPr>
          <w:sz w:val="20"/>
          <w:szCs w:val="20"/>
          <w:color w:val="auto"/>
        </w:rPr>
      </w:pPr>
      <w:r>
        <w:rPr>
          <w:rFonts w:ascii="Times New Roman" w:cs="Times New Roman" w:eastAsia="Times New Roman" w:hAnsi="Times New Roman"/>
          <w:sz w:val="18"/>
          <w:szCs w:val="18"/>
          <w:color w:val="auto"/>
        </w:rPr>
        <w:t>if to the Forward Sellers and the Forward Purchasers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500 West 33rd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Structuring Services Group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212-214-5913</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Robert McDonald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dl.nyk.ste@us.bnpparibas.com</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019"/>
          </w:cols>
          <w:pgMar w:left="1440" w:top="270" w:right="1440" w:bottom="1440" w:gutter="0" w:footer="0" w:header="0"/>
        </w:sectPr>
      </w:pPr>
    </w:p>
    <w:bookmarkStart w:id="11" w:name="page12"/>
    <w:bookmarkEnd w:id="1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Strategic Equity Solutions Group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dg.issuer_derivatives_notices@bofa.com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390 Greenwich Street, 4th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Theodore Finkelstein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Phone: 212-723-1693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eq.us.ses.notifications@citi.com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Deutsche Bank Securities Inc.</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Columbus Circle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Joachim Sciard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Phone: 212-250-7099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joachim.sciard@db.com)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an email notification to equity-linked.notifications@list.db.com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EDG Marketing Support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Emails: edg_notices@jpmorgan.com and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edg_ny_corporate_sales_support@jpmorgan.com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 Sanjeet Dewal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sanjeet.s.dewal@jpmorgan.com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Strategic Equity Transactions Group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Phone: 212-708-2734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Emails: SETG-US@jefferies.com and CorpEqDeriv@jefferies.com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615 S College St, Suite 600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ECM Team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Emails: brit.stephens@regions.com,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ed.armstrong@regions.com,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matthew.stewart@regions.com,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scott.williams2@regions.com and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ECMDesk@regions.com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019"/>
          </w:cols>
          <w:pgMar w:left="1440" w:top="270" w:right="1440" w:bottom="1440" w:gutter="0" w:footer="0" w:header="0"/>
        </w:sectPr>
      </w:pPr>
    </w:p>
    <w:bookmarkStart w:id="12" w:name="page13"/>
    <w:bookmarkEnd w:id="12"/>
    <w:p>
      <w:pPr>
        <w:ind w:left="1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 of Nova Scotia</w:t>
      </w:r>
    </w:p>
    <w:p>
      <w:pPr>
        <w:spacing w:after="0" w:line="2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44 King Street West, Central Mail Room</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Toronto, Ontario M5H 1H1, Canada</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c/o Scotia Capital (USA) Inc.</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250 Vesey Street, 24th Floor</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Attention: Bahar Lorenzo</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Phone: 212-225-5230</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Email: bahar.lorenzo@scotiabank.com</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with a copy to GWO—OTC Confirmations</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Email: BNSEquityConfirmations@scotiabank.com</w:t>
      </w:r>
    </w:p>
    <w:p>
      <w:pPr>
        <w:spacing w:after="0" w:line="20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The Toronto-Dominion Bank</w:t>
      </w:r>
    </w:p>
    <w:p>
      <w:pPr>
        <w:spacing w:after="0" w:line="2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c/o TD Securities (USA) LLC</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Attention: Global Equity Derivatives</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Phone: 212-827-7306</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Emails: TDUSA-GEDUSInvestorSolutionsSales@tdsecurities.com,</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vanessa.simonetti@tdsecurities.com,</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christopher.obalde@tdsecurities.com,</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Michael.murphy3@tdsecurities.com and</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adriano.pierroz@tdsecurities.com</w:t>
      </w:r>
    </w:p>
    <w:p>
      <w:pPr>
        <w:spacing w:after="0" w:line="20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Truist Bank</w:t>
      </w:r>
    </w:p>
    <w:p>
      <w:pPr>
        <w:spacing w:after="0" w:line="2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3333 Peachtree Road NE, 11th Floor</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Atlanta, Georgia 30326</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Fax: 404-926-5995</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Attention: Equity Syndicate Department</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Email: dl.atm.offering@truist.com</w:t>
      </w:r>
    </w:p>
    <w:p>
      <w:pPr>
        <w:spacing w:after="0" w:line="20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and if to the Company or the Operating Partnership to:</w:t>
      </w:r>
    </w:p>
    <w:p>
      <w:pPr>
        <w:spacing w:after="0" w:line="11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909 Rose Avenue</w:t>
      </w:r>
    </w:p>
    <w:p>
      <w:pPr>
        <w:spacing w:after="0" w:line="2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34" w:lineRule="exact"/>
        <w:rPr>
          <w:sz w:val="20"/>
          <w:szCs w:val="20"/>
          <w:color w:val="auto"/>
        </w:rPr>
      </w:pPr>
    </w:p>
    <w:p>
      <w:pPr>
        <w:ind w:left="424" w:right="460"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and after the Effective Date, Exhibit B-2 of the Distribution Agreement is hereby replaced with the form attached to this Amendment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and after the Effective Date, Exhibit E of the Distribution Agreement is hereby replaced with the form attached to this Amendment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effective as of the Effective Date.</w:t>
      </w:r>
    </w:p>
    <w:p>
      <w:pPr>
        <w:spacing w:after="0" w:line="225"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Distribution Agreement, as amended by this Amendment, represents the entire agreement among the Company and the Operating Partnership, on the one hand, and each Sales Agent, Forward Seller and Forward Purchaser, on the other hand, with respect to the subject matter thereof and hereof.</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4"/>
          </w:cols>
          <w:pgMar w:left="436" w:top="270" w:right="519" w:bottom="1440" w:gutter="0" w:footer="0" w:header="0"/>
        </w:sectPr>
      </w:pPr>
    </w:p>
    <w:bookmarkStart w:id="13" w:name="page14"/>
    <w:bookmarkEnd w:id="13"/>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Prior Sales</w:t>
      </w:r>
      <w:r>
        <w:rPr>
          <w:rFonts w:ascii="Times New Roman" w:cs="Times New Roman" w:eastAsia="Times New Roman" w:hAnsi="Times New Roman"/>
          <w:sz w:val="18"/>
          <w:szCs w:val="18"/>
          <w:color w:val="auto"/>
        </w:rPr>
        <w:t>. Notwithstanding anything contained herein, this Amendment shall not have any effect on offerings or sales of Securities prior to the Effective Date or on the terms of the Distribution Agreement, and the rights and obligations of the parties thereunder, insofar as they relate to such offerings or sales, including, without limitation, the representations, warranties and agreements (including the indemnification and contribution provisions), as well as the definitions of “Registration Statement,” “Prospectus Supplement” “Sales Agent,” “Forward Seller” and “Forward Purchaser” contained in the Distribution Agreement prior to the Effective Date.</w:t>
      </w:r>
    </w:p>
    <w:p>
      <w:pPr>
        <w:spacing w:after="0" w:line="183"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Full Force and Effect</w:t>
      </w:r>
      <w:r>
        <w:rPr>
          <w:rFonts w:ascii="Times New Roman" w:cs="Times New Roman" w:eastAsia="Times New Roman" w:hAnsi="Times New Roman"/>
          <w:sz w:val="18"/>
          <w:szCs w:val="18"/>
          <w:color w:val="auto"/>
        </w:rPr>
        <w:t>. Except as expressly set forth herein, this Amendment does not constitute an amendment, waiver or modification of any other provision of the Distribution Agreement, does not constitute a waiver of timely compliance with the provisions of the Distribution Agreement, does not constitute a waiver of any default or event of default whether or not known to the Parties, and does not entitle the Company or the Operating Partnership to any amendment, waiver or modification of any provision of the Distribution Agreement, or to a consent to any transaction, in the future in similar or dissimilar circumstances. Except as expressly amended hereby, the Distribution Agreement shall continue in full force and effect in accordance with the provisions thereof on the date hereof. From and after the Effective Date, as used in the Distribution Agreement, the terms “Agreement,” “this Agreement,” “herein,” “hereafter,” “hereto,” “hereof” and words of similar import, shall, unless the context otherwise requires, mean the Distribution Agreement as amended by this Amendment.</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Subject to Section 4 of this Amendment, as of the Effective Date:</w:t>
      </w:r>
    </w:p>
    <w:p>
      <w:pPr>
        <w:spacing w:after="0" w:line="131" w:lineRule="exact"/>
        <w:rPr>
          <w:sz w:val="20"/>
          <w:szCs w:val="20"/>
          <w:color w:val="auto"/>
        </w:rPr>
      </w:pPr>
    </w:p>
    <w:p>
      <w:pPr>
        <w:ind w:left="424" w:right="320" w:hanging="424"/>
        <w:spacing w:after="0" w:line="282"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Forward Purchaser agrees to all the terms of the Distribution Agreement applicable to a Forward Purchaser and shall have all of the rights of a Forward Purchaser under the Distribution Agreement;</w:t>
      </w:r>
    </w:p>
    <w:p>
      <w:pPr>
        <w:spacing w:after="0" w:line="67" w:lineRule="exact"/>
        <w:rPr>
          <w:rFonts w:ascii="Times New Roman" w:cs="Times New Roman" w:eastAsia="Times New Roman" w:hAnsi="Times New Roman"/>
          <w:sz w:val="18"/>
          <w:szCs w:val="18"/>
          <w:color w:val="auto"/>
        </w:rPr>
      </w:pPr>
    </w:p>
    <w:p>
      <w:pPr>
        <w:ind w:left="424" w:right="560" w:hanging="424"/>
        <w:spacing w:after="0" w:line="282"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Sales Agent agrees to all the terms of the Distribution Agreement applicable to a Sales Agent and shall have all of the rights and obligations of a Sales Agent under the Distribution Agreement; and</w:t>
      </w:r>
    </w:p>
    <w:p>
      <w:pPr>
        <w:spacing w:after="0" w:line="67"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Forward Seller agrees to all the terms of the Distribution Agreement applicable to a Forward Seller and shall have all of the rights and obligations of a Forward Seller under the Distribution Agreement.</w:t>
      </w:r>
    </w:p>
    <w:p>
      <w:pPr>
        <w:spacing w:after="0" w:line="162"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this Amendment are for the purposes of reference only and shall not affect the construction of or be taken into consideration in interpreting this Amendment.</w:t>
      </w:r>
    </w:p>
    <w:p>
      <w:pPr>
        <w:spacing w:after="0" w:line="162"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LAWS OF THE STATE OF NEW YORK.</w:t>
      </w:r>
    </w:p>
    <w:p>
      <w:pPr>
        <w:spacing w:after="0" w:line="162"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by any one or more of the Parties in any number of counterparts, each of which shall be deemed to be an original, but all such respective counterparts shall together constitute one and the same instrument. Delivery of an executed Amendment by one Party to the other may be made by electronic mail (including any electronic signature complying with the New York Electronic Signatures and Records Act (N.Y. State Tech. §§ 301-309), as amended from time to time, or other applicable law) or other transmission method, and the Parties agree that any counterpart so delivered shall be deemed to have been duly and validly delivered and be valid and effective for all purposes.</w:t>
      </w:r>
    </w:p>
    <w:p>
      <w:pPr>
        <w:spacing w:after="0" w:line="1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4" w:name="page15"/>
    <w:bookmarkEnd w:id="14"/>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the Company and the Operating Partnership a counterpart hereof, whereupon this instrument, along with all counterparts, will become a binding agreement among the parties hereto in accordance with its terms.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Daniel Guglielmone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Executive Vice President-Chief Financial Officer and</w:t>
      </w:r>
    </w:p>
    <w:p>
      <w:pPr>
        <w:spacing w:after="0" w:line="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Treasurer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Daniel Guglielmone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Executive Vice President-Chief Financial Officer and</w:t>
      </w:r>
    </w:p>
    <w:p>
      <w:pPr>
        <w:spacing w:after="0" w:line="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Treasurer</w:t>
      </w:r>
    </w:p>
    <w:p>
      <w:pPr>
        <w:spacing w:after="0" w:line="1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1 to Equity Distribution Agreement</w:t>
      </w:r>
      <w:r>
        <w:rPr>
          <w:rFonts w:ascii="Times New Roman" w:cs="Times New Roman" w:eastAsia="Times New Roman" w:hAnsi="Times New Roman"/>
          <w:sz w:val="18"/>
          <w:szCs w:val="18"/>
          <w:color w:val="auto"/>
        </w:rPr>
        <w:t>]</w:t>
      </w:r>
    </w:p>
    <w:p>
      <w:pPr>
        <w:sectPr>
          <w:pgSz w:w="11900" w:h="16838" w:orient="portrait"/>
          <w:cols w:equalWidth="0" w:num="1">
            <w:col w:w="10880"/>
          </w:cols>
          <w:pgMar w:left="440" w:top="270" w:right="579" w:bottom="1440" w:gutter="0" w:footer="0" w:header="0"/>
        </w:sectPr>
      </w:pPr>
    </w:p>
    <w:bookmarkStart w:id="15" w:name="page16"/>
    <w:bookmarkEnd w:id="15"/>
    <w:p>
      <w:pPr>
        <w:ind w:left="184" w:hanging="184"/>
        <w:spacing w:after="0"/>
        <w:tabs>
          <w:tab w:leader="none" w:pos="18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CONFIRMED AND ACCEPTED, as of the date first above written:</w:t>
      </w:r>
    </w:p>
    <w:p>
      <w:pPr>
        <w:spacing w:after="0" w:line="256"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WELLS FARGO SECURITIES, LLC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Elizabeth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84" w:hanging="184"/>
        <w:spacing w:after="0"/>
        <w:tabs>
          <w:tab w:leader="none" w:pos="1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Name: Elizabeth Alvarez</w:t>
      </w:r>
    </w:p>
    <w:p>
      <w:pPr>
        <w:spacing w:after="0" w:line="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Title: Managing Director</w:t>
      </w:r>
    </w:p>
    <w:p>
      <w:pPr>
        <w:spacing w:after="0" w:line="20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Steve Nawrocki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184" w:hanging="184"/>
        <w:spacing w:after="0"/>
        <w:tabs>
          <w:tab w:leader="none" w:pos="1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Name: Steve Nawrocki</w:t>
      </w:r>
    </w:p>
    <w:p>
      <w:pPr>
        <w:spacing w:after="0" w:line="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Title: Managing Director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Spencer Cherniak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84" w:hanging="184"/>
        <w:spacing w:after="0"/>
        <w:tabs>
          <w:tab w:leader="none" w:pos="1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Name: Spencer Cherniak</w:t>
      </w:r>
    </w:p>
    <w:p>
      <w:pPr>
        <w:spacing w:after="0" w:line="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Title: Managing Director</w:t>
      </w:r>
    </w:p>
    <w:p>
      <w:pPr>
        <w:spacing w:after="0" w:line="20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Hicham Hamdouch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84" w:hanging="184"/>
        <w:spacing w:after="0"/>
        <w:tabs>
          <w:tab w:leader="none" w:pos="1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Name: Hicham Hamdouch</w:t>
      </w:r>
    </w:p>
    <w:p>
      <w:pPr>
        <w:spacing w:after="0" w:line="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Title: Managing Director</w:t>
      </w:r>
    </w:p>
    <w:p>
      <w:pPr>
        <w:spacing w:after="0" w:line="20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Gary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84" w:hanging="184"/>
        <w:spacing w:after="0"/>
        <w:tabs>
          <w:tab w:leader="none" w:pos="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Name: Gary Lawrence</w:t>
      </w:r>
    </w:p>
    <w:p>
      <w:pPr>
        <w:spacing w:after="0" w:line="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Title: Authorized Signatory</w:t>
      </w:r>
    </w:p>
    <w:p>
      <w:pPr>
        <w:spacing w:after="0" w:line="20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Joachim Sciard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84" w:hanging="184"/>
        <w:spacing w:after="0"/>
        <w:tabs>
          <w:tab w:leader="none" w:pos="1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Name: Joachim Sciard</w:t>
      </w:r>
    </w:p>
    <w:p>
      <w:pPr>
        <w:spacing w:after="0" w:line="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Title: Managing Director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Natasha Hossain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184" w:hanging="184"/>
        <w:spacing w:after="0"/>
        <w:tabs>
          <w:tab w:leader="none" w:pos="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Name: Natasha Hossain</w:t>
      </w:r>
    </w:p>
    <w:p>
      <w:pPr>
        <w:spacing w:after="0" w:line="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Title: Director</w:t>
      </w:r>
    </w:p>
    <w:p>
      <w:pPr>
        <w:spacing w:after="0" w:line="137" w:lineRule="exact"/>
        <w:rPr>
          <w:sz w:val="20"/>
          <w:szCs w:val="20"/>
          <w:color w:val="auto"/>
        </w:rPr>
      </w:pPr>
    </w:p>
    <w:p>
      <w:pPr>
        <w:jc w:val="right"/>
        <w:ind w:right="19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1 to Equity Distribution Agreement</w:t>
      </w:r>
      <w:r>
        <w:rPr>
          <w:rFonts w:ascii="Times New Roman" w:cs="Times New Roman" w:eastAsia="Times New Roman" w:hAnsi="Times New Roman"/>
          <w:sz w:val="18"/>
          <w:szCs w:val="18"/>
          <w:color w:val="auto"/>
        </w:rPr>
        <w:t>]</w:t>
      </w:r>
    </w:p>
    <w:p>
      <w:pPr>
        <w:sectPr>
          <w:pgSz w:w="11900" w:h="16838" w:orient="portrait"/>
          <w:cols w:equalWidth="0" w:num="1">
            <w:col w:w="10023"/>
          </w:cols>
          <w:pgMar w:left="436" w:top="266" w:right="1440" w:bottom="1440" w:gutter="0" w:footer="0" w:header="0"/>
        </w:sectPr>
      </w:pPr>
    </w:p>
    <w:bookmarkStart w:id="16" w:name="page17"/>
    <w:bookmarkEnd w:id="16"/>
    <w:p>
      <w:pPr>
        <w:ind w:left="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Brett Chalmers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Brett Chalmers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Donald Lynaugh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Donald Lynaugh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Edward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Edward L. Armstrong</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 – ECM</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Tim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Tim Mann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Michelle Petropoulos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Michelle Petropoulos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Brad Limpert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Brad Limpert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Michael Collins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Forward Sellers and Sales Agents</w:t>
      </w:r>
    </w:p>
    <w:p>
      <w:pPr>
        <w:spacing w:after="0" w:line="156" w:lineRule="exact"/>
        <w:rPr>
          <w:sz w:val="20"/>
          <w:szCs w:val="20"/>
          <w:color w:val="auto"/>
        </w:rPr>
      </w:pPr>
    </w:p>
    <w:p>
      <w:pPr>
        <w:jc w:val="right"/>
        <w:ind w:right="19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1 to Equity Distribution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CONFIRMED AND ACCEPTED, as of the date first above written:</w:t>
      </w: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Elizabeth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Elizabeth Alvarez</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BNP PARIBAS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Steve Nawrocki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Steve Nawrocki</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Spencer Cherniak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Spencer Cherniak</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Rohan Handa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Rohan Handa</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CITIBANK, 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Eric Natelson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Eric Natelson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Ben Selinger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Ben Selinger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Kristen Pugno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Kristen Pugno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jc w:val="right"/>
        <w:ind w:right="19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1 to Equity Distribution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66" w:right="1440"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NATIONAL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Brett Chalmers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Brett Chalmers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Donald Lynaugh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Donald Lynaugh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Edward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Edward L. Armstrong</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 – ECM</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Kshamta Kaushik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Kshamta Kaushik</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TORONTO-DOMINION BANK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Vanessa Simonetti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Vanessa Simonetti</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TRUIST BANK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Michael Collins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Forward Purchasers, solely as the recipients and/or beneficiaries of certain representations, warranties, covenants and indemnities set forth in this Amendment</w:t>
      </w:r>
    </w:p>
    <w:p>
      <w:pPr>
        <w:spacing w:after="0" w:line="9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1 to Equity Distribution Agreement</w:t>
      </w:r>
      <w:r>
        <w:rPr>
          <w:rFonts w:ascii="Times New Roman" w:cs="Times New Roman" w:eastAsia="Times New Roman" w:hAnsi="Times New Roman"/>
          <w:sz w:val="18"/>
          <w:szCs w:val="18"/>
          <w:color w:val="auto"/>
        </w:rPr>
        <w:t>]</w:t>
      </w:r>
    </w:p>
    <w:p>
      <w:pPr>
        <w:sectPr>
          <w:pgSz w:w="11900" w:h="16838" w:orient="portrait"/>
          <w:cols w:equalWidth="0" w:num="1">
            <w:col w:w="10640"/>
          </w:cols>
          <w:pgMar w:left="440" w:top="270" w:right="8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ectPr>
          <w:pgSz w:w="11900" w:h="16838" w:orient="portrait"/>
          <w:cols w:equalWidth="0" w:num="1">
            <w:col w:w="9019"/>
          </w:cols>
          <w:pgMar w:left="1440" w:top="266" w:right="1440" w:bottom="1440" w:gutter="0" w:footer="0" w:header="0"/>
        </w:sectPr>
      </w:pPr>
    </w:p>
    <w:bookmarkStart w:id="20" w:name="page21"/>
    <w:bookmarkEnd w:id="20"/>
    <w:p>
      <w:pPr>
        <w:jc w:val="center"/>
        <w:ind w:righ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t>FEDERAL REALTY INVESTMENT TRUST</w:t>
      </w:r>
    </w:p>
    <w:p>
      <w:pPr>
        <w:spacing w:after="0" w:line="23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Common Shares of Beneficial Interest</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u w:val="single" w:color="auto"/>
          <w:color w:val="auto"/>
        </w:rPr>
        <w:t>EQUITY DISTRIBUTION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231775</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580"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6000" w:type="dxa"/>
            <w:vAlign w:val="bottom"/>
            <w:gridSpan w:val="2"/>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1.</w:t>
            </w:r>
          </w:p>
        </w:tc>
        <w:tc>
          <w:tcPr>
            <w:tcW w:w="32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Description of Securities</w:t>
            </w:r>
          </w:p>
        </w:tc>
        <w:tc>
          <w:tcPr>
            <w:tcW w:w="1920" w:type="dxa"/>
            <w:vAlign w:val="bottom"/>
            <w:tcBorders>
              <w:top w:val="single" w:sz="8" w:color="auto"/>
              <w:bottom w:val="single" w:sz="8" w:color="auto"/>
            </w:tcBorders>
            <w:vMerge w:val="restart"/>
          </w:tcPr>
          <w:p>
            <w:pPr>
              <w:spacing w:after="0"/>
              <w:rPr>
                <w:sz w:val="24"/>
                <w:szCs w:val="24"/>
                <w:color w:val="auto"/>
              </w:rPr>
            </w:pPr>
          </w:p>
        </w:tc>
        <w:tc>
          <w:tcPr>
            <w:tcW w:w="4080" w:type="dxa"/>
            <w:vAlign w:val="bottom"/>
            <w:vMerge w:val="restart"/>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326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40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Times New Roman" w:cs="Times New Roman" w:eastAsia="Times New Roman" w:hAnsi="Times New Roman"/>
                <w:sz w:val="17"/>
                <w:szCs w:val="17"/>
                <w:color w:val="FF0000"/>
                <w:strike w:val="1"/>
                <w:w w:val="70"/>
              </w:rPr>
              <w:t>2</w:t>
            </w:r>
          </w:p>
        </w:tc>
        <w:tc>
          <w:tcPr>
            <w:tcW w:w="10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Placements</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w w:val="70"/>
              </w:rPr>
              <w:t>3</w:t>
            </w: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Sale of Securities</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w w:val="70"/>
              </w:rPr>
              <w:t>5</w:t>
            </w: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Suspension of Sales</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w w:val="70"/>
              </w:rPr>
              <w:t>6</w:t>
            </w: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w w:val="70"/>
              </w:rPr>
              <w:t>6</w:t>
            </w: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Sale and Delivery; Settlement</w:t>
            </w:r>
          </w:p>
        </w:tc>
        <w:tc>
          <w:tcPr>
            <w:tcW w:w="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20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Covenants of the Company and the Operating Partnership</w:t>
            </w:r>
          </w:p>
        </w:tc>
        <w:tc>
          <w:tcPr>
            <w:tcW w:w="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23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Payment of Expenses</w:t>
            </w:r>
          </w:p>
        </w:tc>
        <w:tc>
          <w:tcPr>
            <w:tcW w:w="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Conditions of the Obligations of the Sales Agents and the Forward Sellers</w:t>
            </w:r>
          </w:p>
        </w:tc>
        <w:tc>
          <w:tcPr>
            <w:tcW w:w="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Indemnification</w:t>
            </w:r>
          </w:p>
        </w:tc>
        <w:tc>
          <w:tcPr>
            <w:tcW w:w="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Contribution</w:t>
            </w:r>
          </w:p>
        </w:tc>
        <w:tc>
          <w:tcPr>
            <w:tcW w:w="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Representations, Warranties and Agreements to Survive Delivery</w:t>
            </w:r>
          </w:p>
        </w:tc>
        <w:tc>
          <w:tcPr>
            <w:tcW w:w="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38</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Termination of Agreement</w:t>
            </w:r>
          </w:p>
        </w:tc>
        <w:tc>
          <w:tcPr>
            <w:tcW w:w="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40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Parties</w:t>
            </w:r>
          </w:p>
        </w:tc>
        <w:tc>
          <w:tcPr>
            <w:tcW w:w="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42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Adjustments for Stock Splits</w:t>
            </w:r>
          </w:p>
        </w:tc>
        <w:tc>
          <w:tcPr>
            <w:tcW w:w="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42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Governing Law and Time</w:t>
            </w:r>
          </w:p>
        </w:tc>
        <w:tc>
          <w:tcPr>
            <w:tcW w:w="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42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42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19.</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Recognition of the U.S. Special Resolution Regimes</w:t>
            </w:r>
          </w:p>
        </w:tc>
        <w:tc>
          <w:tcPr>
            <w:tcW w:w="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42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20.</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Successors and Assigns</w:t>
            </w:r>
          </w:p>
        </w:tc>
        <w:tc>
          <w:tcPr>
            <w:tcW w:w="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43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Effect of Headings</w:t>
            </w:r>
          </w:p>
        </w:tc>
        <w:tc>
          <w:tcPr>
            <w:tcW w:w="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43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43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Permitted Free Writing Prospectuses</w:t>
            </w:r>
          </w:p>
        </w:tc>
        <w:tc>
          <w:tcPr>
            <w:tcW w:w="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46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Absence of Fiduciary Relationship</w:t>
            </w:r>
          </w:p>
        </w:tc>
        <w:tc>
          <w:tcPr>
            <w:tcW w:w="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46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6000" w:type="dxa"/>
            <w:vAlign w:val="bottom"/>
            <w:gridSpan w:val="2"/>
            <w:vMerge w:val="restart"/>
          </w:tcPr>
          <w:p>
            <w:pPr>
              <w:jc w:val="center"/>
              <w:ind w:right="4080"/>
              <w:spacing w:after="0"/>
              <w:rPr>
                <w:sz w:val="20"/>
                <w:szCs w:val="20"/>
                <w:color w:val="auto"/>
              </w:rPr>
            </w:pPr>
            <w:r>
              <w:rPr>
                <w:rFonts w:ascii="Times New Roman" w:cs="Times New Roman" w:eastAsia="Times New Roman" w:hAnsi="Times New Roman"/>
                <w:sz w:val="18"/>
                <w:szCs w:val="18"/>
                <w:color w:val="auto"/>
                <w:w w:val="93"/>
              </w:rPr>
              <w:t>-i-</w:t>
            </w: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w:t>
      </w:r>
    </w:p>
    <w:p>
      <w:pPr>
        <w:sectPr>
          <w:pgSz w:w="11900" w:h="16838" w:orient="portrait"/>
          <w:cols w:equalWidth="0" w:num="1">
            <w:col w:w="10019"/>
          </w:cols>
          <w:pgMar w:left="440" w:top="266" w:right="1440" w:bottom="1440" w:gutter="0" w:footer="0" w:header="0"/>
        </w:sectPr>
      </w:pPr>
    </w:p>
    <w:p>
      <w:pPr>
        <w:spacing w:after="0" w:line="2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Exhibit A Exhibit B-1 Exhibit B-2 Exhibit C Exhibit D-1 Exhibit D-2 Exhibit E Exhibit F</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Form of Placement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Form of Confirmation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Authorized Individuals for Placement Notices and Acceptances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Form of Opinion of Pillsbury Winthrop Shaw Pittman LLP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Form of Opinion of Pillsbury Winthrop Shaw Pittman LLP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Officer’s Certificate of the Company and the Operating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Permitted Free Writing Prospectuses</w:t>
      </w:r>
    </w:p>
    <w:p>
      <w:pPr>
        <w:spacing w:after="0" w:line="139" w:lineRule="exact"/>
        <w:rPr>
          <w:sz w:val="20"/>
          <w:szCs w:val="20"/>
          <w:color w:val="auto"/>
        </w:rPr>
      </w:pPr>
    </w:p>
    <w:p>
      <w:pPr>
        <w:sectPr>
          <w:pgSz w:w="11900" w:h="16838" w:orient="portrait"/>
          <w:cols w:equalWidth="0" w:num="2">
            <w:col w:w="860" w:space="240"/>
            <w:col w:w="8919"/>
          </w:cols>
          <w:pgMar w:left="440" w:top="266" w:right="1440" w:bottom="1440" w:gutter="0" w:footer="0" w:header="0"/>
          <w:type w:val="continuous"/>
        </w:sectPr>
      </w:pPr>
    </w:p>
    <w:p>
      <w:pPr>
        <w:ind w:left="5400"/>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019"/>
          </w:cols>
          <w:pgMar w:left="440" w:top="266" w:right="1440" w:bottom="1440" w:gutter="0" w:footer="0" w:header="0"/>
          <w:type w:val="continuous"/>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Federal Realty Investment Trust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 Maryland Real Estate Investment Trust)</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Common Shares of Beneficial Interest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14, 2022</w:t>
      </w:r>
    </w:p>
    <w:p>
      <w:pPr>
        <w:sectPr>
          <w:pgSz w:w="11900" w:h="16838" w:orient="portrait"/>
          <w:cols w:equalWidth="0" w:num="1">
            <w:col w:w="11020"/>
          </w:cols>
          <w:pgMar w:left="440" w:top="266" w:right="4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Wells Fargo Securities,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500 West 33rd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3030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u w:val="single" w:color="auto"/>
          <w:color w:val="0000FF"/>
        </w:rPr>
        <w:t>New York, New York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9601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21590</wp:posOffset>
            </wp:positionV>
            <wp:extent cx="13030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520 Madison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6254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u w:val="single" w:color="auto"/>
          <w:color w:val="0000FF"/>
        </w:rPr>
        <w:t>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9772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Attention: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13030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14605</wp:posOffset>
            </wp:positionV>
            <wp:extent cx="12604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BNP Paribas Securities Corp.</w:t>
            </w:r>
          </w:p>
        </w:tc>
        <w:tc>
          <w:tcPr>
            <w:tcW w:w="3620" w:type="dxa"/>
            <w:vAlign w:val="bottom"/>
          </w:tcPr>
          <w:p>
            <w:pPr>
              <w:spacing w:after="0"/>
              <w:rPr>
                <w:sz w:val="17"/>
                <w:szCs w:val="17"/>
                <w:color w:val="auto"/>
              </w:rPr>
            </w:pPr>
          </w:p>
        </w:tc>
        <w:tc>
          <w:tcPr>
            <w:tcW w:w="25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Regions Securities LLC</w:t>
            </w:r>
          </w:p>
        </w:tc>
        <w:tc>
          <w:tcPr>
            <w:tcW w:w="0" w:type="dxa"/>
            <w:vAlign w:val="bottom"/>
          </w:tcPr>
          <w:p>
            <w:pPr>
              <w:spacing w:after="0"/>
              <w:rPr>
                <w:sz w:val="1"/>
                <w:szCs w:val="1"/>
                <w:color w:val="auto"/>
              </w:rPr>
            </w:pPr>
          </w:p>
        </w:tc>
      </w:tr>
      <w:tr>
        <w:trPr>
          <w:trHeight w:val="20"/>
        </w:trPr>
        <w:tc>
          <w:tcPr>
            <w:tcW w:w="1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480" w:type="dxa"/>
            <w:vAlign w:val="bottom"/>
            <w:tcBorders>
              <w:bottom w:val="single" w:sz="8" w:color="0000FF"/>
            </w:tcBorders>
          </w:tcPr>
          <w:p>
            <w:pPr>
              <w:spacing w:after="0"/>
              <w:rPr>
                <w:sz w:val="2"/>
                <w:szCs w:val="2"/>
                <w:color w:val="auto"/>
              </w:rPr>
            </w:pPr>
          </w:p>
        </w:tc>
        <w:tc>
          <w:tcPr>
            <w:tcW w:w="5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36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58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60" w:type="dxa"/>
            <w:vAlign w:val="bottom"/>
            <w:gridSpan w:val="2"/>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1"/>
              </w:rPr>
              <w:t>600</w:t>
            </w: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20" w:type="dxa"/>
            <w:vAlign w:val="bottom"/>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787 Seventh Avenue</w:t>
            </w:r>
          </w:p>
        </w:tc>
        <w:tc>
          <w:tcPr>
            <w:tcW w:w="36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72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615 S College St, Suite</w:t>
            </w:r>
          </w:p>
        </w:tc>
        <w:tc>
          <w:tcPr>
            <w:tcW w:w="260" w:type="dxa"/>
            <w:vAlign w:val="bottom"/>
            <w:gridSpan w:val="2"/>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480" w:type="dxa"/>
            <w:vAlign w:val="bottom"/>
            <w:tcBorders>
              <w:bottom w:val="single" w:sz="8" w:color="0000FF"/>
            </w:tcBorders>
          </w:tcPr>
          <w:p>
            <w:pPr>
              <w:spacing w:after="0"/>
              <w:rPr>
                <w:sz w:val="2"/>
                <w:szCs w:val="2"/>
                <w:color w:val="auto"/>
              </w:rPr>
            </w:pPr>
          </w:p>
        </w:tc>
        <w:tc>
          <w:tcPr>
            <w:tcW w:w="640" w:type="dxa"/>
            <w:vAlign w:val="bottom"/>
            <w:gridSpan w:val="2"/>
            <w:vMerge w:val="restart"/>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FF"/>
              </w:rPr>
              <w:t>10019</w:t>
            </w:r>
          </w:p>
        </w:tc>
        <w:tc>
          <w:tcPr>
            <w:tcW w:w="36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58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gridSpan w:val="2"/>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500" w:type="dxa"/>
            <w:vAlign w:val="bottom"/>
            <w:gridSpan w:val="5"/>
            <w:vMerge w:val="restart"/>
          </w:tcPr>
          <w:p>
            <w:pPr>
              <w:jc w:val="right"/>
              <w:ind w:right="160"/>
              <w:spacing w:after="0" w:line="196" w:lineRule="exact"/>
              <w:rPr>
                <w:sz w:val="20"/>
                <w:szCs w:val="20"/>
                <w:color w:val="auto"/>
              </w:rPr>
            </w:pPr>
            <w:r>
              <w:rPr>
                <w:rFonts w:ascii="Times New Roman" w:cs="Times New Roman" w:eastAsia="Times New Roman" w:hAnsi="Times New Roman"/>
                <w:sz w:val="18"/>
                <w:szCs w:val="18"/>
                <w:color w:val="0000FF"/>
                <w:w w:val="71"/>
              </w:rPr>
              <w:t>28202</w:t>
            </w:r>
          </w:p>
        </w:tc>
        <w:tc>
          <w:tcPr>
            <w:tcW w:w="0" w:type="dxa"/>
            <w:vAlign w:val="bottom"/>
          </w:tcPr>
          <w:p>
            <w:pPr>
              <w:spacing w:after="0"/>
              <w:rPr>
                <w:sz w:val="1"/>
                <w:szCs w:val="1"/>
                <w:color w:val="auto"/>
              </w:rPr>
            </w:pPr>
          </w:p>
        </w:tc>
      </w:tr>
      <w:tr>
        <w:trPr>
          <w:trHeight w:val="142"/>
        </w:trPr>
        <w:tc>
          <w:tcPr>
            <w:tcW w:w="1480" w:type="dxa"/>
            <w:vAlign w:val="bottom"/>
          </w:tcPr>
          <w:p>
            <w:pPr>
              <w:spacing w:after="0" w:line="142" w:lineRule="exact"/>
              <w:rPr>
                <w:sz w:val="20"/>
                <w:szCs w:val="20"/>
                <w:color w:val="auto"/>
              </w:rPr>
            </w:pPr>
            <w:r>
              <w:rPr>
                <w:rFonts w:ascii="Times New Roman" w:cs="Times New Roman" w:eastAsia="Times New Roman" w:hAnsi="Times New Roman"/>
                <w:sz w:val="16"/>
                <w:szCs w:val="16"/>
                <w:color w:val="0000FF"/>
              </w:rPr>
              <w:t>New York, New York</w:t>
            </w:r>
          </w:p>
        </w:tc>
        <w:tc>
          <w:tcPr>
            <w:tcW w:w="640" w:type="dxa"/>
            <w:vAlign w:val="bottom"/>
            <w:gridSpan w:val="2"/>
            <w:vMerge w:val="continue"/>
          </w:tcPr>
          <w:p>
            <w:pPr>
              <w:spacing w:after="0"/>
              <w:rPr>
                <w:sz w:val="12"/>
                <w:szCs w:val="12"/>
                <w:color w:val="auto"/>
              </w:rPr>
            </w:pPr>
          </w:p>
        </w:tc>
        <w:tc>
          <w:tcPr>
            <w:tcW w:w="36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980" w:type="dxa"/>
            <w:vAlign w:val="bottom"/>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Charlotte, North Carolina</w:t>
            </w:r>
          </w:p>
        </w:tc>
        <w:tc>
          <w:tcPr>
            <w:tcW w:w="5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80" w:type="dxa"/>
            <w:vAlign w:val="bottom"/>
            <w:tcBorders>
              <w:top w:val="single" w:sz="8" w:color="0000FF"/>
              <w:bottom w:val="single" w:sz="8" w:color="0000FF"/>
            </w:tcBorders>
          </w:tcPr>
          <w:p>
            <w:pPr>
              <w:spacing w:after="0"/>
              <w:rPr>
                <w:sz w:val="2"/>
                <w:szCs w:val="2"/>
                <w:color w:val="auto"/>
              </w:rPr>
            </w:pPr>
          </w:p>
        </w:tc>
        <w:tc>
          <w:tcPr>
            <w:tcW w:w="56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3620" w:type="dxa"/>
            <w:vAlign w:val="bottom"/>
          </w:tcPr>
          <w:p>
            <w:pPr>
              <w:spacing w:after="0"/>
              <w:rPr>
                <w:sz w:val="22"/>
                <w:szCs w:val="22"/>
                <w:color w:val="auto"/>
              </w:rPr>
            </w:pPr>
          </w:p>
        </w:tc>
        <w:tc>
          <w:tcPr>
            <w:tcW w:w="25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Scotia Capital (USA) Inc.</w:t>
            </w:r>
          </w:p>
        </w:tc>
        <w:tc>
          <w:tcPr>
            <w:tcW w:w="0" w:type="dxa"/>
            <w:vAlign w:val="bottom"/>
          </w:tcPr>
          <w:p>
            <w:pPr>
              <w:spacing w:after="0"/>
              <w:rPr>
                <w:sz w:val="1"/>
                <w:szCs w:val="1"/>
                <w:color w:val="auto"/>
              </w:rPr>
            </w:pPr>
          </w:p>
        </w:tc>
      </w:tr>
      <w:tr>
        <w:trPr>
          <w:trHeight w:val="34"/>
        </w:trPr>
        <w:tc>
          <w:tcPr>
            <w:tcW w:w="212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One Bryant Park</w:t>
            </w:r>
          </w:p>
        </w:tc>
        <w:tc>
          <w:tcPr>
            <w:tcW w:w="362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58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20" w:type="dxa"/>
            <w:vAlign w:val="bottom"/>
            <w:gridSpan w:val="3"/>
            <w:vMerge w:val="continue"/>
          </w:tcPr>
          <w:p>
            <w:pPr>
              <w:spacing w:after="0"/>
              <w:rPr>
                <w:sz w:val="12"/>
                <w:szCs w:val="12"/>
                <w:color w:val="auto"/>
              </w:rPr>
            </w:pPr>
          </w:p>
        </w:tc>
        <w:tc>
          <w:tcPr>
            <w:tcW w:w="3620" w:type="dxa"/>
            <w:vAlign w:val="bottom"/>
          </w:tcPr>
          <w:p>
            <w:pPr>
              <w:spacing w:after="0"/>
              <w:rPr>
                <w:sz w:val="12"/>
                <w:szCs w:val="12"/>
                <w:color w:val="auto"/>
              </w:rPr>
            </w:pPr>
          </w:p>
        </w:tc>
        <w:tc>
          <w:tcPr>
            <w:tcW w:w="2500" w:type="dxa"/>
            <w:vAlign w:val="bottom"/>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250 Vesey Street, 24th Floor</w:t>
            </w:r>
          </w:p>
        </w:tc>
        <w:tc>
          <w:tcPr>
            <w:tcW w:w="0" w:type="dxa"/>
            <w:vAlign w:val="bottom"/>
          </w:tcPr>
          <w:p>
            <w:pPr>
              <w:spacing w:after="0"/>
              <w:rPr>
                <w:sz w:val="1"/>
                <w:szCs w:val="1"/>
                <w:color w:val="auto"/>
              </w:rPr>
            </w:pPr>
          </w:p>
        </w:tc>
      </w:tr>
      <w:tr>
        <w:trPr>
          <w:trHeight w:val="34"/>
        </w:trPr>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w w:val="99"/>
              </w:rPr>
              <w:t>New York, New York 10036</w:t>
            </w:r>
          </w:p>
        </w:tc>
        <w:tc>
          <w:tcPr>
            <w:tcW w:w="362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58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120" w:type="dxa"/>
            <w:vAlign w:val="bottom"/>
            <w:gridSpan w:val="3"/>
            <w:vMerge w:val="continue"/>
          </w:tcPr>
          <w:p>
            <w:pPr>
              <w:spacing w:after="0"/>
              <w:rPr>
                <w:sz w:val="14"/>
                <w:szCs w:val="14"/>
                <w:color w:val="auto"/>
              </w:rPr>
            </w:pPr>
          </w:p>
        </w:tc>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4"/>
          </w:tcPr>
          <w:p>
            <w:pPr>
              <w:spacing w:after="0" w:line="164" w:lineRule="exact"/>
              <w:rPr>
                <w:sz w:val="20"/>
                <w:szCs w:val="20"/>
                <w:color w:val="auto"/>
              </w:rPr>
            </w:pPr>
            <w:r>
              <w:rPr>
                <w:rFonts w:ascii="Times New Roman" w:cs="Times New Roman" w:eastAsia="Times New Roman" w:hAnsi="Times New Roman"/>
                <w:sz w:val="18"/>
                <w:szCs w:val="18"/>
                <w:color w:val="FF0000"/>
                <w:strike w:val="1"/>
                <w:w w:val="96"/>
              </w:rPr>
              <w:t>J.P. Morgan Securities LLC</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383 Madison Avenue</w:t>
            </w:r>
          </w:p>
        </w:tc>
        <w:tc>
          <w:tcPr>
            <w:tcW w:w="460" w:type="dxa"/>
            <w:vAlign w:val="bottom"/>
            <w:gridSpan w:val="5"/>
          </w:tcPr>
          <w:p>
            <w:pPr>
              <w:spacing w:after="0"/>
              <w:rPr>
                <w:sz w:val="18"/>
                <w:szCs w:val="18"/>
                <w:color w:val="auto"/>
              </w:rPr>
            </w:pPr>
          </w:p>
        </w:tc>
        <w:tc>
          <w:tcPr>
            <w:tcW w:w="4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8"/>
              </w:rPr>
              <w:t>New York, New York</w:t>
            </w:r>
          </w:p>
        </w:tc>
        <w:tc>
          <w:tcPr>
            <w:tcW w:w="460" w:type="dxa"/>
            <w:vAlign w:val="bottom"/>
            <w:gridSpan w:val="5"/>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7"/>
              </w:rPr>
              <w:t>10179</w:t>
            </w:r>
          </w:p>
        </w:tc>
        <w:tc>
          <w:tcPr>
            <w:tcW w:w="440" w:type="dxa"/>
            <w:vAlign w:val="bottom"/>
            <w:tcBorders>
              <w:bottom w:val="single" w:sz="8" w:color="0000FF"/>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w w:val="93"/>
              </w:rPr>
              <w:t>10281</w:t>
            </w:r>
          </w:p>
        </w:tc>
        <w:tc>
          <w:tcPr>
            <w:tcW w:w="0" w:type="dxa"/>
            <w:vAlign w:val="bottom"/>
          </w:tcPr>
          <w:p>
            <w:pPr>
              <w:spacing w:after="0"/>
              <w:rPr>
                <w:sz w:val="1"/>
                <w:szCs w:val="1"/>
                <w:color w:val="auto"/>
              </w:rPr>
            </w:pPr>
          </w:p>
        </w:tc>
      </w:tr>
      <w:tr>
        <w:trPr>
          <w:trHeight w:val="34"/>
        </w:trPr>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1">
            <w:col w:w="110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u w:val="single" w:color="auto"/>
          <w:color w:val="0000FF"/>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388 Greenwich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3798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New York, New York 10013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9944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13030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Deutsche Bank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 Columbus Circle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3798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New York, New York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8655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655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13030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383 Madison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2598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New York, New York 10179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9772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13030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92" w:lineRule="exact"/>
        <w:rPr>
          <w:sz w:val="20"/>
          <w:szCs w:val="20"/>
          <w:color w:val="auto"/>
        </w:rPr>
      </w:pPr>
    </w:p>
    <w:p>
      <w:pPr>
        <w:ind w:right="1320"/>
        <w:spacing w:after="0" w:line="261" w:lineRule="auto"/>
        <w:rPr>
          <w:sz w:val="20"/>
          <w:szCs w:val="20"/>
          <w:color w:val="auto"/>
        </w:rPr>
      </w:pPr>
      <w:r>
        <w:rPr>
          <w:rFonts w:ascii="Times New Roman" w:cs="Times New Roman" w:eastAsia="Times New Roman" w:hAnsi="Times New Roman"/>
          <w:sz w:val="18"/>
          <w:szCs w:val="18"/>
          <w:u w:val="single" w:color="auto"/>
          <w:color w:val="0000FF"/>
        </w:rPr>
        <w:t xml:space="preserve">As Forward Sellers and Sales Agents, as applicable </w:t>
      </w:r>
      <w:r>
        <w:rPr>
          <w:rFonts w:ascii="Times New Roman" w:cs="Times New Roman" w:eastAsia="Times New Roman" w:hAnsi="Times New Roman"/>
          <w:sz w:val="18"/>
          <w:szCs w:val="18"/>
          <w:color w:val="FF0000"/>
          <w:strike w:val="1"/>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3488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ind w:right="2120"/>
        <w:spacing w:after="0" w:line="277" w:lineRule="auto"/>
        <w:rPr>
          <w:sz w:val="20"/>
          <w:szCs w:val="20"/>
          <w:color w:val="auto"/>
        </w:rPr>
      </w:pPr>
      <w:r>
        <w:rPr>
          <w:rFonts w:ascii="Times New Roman" w:cs="Times New Roman" w:eastAsia="Times New Roman" w:hAnsi="Times New Roman"/>
          <w:sz w:val="17"/>
          <w:szCs w:val="17"/>
          <w:u w:val="single" w:color="auto"/>
          <w:color w:val="0000FF"/>
        </w:rPr>
        <w:t xml:space="preserve">Wells Fargo Bank, National Association </w:t>
      </w:r>
      <w:r>
        <w:rPr>
          <w:rFonts w:ascii="Times New Roman" w:cs="Times New Roman" w:eastAsia="Times New Roman" w:hAnsi="Times New Roman"/>
          <w:sz w:val="17"/>
          <w:szCs w:val="17"/>
          <w:color w:val="FF0000"/>
          <w:strike w:val="1"/>
        </w:rPr>
        <w:t>388 Greenwich</w:t>
      </w:r>
      <w:r>
        <w:rPr>
          <w:rFonts w:ascii="Times New Roman" w:cs="Times New Roman" w:eastAsia="Times New Roman" w:hAnsi="Times New Roman"/>
          <w:sz w:val="17"/>
          <w:szCs w:val="17"/>
          <w:u w:val="single" w:color="auto"/>
          <w:color w:val="0000FF"/>
        </w:rPr>
        <w:t>500 West 33rd</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Street</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New York, New York </w:t>
      </w:r>
      <w:r>
        <w:rPr>
          <w:rFonts w:ascii="Times New Roman" w:cs="Times New Roman" w:eastAsia="Times New Roman" w:hAnsi="Times New Roman"/>
          <w:sz w:val="17"/>
          <w:szCs w:val="17"/>
          <w:color w:val="FF0000"/>
          <w:strike w:val="1"/>
        </w:rPr>
        <w:t>10013</w:t>
      </w:r>
      <w:r>
        <w:rPr>
          <w:rFonts w:ascii="Times New Roman" w:cs="Times New Roman" w:eastAsia="Times New Roman" w:hAnsi="Times New Roman"/>
          <w:sz w:val="17"/>
          <w:szCs w:val="17"/>
          <w:u w:val="single" w:color="auto"/>
          <w:color w:val="0000FF"/>
        </w:rPr>
        <w:t>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-283210</wp:posOffset>
            </wp:positionV>
            <wp:extent cx="18345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34515"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-146050</wp:posOffset>
            </wp:positionV>
            <wp:extent cx="6597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1300480</wp:posOffset>
            </wp:positionH>
            <wp:positionV relativeFrom="paragraph">
              <wp:posOffset>-8890</wp:posOffset>
            </wp:positionV>
            <wp:extent cx="2914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u w:val="single" w:color="auto"/>
          <w:color w:val="0000FF"/>
        </w:rPr>
        <w:t>SMBC Nikko Securities America,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277 Park Avenue, 5th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17659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New York, New York 10172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12604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604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14605</wp:posOffset>
            </wp:positionV>
            <wp:extent cx="13030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TD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 Vanderbilt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12084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9347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14605</wp:posOffset>
            </wp:positionV>
            <wp:extent cx="13030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Truist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3333 Peachtree Road NE, 11th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9772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Atlanta, Georgia 30326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16802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802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14605</wp:posOffset>
            </wp:positionV>
            <wp:extent cx="10718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500 West 33rd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New York, New York 10001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Attention: General Counsel</w:t>
      </w:r>
    </w:p>
    <w:p>
      <w:pPr>
        <w:sectPr>
          <w:pgSz w:w="11900" w:h="16838" w:orient="portrait"/>
          <w:cols w:equalWidth="0" w:num="2">
            <w:col w:w="5020" w:space="720"/>
            <w:col w:w="5280"/>
          </w:cols>
          <w:pgMar w:left="440" w:top="266" w:right="4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w w:val="97"/>
              </w:rPr>
              <w:t>BNP Paribas</w:t>
            </w:r>
          </w:p>
        </w:tc>
        <w:tc>
          <w:tcPr>
            <w:tcW w:w="4800" w:type="dxa"/>
            <w:vAlign w:val="bottom"/>
            <w:gridSpan w:val="13"/>
          </w:tcPr>
          <w:p>
            <w:pPr>
              <w:spacing w:after="0"/>
              <w:rPr>
                <w:sz w:val="17"/>
                <w:szCs w:val="17"/>
                <w:color w:val="auto"/>
              </w:rPr>
            </w:pPr>
          </w:p>
        </w:tc>
        <w:tc>
          <w:tcPr>
            <w:tcW w:w="46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Regions Securities LLC</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940" w:type="dxa"/>
            <w:vAlign w:val="bottom"/>
            <w:tcBorders>
              <w:bottom w:val="single" w:sz="8" w:color="0000FF"/>
            </w:tcBorders>
          </w:tcPr>
          <w:p>
            <w:pPr>
              <w:spacing w:after="0"/>
              <w:rPr>
                <w:sz w:val="2"/>
                <w:szCs w:val="2"/>
                <w:color w:val="auto"/>
              </w:rPr>
            </w:pPr>
          </w:p>
        </w:tc>
        <w:tc>
          <w:tcPr>
            <w:tcW w:w="56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Avenue</w:t>
            </w:r>
          </w:p>
        </w:tc>
        <w:tc>
          <w:tcPr>
            <w:tcW w:w="4240" w:type="dxa"/>
            <w:vAlign w:val="bottom"/>
            <w:gridSpan w:val="10"/>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6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0000FF"/>
                <w:w w:val="81"/>
              </w:rPr>
              <w:t>600</w:t>
            </w: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40" w:type="dxa"/>
            <w:vAlign w:val="bottom"/>
            <w:tcBorders>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787 Seventh</w:t>
            </w:r>
          </w:p>
        </w:tc>
        <w:tc>
          <w:tcPr>
            <w:tcW w:w="560" w:type="dxa"/>
            <w:vAlign w:val="bottom"/>
            <w:tcBorders>
              <w:bottom w:val="single" w:sz="8" w:color="0000FF"/>
            </w:tcBorders>
            <w:gridSpan w:val="3"/>
            <w:vMerge w:val="continue"/>
          </w:tcPr>
          <w:p>
            <w:pPr>
              <w:spacing w:after="0"/>
              <w:rPr>
                <w:sz w:val="12"/>
                <w:szCs w:val="12"/>
                <w:color w:val="auto"/>
              </w:rPr>
            </w:pPr>
          </w:p>
        </w:tc>
        <w:tc>
          <w:tcPr>
            <w:tcW w:w="4240" w:type="dxa"/>
            <w:vAlign w:val="bottom"/>
            <w:gridSpan w:val="10"/>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720" w:type="dxa"/>
            <w:vAlign w:val="bottom"/>
            <w:tcBorders>
              <w:bottom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615 S College St, Suite</w:t>
            </w:r>
          </w:p>
        </w:tc>
        <w:tc>
          <w:tcPr>
            <w:tcW w:w="260" w:type="dxa"/>
            <w:vAlign w:val="bottom"/>
            <w:tcBorders>
              <w:bottom w:val="single" w:sz="8" w:color="0000FF"/>
            </w:tcBorders>
            <w:gridSpan w:val="4"/>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40" w:type="dxa"/>
            <w:vAlign w:val="bottom"/>
            <w:tcBorders>
              <w:bottom w:val="single" w:sz="8" w:color="0000FF"/>
            </w:tcBorders>
          </w:tcPr>
          <w:p>
            <w:pPr>
              <w:spacing w:after="0"/>
              <w:rPr>
                <w:sz w:val="2"/>
                <w:szCs w:val="2"/>
                <w:color w:val="auto"/>
              </w:rPr>
            </w:pPr>
          </w:p>
        </w:tc>
        <w:tc>
          <w:tcPr>
            <w:tcW w:w="420" w:type="dxa"/>
            <w:vAlign w:val="bottom"/>
            <w:tcBorders>
              <w:bottom w:val="single" w:sz="8" w:color="0000FF"/>
            </w:tcBorders>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5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0000FF"/>
              </w:rPr>
              <w:t>10019</w:t>
            </w: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vMerge w:val="restart"/>
          </w:tcPr>
          <w:p>
            <w:pPr>
              <w:spacing w:after="0"/>
              <w:rPr>
                <w:sz w:val="2"/>
                <w:szCs w:val="2"/>
                <w:color w:val="auto"/>
              </w:rPr>
            </w:pPr>
          </w:p>
        </w:tc>
        <w:tc>
          <w:tcPr>
            <w:tcW w:w="25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40" w:type="dxa"/>
            <w:vAlign w:val="bottom"/>
            <w:tcBorders>
              <w:bottom w:val="single" w:sz="8" w:color="0000FF"/>
            </w:tcBorders>
            <w:gridSpan w:val="2"/>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520" w:type="dxa"/>
            <w:vAlign w:val="bottom"/>
            <w:gridSpan w:val="7"/>
            <w:vMerge w:val="restart"/>
          </w:tcPr>
          <w:p>
            <w:pPr>
              <w:jc w:val="right"/>
              <w:ind w:right="160"/>
              <w:spacing w:after="0" w:line="196" w:lineRule="exact"/>
              <w:rPr>
                <w:sz w:val="20"/>
                <w:szCs w:val="20"/>
                <w:color w:val="auto"/>
              </w:rPr>
            </w:pPr>
            <w:r>
              <w:rPr>
                <w:rFonts w:ascii="Times New Roman" w:cs="Times New Roman" w:eastAsia="Times New Roman" w:hAnsi="Times New Roman"/>
                <w:sz w:val="18"/>
                <w:szCs w:val="18"/>
                <w:color w:val="0000FF"/>
                <w:w w:val="75"/>
              </w:rPr>
              <w:t>28202</w:t>
            </w: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80" w:type="dxa"/>
            <w:vAlign w:val="bottom"/>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New York, New York</w:t>
            </w:r>
          </w:p>
        </w:tc>
        <w:tc>
          <w:tcPr>
            <w:tcW w:w="580" w:type="dxa"/>
            <w:vAlign w:val="bottom"/>
            <w:gridSpan w:val="4"/>
            <w:vMerge w:val="continue"/>
          </w:tcPr>
          <w:p>
            <w:pPr>
              <w:spacing w:after="0"/>
              <w:rPr>
                <w:sz w:val="12"/>
                <w:szCs w:val="12"/>
                <w:color w:val="auto"/>
              </w:rPr>
            </w:pPr>
          </w:p>
        </w:tc>
        <w:tc>
          <w:tcPr>
            <w:tcW w:w="6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FF0000"/>
                <w:strike w:val="1"/>
                <w:w w:val="94"/>
              </w:rPr>
              <w:t>Agents</w:t>
            </w:r>
          </w:p>
        </w:tc>
        <w:tc>
          <w:tcPr>
            <w:tcW w:w="580" w:type="dxa"/>
            <w:vAlign w:val="bottom"/>
            <w:vMerge w:val="continue"/>
          </w:tcPr>
          <w:p>
            <w:pPr>
              <w:spacing w:after="0"/>
              <w:rPr>
                <w:sz w:val="12"/>
                <w:szCs w:val="12"/>
                <w:color w:val="auto"/>
              </w:rPr>
            </w:pPr>
          </w:p>
        </w:tc>
        <w:tc>
          <w:tcPr>
            <w:tcW w:w="25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960" w:type="dxa"/>
            <w:vAlign w:val="bottom"/>
            <w:gridSpan w:val="15"/>
          </w:tcPr>
          <w:p>
            <w:pPr>
              <w:spacing w:after="0" w:line="142" w:lineRule="exact"/>
              <w:rPr>
                <w:sz w:val="20"/>
                <w:szCs w:val="20"/>
                <w:color w:val="auto"/>
              </w:rPr>
            </w:pPr>
            <w:r>
              <w:rPr>
                <w:rFonts w:ascii="Times New Roman" w:cs="Times New Roman" w:eastAsia="Times New Roman" w:hAnsi="Times New Roman"/>
                <w:sz w:val="16"/>
                <w:szCs w:val="16"/>
                <w:color w:val="0000FF"/>
              </w:rPr>
              <w:t>Charlotte, North Carolina</w:t>
            </w:r>
          </w:p>
        </w:tc>
        <w:tc>
          <w:tcPr>
            <w:tcW w:w="520" w:type="dxa"/>
            <w:vAlign w:val="bottom"/>
            <w:gridSpan w:val="7"/>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4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5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0" w:type="dxa"/>
            <w:vAlign w:val="bottom"/>
            <w:gridSpan w:val="5"/>
            <w:vMerge w:val="continue"/>
          </w:tcPr>
          <w:p>
            <w:pPr>
              <w:spacing w:after="0"/>
              <w:rPr>
                <w:sz w:val="2"/>
                <w:szCs w:val="2"/>
                <w:color w:val="auto"/>
              </w:rPr>
            </w:pPr>
          </w:p>
        </w:tc>
        <w:tc>
          <w:tcPr>
            <w:tcW w:w="580" w:type="dxa"/>
            <w:vAlign w:val="bottom"/>
            <w:vMerge w:val="restart"/>
          </w:tcPr>
          <w:p>
            <w:pPr>
              <w:spacing w:after="0"/>
              <w:rPr>
                <w:sz w:val="2"/>
                <w:szCs w:val="2"/>
                <w:color w:val="auto"/>
              </w:rPr>
            </w:pPr>
          </w:p>
        </w:tc>
        <w:tc>
          <w:tcPr>
            <w:tcW w:w="250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040" w:type="dxa"/>
            <w:vAlign w:val="bottom"/>
            <w:gridSpan w:val="6"/>
          </w:tcPr>
          <w:p>
            <w:pPr>
              <w:spacing w:after="0" w:line="177" w:lineRule="exact"/>
              <w:rPr>
                <w:sz w:val="20"/>
                <w:szCs w:val="20"/>
                <w:color w:val="auto"/>
              </w:rPr>
            </w:pPr>
            <w:r>
              <w:rPr>
                <w:rFonts w:ascii="Times New Roman" w:cs="Times New Roman" w:eastAsia="Times New Roman" w:hAnsi="Times New Roman"/>
                <w:sz w:val="18"/>
                <w:szCs w:val="18"/>
                <w:color w:val="FF0000"/>
                <w:strike w:val="1"/>
                <w:w w:val="95"/>
              </w:rPr>
              <w:t>As Forward Sellers and Sales</w:t>
            </w:r>
          </w:p>
        </w:tc>
        <w:tc>
          <w:tcPr>
            <w:tcW w:w="20" w:type="dxa"/>
            <w:vAlign w:val="bottom"/>
          </w:tcPr>
          <w:p>
            <w:pPr>
              <w:spacing w:after="0"/>
              <w:rPr>
                <w:sz w:val="15"/>
                <w:szCs w:val="15"/>
                <w:color w:val="auto"/>
              </w:rPr>
            </w:pPr>
          </w:p>
        </w:tc>
        <w:tc>
          <w:tcPr>
            <w:tcW w:w="600" w:type="dxa"/>
            <w:vAlign w:val="bottom"/>
            <w:gridSpan w:val="5"/>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74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auto"/>
              </w:rPr>
              <w:t>Bank of America, N.A.</w:t>
            </w:r>
          </w:p>
        </w:tc>
        <w:tc>
          <w:tcPr>
            <w:tcW w:w="20" w:type="dxa"/>
            <w:vAlign w:val="bottom"/>
          </w:tcPr>
          <w:p>
            <w:pPr>
              <w:spacing w:after="0"/>
              <w:rPr>
                <w:sz w:val="16"/>
                <w:szCs w:val="16"/>
                <w:color w:val="auto"/>
              </w:rPr>
            </w:pPr>
          </w:p>
        </w:tc>
        <w:tc>
          <w:tcPr>
            <w:tcW w:w="12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FF0000"/>
                <w:strike w:val="1"/>
                <w:w w:val="96"/>
              </w:rPr>
              <w:t>JPMorgan Chase</w:t>
            </w:r>
          </w:p>
        </w:tc>
        <w:tc>
          <w:tcPr>
            <w:tcW w:w="70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w w:val="96"/>
              </w:rPr>
              <w:t xml:space="preserve">The </w:t>
            </w:r>
            <w:r>
              <w:rPr>
                <w:rFonts w:ascii="Times New Roman" w:cs="Times New Roman" w:eastAsia="Times New Roman" w:hAnsi="Times New Roman"/>
                <w:sz w:val="18"/>
                <w:szCs w:val="18"/>
                <w:color w:val="000000"/>
                <w:w w:val="96"/>
              </w:rPr>
              <w:t>Bank</w:t>
            </w:r>
          </w:p>
        </w:tc>
        <w:tc>
          <w:tcPr>
            <w:tcW w:w="164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FF0000"/>
                <w:strike w:val="1"/>
              </w:rPr>
              <w:t>, National Association</w:t>
            </w:r>
          </w:p>
        </w:tc>
        <w:tc>
          <w:tcPr>
            <w:tcW w:w="11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w w:val="99"/>
              </w:rPr>
              <w:t>of Nova Scotia</w:t>
            </w:r>
          </w:p>
        </w:tc>
        <w:tc>
          <w:tcPr>
            <w:tcW w:w="0" w:type="dxa"/>
            <w:vAlign w:val="bottom"/>
          </w:tcPr>
          <w:p>
            <w:pPr>
              <w:spacing w:after="0"/>
              <w:rPr>
                <w:sz w:val="1"/>
                <w:szCs w:val="1"/>
                <w:color w:val="auto"/>
              </w:rPr>
            </w:pPr>
          </w:p>
        </w:tc>
      </w:tr>
      <w:tr>
        <w:trPr>
          <w:trHeight w:val="34"/>
        </w:trPr>
        <w:tc>
          <w:tcPr>
            <w:tcW w:w="5740" w:type="dxa"/>
            <w:vAlign w:val="bottom"/>
            <w:gridSpan w:val="14"/>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One Bryant Park</w:t>
            </w: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gridSpan w:val="2"/>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gridSpan w:val="3"/>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40" w:type="dxa"/>
            <w:vAlign w:val="bottom"/>
            <w:gridSpan w:val="3"/>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106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740" w:type="dxa"/>
            <w:vAlign w:val="bottom"/>
            <w:gridSpan w:val="14"/>
            <w:vMerge w:val="continue"/>
          </w:tcPr>
          <w:p>
            <w:pPr>
              <w:spacing w:after="0"/>
              <w:rPr>
                <w:sz w:val="12"/>
                <w:szCs w:val="12"/>
                <w:color w:val="auto"/>
              </w:rPr>
            </w:pPr>
          </w:p>
        </w:tc>
        <w:tc>
          <w:tcPr>
            <w:tcW w:w="1500" w:type="dxa"/>
            <w:vAlign w:val="bottom"/>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44 King Street West</w:t>
            </w: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40" w:type="dxa"/>
            <w:vAlign w:val="bottom"/>
            <w:gridSpan w:val="3"/>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740" w:type="dxa"/>
            <w:vAlign w:val="bottom"/>
            <w:gridSpan w:val="14"/>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New York, New York 10036</w:t>
            </w:r>
          </w:p>
        </w:tc>
        <w:tc>
          <w:tcPr>
            <w:tcW w:w="20" w:type="dxa"/>
            <w:vAlign w:val="bottom"/>
            <w:tcBorders>
              <w:bottom w:val="single" w:sz="8" w:color="0000FF"/>
            </w:tcBorders>
          </w:tcPr>
          <w:p>
            <w:pPr>
              <w:spacing w:after="0"/>
              <w:rPr>
                <w:sz w:val="2"/>
                <w:szCs w:val="2"/>
                <w:color w:val="auto"/>
              </w:rPr>
            </w:pPr>
          </w:p>
        </w:tc>
        <w:tc>
          <w:tcPr>
            <w:tcW w:w="8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420" w:type="dxa"/>
            <w:vAlign w:val="bottom"/>
            <w:gridSpan w:val="21"/>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Central Mail Room</w:t>
            </w:r>
          </w:p>
        </w:tc>
        <w:tc>
          <w:tcPr>
            <w:tcW w:w="1720" w:type="dxa"/>
            <w:vAlign w:val="bottom"/>
            <w:gridSpan w:val="5"/>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5740" w:type="dxa"/>
            <w:vAlign w:val="bottom"/>
            <w:gridSpan w:val="14"/>
            <w:vMerge w:val="continue"/>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6"/>
          </w:tcPr>
          <w:p>
            <w:pPr>
              <w:spacing w:after="0" w:line="142" w:lineRule="exact"/>
              <w:rPr>
                <w:sz w:val="20"/>
                <w:szCs w:val="20"/>
                <w:color w:val="auto"/>
              </w:rPr>
            </w:pPr>
            <w:r>
              <w:rPr>
                <w:rFonts w:ascii="Times New Roman" w:cs="Times New Roman" w:eastAsia="Times New Roman" w:hAnsi="Times New Roman"/>
                <w:sz w:val="16"/>
                <w:szCs w:val="16"/>
                <w:color w:val="FF0000"/>
                <w:strike w:val="1"/>
              </w:rPr>
              <w:t>383 Madison Avenue</w:t>
            </w:r>
          </w:p>
        </w:tc>
        <w:tc>
          <w:tcPr>
            <w:tcW w:w="6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420" w:type="dxa"/>
            <w:vAlign w:val="bottom"/>
            <w:tcBorders>
              <w:bottom w:val="single" w:sz="8" w:color="0000FF"/>
            </w:tcBorders>
            <w:gridSpan w:val="21"/>
            <w:vMerge w:val="continue"/>
          </w:tcPr>
          <w:p>
            <w:pPr>
              <w:spacing w:after="0"/>
              <w:rPr>
                <w:sz w:val="12"/>
                <w:szCs w:val="12"/>
                <w:color w:val="auto"/>
              </w:rPr>
            </w:pPr>
          </w:p>
        </w:tc>
        <w:tc>
          <w:tcPr>
            <w:tcW w:w="17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5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FF0000"/>
                <w:strike w:val="1"/>
                <w:w w:val="93"/>
              </w:rPr>
              <w:t>New York, New York</w:t>
            </w: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1520" w:type="dxa"/>
            <w:vAlign w:val="bottom"/>
            <w:gridSpan w:val="9"/>
            <w:vMerge w:val="continue"/>
          </w:tcPr>
          <w:p>
            <w:pPr>
              <w:spacing w:after="0"/>
              <w:rPr>
                <w:sz w:val="14"/>
                <w:szCs w:val="14"/>
                <w:color w:val="auto"/>
              </w:rPr>
            </w:pPr>
          </w:p>
        </w:tc>
        <w:tc>
          <w:tcPr>
            <w:tcW w:w="520" w:type="dxa"/>
            <w:vAlign w:val="bottom"/>
            <w:gridSpan w:val="9"/>
          </w:tcPr>
          <w:p>
            <w:pPr>
              <w:jc w:val="right"/>
              <w:spacing w:after="0" w:line="164" w:lineRule="exact"/>
              <w:rPr>
                <w:sz w:val="20"/>
                <w:szCs w:val="20"/>
                <w:color w:val="auto"/>
              </w:rPr>
            </w:pPr>
            <w:r>
              <w:rPr>
                <w:rFonts w:ascii="Times New Roman" w:cs="Times New Roman" w:eastAsia="Times New Roman" w:hAnsi="Times New Roman"/>
                <w:sz w:val="18"/>
                <w:szCs w:val="18"/>
                <w:color w:val="FF0000"/>
                <w:strike w:val="1"/>
              </w:rPr>
              <w:t>10179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660" w:type="dxa"/>
            <w:vAlign w:val="bottom"/>
            <w:gridSpan w:val="35"/>
          </w:tcPr>
          <w:p>
            <w:pPr>
              <w:spacing w:after="0" w:line="194" w:lineRule="exact"/>
              <w:rPr>
                <w:sz w:val="20"/>
                <w:szCs w:val="20"/>
                <w:color w:val="auto"/>
              </w:rPr>
            </w:pPr>
            <w:r>
              <w:rPr>
                <w:rFonts w:ascii="Times New Roman" w:cs="Times New Roman" w:eastAsia="Times New Roman" w:hAnsi="Times New Roman"/>
                <w:sz w:val="18"/>
                <w:szCs w:val="18"/>
                <w:color w:val="0000FF"/>
              </w:rPr>
              <w:t>Toronto, Ontario, Canada M5H 1H1</w:t>
            </w: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Citibank, N.A.</w:t>
            </w:r>
          </w:p>
        </w:tc>
        <w:tc>
          <w:tcPr>
            <w:tcW w:w="20" w:type="dxa"/>
            <w:vAlign w:val="bottom"/>
          </w:tcPr>
          <w:p>
            <w:pPr>
              <w:spacing w:after="0"/>
              <w:rPr>
                <w:sz w:val="22"/>
                <w:szCs w:val="22"/>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FF0000"/>
                <w:strike w:val="1"/>
                <w:w w:val="92"/>
              </w:rPr>
              <w:t>Wells Fargo</w:t>
            </w:r>
          </w:p>
        </w:tc>
        <w:tc>
          <w:tcPr>
            <w:tcW w:w="21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8"/>
              </w:rPr>
              <w:t xml:space="preserve">The Toronto-Dominion </w:t>
            </w:r>
            <w:r>
              <w:rPr>
                <w:rFonts w:ascii="Times New Roman" w:cs="Times New Roman" w:eastAsia="Times New Roman" w:hAnsi="Times New Roman"/>
                <w:sz w:val="18"/>
                <w:szCs w:val="18"/>
                <w:color w:val="000000"/>
                <w:w w:val="98"/>
              </w:rPr>
              <w:t>Bank</w:t>
            </w: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rPr>
              <w:t>, National Association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57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auto"/>
              </w:rPr>
              <w:t>388 Greenwich Street</w:t>
            </w: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1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6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740" w:type="dxa"/>
            <w:vAlign w:val="bottom"/>
            <w:gridSpan w:val="14"/>
            <w:vMerge w:val="continue"/>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7"/>
          </w:tcPr>
          <w:p>
            <w:pPr>
              <w:spacing w:after="0" w:line="164" w:lineRule="exact"/>
              <w:rPr>
                <w:sz w:val="20"/>
                <w:szCs w:val="20"/>
                <w:color w:val="auto"/>
              </w:rPr>
            </w:pPr>
            <w:r>
              <w:rPr>
                <w:rFonts w:ascii="Times New Roman" w:cs="Times New Roman" w:eastAsia="Times New Roman" w:hAnsi="Times New Roman"/>
                <w:sz w:val="18"/>
                <w:szCs w:val="18"/>
                <w:color w:val="FF0000"/>
                <w:strike w:val="1"/>
                <w:w w:val="95"/>
              </w:rPr>
              <w:t>500 West 33rd Street</w:t>
            </w:r>
          </w:p>
        </w:tc>
        <w:tc>
          <w:tcPr>
            <w:tcW w:w="10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New York, New York 10013</w:t>
            </w:r>
          </w:p>
        </w:tc>
        <w:tc>
          <w:tcPr>
            <w:tcW w:w="20" w:type="dxa"/>
            <w:vAlign w:val="bottom"/>
          </w:tcPr>
          <w:p>
            <w:pPr>
              <w:spacing w:after="0"/>
              <w:rPr>
                <w:sz w:val="18"/>
                <w:szCs w:val="18"/>
                <w:color w:val="auto"/>
              </w:rPr>
            </w:pPr>
          </w:p>
        </w:tc>
        <w:tc>
          <w:tcPr>
            <w:tcW w:w="2040" w:type="dxa"/>
            <w:vAlign w:val="bottom"/>
            <w:gridSpan w:val="18"/>
          </w:tcPr>
          <w:p>
            <w:pPr>
              <w:spacing w:after="0"/>
              <w:rPr>
                <w:sz w:val="20"/>
                <w:szCs w:val="20"/>
                <w:color w:val="auto"/>
              </w:rPr>
            </w:pPr>
            <w:r>
              <w:rPr>
                <w:rFonts w:ascii="Times New Roman" w:cs="Times New Roman" w:eastAsia="Times New Roman" w:hAnsi="Times New Roman"/>
                <w:sz w:val="18"/>
                <w:szCs w:val="18"/>
                <w:color w:val="FF0000"/>
                <w:strike w:val="1"/>
                <w:w w:val="96"/>
              </w:rPr>
              <w:t>New York, New York 10001</w:t>
            </w:r>
          </w:p>
        </w:tc>
        <w:tc>
          <w:tcPr>
            <w:tcW w:w="100" w:type="dxa"/>
            <w:vAlign w:val="bottom"/>
          </w:tcPr>
          <w:p>
            <w:pPr>
              <w:spacing w:after="0"/>
              <w:rPr>
                <w:sz w:val="18"/>
                <w:szCs w:val="18"/>
                <w:color w:val="auto"/>
              </w:rPr>
            </w:pPr>
          </w:p>
        </w:tc>
        <w:tc>
          <w:tcPr>
            <w:tcW w:w="340" w:type="dxa"/>
            <w:vAlign w:val="bottom"/>
            <w:gridSpan w:val="3"/>
          </w:tcPr>
          <w:p>
            <w:pPr>
              <w:spacing w:after="0"/>
              <w:rPr>
                <w:sz w:val="18"/>
                <w:szCs w:val="18"/>
                <w:color w:val="auto"/>
              </w:rPr>
            </w:pPr>
          </w:p>
        </w:tc>
        <w:tc>
          <w:tcPr>
            <w:tcW w:w="1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660" w:type="dxa"/>
            <w:vAlign w:val="bottom"/>
            <w:gridSpan w:val="35"/>
          </w:tcPr>
          <w:p>
            <w:pPr>
              <w:spacing w:after="0" w:line="194" w:lineRule="exact"/>
              <w:rPr>
                <w:sz w:val="20"/>
                <w:szCs w:val="20"/>
                <w:color w:val="auto"/>
              </w:rPr>
            </w:pPr>
            <w:r>
              <w:rPr>
                <w:rFonts w:ascii="Times New Roman" w:cs="Times New Roman" w:eastAsia="Times New Roman" w:hAnsi="Times New Roman"/>
                <w:sz w:val="18"/>
                <w:szCs w:val="18"/>
                <w:color w:val="0000FF"/>
              </w:rPr>
              <w:t>c/o TD Securities (USA) LLC</w:t>
            </w: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340" w:type="dxa"/>
            <w:vAlign w:val="bottom"/>
            <w:gridSpan w:val="3"/>
          </w:tcPr>
          <w:p>
            <w:pPr>
              <w:spacing w:after="0"/>
              <w:rPr>
                <w:sz w:val="2"/>
                <w:szCs w:val="2"/>
                <w:color w:val="auto"/>
              </w:rPr>
            </w:pPr>
          </w:p>
        </w:tc>
        <w:tc>
          <w:tcPr>
            <w:tcW w:w="14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00" w:type="dxa"/>
            <w:vAlign w:val="bottom"/>
            <w:gridSpan w:val="7"/>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spacing w:after="0" w:line="164" w:lineRule="exact"/>
              <w:rPr>
                <w:sz w:val="20"/>
                <w:szCs w:val="20"/>
                <w:color w:val="auto"/>
              </w:rPr>
            </w:pPr>
            <w:r>
              <w:rPr>
                <w:rFonts w:ascii="Times New Roman" w:cs="Times New Roman" w:eastAsia="Times New Roman" w:hAnsi="Times New Roman"/>
                <w:sz w:val="18"/>
                <w:szCs w:val="18"/>
                <w:color w:val="FF0000"/>
                <w:strike w:val="1"/>
              </w:rPr>
              <w:t>Jefferies LLC</w:t>
            </w:r>
          </w:p>
        </w:tc>
        <w:tc>
          <w:tcPr>
            <w:tcW w:w="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FF0000"/>
                <w:strike w:val="1"/>
                <w:w w:val="95"/>
              </w:rPr>
              <w:t>520 Madison</w:t>
            </w:r>
          </w:p>
        </w:tc>
        <w:tc>
          <w:tcPr>
            <w:tcW w:w="3720" w:type="dxa"/>
            <w:vAlign w:val="bottom"/>
            <w:gridSpan w:val="31"/>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1 Vanderbilt </w:t>
            </w:r>
            <w:r>
              <w:rPr>
                <w:rFonts w:ascii="Times New Roman" w:cs="Times New Roman" w:eastAsia="Times New Roman" w:hAnsi="Times New Roman"/>
                <w:sz w:val="18"/>
                <w:szCs w:val="18"/>
                <w:color w:val="000000"/>
              </w:rPr>
              <w:t>Avenue</w:t>
            </w: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gridSpan w:val="11"/>
          </w:tcPr>
          <w:p>
            <w:pPr>
              <w:spacing w:after="0" w:line="142" w:lineRule="exact"/>
              <w:rPr>
                <w:sz w:val="20"/>
                <w:szCs w:val="20"/>
                <w:color w:val="auto"/>
              </w:rPr>
            </w:pPr>
            <w:r>
              <w:rPr>
                <w:rFonts w:ascii="Times New Roman" w:cs="Times New Roman" w:eastAsia="Times New Roman" w:hAnsi="Times New Roman"/>
                <w:sz w:val="16"/>
                <w:szCs w:val="16"/>
                <w:color w:val="auto"/>
              </w:rPr>
              <w:t>New York, New York</w:t>
            </w:r>
          </w:p>
        </w:tc>
        <w:tc>
          <w:tcPr>
            <w:tcW w:w="460" w:type="dxa"/>
            <w:vAlign w:val="bottom"/>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FF0000"/>
                <w:strike w:val="1"/>
              </w:rPr>
              <w:t>10022</w:t>
            </w:r>
          </w:p>
        </w:tc>
        <w:tc>
          <w:tcPr>
            <w:tcW w:w="44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rPr>
              <w:t>10017</w:t>
            </w:r>
          </w:p>
        </w:tc>
        <w:tc>
          <w:tcPr>
            <w:tcW w:w="1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Deutsche Bank AG, London Branch</w:t>
            </w:r>
          </w:p>
        </w:tc>
        <w:tc>
          <w:tcPr>
            <w:tcW w:w="46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Truist Bank</w:t>
            </w:r>
          </w:p>
        </w:tc>
        <w:tc>
          <w:tcPr>
            <w:tcW w:w="0" w:type="dxa"/>
            <w:vAlign w:val="bottom"/>
          </w:tcPr>
          <w:p>
            <w:pPr>
              <w:spacing w:after="0"/>
              <w:rPr>
                <w:sz w:val="1"/>
                <w:szCs w:val="1"/>
                <w:color w:val="auto"/>
              </w:rPr>
            </w:pPr>
          </w:p>
        </w:tc>
      </w:tr>
      <w:tr>
        <w:trPr>
          <w:trHeight w:val="34"/>
        </w:trPr>
        <w:tc>
          <w:tcPr>
            <w:tcW w:w="94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5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20" w:type="dxa"/>
            <w:vAlign w:val="bottom"/>
            <w:gridSpan w:val="2"/>
            <w:vMerge w:val="restart"/>
          </w:tcPr>
          <w:p>
            <w:pPr>
              <w:spacing w:after="0"/>
              <w:rPr>
                <w:sz w:val="2"/>
                <w:szCs w:val="2"/>
                <w:color w:val="auto"/>
              </w:rPr>
            </w:pPr>
          </w:p>
        </w:tc>
        <w:tc>
          <w:tcPr>
            <w:tcW w:w="25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20" w:type="dxa"/>
            <w:vAlign w:val="bottom"/>
            <w:tcBorders>
              <w:top w:val="single" w:sz="8" w:color="0000FF"/>
              <w:bottom w:val="single" w:sz="8" w:color="0000FF"/>
            </w:tcBorders>
          </w:tcPr>
          <w:p>
            <w:pPr>
              <w:spacing w:after="0"/>
              <w:rPr>
                <w:sz w:val="2"/>
                <w:szCs w:val="2"/>
                <w:color w:val="auto"/>
              </w:rPr>
            </w:pPr>
          </w:p>
        </w:tc>
        <w:tc>
          <w:tcPr>
            <w:tcW w:w="3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80" w:type="dxa"/>
            <w:vAlign w:val="bottom"/>
            <w:gridSpan w:val="4"/>
          </w:tcPr>
          <w:p>
            <w:pPr>
              <w:spacing w:after="0"/>
              <w:rPr>
                <w:sz w:val="2"/>
                <w:szCs w:val="2"/>
                <w:color w:val="auto"/>
              </w:rPr>
            </w:pPr>
          </w:p>
        </w:tc>
        <w:tc>
          <w:tcPr>
            <w:tcW w:w="380" w:type="dxa"/>
            <w:vAlign w:val="bottom"/>
            <w:gridSpan w:val="7"/>
          </w:tcPr>
          <w:p>
            <w:pPr>
              <w:spacing w:after="0"/>
              <w:rPr>
                <w:sz w:val="2"/>
                <w:szCs w:val="2"/>
                <w:color w:val="auto"/>
              </w:rPr>
            </w:pPr>
          </w:p>
        </w:tc>
        <w:tc>
          <w:tcPr>
            <w:tcW w:w="580" w:type="dxa"/>
            <w:vAlign w:val="bottom"/>
            <w:gridSpan w:val="8"/>
          </w:tcPr>
          <w:p>
            <w:pPr>
              <w:spacing w:after="0"/>
              <w:rPr>
                <w:sz w:val="2"/>
                <w:szCs w:val="2"/>
                <w:color w:val="auto"/>
              </w:rPr>
            </w:pPr>
          </w:p>
        </w:tc>
        <w:tc>
          <w:tcPr>
            <w:tcW w:w="20" w:type="dxa"/>
            <w:vAlign w:val="bottom"/>
          </w:tcPr>
          <w:p>
            <w:pPr>
              <w:spacing w:after="0"/>
              <w:rPr>
                <w:sz w:val="2"/>
                <w:szCs w:val="2"/>
                <w:color w:val="auto"/>
              </w:rPr>
            </w:pPr>
          </w:p>
        </w:tc>
        <w:tc>
          <w:tcPr>
            <w:tcW w:w="2000" w:type="dxa"/>
            <w:vAlign w:val="bottom"/>
            <w:gridSpan w:val="7"/>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620" w:type="dxa"/>
            <w:vAlign w:val="bottom"/>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c/o Deutsche Bank Securities Inc.</w:t>
            </w:r>
          </w:p>
        </w:tc>
        <w:tc>
          <w:tcPr>
            <w:tcW w:w="620" w:type="dxa"/>
            <w:vAlign w:val="bottom"/>
            <w:gridSpan w:val="2"/>
            <w:vMerge w:val="continue"/>
          </w:tcPr>
          <w:p>
            <w:pPr>
              <w:spacing w:after="0"/>
              <w:rPr>
                <w:sz w:val="12"/>
                <w:szCs w:val="12"/>
                <w:color w:val="auto"/>
              </w:rPr>
            </w:pPr>
          </w:p>
        </w:tc>
        <w:tc>
          <w:tcPr>
            <w:tcW w:w="25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640" w:type="dxa"/>
            <w:vAlign w:val="bottom"/>
            <w:gridSpan w:val="34"/>
          </w:tcPr>
          <w:p>
            <w:pPr>
              <w:spacing w:after="0" w:line="142" w:lineRule="exact"/>
              <w:rPr>
                <w:sz w:val="20"/>
                <w:szCs w:val="20"/>
                <w:color w:val="auto"/>
              </w:rPr>
            </w:pPr>
            <w:r>
              <w:rPr>
                <w:rFonts w:ascii="Times New Roman" w:cs="Times New Roman" w:eastAsia="Times New Roman" w:hAnsi="Times New Roman"/>
                <w:sz w:val="16"/>
                <w:szCs w:val="16"/>
                <w:color w:val="0000FF"/>
              </w:rPr>
              <w:t>3333 Peachtree Road NE, 11th Floor</w:t>
            </w:r>
          </w:p>
        </w:tc>
        <w:tc>
          <w:tcPr>
            <w:tcW w:w="0" w:type="dxa"/>
            <w:vAlign w:val="bottom"/>
          </w:tcPr>
          <w:p>
            <w:pPr>
              <w:spacing w:after="0"/>
              <w:rPr>
                <w:sz w:val="1"/>
                <w:szCs w:val="1"/>
                <w:color w:val="auto"/>
              </w:rPr>
            </w:pPr>
          </w:p>
        </w:tc>
      </w:tr>
      <w:tr>
        <w:trPr>
          <w:trHeight w:val="34"/>
        </w:trPr>
        <w:tc>
          <w:tcPr>
            <w:tcW w:w="94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5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800" w:type="dxa"/>
            <w:vAlign w:val="bottom"/>
            <w:gridSpan w:val="4"/>
            <w:vMerge w:val="restart"/>
          </w:tcPr>
          <w:p>
            <w:pPr>
              <w:spacing w:after="0"/>
              <w:rPr>
                <w:sz w:val="2"/>
                <w:szCs w:val="2"/>
                <w:color w:val="auto"/>
              </w:rPr>
            </w:pPr>
          </w:p>
        </w:tc>
        <w:tc>
          <w:tcPr>
            <w:tcW w:w="25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180" w:type="dxa"/>
            <w:vAlign w:val="bottom"/>
            <w:tcBorders>
              <w:top w:val="single" w:sz="8" w:color="0000FF"/>
              <w:bottom w:val="single" w:sz="8" w:color="0000FF"/>
            </w:tcBorders>
            <w:gridSpan w:val="4"/>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80" w:type="dxa"/>
            <w:vAlign w:val="bottom"/>
            <w:tcBorders>
              <w:top w:val="single" w:sz="8" w:color="0000FF"/>
              <w:bottom w:val="single" w:sz="8" w:color="0000FF"/>
            </w:tcBorders>
            <w:gridSpan w:val="2"/>
          </w:tcPr>
          <w:p>
            <w:pPr>
              <w:spacing w:after="0"/>
              <w:rPr>
                <w:sz w:val="2"/>
                <w:szCs w:val="2"/>
                <w:color w:val="auto"/>
              </w:rPr>
            </w:pPr>
          </w:p>
        </w:tc>
        <w:tc>
          <w:tcPr>
            <w:tcW w:w="180" w:type="dxa"/>
            <w:vAlign w:val="bottom"/>
            <w:tcBorders>
              <w:top w:val="single" w:sz="8" w:color="0000FF"/>
              <w:bottom w:val="single" w:sz="8" w:color="0000FF"/>
            </w:tcBorders>
            <w:gridSpan w:val="4"/>
          </w:tcPr>
          <w:p>
            <w:pPr>
              <w:spacing w:after="0"/>
              <w:rPr>
                <w:sz w:val="2"/>
                <w:szCs w:val="2"/>
                <w:color w:val="auto"/>
              </w:rPr>
            </w:pPr>
          </w:p>
        </w:tc>
        <w:tc>
          <w:tcPr>
            <w:tcW w:w="380" w:type="dxa"/>
            <w:vAlign w:val="bottom"/>
            <w:tcBorders>
              <w:top w:val="single" w:sz="8" w:color="0000FF"/>
              <w:bottom w:val="single" w:sz="8" w:color="0000FF"/>
            </w:tcBorders>
            <w:gridSpan w:val="7"/>
          </w:tcPr>
          <w:p>
            <w:pPr>
              <w:spacing w:after="0"/>
              <w:rPr>
                <w:sz w:val="2"/>
                <w:szCs w:val="2"/>
                <w:color w:val="auto"/>
              </w:rPr>
            </w:pPr>
          </w:p>
        </w:tc>
        <w:tc>
          <w:tcPr>
            <w:tcW w:w="580" w:type="dxa"/>
            <w:vAlign w:val="bottom"/>
            <w:tcBorders>
              <w:top w:val="single" w:sz="8" w:color="0000FF"/>
              <w:bottom w:val="single" w:sz="8" w:color="0000FF"/>
            </w:tcBorders>
            <w:gridSpan w:val="8"/>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2000" w:type="dxa"/>
            <w:vAlign w:val="bottom"/>
            <w:gridSpan w:val="7"/>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420" w:type="dxa"/>
            <w:vAlign w:val="bottom"/>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1 Columbus Circle</w:t>
            </w:r>
          </w:p>
        </w:tc>
        <w:tc>
          <w:tcPr>
            <w:tcW w:w="20" w:type="dxa"/>
            <w:vAlign w:val="bottom"/>
            <w:vMerge w:val="continue"/>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25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20" w:type="dxa"/>
            <w:vAlign w:val="bottom"/>
            <w:gridSpan w:val="26"/>
          </w:tcPr>
          <w:p>
            <w:pPr>
              <w:spacing w:after="0" w:line="142" w:lineRule="exact"/>
              <w:rPr>
                <w:sz w:val="20"/>
                <w:szCs w:val="20"/>
                <w:color w:val="auto"/>
              </w:rPr>
            </w:pPr>
            <w:r>
              <w:rPr>
                <w:rFonts w:ascii="Times New Roman" w:cs="Times New Roman" w:eastAsia="Times New Roman" w:hAnsi="Times New Roman"/>
                <w:sz w:val="16"/>
                <w:szCs w:val="16"/>
                <w:color w:val="0000FF"/>
              </w:rPr>
              <w:t>Atlanta, Georgia 30326</w:t>
            </w:r>
          </w:p>
        </w:tc>
        <w:tc>
          <w:tcPr>
            <w:tcW w:w="20" w:type="dxa"/>
            <w:vAlign w:val="bottom"/>
            <w:vMerge w:val="continue"/>
          </w:tcPr>
          <w:p>
            <w:pPr>
              <w:spacing w:after="0"/>
              <w:rPr>
                <w:sz w:val="12"/>
                <w:szCs w:val="12"/>
                <w:color w:val="auto"/>
              </w:rPr>
            </w:pPr>
          </w:p>
        </w:tc>
        <w:tc>
          <w:tcPr>
            <w:tcW w:w="200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4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740" w:type="dxa"/>
            <w:vAlign w:val="bottom"/>
            <w:gridSpan w:val="14"/>
          </w:tcPr>
          <w:p>
            <w:pPr>
              <w:spacing w:after="0" w:line="142" w:lineRule="exact"/>
              <w:rPr>
                <w:sz w:val="20"/>
                <w:szCs w:val="20"/>
                <w:color w:val="auto"/>
              </w:rPr>
            </w:pPr>
            <w:r>
              <w:rPr>
                <w:rFonts w:ascii="Times New Roman" w:cs="Times New Roman" w:eastAsia="Times New Roman" w:hAnsi="Times New Roman"/>
                <w:sz w:val="16"/>
                <w:szCs w:val="16"/>
                <w:color w:val="0000FF"/>
              </w:rPr>
              <w:t>New York, New York 10019</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4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5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JPMorgan Chase Bank, National Association</w:t>
            </w: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94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5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580" w:type="dxa"/>
            <w:vAlign w:val="bottom"/>
            <w:tcBorders>
              <w:top w:val="single" w:sz="8" w:color="0000FF"/>
              <w:bottom w:val="single" w:sz="8" w:color="0000FF"/>
            </w:tcBorders>
          </w:tcPr>
          <w:p>
            <w:pPr>
              <w:spacing w:after="0"/>
              <w:rPr>
                <w:sz w:val="2"/>
                <w:szCs w:val="2"/>
                <w:color w:val="auto"/>
              </w:rPr>
            </w:pPr>
          </w:p>
        </w:tc>
        <w:tc>
          <w:tcPr>
            <w:tcW w:w="250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40" w:type="dxa"/>
            <w:vAlign w:val="bottom"/>
            <w:gridSpan w:val="13"/>
          </w:tcPr>
          <w:p>
            <w:pPr>
              <w:spacing w:after="0" w:line="142" w:lineRule="exact"/>
              <w:rPr>
                <w:sz w:val="20"/>
                <w:szCs w:val="20"/>
                <w:color w:val="auto"/>
              </w:rPr>
            </w:pPr>
            <w:r>
              <w:rPr>
                <w:rFonts w:ascii="Times New Roman" w:cs="Times New Roman" w:eastAsia="Times New Roman" w:hAnsi="Times New Roman"/>
                <w:sz w:val="16"/>
                <w:szCs w:val="16"/>
                <w:color w:val="0000FF"/>
              </w:rPr>
              <w:t>383 Madison Avenue</w:t>
            </w:r>
          </w:p>
        </w:tc>
        <w:tc>
          <w:tcPr>
            <w:tcW w:w="2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4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4200" w:type="dxa"/>
            <w:vAlign w:val="bottom"/>
            <w:gridSpan w:val="9"/>
            <w:vMerge w:val="restart"/>
          </w:tcPr>
          <w:p>
            <w:pPr>
              <w:jc w:val="right"/>
              <w:ind w:right="3680"/>
              <w:spacing w:after="0" w:line="196" w:lineRule="exact"/>
              <w:rPr>
                <w:sz w:val="20"/>
                <w:szCs w:val="20"/>
                <w:color w:val="auto"/>
              </w:rPr>
            </w:pPr>
            <w:r>
              <w:rPr>
                <w:rFonts w:ascii="Times New Roman" w:cs="Times New Roman" w:eastAsia="Times New Roman" w:hAnsi="Times New Roman"/>
                <w:sz w:val="18"/>
                <w:szCs w:val="18"/>
                <w:color w:val="0000FF"/>
              </w:rPr>
              <w:t>10179</w:t>
            </w: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40" w:type="dxa"/>
            <w:vAlign w:val="bottom"/>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New York, New York</w:t>
            </w:r>
          </w:p>
        </w:tc>
        <w:tc>
          <w:tcPr>
            <w:tcW w:w="4200" w:type="dxa"/>
            <w:vAlign w:val="bottom"/>
            <w:gridSpan w:val="9"/>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40" w:type="dxa"/>
            <w:vAlign w:val="bottom"/>
            <w:tcBorders>
              <w:top w:val="single" w:sz="8" w:color="0000FF"/>
              <w:bottom w:val="single" w:sz="8" w:color="0000FF"/>
            </w:tcBorders>
          </w:tcPr>
          <w:p>
            <w:pPr>
              <w:spacing w:after="0"/>
              <w:rPr>
                <w:sz w:val="2"/>
                <w:szCs w:val="2"/>
                <w:color w:val="auto"/>
              </w:rPr>
            </w:pPr>
          </w:p>
        </w:tc>
        <w:tc>
          <w:tcPr>
            <w:tcW w:w="4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5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57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As Forward Purchasers</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Each of Federal Realty Investment Trust, a Maryland real estate investment trust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Federal Realty OP LP, a Delaware limited partnership (the “Operating Partnership”), </w:t>
      </w:r>
      <w:r>
        <w:rPr>
          <w:rFonts w:ascii="Times New Roman" w:cs="Times New Roman" w:eastAsia="Times New Roman" w:hAnsi="Times New Roman"/>
          <w:sz w:val="18"/>
          <w:szCs w:val="18"/>
          <w:u w:val="single" w:color="auto"/>
          <w:color w:val="0000FF"/>
        </w:rPr>
        <w:t>Wells Fargo Bank, National Association, BNP Paribas,</w:t>
      </w:r>
      <w:r>
        <w:rPr>
          <w:rFonts w:ascii="Times New Roman" w:cs="Times New Roman" w:eastAsia="Times New Roman" w:hAnsi="Times New Roman"/>
          <w:sz w:val="18"/>
          <w:szCs w:val="18"/>
          <w:color w:val="auto"/>
        </w:rPr>
        <w:t xml:space="preserve"> Bank of America, N.A., Citibank, N.A., </w:t>
      </w:r>
      <w:r>
        <w:rPr>
          <w:rFonts w:ascii="Times New Roman" w:cs="Times New Roman" w:eastAsia="Times New Roman" w:hAnsi="Times New Roman"/>
          <w:sz w:val="18"/>
          <w:szCs w:val="18"/>
          <w:u w:val="single" w:color="auto"/>
          <w:color w:val="0000FF"/>
        </w:rPr>
        <w:t>Deutsche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Bank AG, London Branch,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JPMorgan Chase Bank, National</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57" w:right="519" w:bottom="1440" w:gutter="0" w:footer="0" w:header="0"/>
        </w:sectPr>
      </w:pPr>
    </w:p>
    <w:bookmarkStart w:id="25" w:name="page26"/>
    <w:bookmarkEnd w:id="25"/>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Association, </w:t>
      </w:r>
      <w:r>
        <w:rPr>
          <w:rFonts w:ascii="Times New Roman" w:cs="Times New Roman" w:eastAsia="Times New Roman" w:hAnsi="Times New Roman"/>
          <w:sz w:val="18"/>
          <w:szCs w:val="18"/>
          <w:color w:val="FF0000"/>
          <w:strike w:val="1"/>
        </w:rPr>
        <w:t>Wells Fargo Bank, National Association and</w:t>
      </w:r>
      <w:r>
        <w:rPr>
          <w:rFonts w:ascii="Times New Roman" w:cs="Times New Roman" w:eastAsia="Times New Roman" w:hAnsi="Times New Roman"/>
          <w:sz w:val="18"/>
          <w:szCs w:val="18"/>
          <w:color w:val="auto"/>
        </w:rPr>
        <w:t xml:space="preserve"> Jefferies LLC</w:t>
      </w:r>
      <w:r>
        <w:rPr>
          <w:rFonts w:ascii="Times New Roman" w:cs="Times New Roman" w:eastAsia="Times New Roman" w:hAnsi="Times New Roman"/>
          <w:sz w:val="18"/>
          <w:szCs w:val="18"/>
          <w:u w:val="single" w:color="auto"/>
          <w:color w:val="0000FF"/>
        </w:rPr>
        <w:t>, Regions Securities LLC, The Bank of Nova Scotia, The Toronto-Dominion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Bank and Truist Bank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(each in its capacity as forward purchaser, a “Forward Purchaser,” and together the “</w:t>
      </w:r>
      <w:r>
        <w:rPr>
          <w:rFonts w:ascii="Times New Roman" w:cs="Times New Roman" w:eastAsia="Times New Roman" w:hAnsi="Times New Roman"/>
          <w:sz w:val="18"/>
          <w:szCs w:val="18"/>
          <w:u w:val="single" w:color="auto"/>
          <w:color w:val="000000"/>
        </w:rPr>
        <w:t>Forward Purchasers</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Wells Fargo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Securities, LLC, BNP Paribas Securities Corp.,</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BofA Securities, Inc., Citigroup Global Markets Inc.,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Deutsche Bank Securities Inc.,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J.P. Morgan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Securities LLC, </w:t>
      </w:r>
      <w:r>
        <w:rPr>
          <w:rFonts w:ascii="Times New Roman" w:cs="Times New Roman" w:eastAsia="Times New Roman" w:hAnsi="Times New Roman"/>
          <w:sz w:val="18"/>
          <w:szCs w:val="18"/>
          <w:color w:val="FF0000"/>
          <w:strike w:val="1"/>
        </w:rPr>
        <w:t>Wells Fargo Securities, LLC and</w:t>
      </w:r>
      <w:r>
        <w:rPr>
          <w:rFonts w:ascii="Times New Roman" w:cs="Times New Roman" w:eastAsia="Times New Roman" w:hAnsi="Times New Roman"/>
          <w:sz w:val="18"/>
          <w:szCs w:val="18"/>
          <w:color w:val="000000"/>
        </w:rPr>
        <w:t xml:space="preserve"> Jefferies LLC</w:t>
      </w:r>
      <w:r>
        <w:rPr>
          <w:rFonts w:ascii="Times New Roman" w:cs="Times New Roman" w:eastAsia="Times New Roman" w:hAnsi="Times New Roman"/>
          <w:sz w:val="18"/>
          <w:szCs w:val="18"/>
          <w:u w:val="single" w:color="auto"/>
          <w:color w:val="0000FF"/>
        </w:rPr>
        <w:t>, Regions Securities LLC, Scotia Capital (USA) Inc., SMBC Nikko Securities America,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Inc., TD Securities (USA) LLC and Truist Securities, Inc.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(each in its capacity as agent for the Company and/or principal in connection with the offering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sale of any Issuance Securities (as defined below) hereunder, a “</w:t>
      </w:r>
      <w:r>
        <w:rPr>
          <w:rFonts w:ascii="Times New Roman" w:cs="Times New Roman" w:eastAsia="Times New Roman" w:hAnsi="Times New Roman"/>
          <w:sz w:val="18"/>
          <w:szCs w:val="18"/>
          <w:u w:val="single" w:color="auto"/>
          <w:color w:val="000000"/>
        </w:rPr>
        <w:t>Sales Agent</w:t>
      </w:r>
      <w:r>
        <w:rPr>
          <w:rFonts w:ascii="Times New Roman" w:cs="Times New Roman" w:eastAsia="Times New Roman" w:hAnsi="Times New Roman"/>
          <w:sz w:val="18"/>
          <w:szCs w:val="18"/>
          <w:color w:val="000000"/>
        </w:rPr>
        <w:t>,” and together the “</w:t>
      </w:r>
      <w:r>
        <w:rPr>
          <w:rFonts w:ascii="Times New Roman" w:cs="Times New Roman" w:eastAsia="Times New Roman" w:hAnsi="Times New Roman"/>
          <w:sz w:val="18"/>
          <w:szCs w:val="18"/>
          <w:u w:val="single" w:color="auto"/>
          <w:color w:val="000000"/>
        </w:rPr>
        <w:t>Sales Agents</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u w:val="single" w:color="auto"/>
          <w:color w:val="0000FF"/>
        </w:rPr>
        <w:t>, except in the case of SMBC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Nikko Securities America, Inc.,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each in its capacity as agent for the related Forward Purchaser in connection with the offering and sale of any Forward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Hedge Securities (as defined below) hereunder, a “</w:t>
      </w:r>
      <w:r>
        <w:rPr>
          <w:rFonts w:ascii="Times New Roman" w:cs="Times New Roman" w:eastAsia="Times New Roman" w:hAnsi="Times New Roman"/>
          <w:sz w:val="18"/>
          <w:szCs w:val="18"/>
          <w:u w:val="single" w:color="auto"/>
          <w:color w:val="000000"/>
        </w:rPr>
        <w:t>Forward Seller</w:t>
      </w:r>
      <w:r>
        <w:rPr>
          <w:rFonts w:ascii="Times New Roman" w:cs="Times New Roman" w:eastAsia="Times New Roman" w:hAnsi="Times New Roman"/>
          <w:sz w:val="18"/>
          <w:szCs w:val="18"/>
          <w:color w:val="000000"/>
        </w:rPr>
        <w:t>,” and together the “</w:t>
      </w:r>
      <w:r>
        <w:rPr>
          <w:rFonts w:ascii="Times New Roman" w:cs="Times New Roman" w:eastAsia="Times New Roman" w:hAnsi="Times New Roman"/>
          <w:sz w:val="18"/>
          <w:szCs w:val="18"/>
          <w:u w:val="single" w:color="auto"/>
          <w:color w:val="000000"/>
        </w:rPr>
        <w:t>Forward Sellers</w:t>
      </w:r>
      <w:r>
        <w:rPr>
          <w:rFonts w:ascii="Times New Roman" w:cs="Times New Roman" w:eastAsia="Times New Roman" w:hAnsi="Times New Roman"/>
          <w:sz w:val="18"/>
          <w:szCs w:val="18"/>
          <w:color w:val="000000"/>
        </w:rPr>
        <w:t>”) hereby agrees to this Equity Distribution Agreement, dated as of February 14, 2022 (this “</w:t>
      </w:r>
      <w:r>
        <w:rPr>
          <w:rFonts w:ascii="Times New Roman" w:cs="Times New Roman" w:eastAsia="Times New Roman" w:hAnsi="Times New Roman"/>
          <w:sz w:val="18"/>
          <w:szCs w:val="18"/>
          <w:u w:val="single" w:color="auto"/>
          <w:color w:val="000000"/>
        </w:rPr>
        <w:t>Agreement</w:t>
      </w:r>
      <w:r>
        <w:rPr>
          <w:rFonts w:ascii="Times New Roman" w:cs="Times New Roman" w:eastAsia="Times New Roman" w:hAnsi="Times New Roman"/>
          <w:sz w:val="18"/>
          <w:szCs w:val="18"/>
          <w:color w:val="000000"/>
        </w:rPr>
        <w: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-1094105</wp:posOffset>
            </wp:positionV>
            <wp:extent cx="3497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975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-956945</wp:posOffset>
            </wp:positionV>
            <wp:extent cx="10026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-956945</wp:posOffset>
            </wp:positionV>
            <wp:extent cx="5575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-819785</wp:posOffset>
            </wp:positionV>
            <wp:extent cx="21856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85670" cy="825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-819785</wp:posOffset>
            </wp:positionV>
            <wp:extent cx="14319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31925" cy="8255"/>
                    </a:xfrm>
                    <a:prstGeom prst="rect">
                      <a:avLst/>
                    </a:prstGeom>
                    <a:noFill/>
                  </pic:spPr>
                </pic:pic>
              </a:graphicData>
            </a:graphic>
          </wp:anchor>
        </w:drawing>
        <w:drawing>
          <wp:anchor simplePos="0" relativeHeight="251657728" behindDoc="1" locked="0" layoutInCell="0" allowOverlap="1">
            <wp:simplePos x="0" y="0"/>
            <wp:positionH relativeFrom="column">
              <wp:posOffset>2903220</wp:posOffset>
            </wp:positionH>
            <wp:positionV relativeFrom="paragraph">
              <wp:posOffset>-682625</wp:posOffset>
            </wp:positionV>
            <wp:extent cx="40119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119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26403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5466715</wp:posOffset>
            </wp:positionH>
            <wp:positionV relativeFrom="paragraph">
              <wp:posOffset>-408305</wp:posOffset>
            </wp:positionV>
            <wp:extent cx="13373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373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1448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Description of Securities</w:t>
      </w:r>
      <w:r>
        <w:rPr>
          <w:rFonts w:ascii="Times New Roman" w:cs="Times New Roman" w:eastAsia="Times New Roman" w:hAnsi="Times New Roman"/>
          <w:sz w:val="18"/>
          <w:szCs w:val="18"/>
          <w:color w:val="auto"/>
        </w:rPr>
        <w:t>. Each of the Company and the Operating Partnership agrees that, from time to time during the term of this Agreement, on the terms and subject to the conditions set forth herein, Securities having an aggregate offering price of up to $</w:t>
      </w:r>
      <w:r>
        <w:rPr>
          <w:rFonts w:ascii="Times New Roman" w:cs="Times New Roman" w:eastAsia="Times New Roman" w:hAnsi="Times New Roman"/>
          <w:sz w:val="18"/>
          <w:szCs w:val="18"/>
          <w:color w:val="FF0000"/>
          <w:strike w:val="1"/>
        </w:rPr>
        <w:t>500,000,000</w:t>
      </w:r>
      <w:r>
        <w:rPr>
          <w:rFonts w:ascii="Times New Roman" w:cs="Times New Roman" w:eastAsia="Times New Roman" w:hAnsi="Times New Roman"/>
          <w:sz w:val="18"/>
          <w:szCs w:val="18"/>
          <w:u w:val="single" w:color="auto"/>
          <w:color w:val="0000FF"/>
        </w:rPr>
        <w:t>687,879,828</w:t>
      </w:r>
      <w:r>
        <w:rPr>
          <w:rFonts w:ascii="Times New Roman" w:cs="Times New Roman" w:eastAsia="Times New Roman" w:hAnsi="Times New Roman"/>
          <w:sz w:val="18"/>
          <w:szCs w:val="18"/>
          <w:color w:val="auto"/>
        </w:rPr>
        <w:t xml:space="preserve"> (the “Maximum Amount”) may be offered and sold in the manner contemplated by this Agreement</w:t>
      </w:r>
      <w:r>
        <w:rPr>
          <w:rFonts w:ascii="Times New Roman" w:cs="Times New Roman" w:eastAsia="Times New Roman" w:hAnsi="Times New Roman"/>
          <w:sz w:val="18"/>
          <w:szCs w:val="18"/>
          <w:u w:val="single" w:color="auto"/>
          <w:color w:val="0000FF"/>
        </w:rPr>
        <w:t>, of which $500,000,000 remains available for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sale as of March 8, 2024</w:t>
      </w:r>
      <w:r>
        <w:rPr>
          <w:rFonts w:ascii="Times New Roman" w:cs="Times New Roman" w:eastAsia="Times New Roman" w:hAnsi="Times New Roman"/>
          <w:sz w:val="18"/>
          <w:szCs w:val="18"/>
          <w:color w:val="000000"/>
        </w:rPr>
        <w:t>. Notwithstanding anything to the contrary contained herein, the parties hereto agree that compliance with the limitations set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forth in this Section 1 regarding the aggregate offering price of the Securities offered and sold under this Agreement shall be the sole responsibility of the Company, and the Sales Agents or the Forward Sellers, as applicable, shall have no obligation in connection with such compliance. The offering and sale of the Securities by the Sales Agents and the Forward Sellers will be effected pursuant to the Registration Statement (as defined below) that was filed by the Company and became effective upon filing under Rule 462(e) of the Securities Act of 1933, as amended, and the rules and regulations thereunder (collectively, the “Securities Act”); although nothing in this Agreement shall be construed as requiring the Company to use the Registration Statement to issue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-1090295</wp:posOffset>
            </wp:positionV>
            <wp:extent cx="5740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-953135</wp:posOffset>
            </wp:positionV>
            <wp:extent cx="23577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577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-815975</wp:posOffset>
            </wp:positionV>
            <wp:extent cx="13201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174"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The Company and the Operating Partnership have filed, in accordance with the provisions of the Securities Act,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xml:space="preserve">”) an automatic shelf registration statement on Form S-3 (File No. </w:t>
      </w:r>
      <w:r>
        <w:rPr>
          <w:rFonts w:ascii="Times New Roman" w:cs="Times New Roman" w:eastAsia="Times New Roman" w:hAnsi="Times New Roman"/>
          <w:sz w:val="18"/>
          <w:szCs w:val="18"/>
          <w:color w:val="FF0000"/>
          <w:strike w:val="1"/>
        </w:rPr>
        <w:t>333-262016</w:t>
      </w:r>
      <w:r>
        <w:rPr>
          <w:rFonts w:ascii="Times New Roman" w:cs="Times New Roman" w:eastAsia="Times New Roman" w:hAnsi="Times New Roman"/>
          <w:sz w:val="18"/>
          <w:szCs w:val="18"/>
          <w:u w:val="single" w:color="auto"/>
          <w:color w:val="0000FF"/>
        </w:rPr>
        <w:t>333-277767</w:t>
      </w:r>
      <w:r>
        <w:rPr>
          <w:rFonts w:ascii="Times New Roman" w:cs="Times New Roman" w:eastAsia="Times New Roman" w:hAnsi="Times New Roman"/>
          <w:sz w:val="18"/>
          <w:szCs w:val="18"/>
          <w:color w:val="auto"/>
        </w:rPr>
        <w:t xml:space="preserve"> ), including a base prospectus, relating to certain securities, including the Securities, to be </w:t>
      </w:r>
      <w:r>
        <w:rPr>
          <w:rFonts w:ascii="Times New Roman" w:cs="Times New Roman" w:eastAsia="Times New Roman" w:hAnsi="Times New Roman"/>
          <w:sz w:val="18"/>
          <w:szCs w:val="18"/>
          <w:color w:val="FF0000"/>
          <w:strike w:val="1"/>
        </w:rPr>
        <w:t>issued</w:t>
      </w:r>
      <w:r>
        <w:rPr>
          <w:rFonts w:ascii="Times New Roman" w:cs="Times New Roman" w:eastAsia="Times New Roman" w:hAnsi="Times New Roman"/>
          <w:sz w:val="18"/>
          <w:szCs w:val="18"/>
          <w:u w:val="single" w:color="auto"/>
          <w:color w:val="0000FF"/>
        </w:rPr>
        <w:t>offered and sold</w:t>
      </w:r>
      <w:r>
        <w:rPr>
          <w:rFonts w:ascii="Times New Roman" w:cs="Times New Roman" w:eastAsia="Times New Roman" w:hAnsi="Times New Roman"/>
          <w:sz w:val="18"/>
          <w:szCs w:val="18"/>
          <w:color w:val="auto"/>
        </w:rPr>
        <w:t xml:space="preserve"> from time to time </w:t>
      </w:r>
      <w:r>
        <w:rPr>
          <w:rFonts w:ascii="Times New Roman" w:cs="Times New Roman" w:eastAsia="Times New Roman" w:hAnsi="Times New Roman"/>
          <w:sz w:val="18"/>
          <w:szCs w:val="18"/>
          <w:color w:val="FF0000"/>
        </w:rPr>
        <w:t>by the Company or the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Partnership</w:t>
      </w:r>
      <w:r>
        <w:rPr>
          <w:rFonts w:ascii="Times New Roman" w:cs="Times New Roman" w:eastAsia="Times New Roman" w:hAnsi="Times New Roman"/>
          <w:sz w:val="18"/>
          <w:szCs w:val="18"/>
          <w:color w:val="000000"/>
        </w:rPr>
        <w:t>, and which incorporates by reference documents that the Company and the Operating Partnership have filed or will file in accordance with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provisions of the Securities Exchange Act of 1934, as amended, and the rules and regulations thereunder (collectively, the “</w:t>
      </w:r>
      <w:r>
        <w:rPr>
          <w:rFonts w:ascii="Times New Roman" w:cs="Times New Roman" w:eastAsia="Times New Roman" w:hAnsi="Times New Roman"/>
          <w:sz w:val="18"/>
          <w:szCs w:val="18"/>
          <w:u w:val="single" w:color="auto"/>
          <w:color w:val="000000"/>
        </w:rPr>
        <w:t>Exchange Act</w:t>
      </w:r>
      <w:r>
        <w:rPr>
          <w:rFonts w:ascii="Times New Roman" w:cs="Times New Roman" w:eastAsia="Times New Roman" w:hAnsi="Times New Roman"/>
          <w:sz w:val="18"/>
          <w:szCs w:val="18"/>
          <w:color w:val="000000"/>
        </w:rPr>
        <w:t>”). The Company has prepared a prospectus supplement specifically relating to the Securities (the “</w:t>
      </w:r>
      <w:r>
        <w:rPr>
          <w:rFonts w:ascii="Times New Roman" w:cs="Times New Roman" w:eastAsia="Times New Roman" w:hAnsi="Times New Roman"/>
          <w:sz w:val="18"/>
          <w:szCs w:val="18"/>
          <w:u w:val="single" w:color="auto"/>
          <w:color w:val="000000"/>
        </w:rPr>
        <w:t>Prospectus Supplement</w:t>
      </w:r>
      <w:r>
        <w:rPr>
          <w:rFonts w:ascii="Times New Roman" w:cs="Times New Roman" w:eastAsia="Times New Roman" w:hAnsi="Times New Roman"/>
          <w:sz w:val="18"/>
          <w:szCs w:val="18"/>
          <w:color w:val="000000"/>
        </w:rPr>
        <w:t>”) to the base prospectus included as part of such registration statement. The Company will furnish to the Sales Agents or the Forward Sellers, as applicable, for use by such Sales Agents or such Forward Sellers, as applicable, copies of the prospectus included as part of such registration statement, as supplemented by the Prospectus Supplement, relating to the Securities. Except where the context otherwise requires, such registration statement, as amended when it became effective,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5063490</wp:posOffset>
            </wp:positionH>
            <wp:positionV relativeFrom="paragraph">
              <wp:posOffset>-1090295</wp:posOffset>
            </wp:positionV>
            <wp:extent cx="5575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-953135</wp:posOffset>
            </wp:positionV>
            <wp:extent cx="7454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-1038860</wp:posOffset>
            </wp:positionV>
            <wp:extent cx="15608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60830"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6" w:name="page27"/>
    <w:bookmarkEnd w:id="26"/>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(the “</w:t>
      </w:r>
      <w:r>
        <w:rPr>
          <w:rFonts w:ascii="Times New Roman" w:cs="Times New Roman" w:eastAsia="Times New Roman" w:hAnsi="Times New Roman"/>
          <w:sz w:val="18"/>
          <w:szCs w:val="18"/>
          <w:u w:val="single" w:color="auto"/>
          <w:color w:val="auto"/>
        </w:rPr>
        <w:t>Rule 430B Information</w:t>
      </w:r>
      <w:r>
        <w:rPr>
          <w:rFonts w:ascii="Times New Roman" w:cs="Times New Roman" w:eastAsia="Times New Roman" w:hAnsi="Times New Roman"/>
          <w:sz w:val="18"/>
          <w:szCs w:val="18"/>
          <w:color w:val="auto"/>
        </w:rPr>
        <w:t>”) of the Securities Act, is herein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at the time it originally became effective is herein called the “</w:t>
      </w:r>
      <w:r>
        <w:rPr>
          <w:rFonts w:ascii="Times New Roman" w:cs="Times New Roman" w:eastAsia="Times New Roman" w:hAnsi="Times New Roman"/>
          <w:sz w:val="18"/>
          <w:szCs w:val="18"/>
          <w:u w:val="single" w:color="auto"/>
          <w:color w:val="auto"/>
        </w:rPr>
        <w:t>Original Registration Statement</w:t>
      </w:r>
      <w:r>
        <w:rPr>
          <w:rFonts w:ascii="Times New Roman" w:cs="Times New Roman" w:eastAsia="Times New Roman" w:hAnsi="Times New Roman"/>
          <w:sz w:val="18"/>
          <w:szCs w:val="18"/>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and/or the Operating Partnership, as applicable, with the Commission pursuant to Rule 424(b) under the Securities Act is herein called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EDGAR.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5"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 that the Company wishes that Securities be offered and sold hereunder (each,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it will notify the applicable Sales Agent (in the case of an Issuance) or the applicable Forward Seller and the applicable Forward Purchaser (in the case of a Forward), in each case by email (or other method mutually agreed to in writing by the parties), of the same in a notice (a “</w:t>
      </w:r>
      <w:r>
        <w:rPr>
          <w:rFonts w:ascii="Times New Roman" w:cs="Times New Roman" w:eastAsia="Times New Roman" w:hAnsi="Times New Roman"/>
          <w:sz w:val="18"/>
          <w:szCs w:val="18"/>
          <w:u w:val="single" w:color="auto"/>
          <w:color w:val="auto"/>
        </w:rPr>
        <w:t>Placement Notice</w:t>
      </w:r>
      <w:r>
        <w:rPr>
          <w:rFonts w:ascii="Times New Roman" w:cs="Times New Roman" w:eastAsia="Times New Roman" w:hAnsi="Times New Roman"/>
          <w:sz w:val="18"/>
          <w:szCs w:val="18"/>
          <w:color w:val="auto"/>
        </w:rPr>
        <w:t xml:space="preserve">”)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Placement Notice shall originate from any of the individuals from the Company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the applicable Sales Agent or the applicable Forward Seller and the applicable Forward Purchaser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(any reference to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contained herein shall refer to such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as may be amended from time to time).</w:t>
      </w:r>
    </w:p>
    <w:p>
      <w:pPr>
        <w:spacing w:after="0" w:line="80"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Sales Agent or a Forward Seller and a Forward Purchaser, as applicable, wish to accept such proposed terms included in the Placement Notice (which they may decline to do for any reason in their sole discretion) or, following discussion with the Company, wish to accept amended terms, such Sales Agent or such Forward Seller and such Forward Purchaser, as applicable, will, prior to 4:30 p.m. (New York City Time) on the business day following the business day on which such Placement Notice is delivered to such Sales Agent or such Forward Seller and such Forward Purchaser, as applicable, issue to the Company a notice by email (or other method mutually agreed to in writing by the parties) addressed to all of the individuals from the Company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setting forth the terms that such Sales Agent or such Forward Seller and such Forward Purchaser, as applicable, are willing to accept. Where the terms provided in the Placement Notice are amended as provided for in the immediately preceding sentence, such terms will not be binding on the Company until the Company delivers to such Sales Agent or such Forward Seller and such Forward Purchaser, as applicable, an acceptance by email (or other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7" w:name="page28"/>
    <w:bookmarkEnd w:id="27"/>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method mutually agreed to in writing by the parties) of all of the terms of such Placement Notice, as amended (the “</w:t>
      </w: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xml:space="preserve">”), which email shall originate from any of the individuals from the Company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(with a copy to each of the other individuals from the Company listed on such exhibit) and shall be addressed to each of the individuals from such Sales Agent or such Forward Seller and such Forward Purchaser, as applicable,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The Placement Notice (as amended by the corresponding Acceptance, if applicable) shall be effective upon receipt by the Company of such Sales Agent’s or such Forward Seller’s and such Forward Purchaser’s, as applicable, acceptance of the terms of the Placement Notice or upon receipt by such Sales Agent or such Forward Seller and such Forward Purchaser, as applicable, of the Company’s Acceptance (where terms have been amended), as the case may be, unless and until (i) the entire amount of corresponding Securities has been sold, (ii) the Company terminates the Placement Notice by delivering a termination notice by email (or other method mutually agreed to in writing by the parties) expressly indicating that the Company desires to terminate the Placement Notice, which email shall originate from any of the individuals from the Company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(with a copy to each of the other individuals from the Company listed on such exhibit) and shall be addressed to each of the individuals from such Sales Agent or such Forward Seller and such Forward Purchaser, as applicable,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(iii) the Company issues a subsequent Placement Notice with parameters superseding those on the earlier dated Placement Notice, (iv) this Agreement has been terminated under the provisions of Section 13 or (v) any party shall have suspended the sale of the Securities in accordance with Section 4 below. The amount of any commission, discount or other compensation to be paid to the applicable Sales Agent or Forward Seller in connection with the sale of the Securities shall be calculated in accordance with the terms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unless otherwise agreed to by the applicable parties. With respect to a Placement involving a proposed Issuance, it is expressly acknowledged and agreed that neither the Company nor the Sales Agents will have any obligation whatsoever with respect to such Placement or any related Securities unless and until the Company delivers a Placement Notice to the applicable Sales Agent and either (i) such Sales Agent accepts the terms of such Placement Notice or (ii) where the terms of such Placement Notice are amended, the Company accepts such amended terms by means of an Acceptance pursuant to the terms set forth above, and then only upon the terms specified in the Placement Notice (as amended by the corresponding Acceptance, if applicable) and herein. With respect to a Placement involving a proposed Forward, it is expressly acknowledged and agreed that the Company, the Forward Sellers and the Forward Purchasers will have no obligation whatsoever with respect to such Placement or any related Securities unless and until the Company delivers a Placement Notice to the applicable Forward Seller and the applicable Forward Purchaser, the Company and such Forward Purchaser execute a Confirmation substantially in the form attached hereto as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related to such Placement and either (a) such Forward Seller and such Forward Purchaser accept the terms of such Placement Notice or</w:t>
      </w:r>
    </w:p>
    <w:p>
      <w:pPr>
        <w:spacing w:after="0" w:line="7" w:lineRule="exact"/>
        <w:rPr>
          <w:sz w:val="20"/>
          <w:szCs w:val="20"/>
          <w:color w:val="auto"/>
        </w:rPr>
      </w:pPr>
    </w:p>
    <w:p>
      <w:pPr>
        <w:ind w:left="4" w:right="20" w:hanging="4"/>
        <w:spacing w:after="0" w:line="253"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terms of such Placement Notice are amended, the Company accepts such amended terms by means of an Acceptance pursuant to the terms set forth above, and then only upon the terms specified in the Placement Notice (as amended by the corresponding Acceptance, if applicable), this Agreement and the Confirmation. In the event of a conflict between the terms of this Agreement and the terms of a Placement Notice (as amended by the corresponding Acceptance, if applicable), the terms of the Placement Notice (as amended by the corresponding Acceptance, if applicable) will control.</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28" w:name="page29"/>
    <w:bookmarkEnd w:id="28"/>
    <w:p>
      <w:pPr>
        <w:ind w:right="20" w:firstLine="436"/>
        <w:spacing w:after="0" w:line="254"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Placement Notice may be delivered hereunder if the Selling Period specified therein would overlap in whole or in part with any Selling Period specified in another Placement Notice (as amended by the corresponding Acceptance, if applicable) delivered hereunder unless the Securities to be sold under such other Placement Notice have all been sold; no Placement Notice may be delivered hereunder if any Selling Period specified therein would overlap in whole or in part with any Unwind Period (as defined in the applicable Confirmation) under any Confirmation entered into between the Company and a Forward Purchaser; and no Placement Notice specifying that it relates to a Forward may be delivered if such Placement Notice, together with all prior Placement Notices (as amended by any applicable Acceptance) delivered by the Company relating to Forwards hereunder, would result in the sum of the number of Confirmation Securities issued and delivered under all Confirmations that have completely settled, plus the sum of the Share Cap (as defined in such Confirmation) under each Confirmation then outstanding or to be entered into, exceeding 19.99% of the number of Common Shares outstanding as of the date of this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Sale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36"/>
        <w:spacing w:after="0" w:line="254"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Sections 2(b) and 6(a), each Sales Agent, for the period specified in the applicable Placement Notice (as amended by the corresponding Acceptance, if applicable) for an Issuance, will use its commercially reasonable efforts consistent with its normal trading and sales practices to sell the Issuance Securities up to the amount specified, and otherwise in accordance with the terms of such Placement Notice (as amended by the corresponding Acceptance, if applicable). The Sales Agent will provide written confirmation to the Company no later than the opening of the Trading Day (as defined below) immediately following the Trading Day on which it has made sales of Issuance Securities hereunder setting forth the number of Issuance Securities sold on such day, the compensation payable by the Company to such Sales Agent pursuant to Section 2(b) with respect to such sales, and the Net Proceeds (as defined below) payable to the Company, with an itemization of the deductions made by such Sales Agent (as set forth in Section 6(b)) from the gross proceeds that it receives from such sales.</w:t>
      </w:r>
    </w:p>
    <w:p>
      <w:pPr>
        <w:spacing w:after="0" w:line="83"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Sections 2(b) and 6(d) and the applicable Confirmation, each Forward Seller, for the period specified in the Placement Notice (as amended by the corresponding Acceptance, if applicable) for a Forward, will use its commercially reasonable efforts consistent with its normal trading and sales practices to sell Forward Hedge Securities up to the amount specified, and otherwise in accordance with the terms of such Placement Notice (as amended by the corresponding Acceptance, if applicable). The Forward Seller will provide written confirmation to the Company and the Forward Purchaser no later than the opening of the Trading Day immediately following the Trading Day on which it has made sales of Forward Hedge Securities hereunder setting forth the number of Forward Hedge Securities sold on such day, the Forward Hedge Selling Commission in respect of such Forward Hedge Securities and the corresponding Aggregate Sales Price.</w:t>
      </w:r>
    </w:p>
    <w:p>
      <w:pPr>
        <w:spacing w:after="0" w:line="80" w:lineRule="exact"/>
        <w:rPr>
          <w:rFonts w:ascii="Times New Roman" w:cs="Times New Roman" w:eastAsia="Times New Roman" w:hAnsi="Times New Roman"/>
          <w:sz w:val="18"/>
          <w:szCs w:val="18"/>
          <w:color w:val="auto"/>
        </w:rPr>
      </w:pPr>
    </w:p>
    <w:p>
      <w:pPr>
        <w:ind w:right="40" w:firstLine="436"/>
        <w:spacing w:after="0" w:line="266"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Placement Notice (as amended by the corresponding Acceptance, if applicable), the Securities may be offered and sold by any method permitted by law deemed to be an “at the market” offering as defined in Rule 415 of the Securities Act, including without limitation sales made directly on the New York Stock Exchange (the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on 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9" w:name="page30"/>
    <w:bookmarkEnd w:id="29"/>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existing trading market for the Common Shares or to or through a market maker. Subject to the terms of the Placement Notice (as amended by the corresponding Acceptance, if applicable), the Sales Agents and the Forward Sellers may also sell Securities by any other method permitted by law, including but not limited to sales in privately negotiated transactions. For the purposes hereof,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Common Shares are purchased and sold on the principal market on which the Common Shares are listed or quoted.</w:t>
      </w:r>
    </w:p>
    <w:p>
      <w:pPr>
        <w:spacing w:after="0" w:line="72" w:lineRule="exact"/>
        <w:rPr>
          <w:sz w:val="20"/>
          <w:szCs w:val="20"/>
          <w:color w:val="auto"/>
        </w:rPr>
      </w:pPr>
    </w:p>
    <w:p>
      <w:pPr>
        <w:ind w:right="100" w:firstLine="436"/>
        <w:spacing w:after="0" w:line="254"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Operating Partnership acknowledges and agrees that (i) there can be no assurance that a Sales Agent or a Forward Seller, as applicable, will be successful in selling Securities, and (ii) a Sales Agent or a Forward Seller, as applicable, will incur no liability or obligation to the Company, the Operating Partnership or any other person or entity if it does not sell Securities for any reason other than a failure by such Sales Agent or such Forward Seller, as applicable, to use its commercially reasonable efforts consistent with its normal trading and sales practices to sell such Securities as required under this Section 3. Each of the Company and the Operating Partnership agrees that any offer to sell, any solicitation of an offer to buy, or any sales of Securities pursuant to this Agreement shall be effected by or through only one Sales Agent or Forward Seller on any single given day, and neither the Company nor the Operating Partnership shall request that a Sales Agent and a Forward Seller sell Securities on the same day.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4"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and pursuant to the terms of each Confirmation, in the event that in the commercially reasonable judgment of a Forward Purchaser, it or its affiliate (i) is unable to hedge in a commercially reasonable manner its exposure under such Forward because insufficient Common Shares are made available for borrowing by securities lenders or (ii) would incur a cost to borrow (or to maintain a borrow of) Common Shares to hedge in a commercially reasonable manner its exposure under such Forward that is greater than a rate specified in such Confirmation, then such Forward Seller shall be obligated to use commercially reasonable efforts to sell only the aggregate number of Forward Hedge Securities that a Forward Purchaser or its affiliate is able to borrow at or below such cost. For the avoidance of doubt, the obligations of a Forward Seller hereunder with respect to the offer and sale of any Forward Hedge Securities in connection with a Forward shall be subject to the related Confirmation being effective and not having been terminated.</w:t>
      </w:r>
    </w:p>
    <w:p>
      <w:pPr>
        <w:spacing w:after="0" w:line="83" w:lineRule="exact"/>
        <w:rPr>
          <w:rFonts w:ascii="Times New Roman" w:cs="Times New Roman" w:eastAsia="Times New Roman" w:hAnsi="Times New Roman"/>
          <w:sz w:val="18"/>
          <w:szCs w:val="18"/>
          <w:color w:val="auto"/>
        </w:rPr>
      </w:pPr>
    </w:p>
    <w:p>
      <w:pPr>
        <w:ind w:right="100" w:firstLine="436"/>
        <w:spacing w:after="0" w:line="255"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 Sales Agent, a Forward Seller and a Forward Purchaser may, upon notice to the other applicable parties in writing (including by email correspondence to each of the individuals of the other party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suspend any future sale of Securities, under this Agreement. Each of the parties agrees that no such notice under this Section 4 shall be effective against the other applicable parties unless it is made to one of the individuals (or to each of the individuals, if notice is made by email correspondence) named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hereto, as such Exhibit may be amended from time to time, and (i) receipt is actually acknowledged, other than via auto-reply, by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30" w:name="page31"/>
    <w:bookmarkEnd w:id="30"/>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of the individuals to whom the notice is sent if made by email correspondence or (ii) notice is confirmed promptly by email correspondence to each of the individuals of the other applicable parties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if notice is made by telephone. Each party shall acknowledge any notice received pursuant to this Section 4 as promptly as possible.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160" w:firstLine="436"/>
        <w:spacing w:after="0" w:line="261"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by the Company and the Operating Partnership. </w:t>
      </w:r>
      <w:r>
        <w:rPr>
          <w:rFonts w:ascii="Times New Roman" w:cs="Times New Roman" w:eastAsia="Times New Roman" w:hAnsi="Times New Roman"/>
          <w:sz w:val="18"/>
          <w:szCs w:val="18"/>
          <w:color w:val="auto"/>
        </w:rPr>
        <w:t>Each of the Company and the Operating Partnership jointly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severally represents and warrants to the Sales Agents, the Forward Sellers and the Forward Purchasers as of the date hereof and as of each Representation Date (as defined below), as of each Applicable Time (as defined below) and as of each Settlement Date (as defined below), and agrees with the Sales Agents, the Forward Sellers and the Forward Purchasers as follows:</w:t>
      </w:r>
    </w:p>
    <w:p>
      <w:pPr>
        <w:spacing w:after="0" w:line="73" w:lineRule="exact"/>
        <w:rPr>
          <w:rFonts w:ascii="Times New Roman" w:cs="Times New Roman" w:eastAsia="Times New Roman" w:hAnsi="Times New Roman"/>
          <w:sz w:val="18"/>
          <w:szCs w:val="18"/>
          <w:color w:val="auto"/>
        </w:rPr>
      </w:pPr>
    </w:p>
    <w:p>
      <w:pPr>
        <w:ind w:left="440" w:right="80" w:firstLine="419"/>
        <w:spacing w:after="0" w:line="252" w:lineRule="auto"/>
        <w:tabs>
          <w:tab w:leader="none" w:pos="111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as a Well-Known Seasoned Issuer; Registration Statement Effective; Conform to Securities Act; No Misleading Statements; Conformity with EDGAR filings</w:t>
      </w:r>
      <w:r>
        <w:rPr>
          <w:rFonts w:ascii="Times New Roman" w:cs="Times New Roman" w:eastAsia="Times New Roman" w:hAnsi="Times New Roman"/>
          <w:sz w:val="18"/>
          <w:szCs w:val="18"/>
          <w:color w:val="auto"/>
        </w:rPr>
        <w:t>. (A) At the time of filing the Original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of the Securities Act) made any offer relating to the Securities in reliance on the exemption of Rule 163 of the Securities Act, (D) at the earliest time that the Company or another offering participant made a bona fide offer (within the meaning of Rule 164(h)(2) under the Securities Act) of the Securities and (E) at the date hereof, the Company was, is and will be a “well-known seasoned issuer” as defined in Rule 405 under the Securities Act,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Securities Act objecting to the use of the automatic shelf registration statement form. The Company has paid, or if the Prospectus Supplement has not yet been filed with the Commission will pay, the required Commission filing fees relating to the Securities within the time required by</w:t>
      </w:r>
    </w:p>
    <w:p>
      <w:pPr>
        <w:spacing w:after="0" w:line="1" w:lineRule="exact"/>
        <w:rPr>
          <w:rFonts w:ascii="Times New Roman" w:cs="Times New Roman" w:eastAsia="Times New Roman" w:hAnsi="Times New Roman"/>
          <w:sz w:val="18"/>
          <w:szCs w:val="18"/>
          <w:color w:val="auto"/>
        </w:rPr>
      </w:pPr>
    </w:p>
    <w:p>
      <w:pPr>
        <w:ind w:left="440" w:right="2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78" w:lineRule="exact"/>
        <w:rPr>
          <w:sz w:val="20"/>
          <w:szCs w:val="20"/>
          <w:color w:val="auto"/>
        </w:rPr>
      </w:pPr>
    </w:p>
    <w:p>
      <w:pPr>
        <w:ind w:left="440" w:firstLine="423"/>
        <w:spacing w:after="0" w:line="258" w:lineRule="auto"/>
        <w:rPr>
          <w:sz w:val="20"/>
          <w:szCs w:val="20"/>
          <w:color w:val="auto"/>
        </w:rPr>
      </w:pPr>
      <w:r>
        <w:rPr>
          <w:rFonts w:ascii="Times New Roman" w:cs="Times New Roman" w:eastAsia="Times New Roman" w:hAnsi="Times New Roman"/>
          <w:sz w:val="18"/>
          <w:szCs w:val="18"/>
          <w:color w:val="auto"/>
        </w:rPr>
        <w:t xml:space="preserve">The Original Registration Statement became effective upon filing under Rule 462(e) on </w:t>
      </w:r>
      <w:r>
        <w:rPr>
          <w:rFonts w:ascii="Times New Roman" w:cs="Times New Roman" w:eastAsia="Times New Roman" w:hAnsi="Times New Roman"/>
          <w:sz w:val="18"/>
          <w:szCs w:val="18"/>
          <w:color w:val="FF0000"/>
          <w:strike w:val="1"/>
        </w:rPr>
        <w:t>January 5</w:t>
      </w:r>
      <w:r>
        <w:rPr>
          <w:rFonts w:ascii="Times New Roman" w:cs="Times New Roman" w:eastAsia="Times New Roman" w:hAnsi="Times New Roman"/>
          <w:sz w:val="18"/>
          <w:szCs w:val="18"/>
          <w:u w:val="single" w:color="auto"/>
          <w:color w:val="0000FF"/>
        </w:rPr>
        <w:t>March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2022</w:t>
      </w:r>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auto"/>
        </w:rPr>
        <w:t xml:space="preserve"> , and any post-effective amendment thereto also became effective upon filing under Rule 462(e). No stop order suspending the effectiveness of the Registration Statement has been issued under the Securities Act and no proceedings for that purpose have been instituted or are pending or, to the knowledge of each of the Company and the Operating Partnership, are contemplated by the Commission, and any request on the part of the Commission for additional information has been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-548640</wp:posOffset>
            </wp:positionV>
            <wp:extent cx="3860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-548640</wp:posOffset>
            </wp:positionV>
            <wp:extent cx="2317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1" w:name="page32"/>
    <w:bookmarkEnd w:id="31"/>
    <w:p>
      <w:pPr>
        <w:ind w:firstLine="42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respective times the Original Registration Statement and any amendment thereto became effective, at each deemed effective date with respect to a Sales Agent or a Forward Seller and a Forward Purchaser and the Securities pursuant to Rule 430B(f)(2) under the Securities Act, and at each relevant Settlement Date, the Registration Statement complied, complies and will comply in all material respects with the requirements of the Securities Act, and did not and will not contain an untrue statement of a material fact or omit to state a material fact required to be stated therein or necessary to make the statements therein not misleading.</w:t>
      </w:r>
    </w:p>
    <w:p>
      <w:pPr>
        <w:spacing w:after="0" w:line="75"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The Prospectus and each amendment or supplement thereto, if any, at the time the Prospectus or any such amendment or supplement is issued and at each relevant Settlement Date, complied, complies and will comply, in all material respects with the requirements of the Securities Act, and neither the Prospectus nor any amendments or supplements thereto, at the time the Prospectus or any such amendment or supplement was issued, or at any Settlement Date,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75" w:lineRule="exact"/>
        <w:rPr>
          <w:sz w:val="20"/>
          <w:szCs w:val="20"/>
          <w:color w:val="auto"/>
        </w:rPr>
      </w:pPr>
    </w:p>
    <w:p>
      <w:pPr>
        <w:ind w:right="500" w:firstLine="423"/>
        <w:spacing w:after="0" w:line="258" w:lineRule="auto"/>
        <w:rPr>
          <w:sz w:val="20"/>
          <w:szCs w:val="20"/>
          <w:color w:val="auto"/>
        </w:rPr>
      </w:pPr>
      <w:r>
        <w:rPr>
          <w:rFonts w:ascii="Times New Roman" w:cs="Times New Roman" w:eastAsia="Times New Roman" w:hAnsi="Times New Roman"/>
          <w:sz w:val="18"/>
          <w:szCs w:val="18"/>
          <w:color w:val="auto"/>
        </w:rPr>
        <w:t>Each preliminary prospectus (including the base prospectus or prospectuses filed as part of the Original Registration Statement or any amendment thereto) complied when so filed in all material respects with the Securities Act. Each preliminary prospectus and the Prospectus delivered to the Sales Agents, the Forward Sellers and the Forward Purchasers for use in connection with the offering of any Securities was identical to the electronically transmitted copies thereof filed with the Commission pursuant to EDGAR, except to the extent permitted by Regulation S-T.</w:t>
      </w:r>
    </w:p>
    <w:p>
      <w:pPr>
        <w:spacing w:after="0" w:line="75" w:lineRule="exact"/>
        <w:rPr>
          <w:sz w:val="20"/>
          <w:szCs w:val="20"/>
          <w:color w:val="auto"/>
        </w:rPr>
      </w:pPr>
    </w:p>
    <w:p>
      <w:pPr>
        <w:ind w:right="20" w:firstLine="423"/>
        <w:spacing w:after="0" w:line="255" w:lineRule="auto"/>
        <w:rPr>
          <w:sz w:val="20"/>
          <w:szCs w:val="20"/>
          <w:color w:val="auto"/>
        </w:rPr>
      </w:pPr>
      <w:r>
        <w:rPr>
          <w:rFonts w:ascii="Times New Roman" w:cs="Times New Roman" w:eastAsia="Times New Roman" w:hAnsi="Times New Roman"/>
          <w:sz w:val="18"/>
          <w:szCs w:val="18"/>
          <w:color w:val="auto"/>
        </w:rPr>
        <w:t>Each Issuer Free Writing Prospectus, as of its issue date and as of the relevant Applicable Time and Settlement Date, or until any earlier date that the Company notified or notifies the Sales Agents or the Forward Sellers and the Forward Purchasers as described in Section 7(d), did not, does not and will not (i)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or (ii) when taken together with the Prospectus, include an untrue statement of any material fact or omit to state a material fact necessary in order to make the statements therein, in the light of the circumstances under which they were made, not misleading.</w:t>
      </w:r>
    </w:p>
    <w:p>
      <w:pPr>
        <w:spacing w:after="0" w:line="81" w:lineRule="exact"/>
        <w:rPr>
          <w:sz w:val="20"/>
          <w:szCs w:val="20"/>
          <w:color w:val="auto"/>
        </w:rPr>
      </w:pPr>
    </w:p>
    <w:p>
      <w:pPr>
        <w:jc w:val="both"/>
        <w:ind w:right="200" w:firstLine="423"/>
        <w:spacing w:after="0" w:line="261" w:lineRule="auto"/>
        <w:rPr>
          <w:sz w:val="20"/>
          <w:szCs w:val="20"/>
          <w:color w:val="auto"/>
        </w:rPr>
      </w:pPr>
      <w:r>
        <w:rPr>
          <w:rFonts w:ascii="Times New Roman" w:cs="Times New Roman" w:eastAsia="Times New Roman" w:hAnsi="Times New Roman"/>
          <w:sz w:val="18"/>
          <w:szCs w:val="18"/>
          <w:color w:val="auto"/>
        </w:rPr>
        <w:t>The representations and warranties in this Section 5(a)(1) shall not apply to statements in or omissions from the Registration Statement or any post-effective amendment thereto, the Prospectus or any amendments or supplements thereto or any Issuer Free Writing Prospectus made in reliance upon and in conformity with information furnished to the Company in writing by the Sales Agents or the Forward Sellers expressly for use therein.</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32" w:name="page33"/>
    <w:bookmarkEnd w:id="32"/>
    <w:p>
      <w:pPr>
        <w:ind w:right="40" w:firstLine="419"/>
        <w:spacing w:after="0" w:line="289" w:lineRule="auto"/>
        <w:tabs>
          <w:tab w:leader="none" w:pos="67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Incorporated Documents</w:t>
      </w:r>
      <w:r>
        <w:rPr>
          <w:rFonts w:ascii="Times New Roman" w:cs="Times New Roman" w:eastAsia="Times New Roman" w:hAnsi="Times New Roman"/>
          <w:sz w:val="17"/>
          <w:szCs w:val="17"/>
          <w:color w:val="auto"/>
        </w:rPr>
        <w:t>. The documents incorporated by reference in the Registration Statement and the Prospectus, when they became effective or at the time they were or hereafter are filed with the Commission, as the case may be, conformed or will conform in all material respects to the requirements of the Securities Act or the Exchange Act, as applicable, and the rules and regulations of the Commission thereunder.</w:t>
      </w:r>
    </w:p>
    <w:p>
      <w:pPr>
        <w:spacing w:after="0" w:line="49" w:lineRule="exact"/>
        <w:rPr>
          <w:rFonts w:ascii="Times New Roman" w:cs="Times New Roman" w:eastAsia="Times New Roman" w:hAnsi="Times New Roman"/>
          <w:sz w:val="17"/>
          <w:szCs w:val="17"/>
          <w:color w:val="auto"/>
        </w:rPr>
      </w:pPr>
    </w:p>
    <w:p>
      <w:pPr>
        <w:ind w:firstLine="419"/>
        <w:spacing w:after="0" w:line="251" w:lineRule="auto"/>
        <w:tabs>
          <w:tab w:leader="none" w:pos="6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 the Operating Partnership and the Significant Subsidiaries</w:t>
      </w:r>
      <w:r>
        <w:rPr>
          <w:rFonts w:ascii="Times New Roman" w:cs="Times New Roman" w:eastAsia="Times New Roman" w:hAnsi="Times New Roman"/>
          <w:sz w:val="18"/>
          <w:szCs w:val="18"/>
          <w:color w:val="auto"/>
        </w:rPr>
        <w:t>. 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and the Prospectus; the Operating Partnership has been duly formed and is validly existing as a limited partnership in good standing under the laws of the State of Delaware and has full power and authority necessary to own or lease, as the case may be, its properties and to operate its properties and conduct its business as described in the Registration Statement and the Prospectus; each “significant subsidiary” (as such term is defined in Rule 1-02 of Regulation S-X) of the Company other than the Operating Partnership (each, a “Subsidiary” and collectively, the “Subsidiaries”) has been duly organized and is validly existing as a corporation, partnership, limited liability company, trust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and the Prospectus, except where the failure to be in good standing would not have a material adverse effect on the condition, financial or otherwise, or on the earnings, business affairs or business prospects of the Company, the Operating Partnership and their respective subsidiaries, considered as one enterprise; all of the equity interests in the Subsidiaries are owned directly or indirectly by the Company or the Operating Partnership,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hereof by the current and former holders of partnership or other interests in certain of the “DownREIT” and other subsidiaries, which may result in the issuance of Common Shares of the Company; and the Company, the Operating Partnership and the Subsidiaries are duly qualified to transact business in all jurisdictions in which the Company, the Operating Partnership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the Operating Partnership and their respective subsidiaries, considered as one enterprise.</w:t>
      </w:r>
    </w:p>
    <w:p>
      <w:pPr>
        <w:spacing w:after="0" w:line="13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33" w:name="page34"/>
    <w:bookmarkEnd w:id="33"/>
    <w:p>
      <w:pPr>
        <w:ind w:firstLine="419"/>
        <w:spacing w:after="0" w:line="252"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Material Adverse Change</w:t>
      </w:r>
      <w:r>
        <w:rPr>
          <w:rFonts w:ascii="Times New Roman" w:cs="Times New Roman" w:eastAsia="Times New Roman" w:hAnsi="Times New Roman"/>
          <w:sz w:val="18"/>
          <w:szCs w:val="18"/>
          <w:color w:val="auto"/>
        </w:rPr>
        <w:t xml:space="preserve">. The Company, the Operating Partnership, and their respective subsidiaries, considered as one enterprise, have not, since the date of the latest audited financial statements included or incorporated by reference in the Registration Statement and the Prospectus, sustained any material loss or interference with their business from fire, explosion, flood or other calamity, whether or not covered by insurance, or from any labor dispute or court or governmental action, order or decree, otherwise than as set forth or contemplated in the Registration Statement and the Prospectus; and, since the date as of which information is given in the Prospectus, there has not been any change in the authorized, issued or outstanding capital shares of the Company (except for subsequent issuances, if any, of Common Shares pursuant to (i) the terms of this Agreement, (ii) conversion of any of the Company’s Preferred Shares outstanding as of the date hereof or </w:t>
      </w:r>
      <w:r>
        <w:rPr>
          <w:rFonts w:ascii="Times New Roman" w:cs="Times New Roman" w:eastAsia="Times New Roman" w:hAnsi="Times New Roman"/>
          <w:sz w:val="18"/>
          <w:szCs w:val="18"/>
          <w:u w:val="single" w:color="auto"/>
          <w:color w:val="0000FF"/>
        </w:rPr>
        <w:t>exercise of the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option under any of the Operating Partnership’s exchangeable notes outstanding as of the date hereof, or the conversion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Preferred Shares</w:t>
      </w:r>
      <w:r>
        <w:rPr>
          <w:rFonts w:ascii="Times New Roman" w:cs="Times New Roman" w:eastAsia="Times New Roman" w:hAnsi="Times New Roman"/>
          <w:sz w:val="18"/>
          <w:szCs w:val="18"/>
          <w:u w:val="single" w:color="auto"/>
          <w:color w:val="0000FF"/>
        </w:rPr>
        <w:t>,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exercise of an exchange option under exchangeable notes, in each case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issued subsequent to the date hereof and disclosed in a report filed pursuant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Exchange Act (excluding Current Reports of Form 8-K responsive to Item 2.02 or Item 7.01 of such form), (iii) the Company’s Dividend Reinvestment and Share Purchase Plan as in effect on the date hereof or established subsequent to the date hereof and disclosed in a report filed pursuant to the Exchange Act (excluding Current Reports of Form 8-K responsive to Item 2.02 or Item 7.01 of such form), (iv) any of the Company’s employee or trustee benefits plans or employee inducement awards, including upon exercise of share options granted pursuant thereto, as such plans are in effect on the date hereof or consistent with past practice, (v) the exercise of contractual rights by the holders of partnership or other interests in the Operating Partnership and in certain of the “DownREIT” and other subsidiaries, which issuances are either (A) disclosed in the Registration Statement and the Prospectus or (B) not material, or (vi) any non-material acquisition, merger or purchase of assets), any material increase in the consolidated long-term debt of the Company, any material adverse change, any dividend or distribution of any kind declared, paid or made by the Company on any class of its capital stock or by the Operating Partnership with respect to its OP Units (other than ordinary-course dividends or distributions) or any development involving a prospective material adverse change, in or affecting the general affairs, management, financial position, shareholders’ equity or results of operations of the Company, the Operating Partnership, and their subsidiaries taken as a whole, in each case otherwise than as set forth or contemplated in the Prospectus.</w:t>
      </w:r>
    </w:p>
    <w:p>
      <w:pPr>
        <w:spacing w:after="0" w:line="80" w:lineRule="exact"/>
        <w:rPr>
          <w:rFonts w:ascii="Times New Roman" w:cs="Times New Roman" w:eastAsia="Times New Roman" w:hAnsi="Times New Roman"/>
          <w:sz w:val="18"/>
          <w:szCs w:val="18"/>
          <w:color w:val="auto"/>
        </w:rPr>
      </w:pPr>
    </w:p>
    <w:p>
      <w:pPr>
        <w:ind w:right="140" w:firstLine="419"/>
        <w:spacing w:after="0" w:line="258"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 has an authorized capitalization as set forth in the Company’s consolidated balance sheet as of the latest financial statements, audited or unaudited, as applicable, included or incorporated by reference in the Registration Statement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5444490</wp:posOffset>
            </wp:positionH>
            <wp:positionV relativeFrom="paragraph">
              <wp:posOffset>-2674620</wp:posOffset>
            </wp:positionV>
            <wp:extent cx="11226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-2537460</wp:posOffset>
            </wp:positionV>
            <wp:extent cx="65233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-2400300</wp:posOffset>
            </wp:positionV>
            <wp:extent cx="32315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9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34" w:name="page35"/>
    <w:bookmarkEnd w:id="34"/>
    <w:p>
      <w:pPr>
        <w:ind w:right="80" w:firstLine="419"/>
        <w:spacing w:after="0" w:line="261" w:lineRule="auto"/>
        <w:tabs>
          <w:tab w:leader="none" w:pos="6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Authorization of Agreement and Confirmations</w:t>
      </w:r>
      <w:r>
        <w:rPr>
          <w:rFonts w:ascii="Times New Roman" w:cs="Times New Roman" w:eastAsia="Times New Roman" w:hAnsi="Times New Roman"/>
          <w:sz w:val="18"/>
          <w:szCs w:val="18"/>
          <w:color w:val="auto"/>
        </w:rPr>
        <w:t>. Each of the Company and the Operating Partnership has full right, power and authority under its organizational documents to enter into this Agreement and any Confirmation, as applicable. This Agreement has been duly and validly authorized, executed and delivered by the Company and the Operating Partnership, as applicable. Prior to the sale of any Forward Hedge Securities, the related Confirmation will be duly authorized, executed and delivered by the Company.</w:t>
      </w:r>
    </w:p>
    <w:p>
      <w:pPr>
        <w:spacing w:after="0" w:line="71" w:lineRule="exact"/>
        <w:rPr>
          <w:rFonts w:ascii="Times New Roman" w:cs="Times New Roman" w:eastAsia="Times New Roman" w:hAnsi="Times New Roman"/>
          <w:sz w:val="18"/>
          <w:szCs w:val="18"/>
          <w:color w:val="auto"/>
        </w:rPr>
      </w:pPr>
    </w:p>
    <w:p>
      <w:pPr>
        <w:ind w:right="40" w:firstLine="419"/>
        <w:spacing w:after="0" w:line="255" w:lineRule="auto"/>
        <w:tabs>
          <w:tab w:leader="none" w:pos="6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the Limited Partnership Agreement</w:t>
      </w:r>
      <w:r>
        <w:rPr>
          <w:rFonts w:ascii="Times New Roman" w:cs="Times New Roman" w:eastAsia="Times New Roman" w:hAnsi="Times New Roman"/>
          <w:sz w:val="18"/>
          <w:szCs w:val="18"/>
          <w:color w:val="auto"/>
        </w:rPr>
        <w:t>. The Agreement of Limited Partnership of the Operating Partnership, as the same has been or may be amended and/or restated from time to time (the “Operating Partnership Agreement”), has been duly and validly authorized, executed and delivered by the Company and the General Partner; and is a valid and binding agreement of each of the Company and the Operating Partnership, respectively, enforceable against the Company and the Operating Partnership in accordance with its terms, except to the extent that such enforceability may be limited by applicable bankruptcy, insolvency, reorganization, or other similar laws relating to creditors’ rights and general principles of equity and except as rights to indemnity and contribution thereunder may be limited by applicable law or policies underlying such law.</w:t>
      </w:r>
    </w:p>
    <w:p>
      <w:pPr>
        <w:spacing w:after="0" w:line="80"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Securities</w:t>
      </w:r>
      <w:r>
        <w:rPr>
          <w:rFonts w:ascii="Times New Roman" w:cs="Times New Roman" w:eastAsia="Times New Roman" w:hAnsi="Times New Roman"/>
          <w:sz w:val="18"/>
          <w:szCs w:val="18"/>
          <w:color w:val="auto"/>
        </w:rPr>
        <w:t>. The Securities have been duly and validly authorized by the Company, and, when such Securities are issued, delivered and paid for pursuant to this Agreement, such Securities will be duly and validly issued and fully paid and non-assessable; and the issuance and sale of the Securities is not subject to any preemptive, co-sale right, right of first refusal or other similar rights arising under applicable law, under the Charter or bylaws or similar organizational documents of the Company or under any agreement to which the Company, the Operating Partnership or any Subsidiary is a party or otherwise. The Securities conform in all material respects to all statements related thereto contained in the Registration Statement and the Prospectus as amended or supplemented with respect to such Securities and such description conforms in all material respects to the rights set forth in the instruments defining the same; except as set forth under the caption “Description of Securities that may be Offered by Federal Realty Investment Trust—Certain Provisions of Maryland Law and our Declaration of Trust and Bylaws—Shareholder Liability and Indemnification” in the Prospectus, no holder of the Securities is or will be subject to personal liability by reason of being such a holder.</w:t>
      </w:r>
    </w:p>
    <w:p>
      <w:pPr>
        <w:spacing w:after="0" w:line="86" w:lineRule="exact"/>
        <w:rPr>
          <w:rFonts w:ascii="Times New Roman" w:cs="Times New Roman" w:eastAsia="Times New Roman" w:hAnsi="Times New Roman"/>
          <w:sz w:val="18"/>
          <w:szCs w:val="18"/>
          <w:color w:val="auto"/>
        </w:rPr>
      </w:pPr>
    </w:p>
    <w:p>
      <w:pPr>
        <w:ind w:right="40" w:firstLine="419"/>
        <w:spacing w:after="0" w:line="256" w:lineRule="auto"/>
        <w:tabs>
          <w:tab w:leader="none" w:pos="6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Confirmation Securities</w:t>
      </w:r>
      <w:r>
        <w:rPr>
          <w:rFonts w:ascii="Times New Roman" w:cs="Times New Roman" w:eastAsia="Times New Roman" w:hAnsi="Times New Roman"/>
          <w:sz w:val="18"/>
          <w:szCs w:val="18"/>
          <w:color w:val="auto"/>
        </w:rPr>
        <w:t>. A number of Common Shares equal to the sum of the Share Cap of each outstanding Confirmation has been duly authorized, has been reserved for issuance for the purpose of settlement of such Confirmation and will be kept available at all times, free from preemptive or similar rights and free from any lien, charge, claim or other encumbrance until settlement of such Confirmation. With respect to each Confirmation, when issued, sold and/or delivered by the Company to the applicable Forward Purchaser pursuant thereto, against payment of any consideration required to be paid by such Forward Purchaser, the Confirmation Securities will be duly and validly issued and fully paid and non-assessable; and the issuance, sale</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0"/>
          </w:cols>
          <w:pgMar w:left="880" w:top="270" w:right="479" w:bottom="1440" w:gutter="0" w:footer="0" w:header="0"/>
        </w:sectPr>
      </w:pPr>
    </w:p>
    <w:bookmarkStart w:id="35" w:name="page36"/>
    <w:bookmarkEnd w:id="35"/>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and/or delivery of such Confirmation Securities will not be subject to any preemptive, co-sale right, right of first refusal or other similar rights arising under applicable law, under the Charter or bylaws or similar organizational documents of the Company or under any agreement to which the Company, the Operating Partnership or any Subsidiary is a party or otherwise. The Confirmation Securities, when issued, sold and/or delivered, will conform in all material respects to all statements related thereto contained in the Registration Statement and the Prospectus as amended or supplemented with respect to such Confirmation Securities, and such description conforms in all material respects to the rights set forth in the instruments defining the same; except as set forth under the caption “Description of Securities that may be Offered by Federal Realty Investment Trust—Certain Provisions of Maryland Law and our Declaration of Trust and Bylaws—Shareholder Liability and Indemnification” in the Prospectus, no holder of the Confirmation Securities will be subject to personal liability by reason of being such a holder.</w:t>
      </w:r>
    </w:p>
    <w:p>
      <w:pPr>
        <w:spacing w:after="0" w:line="84" w:lineRule="exact"/>
        <w:rPr>
          <w:sz w:val="20"/>
          <w:szCs w:val="20"/>
          <w:color w:val="auto"/>
        </w:rPr>
      </w:pPr>
    </w:p>
    <w:p>
      <w:pPr>
        <w:ind w:right="220" w:firstLine="419"/>
        <w:spacing w:after="0" w:line="256" w:lineRule="auto"/>
        <w:tabs>
          <w:tab w:leader="none" w:pos="7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of Units</w:t>
      </w:r>
      <w:r>
        <w:rPr>
          <w:rFonts w:ascii="Times New Roman" w:cs="Times New Roman" w:eastAsia="Times New Roman" w:hAnsi="Times New Roman"/>
          <w:sz w:val="18"/>
          <w:szCs w:val="18"/>
          <w:color w:val="auto"/>
        </w:rPr>
        <w:t>. The outstanding common units of limited partnership in the Operating Partnership (“</w:t>
      </w:r>
      <w:r>
        <w:rPr>
          <w:rFonts w:ascii="Times New Roman" w:cs="Times New Roman" w:eastAsia="Times New Roman" w:hAnsi="Times New Roman"/>
          <w:sz w:val="18"/>
          <w:szCs w:val="18"/>
          <w:u w:val="single" w:color="auto"/>
          <w:color w:val="auto"/>
        </w:rPr>
        <w:t>OP Units</w:t>
      </w:r>
      <w:r>
        <w:rPr>
          <w:rFonts w:ascii="Times New Roman" w:cs="Times New Roman" w:eastAsia="Times New Roman" w:hAnsi="Times New Roman"/>
          <w:sz w:val="18"/>
          <w:szCs w:val="18"/>
          <w:color w:val="auto"/>
        </w:rPr>
        <w:t>”) are validly issued. The OP Units have been offered, issued and sold in compliance with all applicable laws (including, without limitation, federal and state securities laws) in all material respects and conform to the description thereof contained in the Registration Statement and the Prospectus in all material respects. None of the OP Units were issued in violation of the preemptive or other similar rights of any securityholder of the Operating Partnership. Except as disclosed in the Registration Statement and the Prospectus, there are no outstanding options, rights (preemptive or otherwise) or warrants to purchase or subscribe for OP Units or other securities of the Operating Partnership.</w:t>
      </w:r>
    </w:p>
    <w:p>
      <w:pPr>
        <w:spacing w:after="0" w:line="79" w:lineRule="exact"/>
        <w:rPr>
          <w:rFonts w:ascii="Times New Roman" w:cs="Times New Roman" w:eastAsia="Times New Roman" w:hAnsi="Times New Roman"/>
          <w:sz w:val="18"/>
          <w:szCs w:val="18"/>
          <w:color w:val="auto"/>
        </w:rPr>
      </w:pPr>
    </w:p>
    <w:p>
      <w:pPr>
        <w:ind w:firstLine="419"/>
        <w:spacing w:after="0" w:line="253" w:lineRule="auto"/>
        <w:tabs>
          <w:tab w:leader="none" w:pos="76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General Partner and the Operating Partnership</w:t>
      </w:r>
      <w:r>
        <w:rPr>
          <w:rFonts w:ascii="Times New Roman" w:cs="Times New Roman" w:eastAsia="Times New Roman" w:hAnsi="Times New Roman"/>
          <w:sz w:val="18"/>
          <w:szCs w:val="18"/>
          <w:color w:val="auto"/>
        </w:rPr>
        <w:t>. Federal Realty GP LLC (the “</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has been duly organized and is validly existing and in good standing as a limited liability company under the laws of the State of Delaware. The Company is the sole member of the General Partner, and the General Partner is the sole general partner of the Operating Partnership. Each of the Company and the General Partner holds its partnership interests in the Operating Partnership free and clear of all pledges, liens, encumbrances, claims, security interests and defects, except as disclosed in the Registration Statement and the Prospectus or where such restrictions would not have a material adverse effect on the condition, financial or otherwise, or on the earnings, business affairs or business prospects of the Company, the Operating Partnership and their subsidiaries, considered as one enterprise. The aggregate percentage interests of the General Partner and the limited partners in the Operating Partnership are as set forth in the Registration Statement and the Prospectus in all material respects. Except as disclosed in the Registration Statement and the Prospectus, and except for immaterial issuances subsequent to the dates as of which information is given in the Registration Statement and the Prospectus, no units or other securities of the Operating Partnership are outstanding that are exchangeable or exercisable for or convertible into securities of the Company. The General Partner has the limited liability company power and authority, as the sole general partner of the Operating Partnership, to cause the Operating Partnership to enter into and perform the Operating Partnership’s obligations under this Agreement.</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36" w:name="page37"/>
    <w:bookmarkEnd w:id="36"/>
    <w:p>
      <w:pPr>
        <w:ind w:right="200" w:firstLine="419"/>
        <w:spacing w:after="0" w:line="258" w:lineRule="auto"/>
        <w:tabs>
          <w:tab w:leader="none" w:pos="7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Units to be Issued</w:t>
      </w:r>
      <w:r>
        <w:rPr>
          <w:rFonts w:ascii="Times New Roman" w:cs="Times New Roman" w:eastAsia="Times New Roman" w:hAnsi="Times New Roman"/>
          <w:sz w:val="18"/>
          <w:szCs w:val="18"/>
          <w:color w:val="auto"/>
        </w:rPr>
        <w:t>. The OP Units to be issued by the Operating Partnership to the Company in connection with the Company’s contribution of the proceeds from the sale of the Securities or any Confirmation Securities to the Operating Partnership will, at each Settlement Date or date upon which a Confirmation is settled, as applicable, be validly issued, and none of such OP Units will be issued in violation of the preemptive or other similar rights of any securityholder of the Operating Partnership. Such OP Units will be exempt from registration or qualification under the Securities Act and applicable state securities laws.</w:t>
      </w:r>
    </w:p>
    <w:p>
      <w:pPr>
        <w:spacing w:after="0" w:line="75" w:lineRule="exact"/>
        <w:rPr>
          <w:rFonts w:ascii="Times New Roman" w:cs="Times New Roman" w:eastAsia="Times New Roman" w:hAnsi="Times New Roman"/>
          <w:sz w:val="18"/>
          <w:szCs w:val="18"/>
          <w:color w:val="auto"/>
        </w:rPr>
      </w:pPr>
    </w:p>
    <w:p>
      <w:pPr>
        <w:ind w:firstLine="419"/>
        <w:spacing w:after="0" w:line="253" w:lineRule="auto"/>
        <w:tabs>
          <w:tab w:leader="none" w:pos="7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Violations</w:t>
      </w:r>
      <w:r>
        <w:rPr>
          <w:rFonts w:ascii="Times New Roman" w:cs="Times New Roman" w:eastAsia="Times New Roman" w:hAnsi="Times New Roman"/>
          <w:sz w:val="18"/>
          <w:szCs w:val="18"/>
          <w:color w:val="auto"/>
        </w:rPr>
        <w:t>. (i) None of the Company, the Operating Partnership or any of the Subsidiaries is in violation of its charter or bylaws or similar organizational documents; (ii) no subsidiary of the Company not referred to in clause (i) above is in violation of its charter or bylaws or similar organizational documents; (iii) none of the Company, the Operating Partnership or any of their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the Operating Partnership, or any of their subsidiaries is a party or by which the Company, the Operating Partnership, or any of their subsidiaries is bound or to which any of the property or assets of the Company, the Operating Partnership or any of their subsidiaries is subject; or (iv) none of the Company, the Operating Partnership or any of their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the Operating Partnership or their subsidiaries, considered as one enterprise.</w:t>
      </w:r>
    </w:p>
    <w:p>
      <w:pPr>
        <w:spacing w:after="0" w:line="83" w:lineRule="exact"/>
        <w:rPr>
          <w:rFonts w:ascii="Times New Roman" w:cs="Times New Roman" w:eastAsia="Times New Roman" w:hAnsi="Times New Roman"/>
          <w:sz w:val="18"/>
          <w:szCs w:val="18"/>
          <w:color w:val="auto"/>
        </w:rPr>
      </w:pPr>
    </w:p>
    <w:p>
      <w:pPr>
        <w:ind w:right="60" w:firstLine="419"/>
        <w:spacing w:after="0" w:line="254" w:lineRule="auto"/>
        <w:tabs>
          <w:tab w:leader="none" w:pos="7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Conflicts; Absence of Further Requirements</w:t>
      </w:r>
      <w:r>
        <w:rPr>
          <w:rFonts w:ascii="Times New Roman" w:cs="Times New Roman" w:eastAsia="Times New Roman" w:hAnsi="Times New Roman"/>
          <w:sz w:val="18"/>
          <w:szCs w:val="18"/>
          <w:color w:val="auto"/>
        </w:rPr>
        <w:t>. The offering and sale of the Securities and the compliance by the Company and the Operating Partnership with all of the provisions of this Agreement and any Confirmation with respect to such Securities or Confirmation Securities, and the consummation by the Company and the Operating Partnership of the transactions herein and therein contemplated, (i) will not conflict with or result in a breach or violation of any of the terms or provisions of, or constitute a default under, any indenture, mortgage, deed of trust, loan agreement or other agreement or instrument to which the Company, the Operating Partnership or any of their subsidiaries is a party or by which the Company, the Operating Partnership or any of their subsidiaries is bound or to which any of the property or assets of the Company, the Operating Partnership or any of their subsidiaries is subject, nor will such action result in any violation of the provisions of the Charter or the bylaws of the Company or any statute or any order, rule or regulation of any court or governmental agency or body having jurisdiction over the Company, the Operating Partnership or any of their subsidiaries or</w:t>
      </w:r>
    </w:p>
    <w:p>
      <w:pPr>
        <w:spacing w:after="0" w:line="12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00"/>
          </w:cols>
          <w:pgMar w:left="880" w:top="270" w:right="519" w:bottom="1440" w:gutter="0" w:footer="0" w:header="0"/>
        </w:sectPr>
      </w:pPr>
    </w:p>
    <w:bookmarkStart w:id="37" w:name="page38"/>
    <w:bookmarkEnd w:id="37"/>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of their properties; and no consent, approval, authorization, order, registration or qualification of or with any such court or governmental agency or body is required for the offering and sale of the Securities and the Confirmation Securities or the consummation by the Company and the Operating Partnership of the transactions contemplated by this Agreement and each Confirmation, as applicable, except such as have been obtained under the Securities Act, the Exchange Act and such consents, approvals, authorizations, registrations or qualifications as may be required under state securities or “Blue Sky” laws in connection with the purchase and distribution of the Securities, and further except for the approval of the NYSE, which will be obtained prior to the first sale of Securities pursuant to this Agreement.</w:t>
      </w:r>
    </w:p>
    <w:p>
      <w:pPr>
        <w:spacing w:after="0" w:line="79" w:lineRule="exact"/>
        <w:rPr>
          <w:sz w:val="20"/>
          <w:szCs w:val="20"/>
          <w:color w:val="auto"/>
        </w:rPr>
      </w:pPr>
    </w:p>
    <w:p>
      <w:pPr>
        <w:ind w:right="40" w:firstLine="419"/>
        <w:spacing w:after="0" w:line="255" w:lineRule="auto"/>
        <w:tabs>
          <w:tab w:leader="none" w:pos="7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Other than as set forth in the Registration Statement and the Prospectus, there are no legal or governmental proceedings pending to which the Company, the Operating Partnership or any of their subsidiaries is a party or of which any property of the Company, the Operating Partnership or any of their subsidiaries is the subject which, if determined adversely to the Company, the Operating Partnership or any of their subsidiaries, would individually or in the aggregate have a material adverse effect on the consolidated financial position, shareholders’ equity or results of operations of the Company, the Operating Partnership or their subsidiaries, considered as one enterprise; and, to the best of the Company’s and the Operating Partnership’s knowledge, no such proceedings are threatened or contemplated by governmental authorities or threatened by others.</w:t>
      </w:r>
    </w:p>
    <w:p>
      <w:pPr>
        <w:spacing w:after="0" w:line="80" w:lineRule="exact"/>
        <w:rPr>
          <w:rFonts w:ascii="Times New Roman" w:cs="Times New Roman" w:eastAsia="Times New Roman" w:hAnsi="Times New Roman"/>
          <w:sz w:val="18"/>
          <w:szCs w:val="18"/>
          <w:color w:val="auto"/>
        </w:rPr>
      </w:pPr>
    </w:p>
    <w:p>
      <w:pPr>
        <w:ind w:firstLine="419"/>
        <w:spacing w:after="0" w:line="254" w:lineRule="auto"/>
        <w:tabs>
          <w:tab w:leader="none" w:pos="7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consolidated financial statements of the Company, the Operating Partnership and their subsidiaries, together with related notes and schedules, as set forth or incorporated by reference in the Registration Statement and the Prospectus present fairly the financial position and the results of operations of the Company, the Operating Partnership and their subsidiaries, as applicable, at the indicated dates and for the indicated periods. Such consolidated financial statements have been prepared in accordance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83"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7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Title</w:t>
      </w:r>
      <w:r>
        <w:rPr>
          <w:rFonts w:ascii="Times New Roman" w:cs="Times New Roman" w:eastAsia="Times New Roman" w:hAnsi="Times New Roman"/>
          <w:sz w:val="18"/>
          <w:szCs w:val="18"/>
          <w:color w:val="auto"/>
        </w:rPr>
        <w:t>. The Company, the Operating Partnership and their subsidiaries have good and marketable title to, or valid and enforceable leasehold estates in, all items of real and personal property referred to in the Registration Statement and the Prospectus as owned or leased by the Company, the Operating Partnership or any of their subsidiaries, in each case free and clear of all pledges, liens, encumbrances, claims, security interests and defects, other than those referred to in the Prospectus or which are not material in amount.</w:t>
      </w:r>
    </w:p>
    <w:p>
      <w:pPr>
        <w:spacing w:after="0" w:line="11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460"/>
          </w:cols>
          <w:pgMar w:left="880" w:top="270" w:right="559" w:bottom="1440" w:gutter="0" w:footer="0" w:header="0"/>
        </w:sectPr>
      </w:pPr>
    </w:p>
    <w:bookmarkStart w:id="38" w:name="page39"/>
    <w:bookmarkEnd w:id="38"/>
    <w:p>
      <w:pPr>
        <w:ind w:right="80" w:firstLine="419"/>
        <w:spacing w:after="0" w:line="255" w:lineRule="auto"/>
        <w:tabs>
          <w:tab w:leader="none" w:pos="76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Taxes</w:t>
      </w:r>
      <w:r>
        <w:rPr>
          <w:rFonts w:ascii="Times New Roman" w:cs="Times New Roman" w:eastAsia="Times New Roman" w:hAnsi="Times New Roman"/>
          <w:sz w:val="18"/>
          <w:szCs w:val="18"/>
          <w:color w:val="auto"/>
        </w:rPr>
        <w:t>. The Company, the Operating Partnership and their subsidiaries have timely filed all federal, state, local and foreign income tax returns which have been required to be filed, or appropriate extensions for such filings have been obtained as required by law, and all federal, state, local and foreign taxes of the Company, the Operating Partnership and their subsidiaries have been paid, except such taxes as (i) are not yet due, (ii) are being contested in good faith by appropriate proceedings diligently conducted and for which adequate reserves are being maintained in accordance with GAAP, or (iii) could not reasonably be expected to have, individually or in the aggregate, a material adverse effect on the condition, financial or otherwise, or on the earnings, business affairs or business prospects of the Company, the Operating Partnership and their subsidiaries, considered as one enterprise.</w:t>
      </w:r>
    </w:p>
    <w:p>
      <w:pPr>
        <w:spacing w:after="0" w:line="80" w:lineRule="exact"/>
        <w:rPr>
          <w:rFonts w:ascii="Times New Roman" w:cs="Times New Roman" w:eastAsia="Times New Roman" w:hAnsi="Times New Roman"/>
          <w:sz w:val="18"/>
          <w:szCs w:val="18"/>
          <w:color w:val="auto"/>
        </w:rPr>
      </w:pPr>
    </w:p>
    <w:p>
      <w:pPr>
        <w:ind w:firstLine="419"/>
        <w:spacing w:after="0" w:line="261" w:lineRule="auto"/>
        <w:tabs>
          <w:tab w:leader="none" w:pos="76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The Company, the Operating Partnership and their subsidiaries hold all material licenses, certificates and permits from governmental authorities which are necessary to the conduct of their respective businesses; and none of the Company, the Operating Partnership or their subsidiaries has infringed any patents, patent rights, trade names, trademarks or copyrights, which infringement is material to the business of the Company or the Operating Partnership.</w:t>
      </w:r>
    </w:p>
    <w:p>
      <w:pPr>
        <w:spacing w:after="0" w:line="71" w:lineRule="exact"/>
        <w:rPr>
          <w:rFonts w:ascii="Times New Roman" w:cs="Times New Roman" w:eastAsia="Times New Roman" w:hAnsi="Times New Roman"/>
          <w:sz w:val="18"/>
          <w:szCs w:val="18"/>
          <w:color w:val="auto"/>
        </w:rPr>
      </w:pPr>
    </w:p>
    <w:p>
      <w:pPr>
        <w:ind w:right="140" w:firstLine="419"/>
        <w:spacing w:after="0" w:line="266" w:lineRule="auto"/>
        <w:tabs>
          <w:tab w:leader="none" w:pos="76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The accounting firm that certified the financial statements and supporting schedules incorporated by reference in the Registration Statement and the Prospectus, is an independent registered public accounting firm as required by the Securities Act and the Public Company Accounting Oversight Board (United States) (the “</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40" w:firstLine="419"/>
        <w:spacing w:after="0" w:line="252" w:lineRule="auto"/>
        <w:tabs>
          <w:tab w:leader="none" w:pos="76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Controls Over Financial Reporting</w:t>
      </w:r>
      <w:r>
        <w:rPr>
          <w:rFonts w:ascii="Times New Roman" w:cs="Times New Roman" w:eastAsia="Times New Roman" w:hAnsi="Times New Roman"/>
          <w:sz w:val="18"/>
          <w:szCs w:val="18"/>
          <w:color w:val="auto"/>
        </w:rPr>
        <w:t>. The Company, the Operating Partnership and their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2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20"/>
          </w:cols>
          <w:pgMar w:left="880" w:top="270" w:right="499" w:bottom="1440" w:gutter="0" w:footer="0" w:header="0"/>
        </w:sectPr>
      </w:pPr>
    </w:p>
    <w:bookmarkStart w:id="39" w:name="page40"/>
    <w:bookmarkEnd w:id="39"/>
    <w:p>
      <w:pPr>
        <w:ind w:firstLine="419"/>
        <w:spacing w:after="0" w:line="282" w:lineRule="auto"/>
        <w:tabs>
          <w:tab w:leader="none" w:pos="7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S-3 Requirements</w:t>
      </w:r>
      <w:r>
        <w:rPr>
          <w:rFonts w:ascii="Times New Roman" w:cs="Times New Roman" w:eastAsia="Times New Roman" w:hAnsi="Times New Roman"/>
          <w:sz w:val="18"/>
          <w:szCs w:val="18"/>
          <w:color w:val="auto"/>
        </w:rPr>
        <w:t>. The conditions for use of registration statements on Form S-3 set forth in the General Instructions on Form S-3 have been satisfied and the Company is entitled to use such form for the transactions contemplated by this Agreement.</w:t>
      </w:r>
    </w:p>
    <w:p>
      <w:pPr>
        <w:spacing w:after="0" w:line="53" w:lineRule="exact"/>
        <w:rPr>
          <w:rFonts w:ascii="Times New Roman" w:cs="Times New Roman" w:eastAsia="Times New Roman" w:hAnsi="Times New Roman"/>
          <w:sz w:val="18"/>
          <w:szCs w:val="18"/>
          <w:color w:val="auto"/>
        </w:rPr>
      </w:pPr>
    </w:p>
    <w:p>
      <w:pPr>
        <w:ind w:right="180" w:firstLine="419"/>
        <w:spacing w:after="0" w:line="254" w:lineRule="auto"/>
        <w:tabs>
          <w:tab w:leader="none" w:pos="7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Although the Company is aware of the presence of hazardous substances, hazardous materials, toxic substances or waste materials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on certain of its properties, nothing has come to the attention of the Company or the Operating Partnership which, at this time, would lead the Company or the Operating Partnership to believe that the presence of such Hazardous Materials, when considered in the aggregate, would materially adversely affect the financial condition of the Company or the Operating Partnership. In connection with the construction on or operation and use of the properties owned or leased by the Company or its subsidiaries (including the Operating Partnership), each of the Company and the Operating Partnership represents that, as of the date hereof, it has no knowledge of any material failure by the Company or its subsidiaries (including the Operating Partnership)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80" w:lineRule="exact"/>
        <w:rPr>
          <w:rFonts w:ascii="Times New Roman" w:cs="Times New Roman" w:eastAsia="Times New Roman" w:hAnsi="Times New Roman"/>
          <w:sz w:val="18"/>
          <w:szCs w:val="18"/>
          <w:color w:val="auto"/>
        </w:rPr>
      </w:pPr>
    </w:p>
    <w:p>
      <w:pPr>
        <w:ind w:firstLine="419"/>
        <w:spacing w:after="0" w:line="255" w:lineRule="auto"/>
        <w:tabs>
          <w:tab w:leader="none" w:pos="7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Investment Company Act</w:t>
      </w:r>
      <w:r>
        <w:rPr>
          <w:rFonts w:ascii="Times New Roman" w:cs="Times New Roman" w:eastAsia="Times New Roman" w:hAnsi="Times New Roman"/>
          <w:sz w:val="18"/>
          <w:szCs w:val="18"/>
          <w:color w:val="auto"/>
        </w:rPr>
        <w:t>. With respect to all tax periods regarding which the Internal Revenue Service is or will be entitled to assert any claim, the Company has met the requirements for qualification as a REIT under Sections 856 through 860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the Company’s present and contemplated operations, assets and income meet and will enable it to continue to meet such requirements; and the Operating Partnership has been and will continue to be properly classified as a disregarded entity, or as a partnership which is not a “publicly traded partnership” taxable as a corporation, for U.S. federal income tax purposes; and the Company is neither an “investment company” nor a company “controlled” by an “investment company” within the meaning of the Investment Company Act of 1940, as amended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right="20" w:firstLine="419"/>
        <w:spacing w:after="0" w:line="255" w:lineRule="auto"/>
        <w:tabs>
          <w:tab w:leader="none" w:pos="7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 The Company, the Operating Partnership and their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the Operating Partnership and their subsidiaries have carried out evaluations of the effectiveness of their disclosure controls and procedures as required by Rule 13a-15 of the Exchange Act.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40" w:name="page41"/>
    <w:bookmarkEnd w:id="40"/>
    <w:p>
      <w:pPr>
        <w:ind w:right="20" w:firstLine="419"/>
        <w:spacing w:after="0" w:line="253" w:lineRule="auto"/>
        <w:tabs>
          <w:tab w:leader="none" w:pos="7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Corrupt Practices</w:t>
      </w:r>
      <w:r>
        <w:rPr>
          <w:rFonts w:ascii="Times New Roman" w:cs="Times New Roman" w:eastAsia="Times New Roman" w:hAnsi="Times New Roman"/>
          <w:sz w:val="18"/>
          <w:szCs w:val="18"/>
          <w:color w:val="auto"/>
        </w:rPr>
        <w:t>. Neither the Company nor any of its subsidiaries (including the Operating Partnership) nor, to the best knowledge of the Company or the Operating Partnership,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83" w:lineRule="exact"/>
        <w:rPr>
          <w:rFonts w:ascii="Times New Roman" w:cs="Times New Roman" w:eastAsia="Times New Roman" w:hAnsi="Times New Roman"/>
          <w:sz w:val="18"/>
          <w:szCs w:val="18"/>
          <w:color w:val="auto"/>
        </w:rPr>
      </w:pPr>
    </w:p>
    <w:p>
      <w:pPr>
        <w:ind w:firstLine="419"/>
        <w:spacing w:after="0" w:line="255" w:lineRule="auto"/>
        <w:tabs>
          <w:tab w:leader="none" w:pos="7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Anti-Money Laundering</w:t>
      </w:r>
      <w:r>
        <w:rPr>
          <w:rFonts w:ascii="Times New Roman" w:cs="Times New Roman" w:eastAsia="Times New Roman" w:hAnsi="Times New Roman"/>
          <w:sz w:val="18"/>
          <w:szCs w:val="18"/>
          <w:color w:val="auto"/>
        </w:rPr>
        <w:t>. The operations of the Company, the Operating Partnership and their respective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the Operating Partnership or any of their respective subsidiaries with respect to the Money Laundering Laws is pending or, to the best knowledge of the Company or the Operating Partnership, threatened.</w:t>
      </w:r>
    </w:p>
    <w:p>
      <w:pPr>
        <w:spacing w:after="0" w:line="80" w:lineRule="exact"/>
        <w:rPr>
          <w:rFonts w:ascii="Times New Roman" w:cs="Times New Roman" w:eastAsia="Times New Roman" w:hAnsi="Times New Roman"/>
          <w:sz w:val="18"/>
          <w:szCs w:val="18"/>
          <w:color w:val="auto"/>
        </w:rPr>
      </w:pPr>
    </w:p>
    <w:p>
      <w:pPr>
        <w:ind w:right="20" w:firstLine="419"/>
        <w:spacing w:after="0" w:line="254" w:lineRule="auto"/>
        <w:tabs>
          <w:tab w:leader="none" w:pos="7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Company, the Operating Partnership, or any of their respective subsidiaries or, to the knowledge of the Company or the Operating Partnership,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or territory that is, or whose government is, the subject of Sanctions that broadly prohibit dealings with that country or territory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and the Company will not directly or indirectly use the proceeds of the offering of the Securities or pursuant to any Confirmation hereunder, or lend, contribute or otherwise make available such proceeds to any subsidiary, joint venture partner or other person or entity, for the purpose of financing the activities of any person currently subject to any Sanctions.</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0"/>
          </w:cols>
          <w:pgMar w:left="880" w:top="270" w:right="459" w:bottom="1440" w:gutter="0" w:footer="0" w:header="0"/>
        </w:sectPr>
      </w:pPr>
    </w:p>
    <w:bookmarkStart w:id="41" w:name="page42"/>
    <w:bookmarkEnd w:id="41"/>
    <w:p>
      <w:pPr>
        <w:ind w:firstLine="419"/>
        <w:spacing w:after="0" w:line="254" w:lineRule="auto"/>
        <w:tabs>
          <w:tab w:leader="none" w:pos="7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NYSE</w:t>
      </w:r>
      <w:r>
        <w:rPr>
          <w:rFonts w:ascii="Times New Roman" w:cs="Times New Roman" w:eastAsia="Times New Roman" w:hAnsi="Times New Roman"/>
          <w:sz w:val="18"/>
          <w:szCs w:val="18"/>
          <w:color w:val="auto"/>
        </w:rPr>
        <w:t>. The outstanding Common Shares have been, and prior to the first sale of Securities pursuant to this Agreement, the Securities to be sold hereunder and the Confirmation Securities will be, approved for listing, subject only to official notice of issuance, on the NYSE, and are registered pursuant to Section 12(b) of the Exchange Act, and the Company has taken no action designed to, or likely to have the effect of, terminating the registration of the Common Shares under the Exchange Act or delisting any such securities from the NYSE, nor has the Company received any notification that the Commission or the NYSE is contemplating terminating such registration or listing. The Company has taken all necessary actions to ensure that it is in compliance with all applicable NYSE listing standards that are currently in effect and will take such steps as are necessary to ensure that the Company will be in compliance with other applicable requirements set forth in the NYSE’s listing standards not currently in effect upon the effectiveness of such requirements.</w:t>
      </w:r>
    </w:p>
    <w:p>
      <w:pPr>
        <w:spacing w:after="0" w:line="83" w:lineRule="exact"/>
        <w:rPr>
          <w:rFonts w:ascii="Times New Roman" w:cs="Times New Roman" w:eastAsia="Times New Roman" w:hAnsi="Times New Roman"/>
          <w:sz w:val="18"/>
          <w:szCs w:val="18"/>
          <w:color w:val="auto"/>
        </w:rPr>
      </w:pPr>
    </w:p>
    <w:p>
      <w:pPr>
        <w:ind w:right="100" w:firstLine="419"/>
        <w:spacing w:after="0" w:line="261" w:lineRule="auto"/>
        <w:tabs>
          <w:tab w:leader="none" w:pos="7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None of the Company, the Operating Partnership or any of their subsidiaries has distributed or will distribute any offering material in connection with the offering and sale of the Securities to be sold hereunder by a Sales Agent or a Forward Seller, other than the Prospectus and any Permitted Free Writing Prospectus (as defined below) reviewed and consented to by the Sales Agents, the Forward Sellers and the Forward Purchasers.</w:t>
      </w:r>
    </w:p>
    <w:p>
      <w:pPr>
        <w:spacing w:after="0" w:line="71" w:lineRule="exact"/>
        <w:rPr>
          <w:rFonts w:ascii="Times New Roman" w:cs="Times New Roman" w:eastAsia="Times New Roman" w:hAnsi="Times New Roman"/>
          <w:sz w:val="18"/>
          <w:szCs w:val="18"/>
          <w:color w:val="auto"/>
        </w:rPr>
      </w:pPr>
    </w:p>
    <w:p>
      <w:pPr>
        <w:ind w:right="680" w:firstLine="419"/>
        <w:spacing w:after="0" w:line="282" w:lineRule="auto"/>
        <w:tabs>
          <w:tab w:leader="none" w:pos="7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Actively Traded Security</w:t>
      </w:r>
      <w:r>
        <w:rPr>
          <w:rFonts w:ascii="Times New Roman" w:cs="Times New Roman" w:eastAsia="Times New Roman" w:hAnsi="Times New Roman"/>
          <w:sz w:val="18"/>
          <w:szCs w:val="18"/>
          <w:color w:val="auto"/>
        </w:rPr>
        <w:t>. The Common Shares are “actively traded securities” excepted from the requirements of Rule 101 of Regulation M under the Exchange Act by subsection (c)(1) of such rule.</w:t>
      </w:r>
    </w:p>
    <w:p>
      <w:pPr>
        <w:spacing w:after="0" w:line="53" w:lineRule="exact"/>
        <w:rPr>
          <w:rFonts w:ascii="Times New Roman" w:cs="Times New Roman" w:eastAsia="Times New Roman" w:hAnsi="Times New Roman"/>
          <w:sz w:val="18"/>
          <w:szCs w:val="18"/>
          <w:color w:val="auto"/>
        </w:rPr>
      </w:pPr>
    </w:p>
    <w:p>
      <w:pPr>
        <w:ind w:firstLine="419"/>
        <w:spacing w:after="0" w:line="261" w:lineRule="auto"/>
        <w:tabs>
          <w:tab w:leader="none" w:pos="7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Manipulation</w:t>
      </w:r>
      <w:r>
        <w:rPr>
          <w:rFonts w:ascii="Times New Roman" w:cs="Times New Roman" w:eastAsia="Times New Roman" w:hAnsi="Times New Roman"/>
          <w:sz w:val="18"/>
          <w:szCs w:val="18"/>
          <w:color w:val="auto"/>
        </w:rPr>
        <w:t>. None of the Company, the Operating Partnership, their subsidiaries or any of their officers, directors, trustees or partners thereof has taken, nor will any of them take, directly or indirectly, any action resulting in a violation of Regulation M under the Exchange Act or designed to cause or result in, or which has constituted or which reasonably might be expected to constitute, the stabilization or manipulation of the price of the Securities or facilitation of the sale or resale of the Securities.</w:t>
      </w:r>
    </w:p>
    <w:p>
      <w:pPr>
        <w:spacing w:after="0" w:line="71" w:lineRule="exact"/>
        <w:rPr>
          <w:rFonts w:ascii="Times New Roman" w:cs="Times New Roman" w:eastAsia="Times New Roman" w:hAnsi="Times New Roman"/>
          <w:sz w:val="18"/>
          <w:szCs w:val="18"/>
          <w:color w:val="auto"/>
        </w:rPr>
      </w:pPr>
    </w:p>
    <w:p>
      <w:pPr>
        <w:ind w:right="20" w:firstLine="419"/>
        <w:spacing w:after="0" w:line="255" w:lineRule="auto"/>
        <w:tabs>
          <w:tab w:leader="none" w:pos="7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Prohibition on Dividends by Subsidiaries</w:t>
      </w:r>
      <w:r>
        <w:rPr>
          <w:rFonts w:ascii="Times New Roman" w:cs="Times New Roman" w:eastAsia="Times New Roman" w:hAnsi="Times New Roman"/>
          <w:sz w:val="18"/>
          <w:szCs w:val="18"/>
          <w:color w:val="auto"/>
        </w:rPr>
        <w:t>. Except as disclosed in or contemplated by the Registration Statement and the Prospectus (including with respect to restrictions on transfer of property or assets pursuant to the terms of mortgage debt on any properties held directly or indirectly by any of the Company, the Operating Partnership or their subsidiaries, or pursuant to the express terms of any joint venture arrangement of the Company, the Operating Partnership or any of their subsidiaries), no subsidiary of the Company (including the Operating Partnership) is currently prohibited, directly or indirectly, from paying any distributions to the Company to the extent permitted by applicable law, from making any other distribution on the Operating Partnership’s partnership interests, or from repaying to the Company any loans or advances made by the Company to the Operating Partnership or any such subsidiary.</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40"/>
          </w:cols>
          <w:pgMar w:left="880" w:top="270" w:right="479" w:bottom="1440" w:gutter="0" w:footer="0" w:header="0"/>
        </w:sectPr>
      </w:pPr>
    </w:p>
    <w:bookmarkStart w:id="42" w:name="page43"/>
    <w:bookmarkEnd w:id="42"/>
    <w:p>
      <w:pPr>
        <w:ind w:right="180" w:firstLine="419"/>
        <w:spacing w:after="0" w:line="258" w:lineRule="auto"/>
        <w:tabs>
          <w:tab w:leader="none" w:pos="7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Proprietary Trading by the Sales Agents and the Forward Sellers</w:t>
      </w:r>
      <w:r>
        <w:rPr>
          <w:rFonts w:ascii="Times New Roman" w:cs="Times New Roman" w:eastAsia="Times New Roman" w:hAnsi="Times New Roman"/>
          <w:sz w:val="18"/>
          <w:szCs w:val="18"/>
          <w:color w:val="auto"/>
        </w:rPr>
        <w:t>. The Company acknowledges and agrees that each Sales Agent and each Forward Seller have informed the Company that such Sales Agent or such Forward Seller may, to the extent permitted under the Securities Act and the Exchange Act, purchase and sell Common Shares for their own respective accounts while this Agreement is in effect, and shall be under no obligation to purchase Securities on a principal basis pursuant to this Agreement, except as otherwise agreed to by such Sales Agent or such Forward Seller in the applicable Placement Notice (as amended by the corresponding Acceptance, if applicable).</w:t>
      </w:r>
    </w:p>
    <w:p>
      <w:pPr>
        <w:spacing w:after="0" w:line="75" w:lineRule="exact"/>
        <w:rPr>
          <w:rFonts w:ascii="Times New Roman" w:cs="Times New Roman" w:eastAsia="Times New Roman" w:hAnsi="Times New Roman"/>
          <w:sz w:val="18"/>
          <w:szCs w:val="18"/>
          <w:color w:val="auto"/>
        </w:rPr>
      </w:pPr>
    </w:p>
    <w:p>
      <w:pPr>
        <w:ind w:right="20" w:firstLine="419"/>
        <w:spacing w:after="0" w:line="266" w:lineRule="auto"/>
        <w:tabs>
          <w:tab w:leader="none" w:pos="7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eXtensible Business Reporting Language</w:t>
      </w:r>
      <w:r>
        <w:rPr>
          <w:rFonts w:ascii="Times New Roman" w:cs="Times New Roman" w:eastAsia="Times New Roman" w:hAnsi="Times New Roman"/>
          <w:sz w:val="18"/>
          <w:szCs w:val="18"/>
          <w:color w:val="auto"/>
        </w:rPr>
        <w:t>. The interactive data in the eXtensible Business Reporting Language incorporated by reference in the Registration Statement or the Prospectus fairly presents the information called for in all material respects and has been prepared in accordance with the Commission’s rules and guidelines applicable thereto.</w:t>
      </w:r>
    </w:p>
    <w:p>
      <w:pPr>
        <w:spacing w:after="0" w:line="67" w:lineRule="exact"/>
        <w:rPr>
          <w:rFonts w:ascii="Times New Roman" w:cs="Times New Roman" w:eastAsia="Times New Roman" w:hAnsi="Times New Roman"/>
          <w:sz w:val="18"/>
          <w:szCs w:val="18"/>
          <w:color w:val="auto"/>
        </w:rPr>
      </w:pPr>
    </w:p>
    <w:p>
      <w:pPr>
        <w:ind w:firstLine="419"/>
        <w:spacing w:after="0" w:line="252" w:lineRule="auto"/>
        <w:tabs>
          <w:tab w:leader="none" w:pos="7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(A) To the knowledge of each of the Company and the Operating Partnership, there has been no security breach or incident, unauthorized access or disclosure, or other compromise of or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the Operating Partnership or their subsidiaries, and any such data processed or stored by third parties on behalf of the Company, the Operating Partnership or their subsidiaries), equipment or technology (collectively, “IT Systems and Data”); (B) none of the Company, the Operating Partnership or any of their subsidiaries have been notified of, and have no knowledge of any event or condition that would result in, any security breach or incident, unauthorized access or disclosure or other compromise to their IT Systems and Data; and (C) the Company, the Operating Partnership and their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except with respect to clauses (A) and (B), for any such security breach or incident, unauthorized access or disclosure, or other compromises, as would not, individually or in the aggregate, have a material adverse effect on the condition, financial or otherwise, or on the earnings, business affairs or business prospects of the Company, the Operating Partnership and their subsidiaries, considered as one enterprise, or with respect to clause (C), where the failure to do so would not, individually or in the aggregate, have a material adverse effect on the condition, financial or otherwise, or on the earnings, business affairs or business prospects of the Company, the Operating Partnership and their subsidiaries, considered as one enterprise. The Company, the Operating Partnership and their subsidiaries are presently in compliance with all applicable laws or statutes and all judgments, orders, rules and regulations of any</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80" w:top="270" w:right="459" w:bottom="1440" w:gutter="0" w:footer="0" w:header="0"/>
        </w:sectPr>
      </w:pPr>
    </w:p>
    <w:bookmarkStart w:id="43" w:name="page44"/>
    <w:bookmarkEnd w:id="43"/>
    <w:p>
      <w:pPr>
        <w:ind w:left="440"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where the failure to be so in compliance would not, individually or in the aggregate, have a material adverse effect on the condition, financial or otherwise, or on the earnings, business affairs or business prospects of the Company, the Operating Partnership and their subsidiaries, considered as one enterprise.</w:t>
      </w:r>
    </w:p>
    <w:p>
      <w:pPr>
        <w:spacing w:after="0" w:line="73" w:lineRule="exact"/>
        <w:rPr>
          <w:sz w:val="20"/>
          <w:szCs w:val="20"/>
          <w:color w:val="auto"/>
        </w:rPr>
      </w:pPr>
    </w:p>
    <w:p>
      <w:pPr>
        <w:ind w:right="40" w:firstLine="436"/>
        <w:spacing w:after="0" w:line="267"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Certificates. </w:t>
      </w:r>
      <w:r>
        <w:rPr>
          <w:rFonts w:ascii="Times New Roman" w:cs="Times New Roman" w:eastAsia="Times New Roman" w:hAnsi="Times New Roman"/>
          <w:sz w:val="18"/>
          <w:szCs w:val="18"/>
          <w:color w:val="auto"/>
        </w:rPr>
        <w:t>Any certificate signed by any officer of the Company or the Operating Partnership and delivered to the Sales Agents, the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Sellers and the Forward Purchasers, or to their respective counsel, shall be deemed a representation and warranty by the Company and the Operating Partnership to the Sales Agents, the Forward Sellers and the Forward Purchasers as to the matters covered thereby.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Sale and Delivery; Settlement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firstLine="436"/>
        <w:spacing w:after="0" w:line="253"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 of Issuance Securities. </w:t>
      </w:r>
      <w:r>
        <w:rPr>
          <w:rFonts w:ascii="Times New Roman" w:cs="Times New Roman" w:eastAsia="Times New Roman" w:hAnsi="Times New Roman"/>
          <w:sz w:val="18"/>
          <w:szCs w:val="18"/>
          <w:color w:val="auto"/>
        </w:rPr>
        <w:t>On the basis of the representations and warranties herein contained and subject to the terms and conditions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upon a Sales Agent’s acceptance of the terms of a Placement Notice specifying that it relates to an Issuance or upon receipt by a Sales Agent of an Acceptance, as the case may be, and unless the sale of the Issuance Securities described therein has been declined, suspended, or otherwise terminated in accordance with the terms of this Agreement, such Sales Agent, for the period specified in the Placement Notice (as amended by the corresponding Acceptance, if applicable), will use its commercially reasonable efforts consistent with its normal trading and sales practices to sell such Issuance Securities up to the amount specified, and otherwise in accordance with the terms of such Placement Notice (as amended by the corresponding Acceptance, if applicable). Each of the Company and the Operating Partnership acknowledges and agrees that (i) there can be no assurance that the Sales Agents will be successful in selling Issuance Securities, (ii) the Sales Agents will incur no liability or obligation to the Company or any other person or entity if it does not sell Issuance Securities for any reason other than a failure by a Sales Agent to use its commercially reasonable efforts consistent with its normal trading and sales practices to sell such Issuance Securities as required under this Section 6 and (iii) the Sales Agents shall be under no obligation to purchase Issuance Securities on a principal basis pursuant to this Agreement, except as otherwise agreed by a Sales Agent in the Placement Notice (as amended by the corresponding Acceptance, if applicable).</w:t>
      </w:r>
    </w:p>
    <w:p>
      <w:pPr>
        <w:spacing w:after="0" w:line="81" w:lineRule="exact"/>
        <w:rPr>
          <w:rFonts w:ascii="Times New Roman" w:cs="Times New Roman" w:eastAsia="Times New Roman" w:hAnsi="Times New Roman"/>
          <w:sz w:val="18"/>
          <w:szCs w:val="18"/>
          <w:color w:val="auto"/>
        </w:rPr>
      </w:pPr>
    </w:p>
    <w:p>
      <w:pPr>
        <w:ind w:right="120" w:firstLine="436"/>
        <w:spacing w:after="0"/>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Settlement of Issuance Securities. </w:t>
      </w:r>
      <w:r>
        <w:rPr>
          <w:rFonts w:ascii="Times New Roman" w:cs="Times New Roman" w:eastAsia="Times New Roman" w:hAnsi="Times New Roman"/>
          <w:sz w:val="18"/>
          <w:szCs w:val="18"/>
          <w:color w:val="auto"/>
        </w:rPr>
        <w:t>Unless otherwise specified in the applicable Placement Notice (as amended by the corresponding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 if applicable), settlement for sales of Issuance Securities will occur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Trading Day (or such earlier day as is industry practice for regular-way trading) following the date on which such sales are made (each, an “</w:t>
      </w:r>
      <w:r>
        <w:rPr>
          <w:rFonts w:ascii="Times New Roman" w:cs="Times New Roman" w:eastAsia="Times New Roman" w:hAnsi="Times New Roman"/>
          <w:sz w:val="18"/>
          <w:szCs w:val="18"/>
          <w:u w:val="single" w:color="auto"/>
          <w:color w:val="auto"/>
        </w:rPr>
        <w:t>Issuance Settlement Date</w:t>
      </w:r>
      <w:r>
        <w:rPr>
          <w:rFonts w:ascii="Times New Roman" w:cs="Times New Roman" w:eastAsia="Times New Roman" w:hAnsi="Times New Roman"/>
          <w:sz w:val="18"/>
          <w:szCs w:val="18"/>
          <w:color w:val="auto"/>
        </w:rPr>
        <w:t>”). The amount of proceeds to be delivered to the Company on an Issuance Settlement Date against receipt of the Issuance Securities sold (the “</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will be equal to the aggregate offering price received by the applicable Sales Agent at which such Issuance Securities were sold, after deduction for (i) such Sales Agent’s commission, discount or other compensation for such sales payable by the Company pursuant to Section 2 hereof, (ii) any other amounts due and payable by the Company to such Sales Agent hereunder pursuant to Section 8(a) hereof, and (iii) any transaction fees imposed by any governmental or self-regulatory organization in respect of such sales.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44" w:name="page45"/>
    <w:bookmarkEnd w:id="44"/>
    <w:p>
      <w:pPr>
        <w:ind w:firstLine="436"/>
        <w:spacing w:after="0" w:line="253"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Issuance Securities</w:t>
      </w:r>
      <w:r>
        <w:rPr>
          <w:rFonts w:ascii="Times New Roman" w:cs="Times New Roman" w:eastAsia="Times New Roman" w:hAnsi="Times New Roman"/>
          <w:sz w:val="18"/>
          <w:szCs w:val="18"/>
          <w:color w:val="auto"/>
        </w:rPr>
        <w:t>. On or before each Issuance Settlement Date, the Company will, or will cause its transfer agent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electronically transfer the Issuance Securities being sold by crediting the applicable Sales Agent’s or its designee’s account (provided such Sales Agent shall have given the Company written notice of such designee prior to the Issuance Settlement Date) at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through its Deposit and Withdrawal at Custodian System or by such other means of delivery as may be mutually agreed upon by the parties hereto which in all cases shall be freely tradable, transferable, registered shares in good deliverable form. On each Issuance Settlement Date, such Sales Agent will deliver the related Net Proceeds in same day funds to an account designated by the Company prior to the Issuance Settlement Date. The Company agrees that if the Company, or its transfer agent (if applicable), defaults in its obligation to deliver Issuance Securities on an Issuance Settlement Date, the Company agrees that in addition to and in no way limiting the rights and obligations set forth in Section 10(a) and Section 11 hereto, it will (i) hold such Sales Agent harmless against any loss, liability, claim, damage, or expense whatsoever (including reasonable legal fees and expenses), as incurred, arising out of or in connection with such default by the Company or its transfer agent (if applicable) and (ii) pay to such Sales Agent any commission, discount, or other compensation to which it would otherwise have been entitled absent such default.</w:t>
      </w:r>
    </w:p>
    <w:p>
      <w:pPr>
        <w:spacing w:after="0" w:line="83"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ale of Forward Hedge Securities</w:t>
      </w:r>
      <w:r>
        <w:rPr>
          <w:rFonts w:ascii="Times New Roman" w:cs="Times New Roman" w:eastAsia="Times New Roman" w:hAnsi="Times New Roman"/>
          <w:sz w:val="18"/>
          <w:szCs w:val="18"/>
          <w:color w:val="auto"/>
        </w:rPr>
        <w:t>. On the basis of the representations and warranties herein contained and subject to the terms and conditions in this Agreement and the applicable Confirmation, upon the Forward Seller’s and the Forward Purchaser’s acceptance of the terms of a Placement Notice specifying that it relates to a Forward or upon receipt by a Forward Seller and a Forward Purchaser of an Acceptance, as the case may be, and unless the sale of the Forward Hedge Securities described therein has been declined, suspended, or otherwise terminated in accordance with the terms of this Agreement or the applicable Confirmation, such Forward Seller will use its commercially reasonable efforts consistent with its normal trading and sales practices to sell such Forward Hedge Securities, and otherwise in accordance with the terms of such Placement Notice (as amended by the corresponding Acceptance, if applicable).</w:t>
      </w:r>
    </w:p>
    <w:p>
      <w:pPr>
        <w:spacing w:after="0" w:line="74" w:lineRule="exact"/>
        <w:rPr>
          <w:rFonts w:ascii="Times New Roman" w:cs="Times New Roman" w:eastAsia="Times New Roman" w:hAnsi="Times New Roman"/>
          <w:sz w:val="18"/>
          <w:szCs w:val="18"/>
          <w:color w:val="auto"/>
        </w:rPr>
      </w:pPr>
    </w:p>
    <w:p>
      <w:pPr>
        <w:ind w:right="240" w:firstLine="436"/>
        <w:spacing w:after="0" w:line="267"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Forward Hedge Securities</w:t>
      </w:r>
      <w:r>
        <w:rPr>
          <w:rFonts w:ascii="Times New Roman" w:cs="Times New Roman" w:eastAsia="Times New Roman" w:hAnsi="Times New Roman"/>
          <w:sz w:val="18"/>
          <w:szCs w:val="18"/>
          <w:color w:val="auto"/>
        </w:rPr>
        <w:t>. Unless otherwise specified in the applicable Placement Notice (as amended by the corresponding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 if applicable), settlement for sales of Forward Hedge Securities will occur on the date (each, a “</w:t>
      </w:r>
      <w:r>
        <w:rPr>
          <w:rFonts w:ascii="Times New Roman" w:cs="Times New Roman" w:eastAsia="Times New Roman" w:hAnsi="Times New Roman"/>
          <w:sz w:val="18"/>
          <w:szCs w:val="18"/>
          <w:u w:val="single" w:color="auto"/>
          <w:color w:val="auto"/>
        </w:rPr>
        <w:t>Forward Hedge Settlement Date</w:t>
      </w:r>
      <w:r>
        <w:rPr>
          <w:rFonts w:ascii="Times New Roman" w:cs="Times New Roman" w:eastAsia="Times New Roman" w:hAnsi="Times New Roman"/>
          <w:sz w:val="18"/>
          <w:szCs w:val="18"/>
          <w:color w:val="auto"/>
        </w:rPr>
        <w:t>”) and in the manner agreed to by the applicable Forward Seller and the applicable Forward Purchaser.</w:t>
      </w:r>
    </w:p>
    <w:p>
      <w:pPr>
        <w:spacing w:after="0" w:line="65" w:lineRule="exact"/>
        <w:rPr>
          <w:rFonts w:ascii="Times New Roman" w:cs="Times New Roman" w:eastAsia="Times New Roman" w:hAnsi="Times New Roman"/>
          <w:sz w:val="18"/>
          <w:szCs w:val="18"/>
          <w:color w:val="auto"/>
        </w:rPr>
      </w:pPr>
    </w:p>
    <w:p>
      <w:pPr>
        <w:ind w:right="100" w:firstLine="436"/>
        <w:spacing w:after="0" w:line="267" w:lineRule="auto"/>
        <w:tabs>
          <w:tab w:leader="none" w:pos="6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Denominations; Registration. </w:t>
      </w:r>
      <w:r>
        <w:rPr>
          <w:rFonts w:ascii="Times New Roman" w:cs="Times New Roman" w:eastAsia="Times New Roman" w:hAnsi="Times New Roman"/>
          <w:sz w:val="18"/>
          <w:szCs w:val="18"/>
          <w:color w:val="auto"/>
        </w:rPr>
        <w:t>The Securities shall be in such denominations and registered in such names as the Sales Agents or the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Sellers, as applicable, may request in writing at least one full business day before the Settlement Date. The Company shall deliver the Securities, if any, through the facilities of DTC unless such Sales Agent shall otherwise instruct.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8" w:right="459" w:bottom="1440" w:gutter="0" w:footer="0" w:header="0"/>
        </w:sectPr>
      </w:pPr>
    </w:p>
    <w:bookmarkStart w:id="45" w:name="page46"/>
    <w:bookmarkEnd w:id="45"/>
    <w:p>
      <w:pPr>
        <w:ind w:left="4" w:right="340" w:firstLine="436"/>
        <w:spacing w:after="0" w:line="262" w:lineRule="auto"/>
        <w:tabs>
          <w:tab w:leader="none" w:pos="6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Limitations on Offering Size</w:t>
      </w:r>
      <w:r>
        <w:rPr>
          <w:rFonts w:ascii="Times New Roman" w:cs="Times New Roman" w:eastAsia="Times New Roman" w:hAnsi="Times New Roman"/>
          <w:sz w:val="18"/>
          <w:szCs w:val="18"/>
          <w:color w:val="auto"/>
        </w:rPr>
        <w:t>. Under no circumstances shall the Company cause or request the offer or sale of any Securities, if after giving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to the sale of such Securities, the aggregate offering price of the Securities sold pursuant to this Agreement would exceed the lesser of</w:t>
      </w:r>
    </w:p>
    <w:p>
      <w:pPr>
        <w:ind w:left="4" w:hanging="4"/>
        <w:spacing w:after="0" w:line="252" w:lineRule="auto"/>
        <w:tabs>
          <w:tab w:leader="none" w:pos="29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all the sales of Securities under this Agreement, the Maximum Amount, (B) the amount available for offer and sale under the currently effective Registration Statement, if applicable, and (C) the amount authorized from time to time to be offered and sold under this Agreement by the Company and notified to the Sales Agents, the Forward Sellers and the Forward Purchasers in writing. Under no circumstances shall the Company cause or request the offer or sale of any Securities pursuant to this Agreement at a price lower than the minimum price authorized from time to time by the Company and notified to the Sales Agents, the Forward Sellers and the Forward Purchasers in writing. Further, under no circumstances shall the aggregate offering price of Securities sold pursuant to this Agreement, including any separate underwriting or similar agreement covering principal transactions referred to in Section 1 of this Agreement, exceed the Maximum Amount.</w:t>
      </w:r>
    </w:p>
    <w:p>
      <w:pPr>
        <w:spacing w:after="0" w:line="186" w:lineRule="exact"/>
        <w:rPr>
          <w:rFonts w:ascii="Times New Roman" w:cs="Times New Roman" w:eastAsia="Times New Roman" w:hAnsi="Times New Roman"/>
          <w:sz w:val="18"/>
          <w:szCs w:val="18"/>
          <w:color w:val="auto"/>
        </w:rPr>
      </w:pPr>
    </w:p>
    <w:p>
      <w:pPr>
        <w:ind w:left="4" w:right="40" w:firstLine="436"/>
        <w:spacing w:after="0" w:line="267" w:lineRule="auto"/>
        <w:tabs>
          <w:tab w:leader="none" w:pos="699"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Limitation on Sales Agents and Forward Sellers</w:t>
      </w:r>
      <w:r>
        <w:rPr>
          <w:rFonts w:ascii="Times New Roman" w:cs="Times New Roman" w:eastAsia="Times New Roman" w:hAnsi="Times New Roman"/>
          <w:sz w:val="17"/>
          <w:szCs w:val="17"/>
          <w:color w:val="auto"/>
        </w:rPr>
        <w:t>. The Company agrees that any offer to sell, any solicitation of an offer to buy or any sales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Securities shall only be effected by or through, on any single given day, only one of the Sales Agents or the Forward Sellers, and in no event more than one, and the Company shall in no event request that a Sales Agent and a Forward Seller sell Securities on the same day;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 the foregoing limitation shall not apply to (i) exercise of any option, warrant, right or any conversion privilege set forth in the instrument governing such security or (ii) sales solely to employees or security holders of the Company or its subsidiaries, or to a trustee or other person acquiring such securities for the accounts of such persons, and (b) such limitation shall not apply on any day during which no sales are made pursuant to this Agreement. Notwithstanding the foregoing or anything to the contrary contained herein, the Company shall be permitted, at any time and from time to time, to engage one or more additional agents and/or principals and/or forward sellers, that, once engaged, may offer to sell, solicit an offer to buy or sell the Securities, and at such time(s) a Sales Agent or a Forward Seller (x) shall promptly, upon request by the Company, enter into an amendment to this Agreement, or into a new agreement superseding this Agreement upon terms and conditions substantially similar to those contained herein or such other terms and conditions otherwise agreed to between such Sales Agent or such Forward Seller and the Company, providing for such engagement(s) and/or</w:t>
      </w:r>
    </w:p>
    <w:p>
      <w:pPr>
        <w:spacing w:after="0" w:line="4"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shall agree to cooperate with and do such other things reasonably requested by the Company in order to allow for such engagement(s).</w:t>
      </w:r>
    </w:p>
    <w:p>
      <w:pPr>
        <w:spacing w:after="0" w:line="96" w:lineRule="exact"/>
        <w:rPr>
          <w:rFonts w:ascii="Times New Roman" w:cs="Times New Roman" w:eastAsia="Times New Roman" w:hAnsi="Times New Roman"/>
          <w:sz w:val="17"/>
          <w:szCs w:val="17"/>
          <w:color w:val="auto"/>
        </w:rPr>
      </w:pPr>
    </w:p>
    <w:p>
      <w:pPr>
        <w:ind w:left="4" w:right="20" w:firstLine="436"/>
        <w:spacing w:after="0" w:line="254" w:lineRule="auto"/>
        <w:tabs>
          <w:tab w:leader="none" w:pos="65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Period for Restriction on Offers and Sales. </w:t>
      </w:r>
      <w:r>
        <w:rPr>
          <w:rFonts w:ascii="Times New Roman" w:cs="Times New Roman" w:eastAsia="Times New Roman" w:hAnsi="Times New Roman"/>
          <w:sz w:val="18"/>
          <w:szCs w:val="18"/>
          <w:color w:val="auto"/>
        </w:rPr>
        <w:t>Notwithstanding any other provision of this Agreement, the Company shall not offer, sell or deliver,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request the offer or sale of, any Securities and, by notice to a Sales Agent (in the case of an Issuance) or a Forward Seller and a Forward Purchaser (in the case of a Forward) given by telephone (confirmed promptly by email), shall cancel any instructions for the offer or sale of any Securities, and such Sales Agent, or such Forward Seller, as applicable, shall not be obligated to offer or sell any Securities, (i) during any period in which the Company is, or could be deemed to be, in possession of material non-public information or (ii) except as provided in Section 6(j) below, at any time from and including the date (each, an “</w:t>
      </w:r>
      <w:r>
        <w:rPr>
          <w:rFonts w:ascii="Times New Roman" w:cs="Times New Roman" w:eastAsia="Times New Roman" w:hAnsi="Times New Roman"/>
          <w:sz w:val="18"/>
          <w:szCs w:val="18"/>
          <w:u w:val="single" w:color="auto"/>
          <w:color w:val="auto"/>
        </w:rPr>
        <w:t>Announcement Date</w:t>
      </w:r>
      <w:r>
        <w:rPr>
          <w:rFonts w:ascii="Times New Roman" w:cs="Times New Roman" w:eastAsia="Times New Roman" w:hAnsi="Times New Roman"/>
          <w:sz w:val="18"/>
          <w:szCs w:val="18"/>
          <w:color w:val="auto"/>
        </w:rPr>
        <w:t>”) on which the Company shall issue a press release containing, or shall otherwise publicly announce, its earnings, revenues or other results of operations (each, an “</w:t>
      </w:r>
      <w:r>
        <w:rPr>
          <w:rFonts w:ascii="Times New Roman" w:cs="Times New Roman" w:eastAsia="Times New Roman" w:hAnsi="Times New Roman"/>
          <w:sz w:val="18"/>
          <w:szCs w:val="18"/>
          <w:u w:val="single" w:color="auto"/>
          <w:color w:val="auto"/>
        </w:rPr>
        <w:t>Earnings Announcement</w:t>
      </w:r>
      <w:r>
        <w:rPr>
          <w:rFonts w:ascii="Times New Roman" w:cs="Times New Roman" w:eastAsia="Times New Roman" w:hAnsi="Times New Roman"/>
          <w:sz w:val="18"/>
          <w:szCs w:val="18"/>
          <w:color w:val="auto"/>
        </w:rPr>
        <w:t>”) through and including the time that is 24 hours after the time that the Company files (a “</w:t>
      </w:r>
      <w:r>
        <w:rPr>
          <w:rFonts w:ascii="Times New Roman" w:cs="Times New Roman" w:eastAsia="Times New Roman" w:hAnsi="Times New Roman"/>
          <w:sz w:val="18"/>
          <w:szCs w:val="18"/>
          <w:u w:val="single" w:color="auto"/>
          <w:color w:val="auto"/>
        </w:rPr>
        <w:t>Filing Time</w:t>
      </w:r>
      <w:r>
        <w:rPr>
          <w:rFonts w:ascii="Times New Roman" w:cs="Times New Roman" w:eastAsia="Times New Roman" w:hAnsi="Times New Roman"/>
          <w:sz w:val="18"/>
          <w:szCs w:val="18"/>
          <w:color w:val="auto"/>
        </w:rPr>
        <w:t>”) a Quarterly Report on Form 10-Q or an Annual Report on Form 10-K that includes consolidated financial statements as of and for the same period or periods, as the case may be, covered by such Earnings Announcement.</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8" w:right="459" w:bottom="1440" w:gutter="0" w:footer="0" w:header="0"/>
        </w:sectPr>
      </w:pPr>
    </w:p>
    <w:bookmarkStart w:id="46" w:name="page47"/>
    <w:bookmarkEnd w:id="46"/>
    <w:p>
      <w:pPr>
        <w:ind w:left="4" w:right="40" w:firstLine="436"/>
        <w:spacing w:after="0" w:line="267" w:lineRule="auto"/>
        <w:tabs>
          <w:tab w:leader="none" w:pos="659"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Removal of Restriction on Offers and Sales. </w:t>
      </w:r>
      <w:r>
        <w:rPr>
          <w:rFonts w:ascii="Times New Roman" w:cs="Times New Roman" w:eastAsia="Times New Roman" w:hAnsi="Times New Roman"/>
          <w:sz w:val="17"/>
          <w:szCs w:val="17"/>
          <w:color w:val="auto"/>
        </w:rPr>
        <w:t>If the Company wishes that Securities be offered, sold and/or delivered at any time during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from and including an Announcement Date through and including the time that is 24 hours after the corresponding Filing Time, the Company shall (i) prepare and deliver to the applicable Sales Agent (in the case of an Issuance) or the applicable Forward Seller and the applicable Forward Purchaser (in the case of a Forward) (with a copy to their respective counsel) a Current Report on Form 8-K which shall include substantially the same financial and related information as was set forth in the relevant Earnings Announcement (other than any earnings projections, similar forward-looking data and officers’ quotations) (each, an “</w:t>
      </w:r>
      <w:r>
        <w:rPr>
          <w:rFonts w:ascii="Times New Roman" w:cs="Times New Roman" w:eastAsia="Times New Roman" w:hAnsi="Times New Roman"/>
          <w:sz w:val="17"/>
          <w:szCs w:val="17"/>
          <w:u w:val="single" w:color="auto"/>
          <w:color w:val="auto"/>
        </w:rPr>
        <w:t>Earnings 8-K</w:t>
      </w:r>
      <w:r>
        <w:rPr>
          <w:rFonts w:ascii="Times New Roman" w:cs="Times New Roman" w:eastAsia="Times New Roman" w:hAnsi="Times New Roman"/>
          <w:sz w:val="17"/>
          <w:szCs w:val="17"/>
          <w:color w:val="auto"/>
        </w:rPr>
        <w:t>”), in form and substance reasonably satisfactory to such Sales Agent or such Forward Seller and such Forward Purchaser, as applicable, and obtain the consent of such Sales Agent or such Forward Seller and such Forward Purchaser, as applicable, to such filing thereof (such consent not to be unreasonably withheld), (ii) provide such Sales Agent or such Forward Seller and such Forward Purchaser, as applicable, with the officer’s certificate, opinions/letters of counsel and accountants’ letter called for by Sections 7(o), (p) and (q) hereof; respectively,</w:t>
      </w:r>
    </w:p>
    <w:p>
      <w:pPr>
        <w:spacing w:after="0" w:line="7" w:lineRule="exact"/>
        <w:rPr>
          <w:rFonts w:ascii="Times New Roman" w:cs="Times New Roman" w:eastAsia="Times New Roman" w:hAnsi="Times New Roman"/>
          <w:sz w:val="17"/>
          <w:szCs w:val="17"/>
          <w:color w:val="auto"/>
        </w:rPr>
      </w:pPr>
    </w:p>
    <w:p>
      <w:pPr>
        <w:ind w:left="4" w:hanging="4"/>
        <w:spacing w:after="0" w:line="250" w:lineRule="auto"/>
        <w:tabs>
          <w:tab w:leader="none" w:pos="3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afford such Sales Agent or such Forward Seller and such Forward Purchaser, as applicable, the opportunity to conduct a due diligence review in accordance with Section 7(m) hereof and (iv) file such Earnings 8-K with the Commission, then the provisions of clause (iii) of Section 6(i) shall not be applicable for the period from and after the time at which the foregoing conditions shall have been satisfied (or, if later, the time that is 24 hours after the time that the relevant Earnings Announcement was first publicly released) through and including the time that is 24 hours after the Filing Time of the relevant Quarterly Report on Form 10-Q or Annual Report on Form 10-K under the Exchange Act, as the case may be. For purposes of clarity, the parties hereto agree that (A) the delivery of any officer’s certificate, opinions/letters of counsel and accountants’ letter pursuant to this Section 6(j) shall not relieve the Company from any of its obligations under this Agreement with respect to any Quarterly Report on Form 10-Q or Annual Report on Form 10-K, as the case may be, including, without limitation, the obligation to deliver officer’s certificates, opinions/letters of counsel and accountants’ letters as provided in Sections 7(o), (p) and (q) hereof and (B) this Section 6(i) shall in no way affect or limit the operation of the provisions of clauses</w:t>
      </w:r>
    </w:p>
    <w:p>
      <w:pPr>
        <w:spacing w:after="0" w:line="3"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of Section 6(i), which shall have independent application.</w:t>
      </w:r>
    </w:p>
    <w:p>
      <w:pPr>
        <w:spacing w:after="0" w:line="207"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Covenants of the Company and the Operating Partnership</w:t>
      </w:r>
      <w:r>
        <w:rPr>
          <w:rFonts w:ascii="Times New Roman" w:cs="Times New Roman" w:eastAsia="Times New Roman" w:hAnsi="Times New Roman"/>
          <w:sz w:val="18"/>
          <w:szCs w:val="18"/>
          <w:color w:val="auto"/>
        </w:rPr>
        <w:t>. Each of the Company and the Operating Partnership jointly and severally agree and covenant with the Sales Agents, the Forward Sellers and the Forward Purchasers as follows:</w:t>
      </w:r>
    </w:p>
    <w:p>
      <w:pPr>
        <w:spacing w:after="0" w:line="52" w:lineRule="exact"/>
        <w:rPr>
          <w:sz w:val="20"/>
          <w:szCs w:val="20"/>
          <w:color w:val="auto"/>
        </w:rPr>
      </w:pPr>
    </w:p>
    <w:p>
      <w:pPr>
        <w:ind w:left="4" w:firstLine="436"/>
        <w:spacing w:after="0" w:line="258" w:lineRule="auto"/>
        <w:tabs>
          <w:tab w:leader="none" w:pos="6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Statement Amendments</w:t>
      </w:r>
      <w:r>
        <w:rPr>
          <w:rFonts w:ascii="Times New Roman" w:cs="Times New Roman" w:eastAsia="Times New Roman" w:hAnsi="Times New Roman"/>
          <w:sz w:val="18"/>
          <w:szCs w:val="18"/>
          <w:color w:val="auto"/>
        </w:rPr>
        <w:t>. After the date of this Agreement and during any Selling Period or period in which a Prospectus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Securities is required to be delivered by the Sales Agents or the Forward Sellers under the Securities Act (including in circumstances where such requirement may be satisfied pursuant to Rule 172 under the Securities Act), (i) the Company will notify the Sales Agents, the Forward Sellers and the Forward Purchasers promptly of the time when any subsequent amendment to the Registration Statement, other than documents incorporated by reference, has been filed with the Commission and/or has become effective or any subsequent supplement to the Prospectus has been filed and of any</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68" w:right="459" w:bottom="1440" w:gutter="0" w:footer="0" w:header="0"/>
        </w:sectPr>
      </w:pPr>
    </w:p>
    <w:bookmarkStart w:id="47" w:name="page48"/>
    <w:bookmarkEnd w:id="47"/>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comment letter from the Commission or any request by the Commission for any amendment or supplement to the Registration Statement or Prospectus or for additional information; (ii) the Company will prepare and file with the Commission, promptly upon a Sales Agent’s, a Forward Seller’s or a Forward Purchaser’s request, any amendments or supplements to the Registration Statement or Prospectus that, in such Sales Agent’s, such Forward Seller’s or such Forward Purchaser’s reasonable opinion, may be necessary or advisable in connection with the distribution of the Securities by such Sales Agent or such Forward Seller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such Sales Agent, such Forward Seller or Forward Purchaser to make such request shall not relieve the Company of any obligation or liability hereunder, or affect such Sales Agent’s, such Forward Seller’s or such Forward Purchaser’s right to rely on the representations and warranties made by the Company in this Agreement); (iii) the Company will not file any amendment or supplement to the Registration Statement or Prospectus, other than documents incorporated by reference, relating to the Securities or a security convertible into the Securities unless a copy thereof has been submitted to such Sales Agent, such Forward Seller and such Forward Purchaser within a reasonable period of time before the filing and such Sales Agent, such Forward Seller and such Forward Purchaser has not reasonably objected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such Sales Agent, such Forward Seller or such Forward Purchaser to make such objection shall not relieve the Company of any obligation or liability hereunder, or affect such Sales Agent’s, such Forward Seller’s or such Forward Purchaser’s right to rely on the representations and warranties made by the Company in this Agreement) and the Company will furnish to such Sales Agent, such Forward Seller or such Forward Purchaser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other than documents incorporated by reference, to be filed with the Commission as required pursuant to the applicable paragraph of Rule 424(b) of the Securities Act (without reliance on Rule 424(b)(8) of the Securities Act).</w:t>
      </w:r>
    </w:p>
    <w:p>
      <w:pPr>
        <w:spacing w:after="0" w:line="83" w:lineRule="exact"/>
        <w:rPr>
          <w:sz w:val="20"/>
          <w:szCs w:val="20"/>
          <w:color w:val="auto"/>
        </w:rPr>
      </w:pPr>
    </w:p>
    <w:p>
      <w:pPr>
        <w:ind w:firstLine="436"/>
        <w:spacing w:after="0" w:line="254"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Commission Stop Orders</w:t>
      </w:r>
      <w:r>
        <w:rPr>
          <w:rFonts w:ascii="Times New Roman" w:cs="Times New Roman" w:eastAsia="Times New Roman" w:hAnsi="Times New Roman"/>
          <w:sz w:val="18"/>
          <w:szCs w:val="18"/>
          <w:color w:val="auto"/>
        </w:rPr>
        <w:t>. The Company will advise the Sales Agents, the Forward Sellers and the Forward Purchasers promptly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receives notice or obtains knowledge thereof, of the issuance or threatened issuance by the Commission of any stop order suspending the effectiveness of the Registration Statement or of any other order preventing or suspending the use of the Prospectus or any Issuer Free Writing Prospectus, or of the suspension of the qualification of the Securities for offering or sale in any jurisdiction or of the loss or suspension of any exemption from any such qualification, or of the initiation or threatening of any proceedings for any of such purposes, or of any examination pursuant to Section 8(e) of the Securities Act concerning the Registration Statement or if the Company becomes the subject of a proceeding under Section 8A of the Securities Act in connection with the offering of the Securities. The Company will make every reasonable effort to prevent the issuance of any stop order, the suspension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48" w:name="page49"/>
    <w:bookmarkEnd w:id="48"/>
    <w:p>
      <w:pPr>
        <w:ind w:right="160" w:firstLine="436"/>
        <w:spacing w:after="0" w:line="270" w:lineRule="auto"/>
        <w:tabs>
          <w:tab w:leader="none" w:pos="68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Registration Statement and Prospectus</w:t>
      </w:r>
      <w:r>
        <w:rPr>
          <w:rFonts w:ascii="Times New Roman" w:cs="Times New Roman" w:eastAsia="Times New Roman" w:hAnsi="Times New Roman"/>
          <w:sz w:val="17"/>
          <w:szCs w:val="17"/>
          <w:color w:val="auto"/>
        </w:rPr>
        <w:t>. The Company will furnish to the Sales Agents, the Forward Sellers, the Forward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Purchasers and their respective counsel (at the expense of the Company) copies of the Registration Statement, the Prospectus (including all documents incorporated by reference therein) and all amendments and supplements to the Registration Statement or Prospectus, and any Issuer Free Writing Prospectuses, that are filed with the Commission during any Selling Period or period in which a Prospectus relating to the Securities is required to be delivered under the Securities Act (including all documents filed with the Commission during such period that are deemed to be incorporated by reference therein), in each case as soon as reasonably practicable and in such quantities and at such locations as the Sales Agents, the Forward Sellers and the Forward Purchasers may from time to time reasonably request; provided, however, the Company shall not be required to furnish to a Sales Agent, a Forward Seller or a Forward Purchaser any document that is available via EDGAR. The copies of the Registration Statement and the Prospectus and any supplements or amendments thereto furnished to a Sales Agent, a Forward Seller or a Forward Purchaser will be identical to the electronically transmitted copies thereof filed with the Commission pursuant to EDGAR, except to the extent permitted by Regulation S-T.</w:t>
      </w:r>
    </w:p>
    <w:p>
      <w:pPr>
        <w:spacing w:after="0" w:line="68" w:lineRule="exact"/>
        <w:rPr>
          <w:rFonts w:ascii="Times New Roman" w:cs="Times New Roman" w:eastAsia="Times New Roman" w:hAnsi="Times New Roman"/>
          <w:sz w:val="17"/>
          <w:szCs w:val="17"/>
          <w:color w:val="auto"/>
        </w:rPr>
      </w:pPr>
    </w:p>
    <w:p>
      <w:pPr>
        <w:ind w:firstLine="436"/>
        <w:spacing w:after="0" w:line="252"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If at any time during any Selling Period or period when a Prospectus is required by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or the Exchange Act to be delivered in connection with a pending sale of the Securities (including, without limitation, pursuant to Rule 172), any event shall occur or condition shall exist as a result of which it is necessary, in the opinion of counsel for the Sales Agents, the Forward Sellers or the Forward Purchasers or counsel to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Securities Act, the Company will promptly notify the Sales Agents or the Forward Sellers and the Forward Purchasers, as applicable, to suspend the offering of Securities during such period and the Company will promptly prepare and file with the Commission such amendment, supplement or new registration statement as may be necessary to correct such statement or omission or to comply with such requirements, the Company will use its reasonable best efforts to have such amendment or new registration statement declared effective as soon as practicable (if it is not an automatic shelf registration statement with respect to the Securities) and the Company will furnish to the Sales Agents, the Forward Sellers and the Forward Purchasers such number of copies of such amendment, supplement or new registration statement as the Sales Agents, the Forward Sellers and the Forward Purchasers may reasonably request. If at any time following issuance of an Issuer Free Writing Prospectus there occurred or occurs an event or development as a result of which such Issuer Free Writing Prospectus conflicted, conflicts or would conflict with the information contained in the Registration Statement or the Prospectus or included, includes or would include an untrue statement of a material fact or omitted, omits or would omit to state a material fact necessary in order to make the statements therein, in the light of the circumstances, prevailing at that subsequent time, not misleading, the Company will promptly notify the Sales Agents or the Forward Sellers and the Forward Purchasers, as applicable, to suspend the offering of Securities during such period and the Company will, subject to Section 7(a) hereof, promptly amend or supplement, at its own expense, such Issuer Free Writing Prospectus to eliminate or correct such conflict, untrue statement or omission.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8" w:right="459" w:bottom="1440" w:gutter="0" w:footer="0" w:header="0"/>
        </w:sectPr>
      </w:pPr>
    </w:p>
    <w:bookmarkStart w:id="49" w:name="page50"/>
    <w:bookmarkEnd w:id="49"/>
    <w:p>
      <w:pPr>
        <w:ind w:left="-20" w:firstLine="436"/>
        <w:spacing w:after="0" w:line="271" w:lineRule="auto"/>
        <w:tabs>
          <w:tab w:leader="none" w:pos="66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Blue Sky and Other Qualifications. </w:t>
      </w:r>
      <w:r>
        <w:rPr>
          <w:rFonts w:ascii="Times New Roman" w:cs="Times New Roman" w:eastAsia="Times New Roman" w:hAnsi="Times New Roman"/>
          <w:sz w:val="17"/>
          <w:szCs w:val="17"/>
          <w:color w:val="auto"/>
        </w:rPr>
        <w:t>The Company will use its commercially reasonable efforts, in cooperation with the Sales Agents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Forward Sellers, to qualify the Securities for offering and sale, or to obtain an exemption for the Securities to be offered and sold, under the applicable securities laws of such states and other jurisdictions (domestic or foreign) as the Sales Agents and the Forward Sellers may designate and to maintain such qualifications and exemptions in effect for so long as required for the distribution of the Securities (but in no event for less than one year from the date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Securities have been so qualified or exempted, the Company will file such statements and reports as may be required by the laws of such jurisdiction to continue such qualification or exemption, as the case may be, in effect for so long as required for the distribution of the Securities (but in no event for less than one year from the date of this Agreement).</w:t>
      </w:r>
    </w:p>
    <w:p>
      <w:pPr>
        <w:spacing w:after="0" w:line="65" w:lineRule="exact"/>
        <w:rPr>
          <w:rFonts w:ascii="Times New Roman" w:cs="Times New Roman" w:eastAsia="Times New Roman" w:hAnsi="Times New Roman"/>
          <w:sz w:val="17"/>
          <w:szCs w:val="17"/>
          <w:color w:val="auto"/>
        </w:rPr>
      </w:pPr>
    </w:p>
    <w:p>
      <w:pPr>
        <w:jc w:val="both"/>
        <w:ind w:left="-20" w:right="80" w:firstLine="436"/>
        <w:spacing w:after="0" w:line="267" w:lineRule="auto"/>
        <w:tabs>
          <w:tab w:leader="none" w:pos="6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Rule 158. </w:t>
      </w:r>
      <w:r>
        <w:rPr>
          <w:rFonts w:ascii="Times New Roman" w:cs="Times New Roman" w:eastAsia="Times New Roman" w:hAnsi="Times New Roman"/>
          <w:sz w:val="18"/>
          <w:szCs w:val="18"/>
          <w:color w:val="auto"/>
        </w:rPr>
        <w:t>The Company will timely file such reports pursuant to the Exchange Act as are necessary in order to make generally available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securityholders as soon as practicable an earnings statement for the purposes of, and to provide to the Sales Agents and the Forward Sellers the benefits contemplated by, the last paragraph of Section 11(a) of the Securities Act.</w:t>
      </w:r>
    </w:p>
    <w:p>
      <w:pPr>
        <w:spacing w:after="0" w:line="65" w:lineRule="exact"/>
        <w:rPr>
          <w:rFonts w:ascii="Times New Roman" w:cs="Times New Roman" w:eastAsia="Times New Roman" w:hAnsi="Times New Roman"/>
          <w:sz w:val="18"/>
          <w:szCs w:val="18"/>
          <w:color w:val="auto"/>
        </w:rPr>
      </w:pPr>
    </w:p>
    <w:p>
      <w:pPr>
        <w:ind w:left="-20" w:right="280" w:firstLine="436"/>
        <w:spacing w:after="0" w:line="284" w:lineRule="auto"/>
        <w:tabs>
          <w:tab w:leader="none" w:pos="6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by it from the sale of the Securities and the net proceeds received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Confirmation in the manner specified in the Prospectus under the caption “Use of Proceeds.”</w:t>
      </w:r>
    </w:p>
    <w:p>
      <w:pPr>
        <w:spacing w:after="0" w:line="50" w:lineRule="exact"/>
        <w:rPr>
          <w:rFonts w:ascii="Times New Roman" w:cs="Times New Roman" w:eastAsia="Times New Roman" w:hAnsi="Times New Roman"/>
          <w:sz w:val="18"/>
          <w:szCs w:val="18"/>
          <w:color w:val="auto"/>
        </w:rPr>
      </w:pPr>
    </w:p>
    <w:p>
      <w:pPr>
        <w:ind w:left="-20" w:right="380" w:firstLine="436"/>
        <w:spacing w:after="0" w:line="261" w:lineRule="auto"/>
        <w:tabs>
          <w:tab w:leader="none" w:pos="6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Listing. </w:t>
      </w:r>
      <w:r>
        <w:rPr>
          <w:rFonts w:ascii="Times New Roman" w:cs="Times New Roman" w:eastAsia="Times New Roman" w:hAnsi="Times New Roman"/>
          <w:sz w:val="18"/>
          <w:szCs w:val="18"/>
          <w:color w:val="auto"/>
        </w:rPr>
        <w:t>During any Selling Period or any period in which the Prospectus relating to the Securities is required to be delivered by the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Agents or the Forward Sellers under the Securities Act with respect to a pending sale of the Securities (including in circumstances where such requirement may be satisfied pursuant to Rule 172 under the Securities Act), the Company will use its commercially reasonable efforts to cause the Securities and the Confirmation Securities to be listed on the NYSE.</w:t>
      </w:r>
    </w:p>
    <w:p>
      <w:pPr>
        <w:spacing w:after="0" w:line="71" w:lineRule="exact"/>
        <w:rPr>
          <w:rFonts w:ascii="Times New Roman" w:cs="Times New Roman" w:eastAsia="Times New Roman" w:hAnsi="Times New Roman"/>
          <w:sz w:val="18"/>
          <w:szCs w:val="18"/>
          <w:color w:val="auto"/>
        </w:rPr>
      </w:pPr>
    </w:p>
    <w:p>
      <w:pPr>
        <w:ind w:left="-20" w:right="160" w:firstLine="436"/>
        <w:spacing w:after="0" w:line="284" w:lineRule="auto"/>
        <w:tabs>
          <w:tab w:leader="none" w:pos="6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Filings with the NYSE</w:t>
      </w:r>
      <w:r>
        <w:rPr>
          <w:rFonts w:ascii="Times New Roman" w:cs="Times New Roman" w:eastAsia="Times New Roman" w:hAnsi="Times New Roman"/>
          <w:sz w:val="18"/>
          <w:szCs w:val="18"/>
          <w:color w:val="auto"/>
        </w:rPr>
        <w:t>. The Company will timely file with the NYSE all material documents and notices required by the NYSE of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have or will issue securities that are traded on the NYSE.</w:t>
      </w:r>
    </w:p>
    <w:p>
      <w:pPr>
        <w:spacing w:after="0" w:line="50" w:lineRule="exact"/>
        <w:rPr>
          <w:rFonts w:ascii="Times New Roman" w:cs="Times New Roman" w:eastAsia="Times New Roman" w:hAnsi="Times New Roman"/>
          <w:sz w:val="18"/>
          <w:szCs w:val="18"/>
          <w:color w:val="auto"/>
        </w:rPr>
      </w:pPr>
    </w:p>
    <w:p>
      <w:pPr>
        <w:ind w:left="-20" w:right="180" w:firstLine="436"/>
        <w:spacing w:after="0" w:line="261" w:lineRule="auto"/>
        <w:tabs>
          <w:tab w:leader="none" w:pos="6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Reporting Requirements. </w:t>
      </w:r>
      <w:r>
        <w:rPr>
          <w:rFonts w:ascii="Times New Roman" w:cs="Times New Roman" w:eastAsia="Times New Roman" w:hAnsi="Times New Roman"/>
          <w:sz w:val="18"/>
          <w:szCs w:val="18"/>
          <w:color w:val="auto"/>
        </w:rPr>
        <w:t>The Company, during any Selling Period or period when the Prospectus is required to be delivered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and the Exchange Act (including in circumstances where such requirement may be satisfied pursuant to Rule 172 under the Securities Act), will file all documents required to be filed with the Commission pursuant to the Exchange Act within the time periods required by the Exchange Act.</w:t>
      </w:r>
    </w:p>
    <w:p>
      <w:pPr>
        <w:spacing w:after="0" w:line="71" w:lineRule="exact"/>
        <w:rPr>
          <w:rFonts w:ascii="Times New Roman" w:cs="Times New Roman" w:eastAsia="Times New Roman" w:hAnsi="Times New Roman"/>
          <w:sz w:val="18"/>
          <w:szCs w:val="18"/>
          <w:color w:val="auto"/>
        </w:rPr>
      </w:pPr>
    </w:p>
    <w:p>
      <w:pPr>
        <w:jc w:val="both"/>
        <w:ind w:left="-20" w:right="400" w:firstLine="436"/>
        <w:spacing w:after="0" w:line="267" w:lineRule="auto"/>
        <w:tabs>
          <w:tab w:leader="none" w:pos="6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Other Sales</w:t>
      </w:r>
      <w:r>
        <w:rPr>
          <w:rFonts w:ascii="Times New Roman" w:cs="Times New Roman" w:eastAsia="Times New Roman" w:hAnsi="Times New Roman"/>
          <w:sz w:val="18"/>
          <w:szCs w:val="18"/>
          <w:color w:val="auto"/>
        </w:rPr>
        <w:t>. During the pendency of any Placement Notice (as amended by the corresponding Acceptance, if applicable) given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the Company shall provide the Sales Agents, the Forward Sellers and the Forward Purchasers notice as promptly as reasonably possible before it offers to sell, contracts to sell, sells, grants any option to sell or otherwise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60" w:top="268" w:right="479" w:bottom="1440" w:gutter="0" w:footer="0" w:header="0"/>
        </w:sectPr>
      </w:pPr>
    </w:p>
    <w:bookmarkStart w:id="50" w:name="page51"/>
    <w:bookmarkEnd w:id="5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disposes of any Common Shares (other than Securities offered pursuant to the provisions of this Agreement) or securities convertible into or exchangeable for Common Shares, warrants or any rights to purchase or acquire Common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notice shall not be required in connection with (i) the issuance, grant or sale of Common Shares, options to purchase Common Shares or Common Shares issuable upon the exercise of options or other equity awards pursuant to any stock option, stock bonus or other stock or compensatory plan or arrangement, or any similar plan or arrangement, described in the Prospectus, (ii) the issuance of securities in connection with an acquisition, merger or sale or purchase of assets described in the Prospectus, (iii) the issuance or sale of Common Shares pursuant to any dividend reinvestment and/or share purchase plan currently in effect or established subsequent to the date hereof and disclosed in a report filed pursuant to the Exchange Act (excluding Current Reports of Form 8-K responsive to Item 2.02 or Item 7.01 of such form), (iv) the issuance of securities upon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(v) a non-material acquisition, merger or purchase of assets, (vi) the issuance or sale of Common Shares pursuant to the exercise of contractual rights described in the Registration Statement and the Prospectus by the current holders of partnership or other interests in certain “DownREIT” and other subsidiaries which may result in the issuance of Common Shares of the Company, (vii) the issuance of an immaterial amount of Common Shares in connection with the conversion or redemption of OP Units, and (viii) the issuance of OP Units or preferred interests in the Operating Partnership in connection with the acquisition of additional properties disclosed in the Registration Statement and the Prospectus.</w:t>
      </w:r>
    </w:p>
    <w:p>
      <w:pPr>
        <w:spacing w:after="0" w:line="86" w:lineRule="exact"/>
        <w:rPr>
          <w:sz w:val="20"/>
          <w:szCs w:val="20"/>
          <w:color w:val="auto"/>
        </w:rPr>
      </w:pPr>
    </w:p>
    <w:p>
      <w:pPr>
        <w:ind w:firstLine="436"/>
        <w:spacing w:after="0" w:line="261"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Circumstances</w:t>
      </w:r>
      <w:r>
        <w:rPr>
          <w:rFonts w:ascii="Times New Roman" w:cs="Times New Roman" w:eastAsia="Times New Roman" w:hAnsi="Times New Roman"/>
          <w:sz w:val="18"/>
          <w:szCs w:val="18"/>
          <w:color w:val="auto"/>
        </w:rPr>
        <w:t>. The Company will, prior to tendering a Placement Notice or selling Securities, advise the Sales Agents, the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Sellers and the Forward Purchasers promptly after it shall have received notice or obtained knowledge thereof, of any information or fact that would alter or affect in any material respect any opinion, certificate, letter or other document provided to the Sales Agents, the Forward Sellers and the Forward Purchasers pursuant to this Agreement.</w:t>
      </w:r>
    </w:p>
    <w:p>
      <w:pPr>
        <w:spacing w:after="0" w:line="71" w:lineRule="exact"/>
        <w:rPr>
          <w:rFonts w:ascii="Times New Roman" w:cs="Times New Roman" w:eastAsia="Times New Roman" w:hAnsi="Times New Roman"/>
          <w:sz w:val="18"/>
          <w:szCs w:val="18"/>
          <w:color w:val="auto"/>
        </w:rPr>
      </w:pPr>
    </w:p>
    <w:p>
      <w:pPr>
        <w:ind w:right="320" w:firstLine="436"/>
        <w:spacing w:after="0" w:line="261" w:lineRule="auto"/>
        <w:tabs>
          <w:tab w:leader="none" w:pos="74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Diligence Cooperation</w:t>
      </w:r>
      <w:r>
        <w:rPr>
          <w:rFonts w:ascii="Times New Roman" w:cs="Times New Roman" w:eastAsia="Times New Roman" w:hAnsi="Times New Roman"/>
          <w:sz w:val="18"/>
          <w:szCs w:val="18"/>
          <w:color w:val="auto"/>
        </w:rPr>
        <w:t>. The Company will cooperate with any reasonable due diligence review conducted by the Sales Agents,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 Sellers and the Forward Purchasers, or their respective agents in connection with the transactions contemplated hereby, including, without limitation, providing information and making available documents and senior officers, during regular business hours and at the Company’s principal offices, as the Sales Agents, the Forward Sellers or the Forward Purchasers may reasonably request.</w:t>
      </w:r>
    </w:p>
    <w:p>
      <w:pPr>
        <w:spacing w:after="0" w:line="71" w:lineRule="exact"/>
        <w:rPr>
          <w:rFonts w:ascii="Times New Roman" w:cs="Times New Roman" w:eastAsia="Times New Roman" w:hAnsi="Times New Roman"/>
          <w:sz w:val="18"/>
          <w:szCs w:val="18"/>
          <w:color w:val="auto"/>
        </w:rPr>
      </w:pPr>
    </w:p>
    <w:p>
      <w:pPr>
        <w:ind w:right="220" w:firstLine="436"/>
        <w:spacing w:after="0" w:line="267"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of Sales. </w:t>
      </w:r>
      <w:r>
        <w:rPr>
          <w:rFonts w:ascii="Times New Roman" w:cs="Times New Roman" w:eastAsia="Times New Roman" w:hAnsi="Times New Roman"/>
          <w:sz w:val="18"/>
          <w:szCs w:val="18"/>
          <w:color w:val="auto"/>
        </w:rPr>
        <w:t>The Company will disclose in its quarterly reports on Form 10-Q, in its annual report on Form 10-K and/or in a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8-K, the number of Securities sold under this Agreement, the Net Proceeds to the Company and the compensation payable by the Company with respect to such sales.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51" w:name="page52"/>
    <w:bookmarkEnd w:id="51"/>
    <w:p>
      <w:pPr>
        <w:ind w:right="140" w:firstLine="436"/>
        <w:spacing w:after="0" w:line="284"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 Dates; Certificates</w:t>
      </w:r>
      <w:r>
        <w:rPr>
          <w:rFonts w:ascii="Times New Roman" w:cs="Times New Roman" w:eastAsia="Times New Roman" w:hAnsi="Times New Roman"/>
          <w:sz w:val="18"/>
          <w:szCs w:val="18"/>
          <w:color w:val="auto"/>
        </w:rPr>
        <w:t>. On or prior to the date that the first Securities are sold pursuant to the terms of this Agreement, each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are delivered to a Sales Agent as principal on a Settlement Date and:</w:t>
      </w:r>
    </w:p>
    <w:p>
      <w:pPr>
        <w:spacing w:after="0" w:line="52"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 the Company:</w:t>
      </w:r>
    </w:p>
    <w:p>
      <w:pPr>
        <w:spacing w:after="0" w:line="130" w:lineRule="exact"/>
        <w:rPr>
          <w:rFonts w:ascii="Times New Roman" w:cs="Times New Roman" w:eastAsia="Times New Roman" w:hAnsi="Times New Roman"/>
          <w:sz w:val="18"/>
          <w:szCs w:val="18"/>
          <w:color w:val="auto"/>
        </w:rPr>
      </w:pPr>
    </w:p>
    <w:p>
      <w:pPr>
        <w:ind w:left="1960" w:right="60" w:hanging="533"/>
        <w:spacing w:after="0" w:line="266" w:lineRule="auto"/>
        <w:tabs>
          <w:tab w:leader="none" w:pos="196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the Prospectus relating to the Securities or amends or supplements the Registration Statement or the Prospectus relating to the Securities by means of a post-effective amendment, sticker, or supplement but not by means of incorporation of documents by reference into the Registration Statement or the Prospectus relating to the Securities;</w:t>
      </w:r>
    </w:p>
    <w:p>
      <w:pPr>
        <w:spacing w:after="0" w:line="81"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Quarterly Report on Form 10-Q under the Exchange Act; or</w:t>
      </w:r>
    </w:p>
    <w:p>
      <w:pPr>
        <w:spacing w:after="0" w:line="130" w:lineRule="exact"/>
        <w:rPr>
          <w:rFonts w:ascii="Times New Roman" w:cs="Times New Roman" w:eastAsia="Times New Roman" w:hAnsi="Times New Roman"/>
          <w:sz w:val="18"/>
          <w:szCs w:val="18"/>
          <w:color w:val="auto"/>
        </w:rPr>
      </w:pPr>
    </w:p>
    <w:p>
      <w:pPr>
        <w:ind w:left="1960" w:right="200" w:hanging="533"/>
        <w:spacing w:after="0" w:line="282" w:lineRule="auto"/>
        <w:tabs>
          <w:tab w:leader="none" w:pos="196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Current Report on Form 8-K containing amended financial information (other than an earnings release, to “furnish” information pursuant to Items 2.02 or 7.01 of Form 8-K) under the Exchange Act; and</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1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other time reasonably requested by the Sales Agents, the Forward Sellers or the Forward Purchasers (each such date of filing of one or more of the documents referred to in clauses (1)(i) through (iv) and any time of request pursuant to this Section 7(o) shall be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 xml:space="preserve">the Company shall furnish the Sales Agents, the Forward Sellers and the Forward Purchasers with a certificate, in the form attached hereto as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xml:space="preserve"> as promptly as possible and in no event later than three (3) Trading Days of any Representation Date. The requirement to provide a certificate under this Section 7(o) shall be waived for any Representation Date occurring at a time at which no Placement Notice (as amended by the corresponding Acceptance, if applicable) is pending, which waiver shall continue until the earlier to occur of the date the Company delivers a Placement Notice hereunder (which for such calendar quarter shall be considered a Representation Date) and the next occurring Representation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such waiver shall not apply for any Representation Date on which the Company files its annual report on Form 10-K. Notwithstanding the foregoing, if the Company subsequently decides that Securities be offered and sold following a Representation Date when the Company relied on such waiver and did not provide the Sales Agents, the Forward Sellers and the Forward Purchasers with a certificate under this Section 7(o), then before the Company delivers the Placement Notice or the Sales Agents or the Forward Sellers sell any Securities, the Company shall provide the Sales Agents, the Forward Sellers and the Forward Purchasers with a certificate, in the form attached hereto as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dated the date of the Placement Notice.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68" w:right="479" w:bottom="1440" w:gutter="0" w:footer="0" w:header="0"/>
        </w:sectPr>
      </w:pPr>
    </w:p>
    <w:bookmarkStart w:id="52" w:name="page53"/>
    <w:bookmarkEnd w:id="52"/>
    <w:p>
      <w:pPr>
        <w:ind w:left="-20" w:firstLine="436"/>
        <w:spacing w:after="0" w:line="253" w:lineRule="auto"/>
        <w:tabs>
          <w:tab w:leader="none" w:pos="6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Legal Opinions</w:t>
      </w:r>
      <w:r>
        <w:rPr>
          <w:rFonts w:ascii="Times New Roman" w:cs="Times New Roman" w:eastAsia="Times New Roman" w:hAnsi="Times New Roman"/>
          <w:sz w:val="18"/>
          <w:szCs w:val="18"/>
          <w:color w:val="auto"/>
        </w:rPr>
        <w:t>. On or prior to the date that the first Securities are sold pursuant to the terms of this Agreement and each time Securities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delivered to a Sales Agent as principal on a Settlement Date, as promptly as possible and in no event later than three (3) Trading Days of each Representation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for which no waiver is applicable, the Company shall cause to be furnished to the Sales Agents, the Forward Sellers and the Forward Purchasers written opinions of Pillsbury Winthrop Shaw Pittman LLP (“</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xml:space="preserve">”), or other counsel satisfactory to the Sales Agents, the Forward Sellers and the Forward Purchasers, in form and substance satisfactory to the Sales Agents, the Forward Sellers and the Forward Purchasers and their respective counsel, dated the date that the opinion is required to be delivered, substantially similar to the forms attached hereto as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 xml:space="preserve">, subject to such assumptions, exceptions and qualifications reasonably acceptable to the Sales Agents, the Forward Sellers and the Forward Purchasers and their respective counsel, and modified, as necessary, to relate to the Registration Statement and the Prospectus as then amended or supplemented;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lieu of such opinions for subsequent Representation Dates, any such counsel may furnish the Sales Agents, the Forward Sellers and the Forward Purchasers with a letter to the effect that the Sales Agents, the Forward Sellers and the Forward Purchasers may rely on a prior opinion delivered under this Section 7(p) to the same extent as if it were dated the date of such letter (except that statements in such prior opinion shall be deemed to relate to the Registration Statement and the Prospectus as amended or supplemented at such Representation Date).</w:t>
      </w:r>
    </w:p>
    <w:p>
      <w:pPr>
        <w:spacing w:after="0" w:line="79" w:lineRule="exact"/>
        <w:rPr>
          <w:rFonts w:ascii="Times New Roman" w:cs="Times New Roman" w:eastAsia="Times New Roman" w:hAnsi="Times New Roman"/>
          <w:sz w:val="18"/>
          <w:szCs w:val="18"/>
          <w:color w:val="auto"/>
        </w:rPr>
      </w:pPr>
    </w:p>
    <w:p>
      <w:pPr>
        <w:ind w:left="-20" w:right="60" w:firstLine="436"/>
        <w:spacing w:after="0" w:line="253" w:lineRule="auto"/>
        <w:tabs>
          <w:tab w:leader="none" w:pos="6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Comfort Letter</w:t>
      </w:r>
      <w:r>
        <w:rPr>
          <w:rFonts w:ascii="Times New Roman" w:cs="Times New Roman" w:eastAsia="Times New Roman" w:hAnsi="Times New Roman"/>
          <w:sz w:val="18"/>
          <w:szCs w:val="18"/>
          <w:color w:val="auto"/>
        </w:rPr>
        <w:t>. On or prior to the date that the first Securities are sold pursuant to the terms of this Agreement and each time Securities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delivered to a Sales Agent, a Forward Seller or a Forward Purchaser, as principal, on a Settlement Date, as promptly as possible and in no event later than three (3) Trading Days of each Representation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for which no waiver is applicable, the Company shall cause its independent accountants to furnish the Sales Agents and the Forward Sellers letter(s) (the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dated the date the Comfort Letter is delivered, in form and substance satisfactory to the Sales Agents and the Forward Sellers,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83" w:lineRule="exact"/>
        <w:rPr>
          <w:rFonts w:ascii="Times New Roman" w:cs="Times New Roman" w:eastAsia="Times New Roman" w:hAnsi="Times New Roman"/>
          <w:sz w:val="18"/>
          <w:szCs w:val="18"/>
          <w:color w:val="auto"/>
        </w:rPr>
      </w:pPr>
    </w:p>
    <w:p>
      <w:pPr>
        <w:ind w:left="-20" w:right="60" w:firstLine="436"/>
        <w:spacing w:after="0" w:line="257" w:lineRule="auto"/>
        <w:tabs>
          <w:tab w:leader="none" w:pos="64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Activities</w:t>
      </w:r>
      <w:r>
        <w:rPr>
          <w:rFonts w:ascii="Times New Roman" w:cs="Times New Roman" w:eastAsia="Times New Roman" w:hAnsi="Times New Roman"/>
          <w:sz w:val="18"/>
          <w:szCs w:val="18"/>
          <w:color w:val="auto"/>
        </w:rPr>
        <w:t>. Neither the Company nor the Operating Partnership will, directly or indirectly, (i) take any action designed to cause or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or that constitutes or might reasonably be expected to constitute, the stabilization or manipulation of the price of any security of the Company to facilitate the sale or resale of the Securities or (ii) sell, bid for, or purchase the Securities to be offered and sold pursuant to this Agreement, or pay anyone any compensation for soliciting purchases of the Securities to be offered and sold pursuant to this Agreement other than the Sales Agents or the Forward Sellers;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bid for and purchase its Common Shares in accordance with Rule 10b-18 under the Exchange Act,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no such bids or purchases shall be made by the Company during the three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60" w:top="268" w:right="459" w:bottom="1440" w:gutter="0" w:footer="0" w:header="0"/>
        </w:sectPr>
      </w:pPr>
    </w:p>
    <w:bookmarkStart w:id="53" w:name="page54"/>
    <w:bookmarkEnd w:id="53"/>
    <w:p>
      <w:pPr>
        <w:ind w:left="4" w:right="40" w:hanging="4"/>
        <w:spacing w:after="0" w:line="258" w:lineRule="auto"/>
        <w:tabs>
          <w:tab w:leader="none" w:pos="25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Trading Days before or after any sale of any Securities pursuant to this Agreement. In connection with entering into any Confirmation, the Company will not acquire any long position (either directly or indirectly, including through an Affiliate or through a derivative transaction) with respect to Common Shares. For purposes of the foregoing, Affiliate means, with respect to any person or entity, any other person or entity directly or indirectly controlling, controlled by, or under common control with such person or entity. For purposes of this definition, “control” when used with respect to any person or entity means ownership of 50% or more of the voting power or value of such person or entity.</w:t>
      </w:r>
    </w:p>
    <w:p>
      <w:pPr>
        <w:spacing w:after="0" w:line="73" w:lineRule="exact"/>
        <w:rPr>
          <w:rFonts w:ascii="Times New Roman" w:cs="Times New Roman" w:eastAsia="Times New Roman" w:hAnsi="Times New Roman"/>
          <w:sz w:val="18"/>
          <w:szCs w:val="18"/>
          <w:color w:val="auto"/>
        </w:rPr>
      </w:pPr>
    </w:p>
    <w:p>
      <w:pPr>
        <w:ind w:left="4" w:firstLine="436"/>
        <w:spacing w:after="0" w:line="261" w:lineRule="auto"/>
        <w:tabs>
          <w:tab w:leader="none" w:pos="67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Company, the Operating Partnership and their subsidiaries shall maintain, or cause to be maintained, insurance in such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covering such risks as is reasonable and customary for companies engaged in similar businesses in similar industries, except where the failure to maintain such insurance would not have a material adverse effect on the condition, financial or otherwise, or on the earnings, business affairs or business prospects of the Company, the Operating Partnership and their subsidiaries, considered as one enterprise.</w:t>
      </w:r>
    </w:p>
    <w:p>
      <w:pPr>
        <w:spacing w:after="0" w:line="71" w:lineRule="exact"/>
        <w:rPr>
          <w:rFonts w:ascii="Times New Roman" w:cs="Times New Roman" w:eastAsia="Times New Roman" w:hAnsi="Times New Roman"/>
          <w:sz w:val="18"/>
          <w:szCs w:val="18"/>
          <w:color w:val="auto"/>
        </w:rPr>
      </w:pPr>
    </w:p>
    <w:p>
      <w:pPr>
        <w:ind w:left="4" w:firstLine="436"/>
        <w:spacing w:after="0" w:line="257" w:lineRule="auto"/>
        <w:tabs>
          <w:tab w:leader="none" w:pos="65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 The Company and each of its subsidiaries shall maintain, or cause to be maintained, all material environmental permits,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have a material adverse effect on the condition, financial or otherwise, or on the earnings, business affairs or business prospects of the Company and its subsidiaries, considered as one enterprise.</w:t>
      </w:r>
    </w:p>
    <w:p>
      <w:pPr>
        <w:spacing w:after="0" w:line="74"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9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Each of the Company and the Operating Partnership will conduct its affairs in such a manner so as to reasonably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ensure that neither the Company, the Operating Partnership nor any of their subsidiaries will be or become, at any time prior to the termination of this Agreement and the settlement of all Confirmations, required to register as an “investment company,” as such term is defined in the Investment Company Act, assuming no change in the Commission’s current interpretation as to entities that are not considered an investment company.</w:t>
      </w:r>
    </w:p>
    <w:p>
      <w:pPr>
        <w:spacing w:after="0" w:line="71" w:lineRule="exact"/>
        <w:rPr>
          <w:rFonts w:ascii="Times New Roman" w:cs="Times New Roman" w:eastAsia="Times New Roman" w:hAnsi="Times New Roman"/>
          <w:sz w:val="18"/>
          <w:szCs w:val="18"/>
          <w:color w:val="auto"/>
        </w:rPr>
      </w:pPr>
    </w:p>
    <w:p>
      <w:pPr>
        <w:jc w:val="both"/>
        <w:ind w:left="4" w:right="80" w:firstLine="436"/>
        <w:spacing w:after="0" w:line="267" w:lineRule="auto"/>
        <w:tabs>
          <w:tab w:leader="none" w:pos="69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Act and Exchange Act</w:t>
      </w:r>
      <w:r>
        <w:rPr>
          <w:rFonts w:ascii="Times New Roman" w:cs="Times New Roman" w:eastAsia="Times New Roman" w:hAnsi="Times New Roman"/>
          <w:sz w:val="18"/>
          <w:szCs w:val="18"/>
          <w:color w:val="auto"/>
        </w:rPr>
        <w:t>. The Company will use its best efforts to comply with all requirements imposed upon it by the Securities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Exchange Act as from time to time in force and effect, so far as necessary to permit the continuance of sales of, or dealings in, the Securities as contemplated by the provisions hereof and the Prospectus.</w:t>
      </w:r>
    </w:p>
    <w:p>
      <w:pPr>
        <w:spacing w:after="0" w:line="65" w:lineRule="exact"/>
        <w:rPr>
          <w:rFonts w:ascii="Times New Roman" w:cs="Times New Roman" w:eastAsia="Times New Roman" w:hAnsi="Times New Roman"/>
          <w:sz w:val="18"/>
          <w:szCs w:val="18"/>
          <w:color w:val="auto"/>
        </w:rPr>
      </w:pPr>
    </w:p>
    <w:p>
      <w:pPr>
        <w:jc w:val="both"/>
        <w:ind w:left="4" w:right="100" w:firstLine="436"/>
        <w:spacing w:after="0" w:line="261" w:lineRule="auto"/>
        <w:tabs>
          <w:tab w:leader="none" w:pos="73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Offer to Sell</w:t>
      </w:r>
      <w:r>
        <w:rPr>
          <w:rFonts w:ascii="Times New Roman" w:cs="Times New Roman" w:eastAsia="Times New Roman" w:hAnsi="Times New Roman"/>
          <w:sz w:val="18"/>
          <w:szCs w:val="18"/>
          <w:color w:val="auto"/>
        </w:rPr>
        <w:t>. Other than a free writing prospectus (as defined in Rule 405 under the Securities Act) approved in advance in writing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Sales Agents and the Forward Sellers, the Company (including its agents and representatives, other than the Sales Agents or the Forward Sellers, each in their capacity as such) will not, directly or indirectly, make, use, prepare, authorize, approve or refer to any free writing prospectus relating to the Securities to be sold by a Sales Agent, as principal or agent hereunder or by the Forward Sellers as agent hereunder.</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54" w:name="page55"/>
    <w:bookmarkEnd w:id="54"/>
    <w:p>
      <w:pPr>
        <w:ind w:right="400" w:firstLine="436"/>
        <w:spacing w:after="0" w:line="284"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Sarbanes-Oxley Act</w:t>
      </w:r>
      <w:r>
        <w:rPr>
          <w:rFonts w:ascii="Times New Roman" w:cs="Times New Roman" w:eastAsia="Times New Roman" w:hAnsi="Times New Roman"/>
          <w:sz w:val="18"/>
          <w:szCs w:val="18"/>
          <w:color w:val="auto"/>
        </w:rPr>
        <w:t>. The Company and its subsidiaries shall comply in all material respects with all effective applicable provisions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Sarbanes-Oxley Act.</w:t>
      </w:r>
    </w:p>
    <w:p>
      <w:pPr>
        <w:spacing w:after="0" w:line="50"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Regulation M. </w:t>
      </w:r>
      <w:r>
        <w:rPr>
          <w:rFonts w:ascii="Times New Roman" w:cs="Times New Roman" w:eastAsia="Times New Roman" w:hAnsi="Times New Roman"/>
          <w:sz w:val="18"/>
          <w:szCs w:val="18"/>
          <w:color w:val="auto"/>
        </w:rPr>
        <w:t>If the Company has reason to believe that the exemptive provisions set forth in Rule 101(c)(1) of Regulation M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are not satisfied with respect to the Company or the Common Shares, it shall promptly notify the other parties to this Agreement and sales of the Securities under this Agreement shall be suspended until that or other exemptive provisions have been satisfied in the judgment of all parties to this Agreement.</w:t>
      </w:r>
    </w:p>
    <w:p>
      <w:pPr>
        <w:spacing w:after="0" w:line="71" w:lineRule="exact"/>
        <w:rPr>
          <w:rFonts w:ascii="Times New Roman" w:cs="Times New Roman" w:eastAsia="Times New Roman" w:hAnsi="Times New Roman"/>
          <w:sz w:val="18"/>
          <w:szCs w:val="18"/>
          <w:color w:val="auto"/>
        </w:rPr>
      </w:pPr>
    </w:p>
    <w:p>
      <w:pPr>
        <w:jc w:val="both"/>
        <w:ind w:right="180" w:firstLine="436"/>
        <w:spacing w:after="0" w:line="261" w:lineRule="auto"/>
        <w:tabs>
          <w:tab w:leader="none" w:pos="6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REIT Treatment</w:t>
      </w:r>
      <w:r>
        <w:rPr>
          <w:rFonts w:ascii="Times New Roman" w:cs="Times New Roman" w:eastAsia="Times New Roman" w:hAnsi="Times New Roman"/>
          <w:sz w:val="18"/>
          <w:szCs w:val="18"/>
          <w:color w:val="auto"/>
        </w:rPr>
        <w:t>. The Company will use its best efforts to meet the requirements to qualify as a “real estate investment trust” under the 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Operating Partnership will use its best efforts to maintain its classification for U.S. federal income tax purposes as a disregarded entity, or as a partnership that is not a “publicly traded partnership” taxable as a corporation, for any taxable years that include any portion of the term of this Agreement.</w:t>
      </w:r>
    </w:p>
    <w:p>
      <w:pPr>
        <w:spacing w:after="0" w:line="72" w:lineRule="exact"/>
        <w:rPr>
          <w:sz w:val="20"/>
          <w:szCs w:val="20"/>
          <w:color w:val="auto"/>
        </w:rPr>
      </w:pPr>
    </w:p>
    <w:p>
      <w:pPr>
        <w:ind w:right="60" w:firstLine="436"/>
        <w:spacing w:after="0" w:line="254" w:lineRule="auto"/>
        <w:tabs>
          <w:tab w:leader="none" w:pos="7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Renewal of Registration Statement. </w:t>
      </w:r>
      <w:r>
        <w:rPr>
          <w:rFonts w:ascii="Times New Roman" w:cs="Times New Roman" w:eastAsia="Times New Roman" w:hAnsi="Times New Roman"/>
          <w:sz w:val="18"/>
          <w:szCs w:val="18"/>
          <w:color w:val="auto"/>
        </w:rPr>
        <w:t>The date of this Agreement is not more than three years subsequent to the initial effective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w:t>
      </w:r>
      <w:r>
        <w:rPr>
          <w:rFonts w:ascii="Times New Roman" w:cs="Times New Roman" w:eastAsia="Times New Roman" w:hAnsi="Times New Roman"/>
          <w:sz w:val="18"/>
          <w:szCs w:val="18"/>
          <w:u w:val="single" w:color="auto"/>
          <w:color w:val="auto"/>
        </w:rPr>
        <w:t>Renewal Date</w:t>
      </w:r>
      <w:r>
        <w:rPr>
          <w:rFonts w:ascii="Times New Roman" w:cs="Times New Roman" w:eastAsia="Times New Roman" w:hAnsi="Times New Roman"/>
          <w:sz w:val="18"/>
          <w:szCs w:val="18"/>
          <w:color w:val="auto"/>
        </w:rPr>
        <w:t>”). If, immediately prior to the third anniversary of the Renewal Date, this Agreement has not terminated and a prospectus is required to be delivered or made available by a Sales Agent or a Forward Seller under the Securities Act or the Exchange Act in connection with the sale of such Securities, the Company will, prior to the Renewal Date, file, if it has not already done so, a new shelf registration statement or, if applicable, an automatic shelf registration statement relating to such Securities, and, if such registration statement is not an automatic shelf registration statement, will use its best efforts to cause such registration statement to be declared effective within 180 days after the Renewal Date, and will take all other reasonable actions necessary or appropriate to permit the public offer and sale of such Securities to continue as contemplated in the expired registration statement relating to such Securities. References herein to the “Registration Statement” shall include such new shelf registration statement or automatic shelf registration statement, as the case may be.</w:t>
      </w:r>
    </w:p>
    <w:p>
      <w:pPr>
        <w:spacing w:after="0" w:line="80" w:lineRule="exact"/>
        <w:rPr>
          <w:rFonts w:ascii="Times New Roman" w:cs="Times New Roman" w:eastAsia="Times New Roman" w:hAnsi="Times New Roman"/>
          <w:sz w:val="18"/>
          <w:szCs w:val="18"/>
          <w:color w:val="auto"/>
        </w:rPr>
      </w:pPr>
    </w:p>
    <w:p>
      <w:pPr>
        <w:jc w:val="both"/>
        <w:ind w:right="340" w:firstLine="436"/>
        <w:spacing w:after="0" w:line="261" w:lineRule="auto"/>
        <w:tabs>
          <w:tab w:leader="none" w:pos="7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to Refuse Purchase. </w:t>
      </w:r>
      <w:r>
        <w:rPr>
          <w:rFonts w:ascii="Times New Roman" w:cs="Times New Roman" w:eastAsia="Times New Roman" w:hAnsi="Times New Roman"/>
          <w:sz w:val="18"/>
          <w:szCs w:val="18"/>
          <w:color w:val="auto"/>
        </w:rPr>
        <w:t>If, to the knowledge of the Company, all filings required by Rule 424 in connection with the offering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shall not have been made or the representations and warranties of the Company in Section 5 hereof shall not be true and correct on any applicable Settlement Date, the Company will offer to any person who has agreed to purchase Securities from the Company as a result of an offer to purchase solicited by a Sales Agent the right to refuse to purchase and pay for such Securities.</w:t>
      </w:r>
    </w:p>
    <w:p>
      <w:pPr>
        <w:spacing w:after="0" w:line="71" w:lineRule="exact"/>
        <w:rPr>
          <w:rFonts w:ascii="Times New Roman" w:cs="Times New Roman" w:eastAsia="Times New Roman" w:hAnsi="Times New Roman"/>
          <w:sz w:val="18"/>
          <w:szCs w:val="18"/>
          <w:color w:val="auto"/>
        </w:rPr>
      </w:pPr>
    </w:p>
    <w:p>
      <w:pPr>
        <w:ind w:firstLine="436"/>
        <w:spacing w:after="0" w:line="267" w:lineRule="auto"/>
        <w:tabs>
          <w:tab w:leader="none" w:pos="7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 of Shares</w:t>
      </w:r>
      <w:r>
        <w:rPr>
          <w:rFonts w:ascii="Times New Roman" w:cs="Times New Roman" w:eastAsia="Times New Roman" w:hAnsi="Times New Roman"/>
          <w:sz w:val="18"/>
          <w:szCs w:val="18"/>
          <w:color w:val="auto"/>
        </w:rPr>
        <w:t>. In respect of any Forward, a number of authorized but unissued Common Shares at least equal to the Share Cap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reserved for issuance by the Company’s board of directors or a duly authorized committee thereof and will be kept available at all times, free from preemptive or similar rights and free from any lien, charge, claim or other encumbrance until settlement of the related Confirmation.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68" w:right="459" w:bottom="1440" w:gutter="0" w:footer="0" w:header="0"/>
        </w:sectPr>
      </w:pPr>
    </w:p>
    <w:bookmarkStart w:id="55" w:name="page56"/>
    <w:bookmarkEnd w:id="5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 w:firstLine="436"/>
        <w:spacing w:after="0" w:line="267" w:lineRule="auto"/>
        <w:tabs>
          <w:tab w:leader="none" w:pos="689"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Expenses. </w:t>
      </w:r>
      <w:r>
        <w:rPr>
          <w:rFonts w:ascii="Times New Roman" w:cs="Times New Roman" w:eastAsia="Times New Roman" w:hAnsi="Times New Roman"/>
          <w:sz w:val="17"/>
          <w:szCs w:val="17"/>
          <w:color w:val="auto"/>
        </w:rPr>
        <w:t>The Company will pay all expenses incident to the performance of its obligations under this Agreement and each Confirmation,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(i) the preparation, printing and filing of the Registration Statement (including financial statements and exhibits) as originally filed and of each amendment and supplement thereto, (ii) the preparation, issuance and delivery of the certificates for the Securities to the Sales Agents and the Confirmation Securities to the Forward Purchasers, including any stock or other transfer taxes and any capital duties, stamp duties or other duties or taxes payable upon the sale, issuance or delivery of such Common Shares, (iii) the fees and disbursements of the counsel, accountants and other advisors to the Company, (iv) the qualification or exemption of the Securities under securities laws in accordance with the provisions of Section 7(e) hereof, including filing fees and the reasonable fees and disbursements of counsel for the Sales Agents and the Forward Sellers in connection therewith and in connection with the preparation of a state securities law or “blue sky” survey and any supplements thereto, (v) the printing and delivery to the Sales Agents, the Forward Sellers and the Forward Purchasers of copies of any Permitted Free Writing Prospectus and the Prospectus and any amendments or supplements thereto and any costs associated with electronic delivery of any of the foregoing by the Sales Agents or the Forward Sellers to investors,</w:t>
      </w:r>
    </w:p>
    <w:p>
      <w:pPr>
        <w:spacing w:after="0" w:line="5" w:lineRule="exact"/>
        <w:rPr>
          <w:rFonts w:ascii="Times New Roman" w:cs="Times New Roman" w:eastAsia="Times New Roman" w:hAnsi="Times New Roman"/>
          <w:sz w:val="17"/>
          <w:szCs w:val="17"/>
          <w:color w:val="auto"/>
        </w:rPr>
      </w:pPr>
    </w:p>
    <w:p>
      <w:pPr>
        <w:ind w:left="4" w:right="80" w:hanging="4"/>
        <w:spacing w:after="0" w:line="251" w:lineRule="auto"/>
        <w:tabs>
          <w:tab w:leader="none" w:pos="30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printing and delivery to the Sales Agents or the Forward Sellers of copies of the Blue Sky Survey and any Canadian “wrapper” and any supplements thereto, (vii) the fees and expenses of the custodian and the transfer agent and registrar for the Securities and the Confirmation Securities, (viii) the filing fees incident to, and the reasonable fees and disbursements of counsel for the Sales Agents and the Forward Sellers in connection with, the review by FINRA of the terms of the sale of the Securities, (ix) the fees and expenses incurred in connection with the listing of the Securities and the Confirmation Securities on the NYSE, (x) the disbursements of counsel for the Sales Agents, the Forward Sellers and the Forward Purchasers in connection with the copying and delivery of closing documents delivered by the Company or the Company’s accountants or counsel (including any local counsel) and (xi) if Securities having an aggregate offering price of $50,000,000 or more have not been offered and sold under this Agreement by the eighteen-month anniversary of this Agreement (or such earlier date at which the Company terminates this Agreement) (the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the Company shall reimburse the Sales Agents, the Forward Sellers and the Forward Purchasers for all of their reasonable out-of-pocket expenses, including the reasonable fees and disbursements of their respective counsel incurred by the Sales Agents, the Forward Sellers and the Forward Purchasers in connection with the transactions contemplated by this Agreement (the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Expenses shall be due and payable by the Company within five (5) business days of the Determination Date.</w:t>
      </w:r>
    </w:p>
    <w:p>
      <w:pPr>
        <w:spacing w:after="0" w:line="82"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Agreement. </w:t>
      </w:r>
      <w:r>
        <w:rPr>
          <w:rFonts w:ascii="Times New Roman" w:cs="Times New Roman" w:eastAsia="Times New Roman" w:hAnsi="Times New Roman"/>
          <w:sz w:val="18"/>
          <w:szCs w:val="18"/>
          <w:color w:val="auto"/>
        </w:rPr>
        <w:t>If this Agreement is terminated by a Sales Agent, a Forward Seller or a Forward Purchaser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Section 9 or Section 13(a)(i) or (iii) (with respect to the first clause only) hereof, the Company shall reimburse the applicable Sales Agents, the applicable Forward Sellers and the applicable Forward Purchasers for all of its out-of-pocket expenses, including the reasonable fees and disbursements their respective counsel, unless Securities having an aggregate offering price of $50,000,000 or more have previously been offered and sold under this Agreement.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56" w:name="page57"/>
    <w:bookmarkEnd w:id="56"/>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Conditions of the Obligations of the Sales Agents and the Forward Sellers</w:t>
      </w:r>
      <w:r>
        <w:rPr>
          <w:rFonts w:ascii="Times New Roman" w:cs="Times New Roman" w:eastAsia="Times New Roman" w:hAnsi="Times New Roman"/>
          <w:sz w:val="18"/>
          <w:szCs w:val="18"/>
          <w:color w:val="auto"/>
        </w:rPr>
        <w:t>. The obligations of each of the Sales Agents and the Forward Sellers hereunder with respect to the offer and sale of Securities in connection with any Issuance or Forward hereunder will be subject to the continuing accuracy and completeness of the representations and warranties of the Company and the Operating Partnership contained in this Agreement or in certificates of any officer of the Company, the Operating Partnership or any subsidiary delivered pursuant to the provisions hereof, to the performance by the Company of its covenants and other obligations hereunder, and to the following further conditions:</w:t>
      </w:r>
    </w:p>
    <w:p>
      <w:pPr>
        <w:spacing w:after="0" w:line="73" w:lineRule="exact"/>
        <w:rPr>
          <w:sz w:val="20"/>
          <w:szCs w:val="20"/>
          <w:color w:val="auto"/>
        </w:rPr>
      </w:pPr>
    </w:p>
    <w:p>
      <w:pPr>
        <w:ind w:right="80" w:firstLine="436"/>
        <w:spacing w:after="0" w:line="256" w:lineRule="auto"/>
        <w:tabs>
          <w:tab w:leader="none" w:pos="6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Effectiveness of Registration Statement; Payment of Filing Fee. </w:t>
      </w:r>
      <w:r>
        <w:rPr>
          <w:rFonts w:ascii="Times New Roman" w:cs="Times New Roman" w:eastAsia="Times New Roman" w:hAnsi="Times New Roman"/>
          <w:sz w:val="18"/>
          <w:szCs w:val="18"/>
          <w:color w:val="auto"/>
        </w:rPr>
        <w:t>The Registration Statement shall have become effective and shall be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 all sales of Securities offered pursuant to all prior Placement Notices (each as amended by a corresponding Acceptance, if applicable) and (ii) the sale of all Securities contemplated to be issued by any Placement Notice (as amended by the corresponding Acceptance, if applicable). The Company shall have paid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74"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the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or any of their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Securities for sale in any jurisdiction or the initiation or threatening of any proceeding for such purpose; or (iv) the occurrence of any event that makes any material statement made in the Registration Statement or the Prospectus, or any Issuer Free Writing Prospectus, or any material document incorporated or deemed to be incorporated therein by reference untrue in any material respect or that requires the making of any changes in the Registration Statement, related Prospectus, or any Issuer Free Writing Prospectus, or such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and any Issuer Free Writing Prospectus,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57" w:name="page58"/>
    <w:bookmarkEnd w:id="57"/>
    <w:p>
      <w:pPr>
        <w:ind w:right="40" w:firstLine="436"/>
        <w:spacing w:after="0" w:line="257" w:lineRule="auto"/>
        <w:tabs>
          <w:tab w:leader="none" w:pos="6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Misstatement or Material Omission</w:t>
      </w:r>
      <w:r>
        <w:rPr>
          <w:rFonts w:ascii="Times New Roman" w:cs="Times New Roman" w:eastAsia="Times New Roman" w:hAnsi="Times New Roman"/>
          <w:sz w:val="18"/>
          <w:szCs w:val="18"/>
          <w:color w:val="auto"/>
        </w:rPr>
        <w:t>. None of the Sales Agents, the Forward Sellers and the Forward Purchasers shall have advised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that the Registration Statement or Prospectus, or any Issuer Free Writing Prospectus, or any amendment or supplement thereto, contains an untrue statement of fact that in such Sales Agent’s, such Forward Seller’s or such Forward Purchaser’s opinion is material, or omits to state a fact that in such Sales Agent’s, such Forward Seller’s or such Forward Purchaser’s opinion is material and is required to be stated therein or is necessary to make the statements therein not misleading, unless the Company has amended such Registration Statement or Prospectus, or any Issuer Free Writing Prospectus, or any amendment or supplement thereto, in accordance with the provisions of Section 7(d).</w:t>
      </w:r>
    </w:p>
    <w:p>
      <w:pPr>
        <w:spacing w:after="0" w:line="74" w:lineRule="exact"/>
        <w:rPr>
          <w:rFonts w:ascii="Times New Roman" w:cs="Times New Roman" w:eastAsia="Times New Roman" w:hAnsi="Times New Roman"/>
          <w:sz w:val="18"/>
          <w:szCs w:val="18"/>
          <w:color w:val="auto"/>
        </w:rPr>
      </w:pPr>
    </w:p>
    <w:p>
      <w:pPr>
        <w:ind w:right="40" w:firstLine="436"/>
        <w:spacing w:after="0" w:line="267" w:lineRule="auto"/>
        <w:tabs>
          <w:tab w:leader="none" w:pos="6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any material adverse change, or any development involving a prospective material adverse change, in or affecting the general affairs, management, financial position, shareholders’ equity or results of operations of the Company and its subsidiaries taken as a whole.</w:t>
      </w:r>
    </w:p>
    <w:p>
      <w:pPr>
        <w:spacing w:after="0" w:line="65" w:lineRule="exact"/>
        <w:rPr>
          <w:rFonts w:ascii="Times New Roman" w:cs="Times New Roman" w:eastAsia="Times New Roman" w:hAnsi="Times New Roman"/>
          <w:sz w:val="18"/>
          <w:szCs w:val="18"/>
          <w:color w:val="auto"/>
        </w:rPr>
      </w:pPr>
    </w:p>
    <w:p>
      <w:pPr>
        <w:jc w:val="both"/>
        <w:ind w:firstLine="436"/>
        <w:spacing w:after="0" w:line="267" w:lineRule="auto"/>
        <w:tabs>
          <w:tab w:leader="none" w:pos="6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Counsel for Company. </w:t>
      </w:r>
      <w:r>
        <w:rPr>
          <w:rFonts w:ascii="Times New Roman" w:cs="Times New Roman" w:eastAsia="Times New Roman" w:hAnsi="Times New Roman"/>
          <w:sz w:val="18"/>
          <w:szCs w:val="18"/>
          <w:color w:val="auto"/>
        </w:rPr>
        <w:t>The Sales Agents, the Forward Sellers and the Forward Purchasers shall have received the favorable opinion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Company Counsel, required to be delivered pursuant to Section 7(p) on or before the date on which such delivery of such opinion is required pursuant to Section 7(p).</w:t>
      </w:r>
    </w:p>
    <w:p>
      <w:pPr>
        <w:spacing w:after="0" w:line="65" w:lineRule="exact"/>
        <w:rPr>
          <w:rFonts w:ascii="Times New Roman" w:cs="Times New Roman" w:eastAsia="Times New Roman" w:hAnsi="Times New Roman"/>
          <w:sz w:val="18"/>
          <w:szCs w:val="18"/>
          <w:color w:val="auto"/>
        </w:rPr>
      </w:pPr>
    </w:p>
    <w:p>
      <w:pPr>
        <w:ind w:right="40" w:firstLine="436"/>
        <w:spacing w:after="0" w:line="284" w:lineRule="auto"/>
        <w:tabs>
          <w:tab w:leader="none" w:pos="6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 Certificate. </w:t>
      </w:r>
      <w:r>
        <w:rPr>
          <w:rFonts w:ascii="Times New Roman" w:cs="Times New Roman" w:eastAsia="Times New Roman" w:hAnsi="Times New Roman"/>
          <w:sz w:val="18"/>
          <w:szCs w:val="18"/>
          <w:color w:val="auto"/>
        </w:rPr>
        <w:t>The Sales Agents, the Forward Sellers and the Forward Purchasers shall have received the certificate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pursuant to Section 7(o) on or before the date on which delivery of such certificate is required pursuant to Section 7(o).</w:t>
      </w:r>
    </w:p>
    <w:p>
      <w:pPr>
        <w:spacing w:after="0" w:line="50" w:lineRule="exact"/>
        <w:rPr>
          <w:rFonts w:ascii="Times New Roman" w:cs="Times New Roman" w:eastAsia="Times New Roman" w:hAnsi="Times New Roman"/>
          <w:sz w:val="18"/>
          <w:szCs w:val="18"/>
          <w:color w:val="auto"/>
        </w:rPr>
      </w:pPr>
    </w:p>
    <w:p>
      <w:pPr>
        <w:ind w:right="120" w:firstLine="436"/>
        <w:spacing w:after="0" w:line="315" w:lineRule="auto"/>
        <w:tabs>
          <w:tab w:leader="none" w:pos="69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Accountant’s Comfort Letter. </w:t>
      </w:r>
      <w:r>
        <w:rPr>
          <w:rFonts w:ascii="Times New Roman" w:cs="Times New Roman" w:eastAsia="Times New Roman" w:hAnsi="Times New Roman"/>
          <w:sz w:val="17"/>
          <w:szCs w:val="17"/>
          <w:color w:val="auto"/>
        </w:rPr>
        <w:t>The Sales Agents, the Forward Sellers and the Forward Purchasers shall have received the Comfort Letter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to be delivered pursuant Section 7(q) on or before the date on which such delivery of such Comfort Letter is required pursuant to Section 7(q).</w:t>
      </w:r>
    </w:p>
    <w:p>
      <w:pPr>
        <w:spacing w:after="0" w:line="26" w:lineRule="exact"/>
        <w:rPr>
          <w:rFonts w:ascii="Times New Roman" w:cs="Times New Roman" w:eastAsia="Times New Roman" w:hAnsi="Times New Roman"/>
          <w:sz w:val="17"/>
          <w:szCs w:val="17"/>
          <w:color w:val="auto"/>
        </w:rPr>
      </w:pPr>
    </w:p>
    <w:p>
      <w:pPr>
        <w:jc w:val="both"/>
        <w:ind w:right="100" w:firstLine="436"/>
        <w:spacing w:after="0" w:line="267" w:lineRule="auto"/>
        <w:tabs>
          <w:tab w:leader="none" w:pos="6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for Listing</w:t>
      </w:r>
      <w:r>
        <w:rPr>
          <w:rFonts w:ascii="Times New Roman" w:cs="Times New Roman" w:eastAsia="Times New Roman" w:hAnsi="Times New Roman"/>
          <w:sz w:val="18"/>
          <w:szCs w:val="18"/>
          <w:color w:val="auto"/>
        </w:rPr>
        <w:t>. The Securities and the Confirmation Securities shall either have been (i) approved for listing on the NYSE, subject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notice of issuance, or (ii) the Company shall have filed an application for listing of the Securities and the Confirmation Securities on the NYSE at, or prior to, the issuance of any Placement Notice.</w:t>
      </w:r>
    </w:p>
    <w:p>
      <w:pPr>
        <w:spacing w:after="0" w:line="6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Suspension</w:t>
      </w:r>
      <w:r>
        <w:rPr>
          <w:rFonts w:ascii="Times New Roman" w:cs="Times New Roman" w:eastAsia="Times New Roman" w:hAnsi="Times New Roman"/>
          <w:sz w:val="18"/>
          <w:szCs w:val="18"/>
          <w:color w:val="auto"/>
        </w:rPr>
        <w:t>. Trading in the Common Shares shall not have been suspended on the NYSE.</w:t>
      </w:r>
    </w:p>
    <w:p>
      <w:pPr>
        <w:spacing w:after="0" w:line="117" w:lineRule="exact"/>
        <w:rPr>
          <w:rFonts w:ascii="Times New Roman" w:cs="Times New Roman" w:eastAsia="Times New Roman" w:hAnsi="Times New Roman"/>
          <w:sz w:val="18"/>
          <w:szCs w:val="18"/>
          <w:color w:val="auto"/>
        </w:rPr>
      </w:pPr>
    </w:p>
    <w:p>
      <w:pPr>
        <w:ind w:right="140" w:firstLine="436"/>
        <w:spacing w:after="0" w:line="261"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each date on which the Company is required to deliver a certificate pursuant to Section 7(o), counsel for the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Agents, the Forward Sellers and the Forward Purchasers, as applicable, 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contained in this Agreement.</w:t>
      </w:r>
    </w:p>
    <w:p>
      <w:pPr>
        <w:spacing w:after="0" w:line="71" w:lineRule="exact"/>
        <w:rPr>
          <w:rFonts w:ascii="Times New Roman" w:cs="Times New Roman" w:eastAsia="Times New Roman" w:hAnsi="Times New Roman"/>
          <w:sz w:val="18"/>
          <w:szCs w:val="18"/>
          <w:color w:val="auto"/>
        </w:rPr>
      </w:pPr>
    </w:p>
    <w:p>
      <w:pPr>
        <w:ind w:right="380" w:firstLine="436"/>
        <w:spacing w:after="0" w:line="284" w:lineRule="auto"/>
        <w:tabs>
          <w:tab w:leader="none" w:pos="6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Act Filings Made</w:t>
      </w:r>
      <w:r>
        <w:rPr>
          <w:rFonts w:ascii="Times New Roman" w:cs="Times New Roman" w:eastAsia="Times New Roman" w:hAnsi="Times New Roman"/>
          <w:sz w:val="18"/>
          <w:szCs w:val="18"/>
          <w:color w:val="auto"/>
        </w:rPr>
        <w:t>. All filings with the Commission required by Rule 424 under the Securities Act to have been filed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any Placement Notice hereunder shall have been made within the applicable time period prescribed for such filing by Rule 424.</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68" w:right="459" w:bottom="1440" w:gutter="0" w:footer="0" w:header="0"/>
        </w:sectPr>
      </w:pPr>
    </w:p>
    <w:bookmarkStart w:id="58" w:name="page59"/>
    <w:bookmarkEnd w:id="58"/>
    <w:p>
      <w:pPr>
        <w:ind w:right="40" w:firstLine="436"/>
        <w:spacing w:after="0" w:line="284"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Effectiveness of Confirmation</w:t>
      </w:r>
      <w:r>
        <w:rPr>
          <w:rFonts w:ascii="Times New Roman" w:cs="Times New Roman" w:eastAsia="Times New Roman" w:hAnsi="Times New Roman"/>
          <w:sz w:val="18"/>
          <w:szCs w:val="18"/>
          <w:color w:val="auto"/>
        </w:rPr>
        <w:t>. In respect of any Placement Notice delivered in respect of any Forward, the related Confirmation shall be in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force and effect.</w:t>
      </w:r>
    </w:p>
    <w:p>
      <w:pPr>
        <w:spacing w:after="0" w:line="50" w:lineRule="exact"/>
        <w:rPr>
          <w:rFonts w:ascii="Times New Roman" w:cs="Times New Roman" w:eastAsia="Times New Roman" w:hAnsi="Times New Roman"/>
          <w:sz w:val="18"/>
          <w:szCs w:val="18"/>
          <w:color w:val="auto"/>
        </w:rPr>
      </w:pPr>
    </w:p>
    <w:p>
      <w:pPr>
        <w:ind w:right="100" w:firstLine="436"/>
        <w:spacing w:after="0" w:line="258" w:lineRule="auto"/>
        <w:tabs>
          <w:tab w:leader="none" w:pos="74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Agreement. </w:t>
      </w:r>
      <w:r>
        <w:rPr>
          <w:rFonts w:ascii="Times New Roman" w:cs="Times New Roman" w:eastAsia="Times New Roman" w:hAnsi="Times New Roman"/>
          <w:sz w:val="18"/>
          <w:szCs w:val="18"/>
          <w:color w:val="auto"/>
        </w:rPr>
        <w:t>If any condition specified in this Section 9 shall not have been fulfilled in all material respects when 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fulfilled, this Agreement may be terminated by the applicable Sales Agent(s), the applicable Forward Seller(s) or the applicable Forward Purchaser(s) by notice to the Company, and such termination shall be without liability of any party to any other party except as provided in Section 8 hereof and except that, in the case of any termination of this Agreement, Sections 5, 10, 11, 12 and 21 hereof shall survive such termination and remain in full force and effect.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20" w:firstLine="436"/>
        <w:spacing w:after="0" w:line="252"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by the Company and the Operating Partnership. </w:t>
      </w:r>
      <w:r>
        <w:rPr>
          <w:rFonts w:ascii="Times New Roman" w:cs="Times New Roman" w:eastAsia="Times New Roman" w:hAnsi="Times New Roman"/>
          <w:sz w:val="18"/>
          <w:szCs w:val="18"/>
          <w:color w:val="auto"/>
        </w:rPr>
        <w:t>Each of the Company and the Operating Partnership agrees, jointly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severally, to indemnify and hold harmless each Agent, each Forward Seller and each Forward Purchaser, their respective affiliates (as such term is defined in Rule 501(b) under the Securities Act (each,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their respective selling agents and each person, if any, who controls a Sales Agent, a Forward Seller or a Forward Purchaser, within the meaning of Section 15 of the Securities Act or Section 20 of the Exchange Act, against any losses, claims, damages or liabilities, joint or several, to which the Sales Agents, the Forward Sellers or the Forward Purchasers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the Sales Agents, the Forward Sellers and the Forward Purchasers for any legal or other expenses reasonably incurred by such Sales Agent, such Forward Seller or such Forward Purchaser in connection with investigating or defending any such action or claim as such expenses are incurred; provided, however, that the Company and the Operating Partnership shall not be liable in any such case to the extent that any such loss, claim, damage or liability (or actions in respect thereof) arises out of or is based upon an untrue statement or alleged untrue statement or omission or alleged omission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a Sales Agent or a Forward Seller expressly for use in the Prospectus, as amended or supplemented, relating to such Securities.</w:t>
      </w:r>
    </w:p>
    <w:p>
      <w:pPr>
        <w:spacing w:after="0" w:line="85" w:lineRule="exact"/>
        <w:rPr>
          <w:rFonts w:ascii="Times New Roman" w:cs="Times New Roman" w:eastAsia="Times New Roman" w:hAnsi="Times New Roman"/>
          <w:sz w:val="18"/>
          <w:szCs w:val="18"/>
          <w:color w:val="auto"/>
        </w:rPr>
      </w:pPr>
    </w:p>
    <w:p>
      <w:pPr>
        <w:ind w:firstLine="436"/>
        <w:spacing w:after="0" w:line="267" w:lineRule="auto"/>
        <w:tabs>
          <w:tab w:leader="none" w:pos="6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the Sales Agents and the Forward Sellers</w:t>
      </w:r>
      <w:r>
        <w:rPr>
          <w:rFonts w:ascii="Times New Roman" w:cs="Times New Roman" w:eastAsia="Times New Roman" w:hAnsi="Times New Roman"/>
          <w:sz w:val="18"/>
          <w:szCs w:val="18"/>
          <w:color w:val="auto"/>
        </w:rPr>
        <w:t>. Each of the Sales Agents and the Forward Sellers, severally and not jointly,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agrees to indemnify and hold harmless the Company, the Operating Partnership, the Company’s trustees and the Company’s and Operating Partnership’s officers who signed the Registration Statement and each person, if any,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68" w:right="479" w:bottom="1440" w:gutter="0" w:footer="0" w:header="0"/>
        </w:sectPr>
      </w:pPr>
    </w:p>
    <w:bookmarkStart w:id="59" w:name="page60"/>
    <w:bookmarkEnd w:id="5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who controls the Company or the Operating Partnership within the meaning of Section 15 of the Securities Act or Section 20 of the Exchange Act to the same extent as the indemnity set forth in paragraph (a) above, but only with respect to any losses, claims, damages or liabilities to which the Company or the Operating Partnership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a Sales Agent or a Forward Seller expressly for use therein, and will reimburse the Company or the Operating Partnership for any legal or other expenses reasonably incurred by the Company or the Operating Partnership in connection with investigating or defending any such action or claim as to which the Company and the Operating Partnership shall be entitled to indemnification under this subsection (b) as such expenses are incurred.</w:t>
      </w:r>
    </w:p>
    <w:p>
      <w:pPr>
        <w:spacing w:after="0" w:line="77" w:lineRule="exact"/>
        <w:rPr>
          <w:sz w:val="20"/>
          <w:szCs w:val="20"/>
          <w:color w:val="auto"/>
        </w:rPr>
      </w:pPr>
    </w:p>
    <w:p>
      <w:pPr>
        <w:ind w:right="40" w:firstLine="436"/>
        <w:spacing w:after="0" w:line="252" w:lineRule="auto"/>
        <w:tabs>
          <w:tab w:leader="none" w:pos="685"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Actions against Parties; Notification. </w:t>
      </w:r>
      <w:r>
        <w:rPr>
          <w:rFonts w:ascii="Times New Roman" w:cs="Times New Roman" w:eastAsia="Times New Roman" w:hAnsi="Times New Roman"/>
          <w:sz w:val="18"/>
          <w:szCs w:val="18"/>
          <w:color w:val="auto"/>
        </w:rPr>
        <w:t>Promptly after receipt by an indemnified party under subsection (a) or (b) above of notice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commencement of any action, such indemnified party shall, if a claim in respect thereof is to be made against the indemnifying party under such subsection, notify the indemnifying party in writing of the commencement thereof. However,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60" w:name="page61"/>
    <w:bookmarkEnd w:id="60"/>
    <w:p>
      <w:pPr>
        <w:ind w:right="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 </w:t>
      </w:r>
      <w:r>
        <w:rPr>
          <w:rFonts w:ascii="Times New Roman" w:cs="Times New Roman" w:eastAsia="Times New Roman" w:hAnsi="Times New Roman"/>
          <w:sz w:val="17"/>
          <w:szCs w:val="17"/>
          <w:u w:val="single" w:color="auto"/>
          <w:color w:val="auto"/>
        </w:rPr>
        <w:t>Contribution</w:t>
      </w:r>
      <w:r>
        <w:rPr>
          <w:rFonts w:ascii="Times New Roman" w:cs="Times New Roman" w:eastAsia="Times New Roman" w:hAnsi="Times New Roman"/>
          <w:sz w:val="17"/>
          <w:szCs w:val="17"/>
          <w:color w:val="auto"/>
        </w:rPr>
        <w:t>. If the indemnification provided for in Section 10 hereof is unavailable to or insufficient to hold harmless an indemnified party under Section 10(a) or Section 10(b)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Operating Partnership on the one hand and the applicable Sales Agents(s) or the applicable Forward Seller(s) on the other from the offering of Securities pursuant to this Agreement to which such loss, claim, damage or liability (or action in respect thereof) relates. If, however, the allocation provided by the immediately preceding sentence is not permitted by applicable law or if the indemnified party failed to give the notice required under Section 10(c) above, then each indemnifying party shall contribute to such amount paid or payable by such indemnified party in such proportion as is appropriate to reflect not only such relative benefits but also the relative fault of the Company and the Operating Partnership on the one hand and the applicable Sales Agent(s), the applicable Forward Seller(s) or the applicable Forward Purchaser(s) on the other in connection with the statements or omissions which resulted in such losses, claims, damages or liabilities (or actions in respect thereof), as well as any other relevant equitable considerations.</w:t>
      </w:r>
    </w:p>
    <w:p>
      <w:pPr>
        <w:spacing w:after="0" w:line="18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relative benefits received by the Company and the Operating Partnership on the one hand and the applicable Sales Agent(s) or the applicable Forward Seller(s) on the other shall be deemed to be in the same proportion as the net proceeds from the offering of Securities (before deducting expenses) received by the Company bear to the total commissions received by the applicable Sales Agent(s) or the applicable Forward Seller(s) (and, for purposes of the foregoing, the Company shall be deemed to have received net proceeds from the sale of any Forward Hedge Securities, in an amount equal to the proceeds that would have been received by the Company upon full physical settlement of the related Confirmation, assuming that the aggregate amount payable by the Forward Purchaser to the Company for the corresponding Confirmation Securities is equal to the aggregate amount of net proceeds received by the Forward Purchaser from the sale of such Forward Hedge Securities through the Forward Seller).</w:t>
      </w:r>
    </w:p>
    <w:p>
      <w:pPr>
        <w:spacing w:after="0" w:line="189"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The relative fault shall be determined by reference to, among other things, whether the untrue or alleged untrue statement of a material fact or the omission or alleged omission to state a material fact relates to information supplied by the Company and the Operating Partnership on the one hand or by the applicable Sales Agent(s) or Forward Seller(s) on the other and the parties’ relative intent, knowledge, access to information and opportunity to correct or prevent such statement or omission. The parties hereto agree that it would not be just and equitable if contribution pursuant to this Section 11 were determined by pro rata allocation or by any other method of allocation which does not take account of the equitable considerations referred to above in this Section 11. The amount paid or payable by an indemnified party as a result of the losses, claims, damages or liabilities (or actions in respect thereof) referred to above in this Section 11 shall be deemed to include any legal or other expenses reasonably incurred by such indemnified party in connection with investigating or defending any such action or claim.</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61" w:name="page62"/>
    <w:bookmarkEnd w:id="61"/>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provisions of this Section 11, none of the Sales Agents or the Forward Sellers shall be required to contribute any amount in excess of the amount by which the total price at which, in the case of a Sales Agent, the Issuance Securities or, in the case of a Forward Seller, the Forward Hedge Securities were sold and distributed to the public pursuant to this Agreement exceeds the amount of any damages which such party would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obligations of the Company under Section 10 and this Section 11 shall be in addition to any liability which the Company may otherwise have and shall extend, upon the same terms and conditions, to each person, if any, who controls a Sales Agent, a Forward Seller or a Forward Purchaser within the meaning of the Securities Act; and the obligations of a Sales Agent, a Forward Seller under Section 10 and this Section 11 shall be in addition to any liability which it may otherwise have and shall extend, upon the same terms and conditions, to each officer of the Company or the Operating Partnership who signed the Registration Statement, to each trustee of the Company and to each person, if any, who controls the Company or the Operating Partnership within the meaning of the Securities Act.</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Representations, Warranties and Agreements to Survive Delivery</w:t>
      </w:r>
      <w:r>
        <w:rPr>
          <w:rFonts w:ascii="Times New Roman" w:cs="Times New Roman" w:eastAsia="Times New Roman" w:hAnsi="Times New Roman"/>
          <w:sz w:val="18"/>
          <w:szCs w:val="18"/>
          <w:color w:val="auto"/>
        </w:rPr>
        <w:t>. All indemnities, agreements, representations, warranties and other statements contained in this Agreement or in certificates of officers of the Company, the Operating Partnership or any subsidiary submitted pursuant hereto, shall remain operative and in full force and effect, regardless of any investigation (or any statement as to the results thereof) made by or on behalf of a Sales Agent, a Forward Seller, a Forward Purchaser or any controlling person, or by or on behalf of the Company, the Operating Partnership or any controlling person, and shall survive delivery and acceptance of the Securities and payment therefor and the settlement of any Confirmation or any termination of this Agreement or the Confirmation.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firstLine="436"/>
        <w:spacing w:after="0" w:line="271" w:lineRule="auto"/>
        <w:tabs>
          <w:tab w:leader="none" w:pos="68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General. </w:t>
      </w:r>
      <w:r>
        <w:rPr>
          <w:rFonts w:ascii="Times New Roman" w:cs="Times New Roman" w:eastAsia="Times New Roman" w:hAnsi="Times New Roman"/>
          <w:sz w:val="17"/>
          <w:szCs w:val="17"/>
          <w:color w:val="auto"/>
        </w:rPr>
        <w:t>Each of the Sales Agents, the Forward Sellers and the Forward Purchasers may terminate this Agreement, by notice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as hereinafter specified at any time (i) if there has been, since the time of execution of this Agreement or since the date as of which information is given in the Prospectus, any material adverse change, or any development involving a prospective material adverse change, in or affecting the general affairs, management, financial position, shareholders’ equity or results of operations of the Company, the Operating Partnership and their subsidiaries taken as a whole,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Sales Agent(s), the Forward Seller(s) or the Forward Purchaser(s), impracticable or inadvisable to market the Securities or to enforce contracts for the sale of the Securities, or (iii) if trading in the Securities has been suspended or limited 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62" w:name="page63"/>
    <w:bookmarkEnd w:id="62"/>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Commission or the NYSE, or if trading generally on the NYSE Amex Equities, the NYSE or the Nasdaq Global Market has been suspended or limited, or minimum or maximum prices for trading have been fixed, or maximum ranges for prices have been required, by any of said exchanges or by order of the Commission, FINRA or any other governmental authority, or a material disruption has occurred in commercial banking or securities settlement or clearance services in the United States or in Europe, or (iv) if a banking moratorium has been declared by either Federal or New York authorities.</w:t>
      </w:r>
    </w:p>
    <w:p>
      <w:pPr>
        <w:spacing w:after="0" w:line="73" w:lineRule="exact"/>
        <w:rPr>
          <w:sz w:val="20"/>
          <w:szCs w:val="20"/>
          <w:color w:val="auto"/>
        </w:rPr>
      </w:pPr>
    </w:p>
    <w:p>
      <w:pPr>
        <w:ind w:left="4" w:firstLine="436"/>
        <w:spacing w:after="0" w:line="284" w:lineRule="auto"/>
        <w:tabs>
          <w:tab w:leader="none" w:pos="69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by the Company. </w:t>
      </w:r>
      <w:r>
        <w:rPr>
          <w:rFonts w:ascii="Times New Roman" w:cs="Times New Roman" w:eastAsia="Times New Roman" w:hAnsi="Times New Roman"/>
          <w:sz w:val="18"/>
          <w:szCs w:val="18"/>
          <w:color w:val="auto"/>
        </w:rPr>
        <w:t>The Company shall have the right, by giving three (3) days’ notice, unless such notice is waived by the recipient,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hereinafter specified to terminate this Agreement in its sole discretion at any time after the date of this Agreement.</w:t>
      </w:r>
    </w:p>
    <w:p>
      <w:pPr>
        <w:spacing w:after="0" w:line="50" w:lineRule="exact"/>
        <w:rPr>
          <w:rFonts w:ascii="Times New Roman" w:cs="Times New Roman" w:eastAsia="Times New Roman" w:hAnsi="Times New Roman"/>
          <w:sz w:val="18"/>
          <w:szCs w:val="18"/>
          <w:color w:val="auto"/>
        </w:rPr>
      </w:pPr>
    </w:p>
    <w:p>
      <w:pPr>
        <w:jc w:val="both"/>
        <w:ind w:left="4" w:right="520" w:firstLine="436"/>
        <w:spacing w:after="0" w:line="267" w:lineRule="auto"/>
        <w:tabs>
          <w:tab w:leader="none" w:pos="68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by the Sales Agents, the Forward Sellers or the Forward Purchasers. </w:t>
      </w:r>
      <w:r>
        <w:rPr>
          <w:rFonts w:ascii="Times New Roman" w:cs="Times New Roman" w:eastAsia="Times New Roman" w:hAnsi="Times New Roman"/>
          <w:sz w:val="18"/>
          <w:szCs w:val="18"/>
          <w:color w:val="auto"/>
        </w:rPr>
        <w:t>Each of the Sales Agents, the Forward Sellers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 Purchasers shall have the right, by giving three (3) days notice, unless such notice is waived by the recipient, as hereinafter specified, to terminate this Agreement, as to itself, in its sole discretion at any time after the date of this Agreement.</w:t>
      </w:r>
    </w:p>
    <w:p>
      <w:pPr>
        <w:spacing w:after="0" w:line="65" w:lineRule="exact"/>
        <w:rPr>
          <w:rFonts w:ascii="Times New Roman" w:cs="Times New Roman" w:eastAsia="Times New Roman" w:hAnsi="Times New Roman"/>
          <w:sz w:val="18"/>
          <w:szCs w:val="18"/>
          <w:color w:val="auto"/>
        </w:rPr>
      </w:pPr>
    </w:p>
    <w:p>
      <w:pPr>
        <w:ind w:left="4" w:right="100" w:firstLine="436"/>
        <w:spacing w:after="0" w:line="267" w:lineRule="auto"/>
        <w:tabs>
          <w:tab w:leader="none" w:pos="69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Automatic Termination. </w:t>
      </w:r>
      <w:r>
        <w:rPr>
          <w:rFonts w:ascii="Times New Roman" w:cs="Times New Roman" w:eastAsia="Times New Roman" w:hAnsi="Times New Roman"/>
          <w:sz w:val="18"/>
          <w:szCs w:val="18"/>
          <w:color w:val="auto"/>
        </w:rPr>
        <w:t>Unless earlier terminated pursuant to this Section 13, this Agreement shall automatically terminate upon the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by the Sales Agents and the Forward Sellers on the terms and subject to the conditions set forth herein with an aggregate offering price equal to the Maximum Amount set forth in Section 1 of this Agreement.</w:t>
      </w:r>
    </w:p>
    <w:p>
      <w:pPr>
        <w:spacing w:after="0" w:line="6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Force and Effect. </w:t>
      </w:r>
      <w:r>
        <w:rPr>
          <w:rFonts w:ascii="Times New Roman" w:cs="Times New Roman" w:eastAsia="Times New Roman" w:hAnsi="Times New Roman"/>
          <w:sz w:val="18"/>
          <w:szCs w:val="18"/>
          <w:color w:val="auto"/>
        </w:rPr>
        <w:t>This Agreement shall remain in full force and effect unless terminated pursuant to Sections 13(a), (b), (c) or</w:t>
      </w:r>
    </w:p>
    <w:p>
      <w:pPr>
        <w:spacing w:after="0" w:line="2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or otherwise by mutual agreement of the parties.</w:t>
      </w:r>
    </w:p>
    <w:p>
      <w:pPr>
        <w:spacing w:after="0" w:line="96" w:lineRule="exact"/>
        <w:rPr>
          <w:rFonts w:ascii="Times New Roman" w:cs="Times New Roman" w:eastAsia="Times New Roman" w:hAnsi="Times New Roman"/>
          <w:sz w:val="18"/>
          <w:szCs w:val="18"/>
          <w:color w:val="auto"/>
        </w:rPr>
      </w:pPr>
    </w:p>
    <w:p>
      <w:pPr>
        <w:ind w:left="4" w:right="40" w:firstLine="436"/>
        <w:spacing w:after="0" w:line="261" w:lineRule="auto"/>
        <w:tabs>
          <w:tab w:leader="none" w:pos="66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Effectiveness of Termination. </w:t>
      </w:r>
      <w:r>
        <w:rPr>
          <w:rFonts w:ascii="Times New Roman" w:cs="Times New Roman" w:eastAsia="Times New Roman" w:hAnsi="Times New Roman"/>
          <w:sz w:val="18"/>
          <w:szCs w:val="18"/>
          <w:color w:val="auto"/>
        </w:rPr>
        <w:t>Any termination of this Agreement shall be effective on the date specified in such notice of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termination shall not be effective until the close of business on the date of receipt of such notice by the Sales Agents, the Forward Sellers, the Forward Purchasers or the Company, as the case may be. If such termination shall occur prior to the Settlement Date for any sale of Securities, such Securities shall settle in accordance with the provisions of this Agreement.</w:t>
      </w:r>
    </w:p>
    <w:p>
      <w:pPr>
        <w:spacing w:after="0" w:line="71" w:lineRule="exact"/>
        <w:rPr>
          <w:rFonts w:ascii="Times New Roman" w:cs="Times New Roman" w:eastAsia="Times New Roman" w:hAnsi="Times New Roman"/>
          <w:sz w:val="18"/>
          <w:szCs w:val="18"/>
          <w:color w:val="auto"/>
        </w:rPr>
      </w:pPr>
    </w:p>
    <w:p>
      <w:pPr>
        <w:ind w:left="4" w:right="360" w:firstLine="436"/>
        <w:spacing w:after="0" w:line="267" w:lineRule="auto"/>
        <w:tabs>
          <w:tab w:leader="none" w:pos="69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If this Agreement is terminated pursuant to this Section 13, such termination shall be without liability of any party to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except as provided in Section 8 hereof, and except that, in the case of any termination of this Agreement, Section 5, Section 10, Section 11, Section 12 and Section 23 hereof shall survive such termination and remain in full force and effect.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70" w:right="459" w:bottom="1440" w:gutter="0" w:footer="0" w:header="0"/>
        </w:sectPr>
      </w:pPr>
    </w:p>
    <w:bookmarkStart w:id="63" w:name="page64"/>
    <w:bookmarkEnd w:id="63"/>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provided in this Agreement, all notices and other communications hereunder shall be in writing and shall be deemed to have been duly given if mailed or transmitted by any standard form of telecommunication, and if to the Sales Agents, the Forward Sellers, the Forward Purchasers, the Company or the Operating Partnership shall be delivered or sent by mail to: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Sales Agents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Wells Fargo Securities,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500 West 33rd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3030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New York, New York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9601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Attention: Equity Syndicate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3030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Fax: 212-214-5918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8434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4340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14605</wp:posOffset>
            </wp:positionV>
            <wp:extent cx="8832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BNP Paribas Securities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787 Seventh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3544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New York, New York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9429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Attention: Robert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3030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Email: dl.nyk.ste@us.bnpparibas.com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32016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20165"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14605</wp:posOffset>
            </wp:positionV>
            <wp:extent cx="17399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Attention: </w:t>
      </w:r>
      <w:r>
        <w:rPr>
          <w:rFonts w:ascii="Times New Roman" w:cs="Times New Roman" w:eastAsia="Times New Roman" w:hAnsi="Times New Roman"/>
          <w:sz w:val="18"/>
          <w:szCs w:val="18"/>
          <w:color w:val="FF0000"/>
          <w:strike w:val="1"/>
        </w:rPr>
        <w:t>Syndicate Department</w:t>
      </w:r>
      <w:r>
        <w:rPr>
          <w:rFonts w:ascii="Times New Roman" w:cs="Times New Roman" w:eastAsia="Times New Roman" w:hAnsi="Times New Roman"/>
          <w:sz w:val="18"/>
          <w:szCs w:val="18"/>
          <w:u w:val="single" w:color="auto"/>
          <w:color w:val="0000FF"/>
        </w:rPr>
        <w:t>ATM Execution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FF0000"/>
          <w:strike w:val="1"/>
        </w:rPr>
        <w:t>dg.ecm_execution_services@bofa.com</w:t>
      </w:r>
      <w:r>
        <w:rPr>
          <w:rFonts w:ascii="Times New Roman" w:cs="Times New Roman" w:eastAsia="Times New Roman" w:hAnsi="Times New Roman"/>
          <w:sz w:val="18"/>
          <w:szCs w:val="18"/>
          <w:u w:val="single" w:color="auto"/>
          <w:color w:val="0000FF"/>
        </w:rPr>
        <w:t>dg.atm_execution@bofa.com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-121920</wp:posOffset>
            </wp:positionV>
            <wp:extent cx="7289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FF0000"/>
          <w:strike w:val="1"/>
        </w:rPr>
        <w:t>With</w:t>
      </w:r>
      <w:r>
        <w:rPr>
          <w:rFonts w:ascii="Times New Roman" w:cs="Times New Roman" w:eastAsia="Times New Roman" w:hAnsi="Times New Roman"/>
          <w:sz w:val="18"/>
          <w:szCs w:val="18"/>
          <w:u w:val="single" w:color="auto"/>
          <w:color w:val="0000FF"/>
        </w:rPr>
        <w:t>with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 copy to ECM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-121920</wp:posOffset>
            </wp:positionV>
            <wp:extent cx="13544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FF0000"/>
          <w:strike w:val="1"/>
        </w:rPr>
        <w:t xml:space="preserve">Email: dg.ecm_legal@bofa.com </w:t>
      </w:r>
      <w:r>
        <w:rPr>
          <w:rFonts w:ascii="Times New Roman" w:cs="Times New Roman" w:eastAsia="Times New Roman" w:hAnsi="Times New Roman"/>
          <w:sz w:val="18"/>
          <w:szCs w:val="18"/>
          <w:u w:val="single" w:color="auto"/>
          <w:color w:val="0000FF"/>
          <w:strike w:val="1"/>
        </w:rPr>
        <w:t>Fax: 212-230-8730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-121920</wp:posOffset>
            </wp:positionV>
            <wp:extent cx="19748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14605</wp:posOffset>
            </wp:positionV>
            <wp:extent cx="9086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Fax: 646-291-1469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Matthew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8832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Phone: 212-723-7833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7454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45490" cy="889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Email: setg.origination@citi.com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9944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14605</wp:posOffset>
            </wp:positionV>
            <wp:extent cx="15259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Deutsche Bank Securities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1 Columbus Circle, 19th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3798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New York, New York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405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Attention: Equity Capital Markets – Syndicate Desk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3030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with a copy to 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23914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1 Columbus Circle, 19th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20574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New York, New York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405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Attention: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3030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Email: dbcapmarkets.gcnotices@list.db.com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2598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5984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14605</wp:posOffset>
            </wp:positionV>
            <wp:extent cx="20402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r>
        <w:rPr>
          <w:rFonts w:ascii="Times New Roman" w:cs="Times New Roman" w:eastAsia="Times New Roman" w:hAnsi="Times New Roman"/>
          <w:sz w:val="18"/>
          <w:szCs w:val="18"/>
          <w:u w:val="single" w:color="auto"/>
          <w:color w:val="0000FF"/>
        </w:rPr>
        <w:t>,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969645</wp:posOffset>
            </wp:positionH>
            <wp:positionV relativeFrom="paragraph">
              <wp:posOffset>-121920</wp:posOffset>
            </wp:positionV>
            <wp:extent cx="4800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Attention: </w:t>
      </w:r>
      <w:r>
        <w:rPr>
          <w:rFonts w:ascii="Times New Roman" w:cs="Times New Roman" w:eastAsia="Times New Roman" w:hAnsi="Times New Roman"/>
          <w:sz w:val="18"/>
          <w:szCs w:val="18"/>
          <w:color w:val="FF0000"/>
          <w:strike w:val="1"/>
        </w:rPr>
        <w:t>Stephanie Little</w:t>
      </w:r>
      <w:r>
        <w:rPr>
          <w:rFonts w:ascii="Times New Roman" w:cs="Times New Roman" w:eastAsia="Times New Roman" w:hAnsi="Times New Roman"/>
          <w:sz w:val="18"/>
          <w:szCs w:val="18"/>
          <w:u w:val="single" w:color="auto"/>
          <w:color w:val="0000FF"/>
        </w:rPr>
        <w:t>Sanjeet Dewal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Fax: 212-622-8783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-121920</wp:posOffset>
            </wp:positionV>
            <wp:extent cx="6604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FF0000"/>
          <w:strike w:val="1"/>
        </w:rPr>
        <w:t>stephanie</w:t>
      </w:r>
      <w:r>
        <w:rPr>
          <w:rFonts w:ascii="Times New Roman" w:cs="Times New Roman" w:eastAsia="Times New Roman" w:hAnsi="Times New Roman"/>
          <w:sz w:val="18"/>
          <w:szCs w:val="18"/>
          <w:u w:val="single" w:color="auto"/>
          <w:color w:val="0000FF"/>
        </w:rPr>
        <w:t>sanjeet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y</w:t>
      </w:r>
      <w:r>
        <w:rPr>
          <w:rFonts w:ascii="Times New Roman" w:cs="Times New Roman" w:eastAsia="Times New Roman" w:hAnsi="Times New Roman"/>
          <w:sz w:val="18"/>
          <w:szCs w:val="18"/>
          <w:u w:val="single" w:color="auto"/>
          <w:color w:val="0000FF"/>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little</w:t>
      </w:r>
      <w:r>
        <w:rPr>
          <w:rFonts w:ascii="Times New Roman" w:cs="Times New Roman" w:eastAsia="Times New Roman" w:hAnsi="Times New Roman"/>
          <w:sz w:val="18"/>
          <w:szCs w:val="18"/>
          <w:u w:val="single" w:color="auto"/>
          <w:color w:val="0000FF"/>
        </w:rPr>
        <w:t>dewal</w:t>
      </w:r>
      <w:r>
        <w:rPr>
          <w:rFonts w:ascii="Times New Roman" w:cs="Times New Roman" w:eastAsia="Times New Roman" w:hAnsi="Times New Roman"/>
          <w:sz w:val="18"/>
          <w:szCs w:val="18"/>
          <w:color w:val="auto"/>
        </w:rPr>
        <w:t xml:space="preserve"> @jpmorgan.com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88328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FF0000"/>
          <w:strike w:val="1"/>
        </w:rPr>
        <w:t>Telephone: (312) 732-3229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-121920</wp:posOffset>
            </wp:positionV>
            <wp:extent cx="10115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520 Madison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6343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9690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Attention: General Counsel (shall be delivered, mailed or sent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3030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299148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Wells Fargo</w:t>
      </w:r>
      <w:r>
        <w:rPr>
          <w:rFonts w:ascii="Times New Roman" w:cs="Times New Roman" w:eastAsia="Times New Roman" w:hAnsi="Times New Roman"/>
          <w:sz w:val="18"/>
          <w:szCs w:val="18"/>
          <w:u w:val="single" w:color="auto"/>
          <w:color w:val="0000FF"/>
        </w:rPr>
        <w:t>Regions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Securities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615 S College St, Suite 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-121920</wp:posOffset>
            </wp:positionV>
            <wp:extent cx="3689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Charlotte, North Carolina 28202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2687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Attention: ECM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4916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Emails: brit.stephens@regions.com,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01981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ed.armstrong@regions.com,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65417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matthew.stewart@regions.com,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3030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scott.williams2@regions.com,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4401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ECMDesk@regions.com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5855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8559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11487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Scotia Capital (USA)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500 West 33rd</w:t>
      </w:r>
      <w:r>
        <w:rPr>
          <w:rFonts w:ascii="Times New Roman" w:cs="Times New Roman" w:eastAsia="Times New Roman" w:hAnsi="Times New Roman"/>
          <w:sz w:val="18"/>
          <w:szCs w:val="18"/>
          <w:u w:val="single" w:color="auto"/>
          <w:color w:val="0000FF"/>
        </w:rPr>
        <w:t>250 Vesey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Street</w:t>
      </w:r>
      <w:r>
        <w:rPr>
          <w:rFonts w:ascii="Times New Roman" w:cs="Times New Roman" w:eastAsia="Times New Roman" w:hAnsi="Times New Roman"/>
          <w:sz w:val="18"/>
          <w:szCs w:val="18"/>
          <w:u w:val="single" w:color="auto"/>
          <w:color w:val="0000FF"/>
        </w:rPr>
        <w:t>, 24th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1830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New York, New York </w:t>
      </w:r>
      <w:r>
        <w:rPr>
          <w:rFonts w:ascii="Times New Roman" w:cs="Times New Roman" w:eastAsia="Times New Roman" w:hAnsi="Times New Roman"/>
          <w:sz w:val="18"/>
          <w:szCs w:val="18"/>
          <w:color w:val="FF0000"/>
          <w:strike w:val="1"/>
        </w:rPr>
        <w:t>10001</w:t>
      </w:r>
      <w:r>
        <w:rPr>
          <w:rFonts w:ascii="Times New Roman" w:cs="Times New Roman" w:eastAsia="Times New Roman" w:hAnsi="Times New Roman"/>
          <w:sz w:val="18"/>
          <w:szCs w:val="18"/>
          <w:u w:val="single" w:color="auto"/>
          <w:color w:val="0000FF"/>
        </w:rPr>
        <w:t>10281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-121920</wp:posOffset>
            </wp:positionV>
            <wp:extent cx="13030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Attention: Equity </w:t>
      </w:r>
      <w:r>
        <w:rPr>
          <w:rFonts w:ascii="Times New Roman" w:cs="Times New Roman" w:eastAsia="Times New Roman" w:hAnsi="Times New Roman"/>
          <w:sz w:val="18"/>
          <w:szCs w:val="18"/>
          <w:color w:val="FF0000"/>
          <w:strike w:val="1"/>
        </w:rPr>
        <w:t>Syndicate Department</w:t>
      </w:r>
      <w:r>
        <w:rPr>
          <w:rFonts w:ascii="Times New Roman" w:cs="Times New Roman" w:eastAsia="Times New Roman" w:hAnsi="Times New Roman"/>
          <w:sz w:val="18"/>
          <w:szCs w:val="18"/>
          <w:u w:val="single" w:color="auto"/>
          <w:color w:val="0000FF"/>
        </w:rPr>
        <w:t>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-121920</wp:posOffset>
            </wp:positionV>
            <wp:extent cx="2832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Fax: 212-225-6653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1844040</wp:posOffset>
            </wp:positionH>
            <wp:positionV relativeFrom="paragraph">
              <wp:posOffset>-121920</wp:posOffset>
            </wp:positionV>
            <wp:extent cx="7372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Emails: us.ecm@scotiabank.com and us.legal@scotiabank.com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88328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32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29146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SMBC Nikko Securities America,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277 Park Avenue, 5th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7659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New York, New York 10172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26873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Attention: NYECM@smbcnikko-si.com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3030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18516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Jefferies</w:t>
      </w:r>
      <w:r>
        <w:rPr>
          <w:rFonts w:ascii="Times New Roman" w:cs="Times New Roman" w:eastAsia="Times New Roman" w:hAnsi="Times New Roman"/>
          <w:sz w:val="18"/>
          <w:szCs w:val="18"/>
          <w:u w:val="single" w:color="auto"/>
          <w:color w:val="0000FF"/>
        </w:rPr>
        <w:t>TD Securities (USA)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520 Madison</w:t>
      </w:r>
      <w:r>
        <w:rPr>
          <w:rFonts w:ascii="Times New Roman" w:cs="Times New Roman" w:eastAsia="Times New Roman" w:hAnsi="Times New Roman"/>
          <w:sz w:val="18"/>
          <w:szCs w:val="18"/>
          <w:u w:val="single" w:color="auto"/>
          <w:color w:val="0000FF"/>
        </w:rPr>
        <w:t>1 Vanderbilt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-121920</wp:posOffset>
            </wp:positionV>
            <wp:extent cx="9683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New York, New York </w:t>
      </w:r>
      <w:r>
        <w:rPr>
          <w:rFonts w:ascii="Times New Roman" w:cs="Times New Roman" w:eastAsia="Times New Roman" w:hAnsi="Times New Roman"/>
          <w:sz w:val="18"/>
          <w:szCs w:val="18"/>
          <w:color w:val="FF0000"/>
          <w:strike w:val="1"/>
        </w:rPr>
        <w:t>10022</w:t>
      </w:r>
      <w:r>
        <w:rPr>
          <w:rFonts w:ascii="Times New Roman" w:cs="Times New Roman" w:eastAsia="Times New Roman" w:hAnsi="Times New Roman"/>
          <w:sz w:val="18"/>
          <w:szCs w:val="18"/>
          <w:u w:val="single" w:color="auto"/>
          <w:color w:val="0000FF"/>
        </w:rPr>
        <w:t>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-121920</wp:posOffset>
            </wp:positionV>
            <wp:extent cx="5657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Attention: </w:t>
      </w:r>
      <w:r>
        <w:rPr>
          <w:rFonts w:ascii="Times New Roman" w:cs="Times New Roman" w:eastAsia="Times New Roman" w:hAnsi="Times New Roman"/>
          <w:sz w:val="18"/>
          <w:szCs w:val="18"/>
          <w:color w:val="FF0000"/>
          <w:strike w:val="1"/>
        </w:rPr>
        <w:t>General Counsel</w:t>
      </w:r>
      <w:r>
        <w:rPr>
          <w:rFonts w:ascii="Times New Roman" w:cs="Times New Roman" w:eastAsia="Times New Roman" w:hAnsi="Times New Roman"/>
          <w:sz w:val="18"/>
          <w:szCs w:val="18"/>
          <w:u w:val="single" w:color="auto"/>
          <w:color w:val="0000FF"/>
        </w:rPr>
        <w:t>Equity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-121920</wp:posOffset>
            </wp:positionV>
            <wp:extent cx="2832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Email: TDS_ATM@tdsecurities.com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1261110</wp:posOffset>
            </wp:positionH>
            <wp:positionV relativeFrom="paragraph">
              <wp:posOffset>-121920</wp:posOffset>
            </wp:positionV>
            <wp:extent cx="10629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16973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Truist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3333 Peachtree Road NE, 11th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9855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Atlanta, Georgia 30326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68846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Attention: Equity Syndicate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0801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Fax: 404-926-5995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84340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Email: dl.atm.offering@truist.com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88328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15855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9039"/>
          </w:cols>
          <w:pgMar w:left="1420" w:top="270"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Forward Sellers and the Forward Purchasers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Wells Fargo Bank, National Association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500 West 33rd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84340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43405" cy="889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New York, New York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9601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Attention: Structuring Services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3030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Fax: 212-214-5913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7487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4879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14605</wp:posOffset>
            </wp:positionV>
            <wp:extent cx="88328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BNP Paribas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787 Seventh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59118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New York, New York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9429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Attention: Robert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3030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Email: dl.nyk.ste@us.bnpparibas.com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32016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20165"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14605</wp:posOffset>
            </wp:positionV>
            <wp:extent cx="17399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Strategic Equity Solutions Group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FF0000"/>
          <w:strike w:val="1"/>
        </w:rPr>
        <w:t>Telephone: 646-855-8900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dg.issuer_derivatives_notices@bofa.com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FF0000"/>
          <w:strike w:val="1"/>
        </w:rPr>
        <w:t>388</w:t>
      </w:r>
      <w:r>
        <w:rPr>
          <w:rFonts w:ascii="Times New Roman" w:cs="Times New Roman" w:eastAsia="Times New Roman" w:hAnsi="Times New Roman"/>
          <w:sz w:val="18"/>
          <w:szCs w:val="18"/>
          <w:u w:val="single" w:color="auto"/>
          <w:color w:val="0000FF"/>
        </w:rPr>
        <w:t>390</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Greenwich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Street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6th</w:t>
      </w:r>
      <w:r>
        <w:rPr>
          <w:rFonts w:ascii="Times New Roman" w:cs="Times New Roman" w:eastAsia="Times New Roman" w:hAnsi="Times New Roman"/>
          <w:sz w:val="18"/>
          <w:szCs w:val="18"/>
          <w:u w:val="single" w:color="auto"/>
          <w:color w:val="0000FF"/>
        </w:rPr>
        <w:t>4th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-121920</wp:posOffset>
            </wp:positionV>
            <wp:extent cx="1714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-121920</wp:posOffset>
            </wp:positionV>
            <wp:extent cx="3003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-121920</wp:posOffset>
            </wp:positionV>
            <wp:extent cx="1454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auto"/>
        </w:rPr>
        <w:t xml:space="preserve">Attention: </w:t>
      </w:r>
      <w:r>
        <w:rPr>
          <w:rFonts w:ascii="Times New Roman" w:cs="Times New Roman" w:eastAsia="Times New Roman" w:hAnsi="Times New Roman"/>
          <w:sz w:val="18"/>
          <w:szCs w:val="18"/>
          <w:color w:val="FF0000"/>
          <w:strike w:val="1"/>
        </w:rPr>
        <w:t>Equity Derivatives</w:t>
      </w:r>
      <w:r>
        <w:rPr>
          <w:rFonts w:ascii="Times New Roman" w:cs="Times New Roman" w:eastAsia="Times New Roman" w:hAnsi="Times New Roman"/>
          <w:sz w:val="18"/>
          <w:szCs w:val="18"/>
          <w:u w:val="single" w:color="auto"/>
          <w:color w:val="0000FF"/>
        </w:rPr>
        <w:t>Theodore Finkelstein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Phone: 212-723-1693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-121920</wp:posOffset>
            </wp:positionV>
            <wp:extent cx="9772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Email: eq.us.ses.notifications@citi.com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9944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14605</wp:posOffset>
            </wp:positionV>
            <wp:extent cx="18173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Deutsche Bank AG, London Branch</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c/o 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6541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1 Columbus Circle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55130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New York, New York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86550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Attention: Joachim Sciard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3030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Phone: 212-250-7099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2001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Email: joachim.sciard@db.com)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99441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with an email notification to equity-linked.notifications@list.db.com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4916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49161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14605</wp:posOffset>
            </wp:positionV>
            <wp:extent cx="31457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EDG Marketing Support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Emails: edg_notices@jpmorgan.com and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edg_ny_corporate_sales_support@jpmorgan.com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88595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FF0000"/>
          <w:strike w:val="1"/>
        </w:rPr>
        <w:t>Email: edg_notices@jpmorgan.com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227139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FF0000"/>
          <w:strike w:val="1"/>
        </w:rPr>
        <w:t>edg_ny_corporate_sales_support@jpmorgan.com;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with a copy to </w:t>
      </w:r>
      <w:r>
        <w:rPr>
          <w:rFonts w:ascii="Times New Roman" w:cs="Times New Roman" w:eastAsia="Times New Roman" w:hAnsi="Times New Roman"/>
          <w:sz w:val="18"/>
          <w:szCs w:val="18"/>
          <w:color w:val="FF0000"/>
          <w:strike w:val="1"/>
        </w:rPr>
        <w:t>Stephanie Little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Sanjeet Dewal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FF0000"/>
          <w:strike w:val="1"/>
        </w:rPr>
        <w:t>Tel: (312) 732-3229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-121920</wp:posOffset>
            </wp:positionV>
            <wp:extent cx="65976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FF0000"/>
          <w:strike w:val="1"/>
        </w:rPr>
        <w:t>stephanie</w:t>
      </w:r>
      <w:r>
        <w:rPr>
          <w:rFonts w:ascii="Times New Roman" w:cs="Times New Roman" w:eastAsia="Times New Roman" w:hAnsi="Times New Roman"/>
          <w:sz w:val="18"/>
          <w:szCs w:val="18"/>
          <w:u w:val="single" w:color="auto"/>
          <w:color w:val="0000FF"/>
        </w:rPr>
        <w:t>sanjeet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y</w:t>
      </w:r>
      <w:r>
        <w:rPr>
          <w:rFonts w:ascii="Times New Roman" w:cs="Times New Roman" w:eastAsia="Times New Roman" w:hAnsi="Times New Roman"/>
          <w:sz w:val="18"/>
          <w:szCs w:val="18"/>
          <w:u w:val="single" w:color="auto"/>
          <w:color w:val="0000FF"/>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little</w:t>
      </w:r>
      <w:r>
        <w:rPr>
          <w:rFonts w:ascii="Times New Roman" w:cs="Times New Roman" w:eastAsia="Times New Roman" w:hAnsi="Times New Roman"/>
          <w:sz w:val="18"/>
          <w:szCs w:val="18"/>
          <w:u w:val="single" w:color="auto"/>
          <w:color w:val="0000FF"/>
        </w:rPr>
        <w:t>dewal</w:t>
      </w:r>
      <w:r>
        <w:rPr>
          <w:rFonts w:ascii="Times New Roman" w:cs="Times New Roman" w:eastAsia="Times New Roman" w:hAnsi="Times New Roman"/>
          <w:sz w:val="18"/>
          <w:szCs w:val="18"/>
          <w:color w:val="auto"/>
        </w:rPr>
        <w:t xml:space="preserve"> @jpmorgan.com</w:t>
      </w:r>
      <w:r>
        <w:rPr>
          <w:rFonts w:ascii="Times New Roman" w:cs="Times New Roman" w:eastAsia="Times New Roman" w:hAnsi="Times New Roman"/>
          <w:sz w:val="18"/>
          <w:szCs w:val="18"/>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14605</wp:posOffset>
            </wp:positionV>
            <wp:extent cx="10369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1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019"/>
          </w:cols>
          <w:pgMar w:left="440" w:top="270"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500 West 33rd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New York, New York 10001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Attention: Structuring Services Group</w:t>
      </w:r>
    </w:p>
    <w:p>
      <w:pPr>
        <w:spacing w:after="0" w:line="9" w:lineRule="exact"/>
        <w:rPr>
          <w:sz w:val="20"/>
          <w:szCs w:val="20"/>
          <w:color w:val="auto"/>
        </w:rPr>
      </w:pPr>
    </w:p>
    <w:p>
      <w:pPr>
        <w:ind w:right="4259"/>
        <w:spacing w:after="0" w:line="250" w:lineRule="auto"/>
        <w:rPr>
          <w:sz w:val="20"/>
          <w:szCs w:val="20"/>
          <w:color w:val="auto"/>
        </w:rPr>
      </w:pPr>
      <w:r>
        <w:rPr>
          <w:rFonts w:ascii="Times New Roman" w:cs="Times New Roman" w:eastAsia="Times New Roman" w:hAnsi="Times New Roman"/>
          <w:sz w:val="18"/>
          <w:szCs w:val="18"/>
          <w:color w:val="FF0000"/>
          <w:strike w:val="1"/>
        </w:rPr>
        <w:t xml:space="preserve">with a copy to CorporateDerivativeNotifications@wellsfargo.com </w:t>
      </w:r>
      <w:r>
        <w:rPr>
          <w:rFonts w:ascii="Times New Roman" w:cs="Times New Roman" w:eastAsia="Times New Roman" w:hAnsi="Times New Roman"/>
          <w:sz w:val="18"/>
          <w:szCs w:val="18"/>
          <w:color w:val="000000"/>
          <w:strike w:val="1"/>
        </w:rPr>
        <w:t>Jefferies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Strategic Equity Transactions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Phone: 212-708-2734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Email: SETG-US@jefferies.com with a copy to</w:t>
      </w:r>
      <w:r>
        <w:rPr>
          <w:rFonts w:ascii="Times New Roman" w:cs="Times New Roman" w:eastAsia="Times New Roman" w:hAnsi="Times New Roman"/>
          <w:sz w:val="17"/>
          <w:szCs w:val="17"/>
          <w:u w:val="single" w:color="auto"/>
          <w:color w:val="0000FF"/>
        </w:rPr>
        <w:t>Emails: SETG-US@jefferies.com and</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CorpEqDeriv@jefferies.com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99441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21590</wp:posOffset>
            </wp:positionV>
            <wp:extent cx="17487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Regions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615 S College St, Suite 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1055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Charlotte, North Carolina 28202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26873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Attention: ECM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4916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Emails: brit.stephens@regions.com,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01981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ed.armstrong@regions.com,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65417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matthew.stewart@regions.com,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3030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scott.williams2@regions.com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4401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ECMDesk@regions.com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56019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56019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11487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The Bank of Nova Scotia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44 King Street West, Central Mail 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1658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Toronto, Ontario M5H 1H1,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86880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c/o Scotia Capital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6630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250 Vesey Street, 24th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3544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New York, New York 10281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31127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Attention: Bahar Lorenzo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31127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Phone: 212-225-5230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17411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Email: bahar.lorenzo@scotiabank.com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99441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with a copy to GWO - OTC Confirmations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7741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Email: BNSEquityConfirmations@scotiabank.com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97167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9716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233997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9039"/>
          </w:cols>
          <w:pgMar w:left="1420" w:top="270" w:right="1440" w:bottom="1440" w:gutter="0" w:footer="0" w:header="0"/>
        </w:sectPr>
      </w:pPr>
    </w:p>
    <w:bookmarkStart w:id="67" w:name="page68"/>
    <w:bookmarkEnd w:id="67"/>
    <w:p>
      <w:pPr>
        <w:ind w:left="9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Toronto-Dominion Bank</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c/o TD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33731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1 Vanderbilt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3798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93408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Attention: Global Equity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3030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Phone: 212-827-7306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6973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Emails: TDUSA-GEDUSInvestorSolutionsSales@tdsecurities.com,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99441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vanessa.simonetti@tdsecurities.com,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31115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christopher.obalde@tdsecurities.com,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68846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Michael.murphy3@tdsecurities.com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7227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adriano.pierroz@tdsecurities.com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8599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14605</wp:posOffset>
            </wp:positionV>
            <wp:extent cx="155130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Truist Bank</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3333 Peachtree Road NE, 11th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54038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Atlanta, Georgia 30326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68846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Fax: 404-926-5995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0801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Attention: Equity Syndicate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88328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u w:val="single" w:color="auto"/>
          <w:color w:val="0000FF"/>
        </w:rPr>
        <w:t>Email: dl.atm.offering@truist.com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184340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84340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14605</wp:posOffset>
            </wp:positionV>
            <wp:extent cx="158559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to the Company or the Operating Partnership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909 Rose Avenue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inure to the benefit of and be binding upon the Sales Agents, the Forward Sellers, the Forward Purchasers, the Company, the Operating Partnership and their respective successors. Nothing expressed or mentioned in this Agreement is intended or shall be construed to give any person, firm or corporation, other than the Sales Agents, the Forward Sellers, the Forward Purchasers, their respective Affiliates, the Company, the Operating Partnership and their respective successors and the controlling persons and officers, trustees and directors referred to in Sections 10 and 11 and their heirs and legal representatives, any legal or equitable right, remedy or claim under or in respect of this Agreement or any provision herein contained. This Agreement and all conditions and provisions hereof are intended to be for the sole and exclusive benefit of the Sales Agents, the Forward Sellers, the Forward Purchasers, their respective Affiliates, the Company, the Operating Partnership and their respective successors, and said controlling persons and officers, trustees and directors and their heirs and legal representatives, and for the benefit of no other person, firm or corporation. No purchaser of Securities from the Sales Agents or the Forward Sellers shall be deemed to be a successor by reason merely of such purchase.</w:t>
      </w:r>
    </w:p>
    <w:p>
      <w:pPr>
        <w:spacing w:after="0" w:line="19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Adjustments for Stock Splits</w:t>
      </w:r>
      <w:r>
        <w:rPr>
          <w:rFonts w:ascii="Times New Roman" w:cs="Times New Roman" w:eastAsia="Times New Roman" w:hAnsi="Times New Roman"/>
          <w:sz w:val="18"/>
          <w:szCs w:val="18"/>
          <w:color w:val="auto"/>
        </w:rPr>
        <w:t>. The parties acknowledge and agree that all stock-related numbers contained in this Agreement shall be adjusted to take into account any stock split, stock dividend or similar event effected with respect to the Securities.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Governing Law and Time</w:t>
      </w:r>
      <w:r>
        <w:rPr>
          <w:rFonts w:ascii="Times New Roman" w:cs="Times New Roman" w:eastAsia="Times New Roman" w:hAnsi="Times New Roman"/>
          <w:sz w:val="18"/>
          <w:szCs w:val="18"/>
          <w:color w:val="auto"/>
        </w:rPr>
        <w:t>. THIS AGREEMENT SHALL BE GOVERNED BY AND CONSTRUED IN ACCORDANCE WITH THE LAWS OF THE STATE OF NEW YORK. SPECIFIED TIMES OF DAY REFER TO NEW YORK CITY TIME.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68" w:name="page69"/>
    <w:bookmarkEnd w:id="68"/>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by any one or more of the parties hereto and thereto in any number of counterparts, each of which shall be deemed to be an original, but all such respective counterparts shall together constitute one and the same instrument. Delivery of an executed Agreement by one party to the other may be made by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w:t>
      </w:r>
    </w:p>
    <w:p>
      <w:pPr>
        <w:spacing w:after="0" w:line="187"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 In the event that any Sales Agent, any Forward Seller or any Forward Purchaser that is a Covered Entity becomes subject to a proceeding under a U.S. Special Resolution Regime, the transfer from such Sales Agent, such Forward Seller or such Forward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3"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In the event that the entity acting as Forward Purchaser (the “</w:t>
      </w:r>
      <w:r>
        <w:rPr>
          <w:rFonts w:ascii="Times New Roman" w:cs="Times New Roman" w:eastAsia="Times New Roman" w:hAnsi="Times New Roman"/>
          <w:sz w:val="18"/>
          <w:szCs w:val="18"/>
          <w:u w:val="single" w:color="auto"/>
          <w:color w:val="auto"/>
        </w:rPr>
        <w:t>Previous Forward Purchaser</w:t>
      </w:r>
      <w:r>
        <w:rPr>
          <w:rFonts w:ascii="Times New Roman" w:cs="Times New Roman" w:eastAsia="Times New Roman" w:hAnsi="Times New Roman"/>
          <w:sz w:val="18"/>
          <w:szCs w:val="18"/>
          <w:color w:val="auto"/>
        </w:rPr>
        <w:t>”) is replaced as a party hereunder by its affiliate (the “</w:t>
      </w:r>
      <w:r>
        <w:rPr>
          <w:rFonts w:ascii="Times New Roman" w:cs="Times New Roman" w:eastAsia="Times New Roman" w:hAnsi="Times New Roman"/>
          <w:sz w:val="18"/>
          <w:szCs w:val="18"/>
          <w:u w:val="single" w:color="auto"/>
          <w:color w:val="auto"/>
        </w:rPr>
        <w:t>New Forward Purchaser</w:t>
      </w:r>
      <w:r>
        <w:rPr>
          <w:rFonts w:ascii="Times New Roman" w:cs="Times New Roman" w:eastAsia="Times New Roman" w:hAnsi="Times New Roman"/>
          <w:sz w:val="18"/>
          <w:szCs w:val="18"/>
          <w:color w:val="auto"/>
        </w:rPr>
        <w:t>”), then, from the date of such transfer or assignment, the New Forward Purchaser shall for all purposes of this Agreement be substituted for the Previous Forward Purchaser as a Forward Purchaser party hereto (as transferee or assignee of the Previous Forward Purchaser).</w:t>
      </w:r>
    </w:p>
    <w:p>
      <w:pPr>
        <w:spacing w:after="0" w:line="180"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any Sales Agent, any Forward Seller or any Forward Purchaser that is a Covered Entity or a BHC Act Affiliate of such Sales Agent, such Forward Seller or such Forward Purchaser becomes subject to a proceeding under a U.S. Special Resolution Regime, Default Rights under this Agreement that may be exercised against such Sales Agent, such Forward Seller or such Forward Purchaser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ind w:left="4" w:right="20" w:firstLine="440"/>
        <w:spacing w:after="0" w:line="269" w:lineRule="auto"/>
        <w:rPr>
          <w:sz w:val="20"/>
          <w:szCs w:val="20"/>
          <w:color w:val="auto"/>
        </w:rPr>
      </w:pPr>
      <w:r>
        <w:rPr>
          <w:rFonts w:ascii="Times New Roman" w:cs="Times New Roman" w:eastAsia="Times New Roman" w:hAnsi="Times New Roman"/>
          <w:sz w:val="17"/>
          <w:szCs w:val="17"/>
          <w:color w:val="auto"/>
        </w:rPr>
        <w:t>For purposes of foregoing two paragraphs,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and “U.S. Special Resolution Regime” means each of</w:t>
      </w:r>
    </w:p>
    <w:p>
      <w:pPr>
        <w:spacing w:after="0" w:line="3" w:lineRule="exact"/>
        <w:rPr>
          <w:sz w:val="20"/>
          <w:szCs w:val="20"/>
          <w:color w:val="auto"/>
        </w:rPr>
      </w:pPr>
    </w:p>
    <w:p>
      <w:pPr>
        <w:ind w:left="4" w:right="120" w:hanging="4"/>
        <w:spacing w:after="0" w:line="260" w:lineRule="auto"/>
        <w:tabs>
          <w:tab w:leader="none" w:pos="2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70"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and Exhibit Headings herein are for convenience only and shall not affect the construction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11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“Aggregate Sales Price” means, with respect to a period, the sum of the Sales Prices for all Issuance Securities or Forward Hedge Securities, as applicable, sold during such period.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the time of each sale of any Securities pursuant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means the Company’s Declaration of Trust,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means the Company’s common shares of beneficial interest, par value $.01 per share.</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Confirmation</w:t>
      </w:r>
      <w:r>
        <w:rPr>
          <w:rFonts w:ascii="Times New Roman" w:cs="Times New Roman" w:eastAsia="Times New Roman" w:hAnsi="Times New Roman"/>
          <w:sz w:val="18"/>
          <w:szCs w:val="18"/>
          <w:color w:val="auto"/>
        </w:rPr>
        <w:t>” means the agreement in respect of the share forward sale transaction by and between the Company and the applicable Forward Purchaser, including all provisions incorporated by reference therein.</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Confirmation Securities</w:t>
      </w:r>
      <w:r>
        <w:rPr>
          <w:rFonts w:ascii="Times New Roman" w:cs="Times New Roman" w:eastAsia="Times New Roman" w:hAnsi="Times New Roman"/>
          <w:sz w:val="18"/>
          <w:szCs w:val="18"/>
          <w:color w:val="auto"/>
        </w:rPr>
        <w:t>” means any Common Shares to be issued, sold and/or delivered by the Company to the applicable Forward Purchaser, whether by settlement, acceleration, termination or otherwise, pursuant to any Confirmation.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means the Commission’s Electronic Data Gathering, Analysis and Retrieval system.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w:t>
      </w:r>
      <w:r>
        <w:rPr>
          <w:rFonts w:ascii="Times New Roman" w:cs="Times New Roman" w:eastAsia="Times New Roman" w:hAnsi="Times New Roman"/>
          <w:sz w:val="18"/>
          <w:szCs w:val="18"/>
          <w:color w:val="auto"/>
        </w:rPr>
        <w:t>” means each share forward sale transaction (or proposed share forward transaction) corresponding to a particular Placement Notice (as amended by the corresponding Acceptance, if applicable), pursuant to the terms and conditions of this Agreement.</w:t>
      </w:r>
    </w:p>
    <w:p>
      <w:pPr>
        <w:spacing w:after="0" w:line="162" w:lineRule="exact"/>
        <w:rPr>
          <w:sz w:val="20"/>
          <w:szCs w:val="20"/>
          <w:color w:val="auto"/>
        </w:rPr>
      </w:pPr>
    </w:p>
    <w:p>
      <w:pPr>
        <w:ind w:right="8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Price</w:t>
      </w:r>
      <w:r>
        <w:rPr>
          <w:rFonts w:ascii="Times New Roman" w:cs="Times New Roman" w:eastAsia="Times New Roman" w:hAnsi="Times New Roman"/>
          <w:sz w:val="18"/>
          <w:szCs w:val="18"/>
          <w:color w:val="auto"/>
        </w:rPr>
        <w:t>” means, for any Confirmation, the product of (x) an amount equal to one (1) minus the Forward Hedge Selling Commission Rate for such Confirmation and (y) the Volume-Weighted Hedge Price.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Securities</w:t>
      </w:r>
      <w:r>
        <w:rPr>
          <w:rFonts w:ascii="Times New Roman" w:cs="Times New Roman" w:eastAsia="Times New Roman" w:hAnsi="Times New Roman"/>
          <w:sz w:val="18"/>
          <w:szCs w:val="18"/>
          <w:color w:val="auto"/>
        </w:rPr>
        <w:t>” means all Common Shares offered and sold (or to be offered and sold) by the Forward Sellers in connection with any Forward or proposed Forward that has occurred or may occur in accordance with the terms and conditions of this Agreement and related Placement Notice (as amended by the corresponding Acceptance, if applicable).</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Selling Commission</w:t>
      </w:r>
      <w:r>
        <w:rPr>
          <w:rFonts w:ascii="Times New Roman" w:cs="Times New Roman" w:eastAsia="Times New Roman" w:hAnsi="Times New Roman"/>
          <w:sz w:val="18"/>
          <w:szCs w:val="18"/>
          <w:color w:val="auto"/>
        </w:rPr>
        <w:t>” means, for any Confirmation, the product of (x) the Forward Hedge Selling Commission Rate for such Confirmation and (y) the Volume-Weighted Hedge Price.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40"/>
          </w:cols>
          <w:pgMar w:left="440" w:top="270" w:right="519" w:bottom="1440" w:gutter="0" w:footer="0" w:header="0"/>
        </w:sectPr>
      </w:pPr>
    </w:p>
    <w:bookmarkStart w:id="70" w:name="page71"/>
    <w:bookmarkEnd w:id="70"/>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Forward Hedge Selling Commission Rate</w:t>
      </w:r>
      <w:r>
        <w:rPr>
          <w:rFonts w:ascii="Times New Roman" w:cs="Times New Roman" w:eastAsia="Times New Roman" w:hAnsi="Times New Roman"/>
          <w:sz w:val="17"/>
          <w:szCs w:val="17"/>
          <w:color w:val="auto"/>
        </w:rPr>
        <w:t>” means, for any Confirmation, a rate mutually agreed to between the Company, the Forward Sellers and the Forward Purchasers and specified in the applicable Placement Notice (as amended by the corresponding Acceptance, if applicable), up to 2.0%.</w:t>
      </w:r>
    </w:p>
    <w:p>
      <w:pPr>
        <w:spacing w:after="0" w:line="14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Selling Period</w:t>
      </w:r>
      <w:r>
        <w:rPr>
          <w:rFonts w:ascii="Times New Roman" w:cs="Times New Roman" w:eastAsia="Times New Roman" w:hAnsi="Times New Roman"/>
          <w:sz w:val="18"/>
          <w:szCs w:val="18"/>
          <w:color w:val="auto"/>
        </w:rPr>
        <w:t>” means, subject to Section 2(c) hereof, the period of consecutive Trading Days beginning on the date specified in the applicable Placement Notice (as amended by the corresponding Acceptance, if applicable) or, if such date is not a Trading Day, the next Trading Day following such date and ending on the Hedge Completion Date (as defined in the applicable Confirmation). For the avoidance of doubt, any Forward Hedge Selling Period then in effect shall immediately terminate upon the termination of this Agreement.</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means each transaction (or proposed transaction) corresponding to a particular Placement Notice in which Common Shares issuable by the Company are offered and sold by a Sales Agent pursuant to the terms and conditions of this Agreement.</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Selling Period</w:t>
      </w:r>
      <w:r>
        <w:rPr>
          <w:rFonts w:ascii="Times New Roman" w:cs="Times New Roman" w:eastAsia="Times New Roman" w:hAnsi="Times New Roman"/>
          <w:sz w:val="18"/>
          <w:szCs w:val="18"/>
          <w:color w:val="auto"/>
        </w:rPr>
        <w:t>” means the period of consecutive Trading Days specifying that it relates to an Issuance beginning on the date specified in the applicable Placement Notice (as amended by the corresponding Acceptance, if applicable) or, if such date is not a Trading Day, the next Trading Day following such date.</w:t>
      </w:r>
    </w:p>
    <w:p>
      <w:pPr>
        <w:spacing w:after="0" w:line="176"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Securities</w:t>
      </w:r>
      <w:r>
        <w:rPr>
          <w:rFonts w:ascii="Times New Roman" w:cs="Times New Roman" w:eastAsia="Times New Roman" w:hAnsi="Times New Roman"/>
          <w:sz w:val="18"/>
          <w:szCs w:val="18"/>
          <w:color w:val="auto"/>
        </w:rPr>
        <w:t>” means all Common Shares issued or issuable pursuant to an Issuance or proposed Issuance that has occurred or may occur in accordance with the terms and conditions of this Agreement and related Placement Notice (including any applicable Acceptance).</w:t>
      </w:r>
    </w:p>
    <w:p>
      <w:pPr>
        <w:spacing w:after="0" w:line="162"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xml:space="preserve">” means any “issuer free writing prospectus,” as defined in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and all free writing prospectuses that are listed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 in each case in the form furnished (electronically or otherwise) to the Sales Agents, the Forward Sellers and the Forward Purchasers for use in connection with the offering of the Securities.</w:t>
      </w:r>
    </w:p>
    <w:p>
      <w:pPr>
        <w:spacing w:after="0" w:line="187" w:lineRule="exact"/>
        <w:rPr>
          <w:sz w:val="20"/>
          <w:szCs w:val="20"/>
          <w:color w:val="auto"/>
        </w:rPr>
      </w:pPr>
    </w:p>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Preferred Shares</w:t>
      </w:r>
      <w:r>
        <w:rPr>
          <w:rFonts w:ascii="Times New Roman" w:cs="Times New Roman" w:eastAsia="Times New Roman" w:hAnsi="Times New Roman"/>
          <w:sz w:val="17"/>
          <w:szCs w:val="17"/>
          <w:color w:val="auto"/>
        </w:rPr>
        <w:t>” means the Company’s preferred shares of beneficial interest, par value $.01 per share, including the Company’s outstanding 5.417% Series 1 Cumulative Convertible Preferred Shares and the Company’s outstanding 5.000% Series C Cumulative Redeemable Preferred Shares.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462(e)</w:t>
      </w:r>
      <w:r>
        <w:rPr>
          <w:rFonts w:ascii="Times New Roman" w:cs="Times New Roman" w:eastAsia="Times New Roman" w:hAnsi="Times New Roman"/>
          <w:sz w:val="18"/>
          <w:szCs w:val="18"/>
          <w:color w:val="auto"/>
        </w:rPr>
        <w:t>” refer to such rules under the Securities Act.</w:t>
      </w:r>
    </w:p>
    <w:p>
      <w:pPr>
        <w:spacing w:after="0" w:line="225"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Sales Price</w:t>
      </w:r>
      <w:r>
        <w:rPr>
          <w:rFonts w:ascii="Times New Roman" w:cs="Times New Roman" w:eastAsia="Times New Roman" w:hAnsi="Times New Roman"/>
          <w:sz w:val="18"/>
          <w:szCs w:val="18"/>
          <w:color w:val="auto"/>
        </w:rPr>
        <w:t>” means, for each Forward or each Issuance hereunder, the actual sale execution price of each Forward Hedge Security or Issuance Security, as the case may be, sold by the Sales Agents or the Forward Sellers, as applicable, on the NYSE hereunder in the case of ordinary brokers’ transactions, or as otherwise agreed by the parties in other methods of sale.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71" w:name="page72"/>
    <w:bookmarkEnd w:id="71"/>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 and the rules and regulations promulgated thereunder or implementing the provisions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Issuance Securities and/or Forward Hedge Securities,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Period</w:t>
      </w:r>
      <w:r>
        <w:rPr>
          <w:rFonts w:ascii="Times New Roman" w:cs="Times New Roman" w:eastAsia="Times New Roman" w:hAnsi="Times New Roman"/>
          <w:sz w:val="18"/>
          <w:szCs w:val="18"/>
          <w:color w:val="auto"/>
        </w:rPr>
        <w:t>” means any Forward Hedge Selling Period or any Issuance Selling Period.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means, unless the applicable parties hereto otherwise agree, any Forward Hedge Settlement Date or any Issuance Settlement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Volume-Weighted Hedge Price</w:t>
      </w:r>
      <w:r>
        <w:rPr>
          <w:rFonts w:ascii="Times New Roman" w:cs="Times New Roman" w:eastAsia="Times New Roman" w:hAnsi="Times New Roman"/>
          <w:sz w:val="18"/>
          <w:szCs w:val="18"/>
          <w:color w:val="auto"/>
        </w:rPr>
        <w:t>” means, with respect to any Forward, the volume-weighted average price at which the applicable Forward Hedge Securities are sold.</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Securities by the Sales Agents or the Forward Sellers outside of the United States.</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Each of the Company and the Operating Partnership represents, warrants and agrees that, unless it obtains the prior consent of the Sales Agents, the Forward Sellers and the Forward Purchasers, and each Sales Agent and each Forward Seller, represents, warrants and agrees that, unless it obtains the prior consent of the Company, it has not made and will not make any offer relating to the Securities that would constitute an Issuer Free Writing Prospectus, or that would otherwise constitute a “free writing prospectus,” as defined in</w:t>
      </w:r>
    </w:p>
    <w:p>
      <w:pPr>
        <w:spacing w:after="0" w:line="3"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Rule 405, required to be filed with the Commission. Any such free writing prospectus consented to by the Sales Agents or Forward Sellers and the Forward Purchasers, as applicable, or by the Company, as the case may be, is hereinafter referred to as a “</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 are Permitted Free Writing Prospectuses.</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40"/>
          </w:cols>
          <w:pgMar w:left="440" w:top="270" w:right="5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24. </w:t>
      </w: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Each of the Company and the Operating Partnership acknowledges and agrees that:</w:t>
      </w:r>
    </w:p>
    <w:p>
      <w:pPr>
        <w:spacing w:after="0" w:line="117" w:lineRule="exact"/>
        <w:rPr>
          <w:sz w:val="20"/>
          <w:szCs w:val="20"/>
          <w:color w:val="auto"/>
        </w:rPr>
      </w:pPr>
    </w:p>
    <w:p>
      <w:pPr>
        <w:ind w:firstLine="436"/>
        <w:spacing w:after="0" w:line="254" w:lineRule="auto"/>
        <w:tabs>
          <w:tab w:leader="none" w:pos="6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Sales Agents and the Forward Sellers is acting solely as agent and/or principal in connection with the public offering of the Securities and in connection with each transaction contemplated by this Agreement and the process leading to such transactions. No fiduciary or advisory relationship between the Company, the Operating Partnership or any of their respective affiliates, stockholders (or other equity holders), creditors or employees or any other party, on the one hand, and the Sales Agents, the Forward Sellers and the Forward Purchasers, on the other hand, has been or will be created in respect of any of the transactions contemplated by this Agreement, irrespective of whether or not a Sales Agent, a Forward Seller or a Forward Purchaser has advised or is advising the Company and/or the Operating Partnership on other matters, and none of the Sales Agents, the Forward Sellers and the Forward Purchasers has any obligation to the Company or the Operating Partnership with respect to the transactions contemplated by this Agreement except the obligations expressly set forth in this Agreement;</w:t>
      </w:r>
    </w:p>
    <w:p>
      <w:pPr>
        <w:spacing w:after="0" w:line="83" w:lineRule="exact"/>
        <w:rPr>
          <w:rFonts w:ascii="Times New Roman" w:cs="Times New Roman" w:eastAsia="Times New Roman" w:hAnsi="Times New Roman"/>
          <w:sz w:val="18"/>
          <w:szCs w:val="18"/>
          <w:color w:val="auto"/>
        </w:rPr>
      </w:pPr>
    </w:p>
    <w:p>
      <w:pPr>
        <w:ind w:right="640" w:firstLine="436"/>
        <w:spacing w:after="0" w:line="282" w:lineRule="auto"/>
        <w:tabs>
          <w:tab w:leader="none" w:pos="6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or minimum market price of the Securities set forth in this Agreement was not established by the Sales Agents, the Forward Sellers and the Forward Purchasers;</w:t>
      </w:r>
    </w:p>
    <w:p>
      <w:pPr>
        <w:spacing w:after="0" w:line="53" w:lineRule="exact"/>
        <w:rPr>
          <w:rFonts w:ascii="Times New Roman" w:cs="Times New Roman" w:eastAsia="Times New Roman" w:hAnsi="Times New Roman"/>
          <w:sz w:val="18"/>
          <w:szCs w:val="18"/>
          <w:color w:val="auto"/>
        </w:rPr>
      </w:pPr>
    </w:p>
    <w:p>
      <w:pPr>
        <w:ind w:right="80" w:firstLine="436"/>
        <w:spacing w:after="0" w:line="282" w:lineRule="auto"/>
        <w:tabs>
          <w:tab w:leader="none" w:pos="6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53"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Sales Agents, the Forward Sellers and the Forward Purchasers has provided any legal, accounting, regulatory or tax advice with respect to the transactions contemplated by this Agreement and the Company has consulted its own legal, accounting, regulatory and tax advisors to the extent the Company has deemed appropriate;</w:t>
      </w:r>
    </w:p>
    <w:p>
      <w:pPr>
        <w:spacing w:after="0" w:line="67"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aware that the Sales Agents, the Forward Sellers, the Forward Purchasers and their respective affiliates are engaged in a broad range of transactions which may involve interests that differ from those of the Company and the Operating Partnership, and the Sales Agents, the Forward Sellers and the Forward Purchasers have no obligation to disclose such interests and transactions to the Company or the Operating Partnership by virtue of any fiduciary, advisory or agency relationship or otherwise; and</w:t>
      </w:r>
    </w:p>
    <w:p>
      <w:pPr>
        <w:spacing w:after="0" w:line="71" w:lineRule="exact"/>
        <w:rPr>
          <w:rFonts w:ascii="Times New Roman" w:cs="Times New Roman" w:eastAsia="Times New Roman" w:hAnsi="Times New Roman"/>
          <w:sz w:val="18"/>
          <w:szCs w:val="18"/>
          <w:color w:val="auto"/>
        </w:rPr>
      </w:pPr>
    </w:p>
    <w:p>
      <w:pPr>
        <w:ind w:right="100" w:firstLine="436"/>
        <w:spacing w:after="0" w:line="258" w:lineRule="auto"/>
        <w:tabs>
          <w:tab w:leader="none" w:pos="66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the Sales Agents, the Forward Sellers and the Forward Purchasers for breach of fiduciary duty or alleged breach of fiduciary duty and agrees that the Sales Agents, the Forward Sellers and the Forward Purchasers shall not have any liability (whether direct or indirect, in contract, tort or otherwise) to it in respect of such a fiduciary duty claim or to any person asserting a fiduciary duty claim on its behalf or in right of it or the Company, the Operating Partnership, employees or creditors of the Company or the Operating Partnership.</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73" w:name="page74"/>
    <w:bookmarkEnd w:id="73"/>
    <w:p>
      <w:pPr>
        <w:ind w:right="40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parties hereto in accordance with its terms.</w:t>
      </w:r>
    </w:p>
    <w:p>
      <w:pPr>
        <w:spacing w:after="0" w:line="16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Daniel Guglielmone</w:t>
      </w:r>
    </w:p>
    <w:p>
      <w:pPr>
        <w:spacing w:after="0" w:line="27"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Executive Vice President-Chief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and Treasurer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FEDERAL REALTY OP LP</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Daniel Guglielmone</w:t>
      </w:r>
    </w:p>
    <w:p>
      <w:pPr>
        <w:spacing w:after="0" w:line="27"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Executive Vice President-Chief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and Treasurer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740"/>
          </w:cols>
          <w:pgMar w:left="440" w:top="270" w:right="7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Sales Agents and Forward Sellers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CONFIRMED AND ACCEPTED, as of the date first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National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Forward Purchasers, solely as the recipients and/or beneficiaries of certain representations, warranties, covenants and indemnities set forth in this Agreement</w:t>
      </w:r>
    </w:p>
    <w:p>
      <w:pPr>
        <w:sectPr>
          <w:pgSz w:w="11900" w:h="16838" w:orient="portrait"/>
          <w:cols w:equalWidth="0" w:num="1">
            <w:col w:w="10640"/>
          </w:cols>
          <w:pgMar w:left="440" w:top="270" w:right="819" w:bottom="1440" w:gutter="0" w:footer="0" w:header="0"/>
        </w:sectPr>
      </w:pPr>
    </w:p>
    <w:bookmarkStart w:id="76" w:name="page77"/>
    <w:bookmarkEnd w:id="76"/>
    <w:p>
      <w:pPr>
        <w:jc w:val="center"/>
        <w:ind w:right="-1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u w:val="single" w:color="auto"/>
          <w:color w:val="auto"/>
        </w:rPr>
        <w:t>[FORM OF PLACEMENT NOTICE]</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28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8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Cc:</w:t>
            </w:r>
          </w:p>
        </w:tc>
        <w:tc>
          <w:tcPr>
            <w:tcW w:w="28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8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36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28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8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1"/>
              </w:rPr>
              <w:t>]</w:t>
            </w:r>
            <w:r>
              <w:rPr>
                <w:rFonts w:ascii="Times New Roman" w:cs="Times New Roman" w:eastAsia="Times New Roman" w:hAnsi="Times New Roman"/>
                <w:sz w:val="25"/>
                <w:szCs w:val="25"/>
                <w:color w:val="auto"/>
                <w:w w:val="71"/>
                <w:vertAlign w:val="superscript"/>
              </w:rPr>
              <w:t>1</w:t>
            </w:r>
          </w:p>
        </w:tc>
      </w:tr>
    </w:tbl>
    <w:p>
      <w:pPr>
        <w:spacing w:after="0" w:line="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Subject: Equity Distribution—Placement Notice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Gentlemen:</w:t>
      </w:r>
    </w:p>
    <w:p>
      <w:pPr>
        <w:spacing w:after="0" w:line="117"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8"/>
          <w:szCs w:val="18"/>
          <w:color w:val="auto"/>
        </w:rPr>
        <w:t>Reference is made to the Equity Distribution Agreement among Federal Realty Investment Trust, [BANK NAME] and the other parties thereto, dated February 14, 2022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Capitalized terms used in this Placement Notice without definition shall have the respective definitions ascribed to them in the Agreement. Pursuant to the terms and subject to the conditions contained in the Agreement, this Placement Notice relates to [an Issuance]</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 Forward].</w:t>
      </w:r>
      <w:r>
        <w:rPr>
          <w:rFonts w:ascii="Times New Roman" w:cs="Times New Roman" w:eastAsia="Times New Roman" w:hAnsi="Times New Roman"/>
          <w:sz w:val="26"/>
          <w:szCs w:val="26"/>
          <w:color w:val="auto"/>
          <w:vertAlign w:val="superscript"/>
        </w:rPr>
        <w:t>3</w:t>
      </w:r>
    </w:p>
    <w:p>
      <w:pPr>
        <w:spacing w:after="0" w:line="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Anticipated number of Trading Days in [Issuance]</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[Forward Hedge]</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Selling Period: [   ]</w:t>
      </w:r>
    </w:p>
    <w:p>
      <w:pPr>
        <w:spacing w:after="0" w:line="1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[Deadline for Forward Hedge Selling Period: [   ]]</w:t>
      </w:r>
      <w:r>
        <w:rPr>
          <w:rFonts w:ascii="Times New Roman" w:cs="Times New Roman" w:eastAsia="Times New Roman" w:hAnsi="Times New Roman"/>
          <w:sz w:val="26"/>
          <w:szCs w:val="26"/>
          <w:color w:val="auto"/>
          <w:vertAlign w:val="superscript"/>
        </w:rPr>
        <w:t>6</w:t>
      </w:r>
    </w:p>
    <w:p>
      <w:pPr>
        <w:spacing w:after="0" w:line="1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First day of [Issuance]</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[Forward Hedge]</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Selling Period: [   ]</w:t>
      </w:r>
    </w:p>
    <w:p>
      <w:pPr>
        <w:spacing w:after="0" w:line="1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Maximum amount of Securities to be sold: [$][   ] [shares]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[Forward Hedge Selling Commission Rate: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266065</wp:posOffset>
            </wp:positionV>
            <wp:extent cx="7715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45" w:lineRule="exact"/>
        <w:rPr>
          <w:sz w:val="20"/>
          <w:szCs w:val="20"/>
          <w:color w:val="auto"/>
        </w:rPr>
      </w:pPr>
    </w:p>
    <w:p>
      <w:pPr>
        <w:ind w:left="424" w:hanging="424"/>
        <w:spacing w:after="0"/>
        <w:tabs>
          <w:tab w:leader="none" w:pos="424" w:val="left"/>
        </w:tabs>
        <w:numPr>
          <w:ilvl w:val="0"/>
          <w:numId w:val="6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Sales Agent’s or Forward Seller and Forward Purchaser’s names.</w:t>
      </w:r>
    </w:p>
    <w:p>
      <w:pPr>
        <w:ind w:left="424" w:hanging="424"/>
        <w:spacing w:after="0" w:line="180" w:lineRule="auto"/>
        <w:tabs>
          <w:tab w:leader="none" w:pos="424" w:val="left"/>
        </w:tabs>
        <w:numPr>
          <w:ilvl w:val="0"/>
          <w:numId w:val="6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for a Placement Notice that relates to an Issuance.</w:t>
      </w:r>
    </w:p>
    <w:p>
      <w:pPr>
        <w:ind w:left="424" w:hanging="424"/>
        <w:spacing w:after="0" w:line="180" w:lineRule="auto"/>
        <w:tabs>
          <w:tab w:leader="none" w:pos="424" w:val="left"/>
        </w:tabs>
        <w:numPr>
          <w:ilvl w:val="0"/>
          <w:numId w:val="7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for a Placement Notice that relates to a Forward.</w:t>
      </w:r>
    </w:p>
    <w:p>
      <w:pPr>
        <w:ind w:left="424" w:hanging="424"/>
        <w:spacing w:after="0" w:line="180" w:lineRule="auto"/>
        <w:tabs>
          <w:tab w:leader="none" w:pos="424" w:val="left"/>
        </w:tabs>
        <w:numPr>
          <w:ilvl w:val="0"/>
          <w:numId w:val="7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for a Placement Notice that relates to an Issuance.</w:t>
      </w:r>
    </w:p>
    <w:p>
      <w:pPr>
        <w:ind w:left="424" w:hanging="424"/>
        <w:spacing w:after="0" w:line="181" w:lineRule="auto"/>
        <w:tabs>
          <w:tab w:leader="none" w:pos="424" w:val="left"/>
        </w:tabs>
        <w:numPr>
          <w:ilvl w:val="0"/>
          <w:numId w:val="7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for a Placement Notice that relates to a Forward.</w:t>
      </w:r>
    </w:p>
    <w:p>
      <w:pPr>
        <w:ind w:left="424" w:hanging="424"/>
        <w:spacing w:after="0" w:line="180" w:lineRule="auto"/>
        <w:tabs>
          <w:tab w:leader="none" w:pos="424" w:val="left"/>
        </w:tabs>
        <w:numPr>
          <w:ilvl w:val="0"/>
          <w:numId w:val="7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for a Placement Notice that relates to a Forward.</w:t>
      </w:r>
    </w:p>
    <w:p>
      <w:pPr>
        <w:ind w:left="424" w:hanging="424"/>
        <w:spacing w:after="0" w:line="180" w:lineRule="auto"/>
        <w:tabs>
          <w:tab w:leader="none" w:pos="424" w:val="left"/>
        </w:tabs>
        <w:numPr>
          <w:ilvl w:val="0"/>
          <w:numId w:val="7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for a Placement Notice that relates to an Issuance.</w:t>
      </w:r>
    </w:p>
    <w:p>
      <w:pPr>
        <w:ind w:left="424" w:hanging="424"/>
        <w:spacing w:after="0" w:line="181" w:lineRule="auto"/>
        <w:tabs>
          <w:tab w:leader="none" w:pos="424" w:val="left"/>
        </w:tabs>
        <w:numPr>
          <w:ilvl w:val="0"/>
          <w:numId w:val="7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for a Placement Notice that relates to a Forward.</w:t>
      </w:r>
    </w:p>
    <w:p>
      <w:pPr>
        <w:spacing w:after="0" w:line="130"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Exh. A-1</w:t>
      </w:r>
    </w:p>
    <w:p>
      <w:pPr>
        <w:sectPr>
          <w:pgSz w:w="11900" w:h="16838" w:orient="portrait"/>
          <w:cols w:equalWidth="0" w:num="1">
            <w:col w:w="10884"/>
          </w:cols>
          <w:pgMar w:left="436" w:top="270" w:right="579" w:bottom="1440" w:gutter="0" w:footer="0" w:header="0"/>
        </w:sectPr>
      </w:pPr>
    </w:p>
    <w:bookmarkStart w:id="77" w:name="page78"/>
    <w:bookmarkEnd w:id="77"/>
    <w:tbl>
      <w:tblPr>
        <w:tblLayout w:type="fixed"/>
        <w:tblInd w:w="4" w:type="dxa"/>
        <w:tblCellMar>
          <w:top w:w="0" w:type="dxa"/>
          <w:left w:w="0" w:type="dxa"/>
          <w:bottom w:w="0" w:type="dxa"/>
          <w:right w:w="0" w:type="dxa"/>
        </w:tblCellMar>
      </w:tblPr>
      <w:tr>
        <w:trPr>
          <w:trHeight w:val="161"/>
        </w:trPr>
        <w:tc>
          <w:tcPr>
            <w:tcW w:w="420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Forward Price Reduction Dates</w:t>
            </w:r>
          </w:p>
        </w:tc>
        <w:tc>
          <w:tcPr>
            <w:tcW w:w="36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Forward Price Reduction Amounts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4"/>
              </w:rPr>
              <w:t>[ </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80"/>
              </w:rPr>
              <w:t>[ </w:t>
            </w:r>
          </w:p>
        </w:tc>
        <w:tc>
          <w:tcPr>
            <w:tcW w:w="310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4"/>
              </w:rPr>
              <w:t>[ </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80"/>
              </w:rPr>
              <w:t>[ </w:t>
            </w:r>
          </w:p>
        </w:tc>
        <w:tc>
          <w:tcPr>
            <w:tcW w:w="310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86"/>
              </w:rPr>
              <w:t>Spread: [ </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7"/>
              </w:rPr>
              <w:t>Stock loan fee permitting adjustments in Confirmation: [ </w:t>
            </w:r>
          </w:p>
        </w:tc>
        <w:tc>
          <w:tcPr>
            <w:tcW w:w="3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basis points per annum</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 loan fee triggering a stock borrow event in the Confirmation: [   ] basis points per annum</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Regular Dividend Amounts:</w:t>
            </w:r>
          </w:p>
        </w:tc>
        <w:tc>
          <w:tcPr>
            <w:tcW w:w="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vMerge w:val="restart"/>
          </w:tcPr>
          <w:p>
            <w:pPr>
              <w:spacing w:after="0"/>
              <w:rPr>
                <w:sz w:val="21"/>
                <w:szCs w:val="21"/>
                <w:color w:val="auto"/>
              </w:rPr>
            </w:pPr>
          </w:p>
        </w:tc>
        <w:tc>
          <w:tcPr>
            <w:tcW w:w="6120" w:type="dxa"/>
            <w:vAlign w:val="bottom"/>
            <w:gridSpan w:val="3"/>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any calendar month ending on or prior to [December 31, 20[ ]]:</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any calendar month ending after [December 31, 20[ ]]:</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w:t>
            </w:r>
            <w:r>
              <w:rPr>
                <w:rFonts w:ascii="Times New Roman" w:cs="Times New Roman" w:eastAsia="Times New Roman" w:hAnsi="Times New Roman"/>
                <w:sz w:val="26"/>
                <w:szCs w:val="26"/>
                <w:color w:val="auto"/>
                <w:w w:val="77"/>
                <w:vertAlign w:val="superscript"/>
              </w:rPr>
              <w:t>9</w:t>
            </w:r>
          </w:p>
        </w:tc>
        <w:tc>
          <w:tcPr>
            <w:tcW w:w="0" w:type="dxa"/>
            <w:vAlign w:val="bottom"/>
          </w:tcPr>
          <w:p>
            <w:pPr>
              <w:spacing w:after="0"/>
              <w:rPr>
                <w:sz w:val="1"/>
                <w:szCs w:val="1"/>
                <w:color w:val="auto"/>
              </w:rPr>
            </w:pPr>
          </w:p>
        </w:tc>
      </w:tr>
      <w:tr>
        <w:trPr>
          <w:trHeight w:val="293"/>
        </w:trPr>
        <w:tc>
          <w:tcPr>
            <w:tcW w:w="78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Floor price (adjustable by Company during the Selling Period, and in no event less than $0.01 per share): $[ </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per share</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line="262" w:lineRule="auto"/>
        <w:rPr>
          <w:sz w:val="20"/>
          <w:szCs w:val="20"/>
          <w:color w:val="auto"/>
        </w:rPr>
      </w:pPr>
      <w:r>
        <w:rPr>
          <w:rFonts w:ascii="Times New Roman" w:cs="Times New Roman" w:eastAsia="Times New Roman" w:hAnsi="Times New Roman"/>
          <w:sz w:val="18"/>
          <w:szCs w:val="18"/>
          <w:b w:val="1"/>
          <w:bCs w:val="1"/>
          <w:color w:val="auto"/>
        </w:rPr>
        <w:t>[ADDITIONAL SALES PARAMETERS MAY BE ADDED, SUCH AS THE TIME PERIOD IN WHICH SALES ARE REQUESTED TO BE MADE, SPECIFIC DATES THE SECURITIES MAY NOT BE SOLD ON, THE MANNER IN WHICH SALES ARE TO BE MADE BY THE SALES AGENT OR THE FORWARD SELLER, AND/OR THE CAPACITY IN WHICH THE SALES AGENT OR THE FORWARD SELLER MAY ACT IN SELLING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715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424" w:right="40" w:hanging="424"/>
        <w:spacing w:after="0" w:line="208" w:lineRule="auto"/>
        <w:tabs>
          <w:tab w:leader="none" w:pos="424" w:val="left"/>
        </w:tabs>
        <w:numPr>
          <w:ilvl w:val="0"/>
          <w:numId w:val="7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a Placement Notice that relates to a Forward. Regular Dividend Amounts shall not exceed the Forward Price Reduction Amount for the Forward Price Reduction Date occurring in the relevant month (or, if none, shall not exceed zero).</w:t>
      </w:r>
    </w:p>
    <w:p>
      <w:pPr>
        <w:sectPr>
          <w:pgSz w:w="11900" w:h="16838" w:orient="portrait"/>
          <w:cols w:equalWidth="0" w:num="1">
            <w:col w:w="10924"/>
          </w:cols>
          <w:pgMar w:left="436" w:top="257" w:right="539" w:bottom="1440" w:gutter="0" w:footer="0" w:header="0"/>
        </w:sectPr>
      </w:pPr>
    </w:p>
    <w:bookmarkStart w:id="78" w:name="page79"/>
    <w:bookmarkEnd w:id="78"/>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FORM OF CONFIRMATION</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Form of Forward Confirmation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 ● ]</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Federal Realty Investment Trust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909 Rose Avenue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Suite 200</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 ●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From: [DEALER]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The purpose of this letter agreement is to confirm the terms and conditions of the Transaction entered into between [DEALER] (“</w:t>
      </w:r>
      <w:r>
        <w:rPr>
          <w:rFonts w:ascii="Times New Roman" w:cs="Times New Roman" w:eastAsia="Times New Roman" w:hAnsi="Times New Roman"/>
          <w:sz w:val="18"/>
          <w:szCs w:val="18"/>
          <w:b w:val="1"/>
          <w:bCs w:val="1"/>
          <w:i w:val="1"/>
          <w:iCs w:val="1"/>
          <w:color w:val="auto"/>
        </w:rPr>
        <w:t>Dealer</w:t>
      </w:r>
      <w:r>
        <w:rPr>
          <w:rFonts w:ascii="Times New Roman" w:cs="Times New Roman" w:eastAsia="Times New Roman" w:hAnsi="Times New Roman"/>
          <w:sz w:val="18"/>
          <w:szCs w:val="18"/>
          <w:color w:val="auto"/>
        </w:rPr>
        <w:t>”) and Federal Realty Investment Trust (the “</w:t>
      </w:r>
      <w:r>
        <w:rPr>
          <w:rFonts w:ascii="Times New Roman" w:cs="Times New Roman" w:eastAsia="Times New Roman" w:hAnsi="Times New Roman"/>
          <w:sz w:val="18"/>
          <w:szCs w:val="18"/>
          <w:b w:val="1"/>
          <w:bCs w:val="1"/>
          <w:i w:val="1"/>
          <w:iCs w:val="1"/>
          <w:color w:val="auto"/>
        </w:rPr>
        <w:t>Counterparty</w:t>
      </w:r>
      <w:r>
        <w:rPr>
          <w:rFonts w:ascii="Times New Roman" w:cs="Times New Roman" w:eastAsia="Times New Roman" w:hAnsi="Times New Roman"/>
          <w:sz w:val="18"/>
          <w:szCs w:val="18"/>
          <w:color w:val="auto"/>
        </w:rPr>
        <w:t>”) on the Trade Date specified below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This letter agreement constitutes a “Confirmation” as referred to in the ISDA 2002 Master Agreement specified below.</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The definitions and provisions contained in the 2002 ISDA Equity Derivatives Definitions (the “</w:t>
      </w:r>
      <w:r>
        <w:rPr>
          <w:rFonts w:ascii="Times New Roman" w:cs="Times New Roman" w:eastAsia="Times New Roman" w:hAnsi="Times New Roman"/>
          <w:sz w:val="18"/>
          <w:szCs w:val="18"/>
          <w:b w:val="1"/>
          <w:bCs w:val="1"/>
          <w:i w:val="1"/>
          <w:iCs w:val="1"/>
          <w:color w:val="auto"/>
        </w:rPr>
        <w:t>Equity Definitions</w:t>
      </w:r>
      <w:r>
        <w:rPr>
          <w:rFonts w:ascii="Times New Roman" w:cs="Times New Roman" w:eastAsia="Times New Roman" w:hAnsi="Times New Roman"/>
          <w:sz w:val="18"/>
          <w:szCs w:val="18"/>
          <w:color w:val="auto"/>
        </w:rPr>
        <w:t>”), as published by the International Swaps and Derivatives Association, Inc. (“</w:t>
      </w:r>
      <w:r>
        <w:rPr>
          <w:rFonts w:ascii="Times New Roman" w:cs="Times New Roman" w:eastAsia="Times New Roman" w:hAnsi="Times New Roman"/>
          <w:sz w:val="18"/>
          <w:szCs w:val="18"/>
          <w:b w:val="1"/>
          <w:bCs w:val="1"/>
          <w:i w:val="1"/>
          <w:iCs w:val="1"/>
          <w:color w:val="auto"/>
        </w:rPr>
        <w:t>ISDA</w:t>
      </w:r>
      <w:r>
        <w:rPr>
          <w:rFonts w:ascii="Times New Roman" w:cs="Times New Roman" w:eastAsia="Times New Roman" w:hAnsi="Times New Roman"/>
          <w:sz w:val="18"/>
          <w:szCs w:val="18"/>
          <w:color w:val="auto"/>
        </w:rPr>
        <w:t>”), are incorporated into this Confirmation. In the event of any inconsistency between the Equity Definitions and this Confirmation, this Confirmation shall govern.</w:t>
      </w:r>
    </w:p>
    <w:p>
      <w:pPr>
        <w:spacing w:after="0" w:line="17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76" w:lineRule="exact"/>
        <w:rPr>
          <w:sz w:val="20"/>
          <w:szCs w:val="20"/>
          <w:color w:val="auto"/>
        </w:rPr>
      </w:pPr>
    </w:p>
    <w:p>
      <w:pPr>
        <w:ind w:right="80" w:firstLine="436"/>
        <w:spacing w:after="0" w:line="258" w:lineRule="auto"/>
        <w:tabs>
          <w:tab w:leader="none" w:pos="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Confirmation and the pricing supplement delivered hereunder evidence a complete and binding agreement between Dealer and Counterparty as to the terms of the Transaction to which this Confirmation relates. This Confirmation, together with any other Confirmations for registered forward transactions entered into between Dealer and Counterparty (each, an “</w:t>
      </w:r>
      <w:r>
        <w:rPr>
          <w:rFonts w:ascii="Times New Roman" w:cs="Times New Roman" w:eastAsia="Times New Roman" w:hAnsi="Times New Roman"/>
          <w:sz w:val="18"/>
          <w:szCs w:val="18"/>
          <w:b w:val="1"/>
          <w:bCs w:val="1"/>
          <w:i w:val="1"/>
          <w:iCs w:val="1"/>
          <w:color w:val="auto"/>
        </w:rPr>
        <w:t>Additional Confirmation</w:t>
      </w:r>
      <w:r>
        <w:rPr>
          <w:rFonts w:ascii="Times New Roman" w:cs="Times New Roman" w:eastAsia="Times New Roman" w:hAnsi="Times New Roman"/>
          <w:sz w:val="18"/>
          <w:szCs w:val="18"/>
          <w:color w:val="auto"/>
        </w:rPr>
        <w:t>”), shall supplement, form a part of, and be subject to an agreement in the form of the ISDA 2002 Master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as if Dealer and Counterparty had executed an agreement in such form (without any Schedule but (i) with the elections set forth</w:t>
      </w:r>
    </w:p>
    <w:p>
      <w:pPr>
        <w:sectPr>
          <w:pgSz w:w="11900" w:h="16838" w:orient="portrait"/>
          <w:cols w:equalWidth="0" w:num="1">
            <w:col w:w="10900"/>
          </w:cols>
          <w:pgMar w:left="440" w:top="270" w:right="559" w:bottom="1440" w:gutter="0" w:footer="0" w:header="0"/>
        </w:sectPr>
      </w:pPr>
    </w:p>
    <w:bookmarkStart w:id="79" w:name="page80"/>
    <w:bookmarkEnd w:id="7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this Confirmation and (ii) with the election that the “Cross Default” provisions of Section 5(a)(vi) of the Agreement will apply to Dealer as if (a) the phrase “, or becoming capable at such time of being declared,” were deleted from Section 5(a)(vi)(1) of the Agreement; (b) the “Threshold Amount” with respect to Dealer were three percent of the [shareholders’] [members’] equity of [Dealer][ [ ● ] (“</w:t>
      </w:r>
      <w:r>
        <w:rPr>
          <w:rFonts w:ascii="Times New Roman" w:cs="Times New Roman" w:eastAsia="Times New Roman" w:hAnsi="Times New Roman"/>
          <w:sz w:val="18"/>
          <w:szCs w:val="18"/>
          <w:b w:val="1"/>
          <w:bCs w:val="1"/>
          <w:i w:val="1"/>
          <w:iCs w:val="1"/>
          <w:color w:val="auto"/>
        </w:rPr>
        <w:t>Dealer Parent</w:t>
      </w:r>
      <w:r>
        <w:rPr>
          <w:rFonts w:ascii="Times New Roman" w:cs="Times New Roman" w:eastAsia="Times New Roman" w:hAnsi="Times New Roman"/>
          <w:sz w:val="18"/>
          <w:szCs w:val="18"/>
          <w:color w:val="auto"/>
        </w:rPr>
        <w:t>”)]; (c) the following language were added to the end of Section 5(a)(vi) of the Agreement: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and (d) the term “Specified Indebtedness” had the meaning specified in Section 14 of the Agreement, except that such term shall not include obligations in respect of deposits received in the ordinary course of a party’s banking business). In the event of any inconsistency between provisions of the Agreement and this Confirmation, this Confirmation will prevail for the purpose of the Transaction to which this Confirmation relates. For the avoidance of doubt, “Cross Default” shall not apply to Counterparty. The parties hereby agree that, other than the Transaction to which this Confirmation relates and the Transactions to which the Additional Confirmations, if any, relate (each, an “</w:t>
      </w:r>
      <w:r>
        <w:rPr>
          <w:rFonts w:ascii="Times New Roman" w:cs="Times New Roman" w:eastAsia="Times New Roman" w:hAnsi="Times New Roman"/>
          <w:sz w:val="18"/>
          <w:szCs w:val="18"/>
          <w:b w:val="1"/>
          <w:bCs w:val="1"/>
          <w:i w:val="1"/>
          <w:iCs w:val="1"/>
          <w:color w:val="auto"/>
        </w:rPr>
        <w:t>Additional Transaction</w:t>
      </w:r>
      <w:r>
        <w:rPr>
          <w:rFonts w:ascii="Times New Roman" w:cs="Times New Roman" w:eastAsia="Times New Roman" w:hAnsi="Times New Roman"/>
          <w:sz w:val="18"/>
          <w:szCs w:val="18"/>
          <w:color w:val="auto"/>
        </w:rPr>
        <w:t>”), no Transaction shall be governed by the Agreement. For purposes of the Equity Definitions, this Transaction is a Share Forward Transaction.</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The terms of the particular Transaction to which this Confirmation relates are as follows: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Terms:</w:t>
      </w:r>
    </w:p>
    <w:p>
      <w:pPr>
        <w:sectPr>
          <w:pgSz w:w="11900" w:h="16838" w:orient="portrait"/>
          <w:cols w:equalWidth="0" w:num="1">
            <w:col w:w="11020"/>
          </w:cols>
          <w:pgMar w:left="440" w:top="270" w:right="439"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202[ ● ]</w:t>
      </w:r>
    </w:p>
    <w:p>
      <w:pPr>
        <w:spacing w:after="0" w:line="117"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Effective Date:</w:t>
      </w:r>
    </w:p>
    <w:p>
      <w:pPr>
        <w:spacing w:after="0" w:line="20" w:lineRule="exact"/>
        <w:rPr>
          <w:sz w:val="20"/>
          <w:szCs w:val="20"/>
          <w:color w:val="auto"/>
        </w:rPr>
      </w:pPr>
      <w:r>
        <w:rPr>
          <w:sz w:val="20"/>
          <w:szCs w:val="20"/>
          <w:color w:val="auto"/>
        </w:rPr>
        <w:br w:type="column"/>
      </w:r>
    </w:p>
    <w:p>
      <w:pPr>
        <w:ind w:right="220"/>
        <w:spacing w:after="0" w:line="261" w:lineRule="auto"/>
        <w:rPr>
          <w:sz w:val="20"/>
          <w:szCs w:val="20"/>
          <w:color w:val="auto"/>
        </w:rPr>
      </w:pPr>
      <w:r>
        <w:rPr>
          <w:rFonts w:ascii="Times New Roman" w:cs="Times New Roman" w:eastAsia="Times New Roman" w:hAnsi="Times New Roman"/>
          <w:sz w:val="18"/>
          <w:szCs w:val="18"/>
          <w:color w:val="auto"/>
        </w:rPr>
        <w:t>The first day occurring on or after the Trade Date on which Shares sold through [AGENT], acting as forward seller for Dealer in such capacity (the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pursuant to the Equity Distribution Agreement dated February 14, 2022, as may be amended from time to time, between Counterparty, Dealer, the Agent and the other parties thereto (the “</w:t>
      </w:r>
      <w:r>
        <w:rPr>
          <w:rFonts w:ascii="Times New Roman" w:cs="Times New Roman" w:eastAsia="Times New Roman" w:hAnsi="Times New Roman"/>
          <w:sz w:val="18"/>
          <w:szCs w:val="18"/>
          <w:b w:val="1"/>
          <w:bCs w:val="1"/>
          <w:i w:val="1"/>
          <w:iCs w:val="1"/>
          <w:color w:val="auto"/>
        </w:rPr>
        <w:t>Equity Distribution Agreement</w:t>
      </w:r>
      <w:r>
        <w:rPr>
          <w:rFonts w:ascii="Times New Roman" w:cs="Times New Roman" w:eastAsia="Times New Roman" w:hAnsi="Times New Roman"/>
          <w:sz w:val="18"/>
          <w:szCs w:val="18"/>
          <w:color w:val="auto"/>
        </w:rPr>
        <w:t>”), have settled.</w:t>
      </w:r>
    </w:p>
    <w:p>
      <w:pPr>
        <w:spacing w:after="0" w:line="72"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Counterparty</w:t>
      </w:r>
    </w:p>
    <w:p>
      <w:pPr>
        <w:spacing w:after="0" w:line="12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Dealer</w:t>
      </w:r>
    </w:p>
    <w:p>
      <w:pPr>
        <w:spacing w:after="0" w:line="117"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common shares of beneficial interest of Counterparty, par value USD 0.01 per share (Ticker Symbol: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“FRT”)</w:t>
      </w:r>
    </w:p>
    <w:p>
      <w:pPr>
        <w:spacing w:after="0" w:line="13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B-1-2</w:t>
      </w:r>
    </w:p>
    <w:p>
      <w:pPr>
        <w:sectPr>
          <w:pgSz w:w="11900" w:h="16838" w:orient="portrait"/>
          <w:cols w:equalWidth="0" w:num="1">
            <w:col w:w="11020"/>
          </w:cols>
          <w:pgMar w:left="440" w:top="270" w:right="4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1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As specified in the placement notice substantially in the form attached to the Equity Distribution Agreement</w:t>
            </w:r>
          </w:p>
        </w:tc>
      </w:tr>
      <w:tr>
        <w:trPr>
          <w:trHeight w:val="218"/>
        </w:trPr>
        <w:tc>
          <w:tcPr>
            <w:tcW w:w="320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Exhibit A (the “</w:t>
            </w:r>
            <w:r>
              <w:rPr>
                <w:rFonts w:ascii="Times New Roman" w:cs="Times New Roman" w:eastAsia="Times New Roman" w:hAnsi="Times New Roman"/>
                <w:sz w:val="18"/>
                <w:szCs w:val="18"/>
                <w:b w:val="1"/>
                <w:bCs w:val="1"/>
                <w:i w:val="1"/>
                <w:iCs w:val="1"/>
                <w:color w:val="auto"/>
              </w:rPr>
              <w:t>Placement Notice</w:t>
            </w:r>
            <w:r>
              <w:rPr>
                <w:rFonts w:ascii="Times New Roman" w:cs="Times New Roman" w:eastAsia="Times New Roman" w:hAnsi="Times New Roman"/>
                <w:sz w:val="18"/>
                <w:szCs w:val="18"/>
                <w:color w:val="auto"/>
              </w:rPr>
              <w:t>”) delivered by Counterparty to Dealer in respect of the Transaction;</w:t>
            </w:r>
          </w:p>
        </w:tc>
      </w:tr>
      <w:tr>
        <w:trPr>
          <w:trHeight w:val="218"/>
        </w:trPr>
        <w:tc>
          <w:tcPr>
            <w:tcW w:w="320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w w:val="99"/>
              </w:rPr>
              <w:t xml:space="preserve">provided, however, </w:t>
            </w:r>
            <w:r>
              <w:rPr>
                <w:rFonts w:ascii="Times New Roman" w:cs="Times New Roman" w:eastAsia="Times New Roman" w:hAnsi="Times New Roman"/>
                <w:sz w:val="18"/>
                <w:szCs w:val="18"/>
                <w:color w:val="auto"/>
                <w:w w:val="99"/>
              </w:rPr>
              <w:t>that in the event that Dealer, in its commercially reasonable judgment, determines that it</w:t>
            </w:r>
          </w:p>
        </w:tc>
      </w:tr>
      <w:tr>
        <w:trPr>
          <w:trHeight w:val="216"/>
        </w:trPr>
        <w:tc>
          <w:tcPr>
            <w:tcW w:w="320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is unable (via the Agent) through commercially reasonable efforts to establish a commercially reasonable</w:t>
            </w:r>
          </w:p>
        </w:tc>
      </w:tr>
      <w:tr>
        <w:trPr>
          <w:trHeight w:val="216"/>
        </w:trPr>
        <w:tc>
          <w:tcPr>
            <w:tcW w:w="320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hedge position in such number of Shares in accordance with the Placement Notice in light of market</w:t>
            </w:r>
          </w:p>
        </w:tc>
      </w:tr>
      <w:tr>
        <w:trPr>
          <w:trHeight w:val="216"/>
        </w:trPr>
        <w:tc>
          <w:tcPr>
            <w:tcW w:w="320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liquidity conditions and/or the provisions of Section 3 of the Equity Distribution Agreement, the Number of</w:t>
            </w:r>
          </w:p>
        </w:tc>
      </w:tr>
      <w:tr>
        <w:trPr>
          <w:trHeight w:val="216"/>
        </w:trPr>
        <w:tc>
          <w:tcPr>
            <w:tcW w:w="320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Shares shall equal the aggregate number of Shares actually sold through the Agent acting as forward seller</w:t>
            </w:r>
          </w:p>
        </w:tc>
      </w:tr>
      <w:tr>
        <w:trPr>
          <w:trHeight w:val="216"/>
        </w:trPr>
        <w:tc>
          <w:tcPr>
            <w:tcW w:w="320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 Dealer (in connection with the establishment of a commercially reasonable hedge position) pursuant to</w:t>
            </w:r>
          </w:p>
        </w:tc>
      </w:tr>
      <w:tr>
        <w:trPr>
          <w:trHeight w:val="214"/>
        </w:trPr>
        <w:tc>
          <w:tcPr>
            <w:tcW w:w="320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Equity Distribution Agreement during the period from and including the Trade Date through and</w:t>
            </w:r>
          </w:p>
        </w:tc>
      </w:tr>
      <w:tr>
        <w:trPr>
          <w:trHeight w:val="218"/>
        </w:trPr>
        <w:tc>
          <w:tcPr>
            <w:tcW w:w="320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 xml:space="preserve">including the Hedge Completion Date; </w:t>
            </w:r>
            <w:r>
              <w:rPr>
                <w:rFonts w:ascii="Times New Roman" w:cs="Times New Roman" w:eastAsia="Times New Roman" w:hAnsi="Times New Roman"/>
                <w:sz w:val="18"/>
                <w:szCs w:val="18"/>
                <w:i w:val="1"/>
                <w:iCs w:val="1"/>
                <w:color w:val="auto"/>
                <w:w w:val="99"/>
              </w:rPr>
              <w:t>provided further, however</w:t>
            </w:r>
            <w:r>
              <w:rPr>
                <w:rFonts w:ascii="Times New Roman" w:cs="Times New Roman" w:eastAsia="Times New Roman" w:hAnsi="Times New Roman"/>
                <w:sz w:val="18"/>
                <w:szCs w:val="18"/>
                <w:color w:val="auto"/>
                <w:w w:val="99"/>
              </w:rPr>
              <w:t>, that on each Settlement Date, the Number</w:t>
            </w:r>
          </w:p>
        </w:tc>
      </w:tr>
      <w:tr>
        <w:trPr>
          <w:trHeight w:val="234"/>
        </w:trPr>
        <w:tc>
          <w:tcPr>
            <w:tcW w:w="3200" w:type="dxa"/>
            <w:vAlign w:val="bottom"/>
          </w:tcPr>
          <w:p>
            <w:pPr>
              <w:spacing w:after="0"/>
              <w:rPr>
                <w:sz w:val="20"/>
                <w:szCs w:val="20"/>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Shares shall be reduced by the number of Settlement Shares settled on such date.</w:t>
            </w:r>
          </w:p>
        </w:tc>
      </w:tr>
      <w:tr>
        <w:trPr>
          <w:trHeight w:val="30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Hedge Completion Date:</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earliest of (i) the date specified in writing as the Hedge Completion Date by Counterparty, (ii) any</w:t>
            </w:r>
          </w:p>
        </w:tc>
      </w:tr>
      <w:tr>
        <w:trPr>
          <w:trHeight w:val="216"/>
        </w:trPr>
        <w:tc>
          <w:tcPr>
            <w:tcW w:w="320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Settlement Date and (iii) [DATE]. Promptly after the Hedge Completion Date (but in any case no later than</w:t>
            </w:r>
          </w:p>
        </w:tc>
      </w:tr>
      <w:tr>
        <w:trPr>
          <w:trHeight w:val="212"/>
        </w:trPr>
        <w:tc>
          <w:tcPr>
            <w:tcW w:w="320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open of the Trading Day immediately following the Hedge Completion Date), Dealer will furnish</w:t>
            </w:r>
          </w:p>
        </w:tc>
      </w:tr>
      <w:tr>
        <w:trPr>
          <w:trHeight w:val="216"/>
        </w:trPr>
        <w:tc>
          <w:tcPr>
            <w:tcW w:w="320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Counterparty with a pricing supplement (the “</w:t>
            </w:r>
            <w:r>
              <w:rPr>
                <w:rFonts w:ascii="Times New Roman" w:cs="Times New Roman" w:eastAsia="Times New Roman" w:hAnsi="Times New Roman"/>
                <w:sz w:val="18"/>
                <w:szCs w:val="18"/>
                <w:b w:val="1"/>
                <w:bCs w:val="1"/>
                <w:i w:val="1"/>
                <w:iCs w:val="1"/>
                <w:color w:val="auto"/>
              </w:rPr>
              <w:t>Pricing Supplement</w:t>
            </w:r>
            <w:r>
              <w:rPr>
                <w:rFonts w:ascii="Times New Roman" w:cs="Times New Roman" w:eastAsia="Times New Roman" w:hAnsi="Times New Roman"/>
                <w:sz w:val="18"/>
                <w:szCs w:val="18"/>
                <w:color w:val="auto"/>
              </w:rPr>
              <w:t>”) substantially in the form of Annex A</w:t>
            </w:r>
          </w:p>
        </w:tc>
      </w:tr>
      <w:tr>
        <w:trPr>
          <w:trHeight w:val="220"/>
        </w:trPr>
        <w:tc>
          <w:tcPr>
            <w:tcW w:w="3200" w:type="dxa"/>
            <w:vAlign w:val="bottom"/>
          </w:tcPr>
          <w:p>
            <w:pPr>
              <w:spacing w:after="0"/>
              <w:rPr>
                <w:sz w:val="19"/>
                <w:szCs w:val="19"/>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hereto specifying the Number of Shares as of the Hedge Completion Date (the “</w:t>
            </w:r>
            <w:r>
              <w:rPr>
                <w:rFonts w:ascii="Times New Roman" w:cs="Times New Roman" w:eastAsia="Times New Roman" w:hAnsi="Times New Roman"/>
                <w:sz w:val="18"/>
                <w:szCs w:val="18"/>
                <w:b w:val="1"/>
                <w:bCs w:val="1"/>
                <w:i w:val="1"/>
                <w:iCs w:val="1"/>
                <w:color w:val="auto"/>
                <w:w w:val="99"/>
              </w:rPr>
              <w:t>Initial Number of Shares</w:t>
            </w:r>
            <w:r>
              <w:rPr>
                <w:rFonts w:ascii="Times New Roman" w:cs="Times New Roman" w:eastAsia="Times New Roman" w:hAnsi="Times New Roman"/>
                <w:sz w:val="18"/>
                <w:szCs w:val="18"/>
                <w:color w:val="auto"/>
                <w:w w:val="99"/>
              </w:rPr>
              <w:t>”)</w:t>
            </w:r>
          </w:p>
        </w:tc>
      </w:tr>
      <w:tr>
        <w:trPr>
          <w:trHeight w:val="234"/>
        </w:trPr>
        <w:tc>
          <w:tcPr>
            <w:tcW w:w="3200" w:type="dxa"/>
            <w:vAlign w:val="bottom"/>
          </w:tcPr>
          <w:p>
            <w:pPr>
              <w:spacing w:after="0"/>
              <w:rPr>
                <w:sz w:val="20"/>
                <w:szCs w:val="20"/>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the Initial Forward Price, all determined in accordance with the terms hereof.</w:t>
            </w:r>
          </w:p>
        </w:tc>
      </w:tr>
      <w:tr>
        <w:trPr>
          <w:trHeight w:val="30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Initial Forward Price:</w:t>
            </w: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The Forward Hedge Price as defined in the Equity Distribution Agreement (with the Forward Hedge Selling</w:t>
            </w:r>
          </w:p>
        </w:tc>
      </w:tr>
      <w:tr>
        <w:trPr>
          <w:trHeight w:val="216"/>
        </w:trPr>
        <w:tc>
          <w:tcPr>
            <w:tcW w:w="320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Commission Rate (as defined in the Sales Agreement) equal to [●]% and assuming that the Agent sold such</w:t>
            </w:r>
          </w:p>
        </w:tc>
      </w:tr>
      <w:tr>
        <w:trPr>
          <w:trHeight w:val="216"/>
        </w:trPr>
        <w:tc>
          <w:tcPr>
            <w:tcW w:w="320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Shares in a commercially reasonable manner that reflects prevailing market prices), adjusted by the</w:t>
            </w:r>
          </w:p>
        </w:tc>
      </w:tr>
      <w:tr>
        <w:trPr>
          <w:trHeight w:val="216"/>
        </w:trPr>
        <w:tc>
          <w:tcPr>
            <w:tcW w:w="320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Calculation Agent in a commercially reasonable manner to (x) reflect on each day during such period the</w:t>
            </w:r>
          </w:p>
        </w:tc>
      </w:tr>
      <w:tr>
        <w:trPr>
          <w:trHeight w:val="194"/>
        </w:trPr>
        <w:tc>
          <w:tcPr>
            <w:tcW w:w="3200" w:type="dxa"/>
            <w:vAlign w:val="bottom"/>
          </w:tcPr>
          <w:p>
            <w:pPr>
              <w:spacing w:after="0"/>
              <w:rPr>
                <w:sz w:val="16"/>
                <w:szCs w:val="16"/>
                <w:color w:val="auto"/>
              </w:rPr>
            </w:pPr>
          </w:p>
        </w:tc>
        <w:tc>
          <w:tcPr>
            <w:tcW w:w="77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sum of 1 and the Daily Rate for such day multiplied by the then-Initial Forward Price as of such day and</w:t>
            </w:r>
          </w:p>
        </w:tc>
      </w:tr>
      <w:tr>
        <w:trPr>
          <w:trHeight w:val="20"/>
        </w:trPr>
        <w:tc>
          <w:tcPr>
            <w:tcW w:w="3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218"/>
        </w:trPr>
        <w:tc>
          <w:tcPr>
            <w:tcW w:w="3200" w:type="dxa"/>
            <w:vAlign w:val="bottom"/>
          </w:tcPr>
          <w:p>
            <w:pPr>
              <w:spacing w:after="0"/>
              <w:rPr>
                <w:sz w:val="18"/>
                <w:szCs w:val="18"/>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(y) reduce the then-Initial Forward Price by the relevant Forward Price Reduction Amount on each Forward</w:t>
            </w:r>
          </w:p>
        </w:tc>
      </w:tr>
      <w:tr>
        <w:trPr>
          <w:trHeight w:val="234"/>
        </w:trPr>
        <w:tc>
          <w:tcPr>
            <w:tcW w:w="3200" w:type="dxa"/>
            <w:vAlign w:val="bottom"/>
          </w:tcPr>
          <w:p>
            <w:pPr>
              <w:spacing w:after="0"/>
              <w:rPr>
                <w:sz w:val="20"/>
                <w:szCs w:val="20"/>
                <w:color w:val="auto"/>
              </w:rPr>
            </w:pPr>
          </w:p>
        </w:tc>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Price Reduction Date occurring on or before the Hedge Completion Date.</w:t>
            </w:r>
          </w:p>
        </w:tc>
      </w:tr>
      <w:tr>
        <w:trPr>
          <w:trHeight w:val="364"/>
        </w:trPr>
        <w:tc>
          <w:tcPr>
            <w:tcW w:w="3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B-1-3</w:t>
            </w:r>
          </w:p>
        </w:tc>
      </w:tr>
    </w:tbl>
    <w:p>
      <w:pPr>
        <w:ind w:left="1600"/>
        <w:spacing w:after="0"/>
        <w:rPr>
          <w:sz w:val="20"/>
          <w:szCs w:val="20"/>
          <w:color w:val="auto"/>
        </w:rPr>
        <w:sectPr>
          <w:pgSz w:w="11900" w:h="16838" w:orient="portrait"/>
          <w:cols w:equalWidth="0" w:num="1">
            <w:col w:w="10980"/>
          </w:cols>
          <w:pgMar w:left="440" w:top="378"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1" w:name="page82"/>
    <w:bookmarkEnd w:id="81"/>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Forward Price:</w:t>
            </w: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    On the Hedge Completion Date, the Initial Forward Price; and</w:t>
            </w:r>
          </w:p>
        </w:tc>
      </w:tr>
      <w:tr>
        <w:trPr>
          <w:trHeight w:val="304"/>
        </w:trPr>
        <w:tc>
          <w:tcPr>
            <w:tcW w:w="2880" w:type="dxa"/>
            <w:vAlign w:val="bottom"/>
          </w:tcPr>
          <w:p>
            <w:pPr>
              <w:spacing w:after="0"/>
              <w:rPr>
                <w:sz w:val="24"/>
                <w:szCs w:val="24"/>
                <w:color w:val="auto"/>
              </w:rPr>
            </w:pP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(b)    on each calendar day thereafter, (i) the Forward Price as of the immediately preceding calendar day</w:t>
            </w:r>
          </w:p>
        </w:tc>
      </w:tr>
      <w:tr>
        <w:trPr>
          <w:trHeight w:val="218"/>
        </w:trPr>
        <w:tc>
          <w:tcPr>
            <w:tcW w:w="2880" w:type="dxa"/>
            <w:vAlign w:val="bottom"/>
          </w:tcPr>
          <w:p>
            <w:pPr>
              <w:spacing w:after="0"/>
              <w:rPr>
                <w:sz w:val="18"/>
                <w:szCs w:val="18"/>
                <w:color w:val="auto"/>
              </w:rPr>
            </w:pPr>
          </w:p>
        </w:tc>
        <w:tc>
          <w:tcPr>
            <w:tcW w:w="81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xml:space="preserve">multiplied by (ii) the sum of 1 and the Daily Rate for such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 each Forward Price</w:t>
            </w:r>
          </w:p>
        </w:tc>
      </w:tr>
      <w:tr>
        <w:trPr>
          <w:trHeight w:val="216"/>
        </w:trPr>
        <w:tc>
          <w:tcPr>
            <w:tcW w:w="2880" w:type="dxa"/>
            <w:vAlign w:val="bottom"/>
          </w:tcPr>
          <w:p>
            <w:pPr>
              <w:spacing w:after="0"/>
              <w:rPr>
                <w:sz w:val="18"/>
                <w:szCs w:val="18"/>
                <w:color w:val="auto"/>
              </w:rPr>
            </w:pPr>
          </w:p>
        </w:tc>
        <w:tc>
          <w:tcPr>
            <w:tcW w:w="81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Reduction Date, the Forward Price in effect on such date shall be the Forward Price otherwise in effect</w:t>
            </w:r>
          </w:p>
        </w:tc>
      </w:tr>
      <w:tr>
        <w:trPr>
          <w:trHeight w:val="234"/>
        </w:trPr>
        <w:tc>
          <w:tcPr>
            <w:tcW w:w="2880" w:type="dxa"/>
            <w:vAlign w:val="bottom"/>
          </w:tcPr>
          <w:p>
            <w:pPr>
              <w:spacing w:after="0"/>
              <w:rPr>
                <w:sz w:val="20"/>
                <w:szCs w:val="20"/>
                <w:color w:val="auto"/>
              </w:rPr>
            </w:pPr>
          </w:p>
        </w:tc>
        <w:tc>
          <w:tcPr>
            <w:tcW w:w="81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on such date, minus the Forward Price Reduction Amount for such Forward Price Reduction Date.</w:t>
            </w:r>
          </w:p>
        </w:tc>
      </w:tr>
      <w:tr>
        <w:trPr>
          <w:trHeight w:val="28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Daily Rate:</w:t>
            </w: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 any day, (i)(A) Overnight Bank Rate for such day, minus (B) the Spread, divided by (ii) 365.</w:t>
            </w:r>
          </w:p>
        </w:tc>
      </w:tr>
      <w:tr>
        <w:trPr>
          <w:trHeight w:val="20"/>
        </w:trPr>
        <w:tc>
          <w:tcPr>
            <w:tcW w:w="28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Overnight Bank Rate:</w:t>
            </w: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 any day, the rate set forth for such day opposite the caption “Overnight bank funding rate,” as such rate</w:t>
            </w:r>
          </w:p>
        </w:tc>
      </w:tr>
      <w:tr>
        <w:trPr>
          <w:trHeight w:val="218"/>
        </w:trPr>
        <w:tc>
          <w:tcPr>
            <w:tcW w:w="2880" w:type="dxa"/>
            <w:vAlign w:val="bottom"/>
          </w:tcPr>
          <w:p>
            <w:pPr>
              <w:spacing w:after="0"/>
              <w:rPr>
                <w:sz w:val="18"/>
                <w:szCs w:val="18"/>
                <w:color w:val="auto"/>
              </w:rPr>
            </w:pP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xml:space="preserve">is displayed on Bloomberg Screen “OBFR01 &lt;Index&gt; &lt;GO&gt;”, or any successor page;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w:t>
            </w:r>
          </w:p>
        </w:tc>
      </w:tr>
      <w:tr>
        <w:trPr>
          <w:trHeight w:val="216"/>
        </w:trPr>
        <w:tc>
          <w:tcPr>
            <w:tcW w:w="2880" w:type="dxa"/>
            <w:vAlign w:val="bottom"/>
          </w:tcPr>
          <w:p>
            <w:pPr>
              <w:spacing w:after="0"/>
              <w:rPr>
                <w:sz w:val="18"/>
                <w:szCs w:val="18"/>
                <w:color w:val="auto"/>
              </w:rPr>
            </w:pP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rate appears for a particular day on such page, the rate for the immediately preceding day for which a rate</w:t>
            </w:r>
          </w:p>
        </w:tc>
      </w:tr>
      <w:tr>
        <w:trPr>
          <w:trHeight w:val="234"/>
        </w:trPr>
        <w:tc>
          <w:tcPr>
            <w:tcW w:w="2880" w:type="dxa"/>
            <w:vAlign w:val="bottom"/>
          </w:tcPr>
          <w:p>
            <w:pPr>
              <w:spacing w:after="0"/>
              <w:rPr>
                <w:sz w:val="20"/>
                <w:szCs w:val="20"/>
                <w:color w:val="auto"/>
              </w:rPr>
            </w:pP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does so appear shall be used for such day.</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Spread:</w:t>
            </w: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 ] basis points</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Prepayment:</w:t>
            </w: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Variable Obligation:</w:t>
            </w: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Forward Price Reduction Dates:</w:t>
            </w: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As set forth on Schedule I</w:t>
            </w:r>
          </w:p>
        </w:tc>
      </w:tr>
      <w:tr>
        <w:trPr>
          <w:trHeight w:val="30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Forward Price Reduction Amounts:</w:t>
            </w: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 each Forward Price Reduction Date, the Forward Price Reduction Amount set forth opposite such date</w:t>
            </w:r>
          </w:p>
        </w:tc>
      </w:tr>
      <w:tr>
        <w:trPr>
          <w:trHeight w:val="234"/>
        </w:trPr>
        <w:tc>
          <w:tcPr>
            <w:tcW w:w="2880" w:type="dxa"/>
            <w:vAlign w:val="bottom"/>
          </w:tcPr>
          <w:p>
            <w:pPr>
              <w:spacing w:after="0"/>
              <w:rPr>
                <w:sz w:val="20"/>
                <w:szCs w:val="20"/>
                <w:color w:val="auto"/>
              </w:rPr>
            </w:pP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on Schedule I</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Exchange:</w:t>
            </w: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Related Exchange(s):</w:t>
            </w: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All Exchanges</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Clearance System:</w:t>
            </w: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Depository Trust Company</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Securities Act of 1933, as amended</w:t>
            </w:r>
          </w:p>
        </w:tc>
      </w:tr>
      <w:tr>
        <w:trPr>
          <w:trHeight w:val="32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30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Market Disruption Event:</w:t>
            </w: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Section 6.3(a) of the Equity Definitions is hereby amended by replacing the first sentence in its entirety with</w:t>
            </w:r>
          </w:p>
        </w:tc>
      </w:tr>
      <w:tr>
        <w:trPr>
          <w:trHeight w:val="216"/>
        </w:trPr>
        <w:tc>
          <w:tcPr>
            <w:tcW w:w="2880" w:type="dxa"/>
            <w:vAlign w:val="bottom"/>
          </w:tcPr>
          <w:p>
            <w:pPr>
              <w:spacing w:after="0"/>
              <w:rPr>
                <w:sz w:val="18"/>
                <w:szCs w:val="18"/>
                <w:color w:val="auto"/>
              </w:rPr>
            </w:pP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following: “‘Market Disruption Event’ means in respect of a Share or an Index, the occurrence or</w:t>
            </w:r>
          </w:p>
        </w:tc>
      </w:tr>
      <w:tr>
        <w:trPr>
          <w:trHeight w:val="216"/>
        </w:trPr>
        <w:tc>
          <w:tcPr>
            <w:tcW w:w="2880" w:type="dxa"/>
            <w:vAlign w:val="bottom"/>
          </w:tcPr>
          <w:p>
            <w:pPr>
              <w:spacing w:after="0"/>
              <w:rPr>
                <w:sz w:val="18"/>
                <w:szCs w:val="18"/>
                <w:color w:val="auto"/>
              </w:rPr>
            </w:pP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existence of (i) a Trading Disruption, (ii) an Exchange Disruption, (iii) an Early Closure or (iv) a Regulatory</w:t>
            </w:r>
          </w:p>
        </w:tc>
      </w:tr>
      <w:tr>
        <w:trPr>
          <w:trHeight w:val="216"/>
        </w:trPr>
        <w:tc>
          <w:tcPr>
            <w:tcW w:w="2880" w:type="dxa"/>
            <w:vAlign w:val="bottom"/>
          </w:tcPr>
          <w:p>
            <w:pPr>
              <w:spacing w:after="0"/>
              <w:rPr>
                <w:sz w:val="18"/>
                <w:szCs w:val="18"/>
                <w:color w:val="auto"/>
              </w:rPr>
            </w:pP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Disruption, in each case that the Calculation Agent determines, in its commercially reasonable judgment, is</w:t>
            </w:r>
          </w:p>
        </w:tc>
      </w:tr>
      <w:tr>
        <w:trPr>
          <w:trHeight w:val="234"/>
        </w:trPr>
        <w:tc>
          <w:tcPr>
            <w:tcW w:w="2880" w:type="dxa"/>
            <w:vAlign w:val="bottom"/>
          </w:tcPr>
          <w:p>
            <w:pPr>
              <w:spacing w:after="0"/>
              <w:rPr>
                <w:sz w:val="20"/>
                <w:szCs w:val="20"/>
                <w:color w:val="auto"/>
              </w:rPr>
            </w:pPr>
          </w:p>
        </w:tc>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material”.</w:t>
            </w:r>
          </w:p>
        </w:tc>
      </w:tr>
      <w:tr>
        <w:trPr>
          <w:trHeight w:val="365"/>
        </w:trPr>
        <w:tc>
          <w:tcPr>
            <w:tcW w:w="2880" w:type="dxa"/>
            <w:vAlign w:val="bottom"/>
          </w:tcPr>
          <w:p>
            <w:pPr>
              <w:spacing w:after="0"/>
              <w:rPr>
                <w:sz w:val="24"/>
                <w:szCs w:val="24"/>
                <w:color w:val="auto"/>
              </w:rPr>
            </w:pPr>
          </w:p>
        </w:tc>
        <w:tc>
          <w:tcPr>
            <w:tcW w:w="812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B-1-4</w:t>
            </w:r>
          </w:p>
        </w:tc>
      </w:tr>
    </w:tbl>
    <w:p>
      <w:pPr>
        <w:ind w:left="2420"/>
        <w:spacing w:after="0"/>
        <w:rPr>
          <w:sz w:val="20"/>
          <w:szCs w:val="20"/>
          <w:color w:val="auto"/>
        </w:rPr>
        <w:sectPr>
          <w:pgSz w:w="11900" w:h="16838" w:orient="portrait"/>
          <w:cols w:equalWidth="0" w:num="1">
            <w:col w:w="11000"/>
          </w:cols>
          <w:pgMar w:left="440" w:top="378"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2" w:name="page83"/>
    <w:bookmarkEnd w:id="82"/>
    <w:p>
      <w:pPr>
        <w:spacing w:after="0"/>
        <w:rPr>
          <w:sz w:val="20"/>
          <w:szCs w:val="20"/>
          <w:color w:val="auto"/>
        </w:rPr>
      </w:pPr>
      <w:r>
        <w:rPr>
          <w:rFonts w:ascii="Times New Roman" w:cs="Times New Roman" w:eastAsia="Times New Roman" w:hAnsi="Times New Roman"/>
          <w:sz w:val="17"/>
          <w:szCs w:val="17"/>
          <w:color w:val="auto"/>
        </w:rPr>
        <w:t>Early Closure:</w:t>
      </w:r>
    </w:p>
    <w:p>
      <w:pPr>
        <w:spacing w:after="0" w:line="20" w:lineRule="exact"/>
        <w:rPr>
          <w:sz w:val="20"/>
          <w:szCs w:val="20"/>
          <w:color w:val="auto"/>
        </w:rPr>
      </w:pPr>
      <w:r>
        <w:rPr>
          <w:sz w:val="20"/>
          <w:szCs w:val="20"/>
          <w:color w:val="auto"/>
        </w:rPr>
        <w:br w:type="column"/>
      </w:r>
    </w:p>
    <w:p>
      <w:pPr>
        <w:ind w:right="480"/>
        <w:spacing w:after="0" w:line="282" w:lineRule="auto"/>
        <w:rPr>
          <w:sz w:val="20"/>
          <w:szCs w:val="20"/>
          <w:color w:val="auto"/>
        </w:rPr>
      </w:pPr>
      <w:r>
        <w:rPr>
          <w:rFonts w:ascii="Times New Roman" w:cs="Times New Roman" w:eastAsia="Times New Roman" w:hAnsi="Times New Roman"/>
          <w:sz w:val="18"/>
          <w:szCs w:val="18"/>
          <w:color w:val="auto"/>
        </w:rPr>
        <w:t>Section 6.3(d) of the Equity Definitions is hereby amended by deleting the remainder of the provision following the term “Scheduled Closing Time” in the fourth line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-391160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2480" w:space="720"/>
            <w:col w:w="7800"/>
          </w:cols>
          <w:pgMar w:left="440" w:top="270"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Regulatory Disruption:</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Times New Roman" w:cs="Times New Roman" w:eastAsia="Times New Roman" w:hAnsi="Times New Roman"/>
          <w:sz w:val="17"/>
          <w:szCs w:val="17"/>
          <w:color w:val="auto"/>
        </w:rPr>
        <w:t>Any event that Dealer, based on the advice of counsel, determines makes it reasonably necessary or appropriate with regard to any legal, regulatory or self-regulatory requirements or related policies and procedures that generally apply to transactions of a nature and kind similar to the Transaction and have been adopted in good faith by Dealer and consistently applied to the relevant Transaction in a nondiscriminatory manner for Dealer to refrain from or decrease any market activity in connection with the Transaction.</w:t>
      </w:r>
    </w:p>
    <w:p>
      <w:pPr>
        <w:spacing w:after="0" w:line="60"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Settlement: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Currency:</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USD (all amounts shall be converted to the Settlement Currency in good faith and in a commercially reasonable manner by the Calculation Agent)</w:t>
      </w:r>
    </w:p>
    <w:p>
      <w:pPr>
        <w:spacing w:after="0" w:line="54"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ind w:right="360"/>
        <w:spacing w:after="0" w:line="282" w:lineRule="auto"/>
        <w:rPr>
          <w:sz w:val="20"/>
          <w:szCs w:val="20"/>
          <w:color w:val="auto"/>
        </w:rPr>
      </w:pPr>
      <w:r>
        <w:rPr>
          <w:rFonts w:ascii="Times New Roman" w:cs="Times New Roman" w:eastAsia="Times New Roman" w:hAnsi="Times New Roman"/>
          <w:sz w:val="18"/>
          <w:szCs w:val="18"/>
          <w:color w:val="auto"/>
        </w:rPr>
        <w:t>Any Scheduled Trading Day following the Effective Date and up to and including the Final Date that is either:</w:t>
      </w:r>
    </w:p>
    <w:p>
      <w:pPr>
        <w:spacing w:after="0" w:line="50"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560" w:right="320" w:hanging="359"/>
        <w:spacing w:after="0" w:line="278" w:lineRule="auto"/>
        <w:rPr>
          <w:sz w:val="20"/>
          <w:szCs w:val="20"/>
          <w:color w:val="auto"/>
        </w:rPr>
      </w:pPr>
      <w:r>
        <w:rPr>
          <w:rFonts w:ascii="Times New Roman" w:cs="Times New Roman" w:eastAsia="Times New Roman" w:hAnsi="Times New Roman"/>
          <w:sz w:val="17"/>
          <w:szCs w:val="17"/>
          <w:color w:val="auto"/>
        </w:rPr>
        <w:t>(a)    designated by Counterparty as a “</w:t>
      </w:r>
      <w:r>
        <w:rPr>
          <w:rFonts w:ascii="Times New Roman" w:cs="Times New Roman" w:eastAsia="Times New Roman" w:hAnsi="Times New Roman"/>
          <w:sz w:val="17"/>
          <w:szCs w:val="17"/>
          <w:b w:val="1"/>
          <w:bCs w:val="1"/>
          <w:i w:val="1"/>
          <w:iCs w:val="1"/>
          <w:color w:val="auto"/>
        </w:rPr>
        <w:t>Settlement Date</w:t>
      </w:r>
      <w:r>
        <w:rPr>
          <w:rFonts w:ascii="Times New Roman" w:cs="Times New Roman" w:eastAsia="Times New Roman" w:hAnsi="Times New Roman"/>
          <w:sz w:val="17"/>
          <w:szCs w:val="17"/>
          <w:color w:val="auto"/>
        </w:rPr>
        <w:t>” by a written notice (a “</w:t>
      </w:r>
      <w:r>
        <w:rPr>
          <w:rFonts w:ascii="Times New Roman" w:cs="Times New Roman" w:eastAsia="Times New Roman" w:hAnsi="Times New Roman"/>
          <w:sz w:val="17"/>
          <w:szCs w:val="17"/>
          <w:b w:val="1"/>
          <w:bCs w:val="1"/>
          <w:i w:val="1"/>
          <w:iCs w:val="1"/>
          <w:color w:val="auto"/>
        </w:rPr>
        <w:t>Settlement Notice</w:t>
      </w:r>
      <w:r>
        <w:rPr>
          <w:rFonts w:ascii="Times New Roman" w:cs="Times New Roman" w:eastAsia="Times New Roman" w:hAnsi="Times New Roman"/>
          <w:sz w:val="17"/>
          <w:szCs w:val="17"/>
          <w:color w:val="auto"/>
        </w:rPr>
        <w:t>”) that satisfies the Settlement Notice Requirements, if applicable, and is delivered to Dealer no less than</w:t>
      </w:r>
    </w:p>
    <w:p>
      <w:pPr>
        <w:spacing w:after="0" w:line="1" w:lineRule="exact"/>
        <w:rPr>
          <w:sz w:val="20"/>
          <w:szCs w:val="20"/>
          <w:color w:val="auto"/>
        </w:rPr>
      </w:pPr>
    </w:p>
    <w:p>
      <w:pPr>
        <w:ind w:left="3560" w:hanging="5"/>
        <w:spacing w:after="0" w:line="251" w:lineRule="auto"/>
        <w:tabs>
          <w:tab w:leader="none" w:pos="37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two Scheduled Trading Days prior to such Settlement Date, which may be the Final Date, if Physical Settlement applies, and (ii) [ ● ] Scheduled Trading Days prior to such Settlement Date, which may be the Final Date, if Cash Settlement or Net Share Settlement applies;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Dealer shall fully unwind its commercially reasonable hedge with respect to the portion of the Number of Shares to be settled during an Unwind Period by a date that is more than two Scheduled Trading Days prior to a Settlement Date specified above, Dealer may, by written notice to Counterparty, no fewer than two Scheduled Trading Days prior thereto, specify any Scheduled Trading Day prior to such original Settlement Date as the Settlement Date; or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B-1-5</w:t>
      </w:r>
    </w:p>
    <w:p>
      <w:pPr>
        <w:sectPr>
          <w:pgSz w:w="11900" w:h="16838" w:orient="portrait"/>
          <w:cols w:equalWidth="0" w:num="1">
            <w:col w:w="11000"/>
          </w:cols>
          <w:pgMar w:left="440" w:top="270" w:right="459" w:bottom="1440" w:gutter="0" w:footer="0" w:header="0"/>
          <w:type w:val="continuous"/>
        </w:sectPr>
      </w:pPr>
    </w:p>
    <w:bookmarkStart w:id="83" w:name="page84"/>
    <w:bookmarkEnd w:id="83"/>
    <w:p>
      <w:pPr>
        <w:ind w:left="32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 designated by Dealer as a Settlement Date pursuant to the “Termination Settlement” provisions of</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Paragraph 7(g) below;</w:t>
      </w:r>
    </w:p>
    <w:p>
      <w:pPr>
        <w:spacing w:after="0" w:line="97" w:lineRule="exact"/>
        <w:rPr>
          <w:sz w:val="20"/>
          <w:szCs w:val="20"/>
          <w:color w:val="auto"/>
        </w:rPr>
      </w:pPr>
    </w:p>
    <w:p>
      <w:pPr>
        <w:ind w:left="3200" w:righ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Final Date will be a Settlement Date if on such date the Number of Shares for which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Settlement Date has not already been designated is greater than zero,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following the occurrence of at least five consecutive Disrupted Days during an Unwind Period and while such Disrupted Days are continuing, Dealer may designate any subsequent Scheduled Trading Day as the Settlement Date with respect to the portion of the Settlement Shares, if any, for which Dealer has determined an Unwind Purchase Price during such Unwind Period, it being understood that the Unwind Period with respect to the remainder of such Settlement Shares shall recommence on the next succeeding Exchange Business Day that is not a Disrupted Day in whole.</w:t>
      </w:r>
    </w:p>
    <w:p>
      <w:pPr>
        <w:sectPr>
          <w:pgSz w:w="11900" w:h="16838" w:orient="portrait"/>
          <w:cols w:equalWidth="0" w:num="1">
            <w:col w:w="10960"/>
          </w:cols>
          <w:pgMar w:left="440" w:top="270" w:right="499" w:bottom="1440" w:gutter="0" w:footer="0" w:header="0"/>
        </w:sectPr>
      </w:pP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Final Date:</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 ], 202[ ● ] (or if such day is not a Scheduled Trading Day, the next following Scheduled Trading Day)</w:t>
      </w:r>
    </w:p>
    <w:p>
      <w:pPr>
        <w:spacing w:after="0" w:line="129"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Shares:</w:t>
      </w:r>
    </w:p>
    <w:p>
      <w:pPr>
        <w:spacing w:after="0" w:line="20" w:lineRule="exact"/>
        <w:rPr>
          <w:sz w:val="20"/>
          <w:szCs w:val="20"/>
          <w:color w:val="auto"/>
        </w:rPr>
      </w:pPr>
      <w:r>
        <w:rPr>
          <w:sz w:val="20"/>
          <w:szCs w:val="20"/>
          <w:color w:val="auto"/>
        </w:rPr>
        <w:br w:type="column"/>
      </w:r>
    </w:p>
    <w:p>
      <w:pPr>
        <w:ind w:hanging="359"/>
        <w:spacing w:after="0" w:line="255" w:lineRule="auto"/>
        <w:rPr>
          <w:sz w:val="20"/>
          <w:szCs w:val="20"/>
          <w:color w:val="auto"/>
        </w:rPr>
      </w:pPr>
      <w:r>
        <w:rPr>
          <w:rFonts w:ascii="Times New Roman" w:cs="Times New Roman" w:eastAsia="Times New Roman" w:hAnsi="Times New Roman"/>
          <w:sz w:val="18"/>
          <w:szCs w:val="18"/>
          <w:color w:val="auto"/>
        </w:rPr>
        <w:t xml:space="preserve">(a)    With respect to any Settlement Date other than the Final Date, the number of Shares designated as such by Counterparty in the relevant Settlement Notice or designated by Dealer pursuant to the “Termination Settlement” provisions of Paragraph 7(g) below,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Settlement Shares so designated shall, in the case of a designation by Counterparty, (i) not exceed the Number of Shares at that time and (ii) be at least equal to the lesser of 100,000 and the Number of Shares at that time, in each case with the Number of Shares determined taking into account pending Settlement Shares; and</w:t>
      </w:r>
    </w:p>
    <w:p>
      <w:pPr>
        <w:spacing w:after="0" w:line="81" w:lineRule="exact"/>
        <w:rPr>
          <w:sz w:val="20"/>
          <w:szCs w:val="20"/>
          <w:color w:val="auto"/>
        </w:rPr>
      </w:pPr>
    </w:p>
    <w:p>
      <w:pPr>
        <w:sectPr>
          <w:pgSz w:w="11900" w:h="16838" w:orient="portrait"/>
          <w:cols w:equalWidth="0" w:num="2">
            <w:col w:w="2840" w:space="720"/>
            <w:col w:w="7400"/>
          </w:cols>
          <w:pgMar w:left="440" w:top="270" w:right="499" w:bottom="1440" w:gutter="0" w:footer="0" w:header="0"/>
          <w:type w:val="continuous"/>
        </w:sectPr>
      </w:pPr>
    </w:p>
    <w:p>
      <w:pPr>
        <w:ind w:left="3560" w:right="400" w:hanging="359"/>
        <w:spacing w:after="0" w:line="282" w:lineRule="auto"/>
        <w:rPr>
          <w:sz w:val="20"/>
          <w:szCs w:val="20"/>
          <w:color w:val="auto"/>
        </w:rPr>
      </w:pPr>
      <w:r>
        <w:rPr>
          <w:rFonts w:ascii="Times New Roman" w:cs="Times New Roman" w:eastAsia="Times New Roman" w:hAnsi="Times New Roman"/>
          <w:sz w:val="18"/>
          <w:szCs w:val="18"/>
          <w:color w:val="auto"/>
        </w:rPr>
        <w:t>(b)    with respect to the Settlement Date on the Final Date, a number of Shares equal to the Number of Shares at that time;</w:t>
      </w:r>
    </w:p>
    <w:p>
      <w:pPr>
        <w:spacing w:after="0" w:line="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in each case with the Number of Shares determined taking into account pending Settlement Shares.</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B-1-6</w:t>
      </w:r>
    </w:p>
    <w:p>
      <w:pPr>
        <w:sectPr>
          <w:pgSz w:w="11900" w:h="16838" w:orient="portrait"/>
          <w:cols w:equalWidth="0" w:num="1">
            <w:col w:w="10960"/>
          </w:cols>
          <w:pgMar w:left="440" w:top="270" w:right="49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7"/>
          <w:szCs w:val="17"/>
          <w:color w:val="auto"/>
        </w:rPr>
        <w:t>Settlement Method Election:</w:t>
      </w:r>
    </w:p>
    <w:p>
      <w:pPr>
        <w:spacing w:after="0" w:line="20" w:lineRule="exact"/>
        <w:rPr>
          <w:sz w:val="20"/>
          <w:szCs w:val="20"/>
          <w:color w:val="auto"/>
        </w:rPr>
      </w:pPr>
      <w:r>
        <w:rPr>
          <w:sz w:val="20"/>
          <w:szCs w:val="20"/>
          <w:color w:val="auto"/>
        </w:rPr>
        <w:br w:type="column"/>
      </w: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Physical Settlement, Cash Settlement, or Net Share Settlement, at the election of Counterparty as set forth in a Settlement Notice that satisfies the Settlement Notice Requirements;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Physical Settlement shall apply (i) if no Settlement Method is validly selected, (ii) with respect to any Settlement Shares in respect of which Dealer is unable, in good faith and in its commercially reasonable judgment, to unwind its commercially reasonable hedge by the end of the Unwind Period (taking into account any Additional Transactions with overlapping “Unwind Periods” (as defined in the applicable Additional Confirmations)) (A) in a manner that, in the reasonable judgment of Dealer, based on advice of counsel, is consistent with the requirements for qualifying for the safe harbor provided by Rule 10b-18 under the Exchange Act (“</w:t>
      </w:r>
      <w:r>
        <w:rPr>
          <w:rFonts w:ascii="Times New Roman" w:cs="Times New Roman" w:eastAsia="Times New Roman" w:hAnsi="Times New Roman"/>
          <w:sz w:val="18"/>
          <w:szCs w:val="18"/>
          <w:b w:val="1"/>
          <w:bCs w:val="1"/>
          <w:i w:val="1"/>
          <w:iCs w:val="1"/>
          <w:color w:val="auto"/>
        </w:rPr>
        <w:t>Rule 10b-18</w:t>
      </w:r>
      <w:r>
        <w:rPr>
          <w:rFonts w:ascii="Times New Roman" w:cs="Times New Roman" w:eastAsia="Times New Roman" w:hAnsi="Times New Roman"/>
          <w:sz w:val="18"/>
          <w:szCs w:val="18"/>
          <w:color w:val="auto"/>
        </w:rPr>
        <w:t xml:space="preserve">”) or (B) in its commercially reasonable judgment, due to the occurrence of five or more Disrupted Days or to the lack of sufficient liquidity in the Shares on any Exchange Business Day during the Unwind Period, (iii) to any Termination Settlement Date (as defined under “Termination Settlement” in Paragraph 7(g) below) and (iv) if the Final Date is a Settlement Date other than as the result of a valid Settlement Notice, in respect of such Settlement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Physical Settlement applies under clause (ii) immediately above, Dealer shall provide written notice to Counterparty at least two Scheduled Trading Days prior to the applicable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-2220595</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2480" w:space="720"/>
            <w:col w:w="7820"/>
          </w:cols>
          <w:pgMar w:left="440" w:top="378" w:right="4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Settlement Notice Requirements:</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Notwithstanding any other provision hereof, a Settlement Notice delivered by Counterparty that specifies Cash Settlement or Net Share Settlement will not be effective to establish a Settlement Date or require Cash Settlement or Net Share Settlement unless Counterparty delivers to Dealer with such Settlement Notice a representation, dated as of the date of such Settlement Notice and signed by Counterparty, containing (x) the provisions set forth in clause (i) under the heading “Additional Representations and Agreements of Counterparty” in Paragraph 7(e) below and (y) the provision that neither Counterparty nor any of its subsidiaries has applied, and shall not until after the first date on which no portion of the Transaction remains outstanding following any final exercise and settlement, cancellation or early termination of the Transaction, apply for a loan, loan guarantee, direct loan (as that term is defined in the Coronavirus Aid, Relief and Economic Security Act (the “</w:t>
      </w:r>
      <w:r>
        <w:rPr>
          <w:rFonts w:ascii="Times New Roman" w:cs="Times New Roman" w:eastAsia="Times New Roman" w:hAnsi="Times New Roman"/>
          <w:sz w:val="18"/>
          <w:szCs w:val="18"/>
          <w:b w:val="1"/>
          <w:bCs w:val="1"/>
          <w:i w:val="1"/>
          <w:iCs w:val="1"/>
          <w:color w:val="auto"/>
        </w:rPr>
        <w:t>CARES Act</w:t>
      </w:r>
      <w:r>
        <w:rPr>
          <w:rFonts w:ascii="Times New Roman" w:cs="Times New Roman" w:eastAsia="Times New Roman" w:hAnsi="Times New Roman"/>
          <w:sz w:val="18"/>
          <w:szCs w:val="18"/>
          <w:color w:val="auto"/>
        </w:rPr>
        <w:t>”)) or other investment, or receive any financial assistance or relief under any program or facility (collectively “</w:t>
      </w:r>
      <w:r>
        <w:rPr>
          <w:rFonts w:ascii="Times New Roman" w:cs="Times New Roman" w:eastAsia="Times New Roman" w:hAnsi="Times New Roman"/>
          <w:sz w:val="18"/>
          <w:szCs w:val="18"/>
          <w:b w:val="1"/>
          <w:bCs w:val="1"/>
          <w:i w:val="1"/>
          <w:iCs w:val="1"/>
          <w:color w:val="auto"/>
        </w:rPr>
        <w:t>Financial Assistance</w:t>
      </w:r>
      <w:r>
        <w:rPr>
          <w:rFonts w:ascii="Times New Roman" w:cs="Times New Roman" w:eastAsia="Times New Roman" w:hAnsi="Times New Roman"/>
          <w:sz w:val="18"/>
          <w:szCs w:val="18"/>
          <w:color w:val="auto"/>
        </w:rPr>
        <w:t>”) that (I) is established under applicable law (whether in existence as of the Trade</w:t>
      </w:r>
    </w:p>
    <w:p>
      <w:pPr>
        <w:spacing w:after="0" w:line="122" w:lineRule="exact"/>
        <w:rPr>
          <w:sz w:val="20"/>
          <w:szCs w:val="20"/>
          <w:color w:val="auto"/>
        </w:rPr>
      </w:pPr>
    </w:p>
    <w:p>
      <w:pPr>
        <w:sectPr>
          <w:pgSz w:w="11900" w:h="16838" w:orient="portrait"/>
          <w:cols w:equalWidth="0" w:num="2">
            <w:col w:w="2480" w:space="720"/>
            <w:col w:w="7820"/>
          </w:cols>
          <w:pgMar w:left="440" w:top="378"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B-1-7</w:t>
      </w:r>
    </w:p>
    <w:p>
      <w:pPr>
        <w:sectPr>
          <w:pgSz w:w="11900" w:h="16838" w:orient="portrait"/>
          <w:cols w:equalWidth="0" w:num="1">
            <w:col w:w="11020"/>
          </w:cols>
          <w:pgMar w:left="440" w:top="378" w:right="4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Date or subsequently enacted, adopted or amended), including without limitation the CARES Act and the</w:t>
            </w:r>
          </w:p>
        </w:tc>
      </w:tr>
      <w:tr>
        <w:trPr>
          <w:trHeight w:val="216"/>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Federal Reserve Act, as amended, and (II) (X) requires under applicable law (or any regulation, guidance,</w:t>
            </w:r>
          </w:p>
        </w:tc>
      </w:tr>
      <w:tr>
        <w:trPr>
          <w:trHeight w:val="216"/>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interpretation or other pronouncement of a governmental authority with jurisdiction for such program or</w:t>
            </w:r>
          </w:p>
        </w:tc>
      </w:tr>
      <w:tr>
        <w:trPr>
          <w:trHeight w:val="216"/>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facility) as a condition of such Financial Assistance, that Counterparty comply with any requirement not to,</w:t>
            </w:r>
          </w:p>
        </w:tc>
      </w:tr>
      <w:tr>
        <w:trPr>
          <w:trHeight w:val="216"/>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or otherwise agree, attest, certify or warrant that it has not, as of the date specified in such condition,</w:t>
            </w:r>
          </w:p>
        </w:tc>
      </w:tr>
      <w:tr>
        <w:trPr>
          <w:trHeight w:val="216"/>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repurchased, or will not repurchase, any equity security of Issuer, and that it has not, as of the date specified</w:t>
            </w:r>
          </w:p>
        </w:tc>
      </w:tr>
      <w:tr>
        <w:trPr>
          <w:trHeight w:val="216"/>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w w:val="99"/>
              </w:rPr>
              <w:t>in the condition, made a capital distribution or will make a capital distribution, or (Y) where the terms of the</w:t>
            </w:r>
          </w:p>
        </w:tc>
      </w:tr>
      <w:tr>
        <w:trPr>
          <w:trHeight w:val="212"/>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Transaction would cause Counterparty under any circumstance to fail to satisfy any condition for</w:t>
            </w:r>
          </w:p>
        </w:tc>
      </w:tr>
      <w:tr>
        <w:trPr>
          <w:trHeight w:val="216"/>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application for or receipt or retention of the Financial Assistance (collectively “</w:t>
            </w:r>
            <w:r>
              <w:rPr>
                <w:rFonts w:ascii="Times New Roman" w:cs="Times New Roman" w:eastAsia="Times New Roman" w:hAnsi="Times New Roman"/>
                <w:sz w:val="18"/>
                <w:szCs w:val="18"/>
                <w:b w:val="1"/>
                <w:bCs w:val="1"/>
                <w:i w:val="1"/>
                <w:iCs w:val="1"/>
                <w:color w:val="auto"/>
              </w:rPr>
              <w:t>Restricted Financial</w:t>
            </w:r>
          </w:p>
        </w:tc>
      </w:tr>
      <w:tr>
        <w:trPr>
          <w:trHeight w:val="220"/>
        </w:trPr>
        <w:tc>
          <w:tcPr>
            <w:tcW w:w="2340" w:type="dxa"/>
            <w:vAlign w:val="bottom"/>
          </w:tcPr>
          <w:p>
            <w:pPr>
              <w:spacing w:after="0"/>
              <w:rPr>
                <w:sz w:val="19"/>
                <w:szCs w:val="19"/>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i w:val="1"/>
                <w:iCs w:val="1"/>
                <w:color w:val="auto"/>
              </w:rPr>
              <w:t>Assistance</w:t>
            </w:r>
            <w:r>
              <w:rPr>
                <w:rFonts w:ascii="Times New Roman" w:cs="Times New Roman" w:eastAsia="Times New Roman" w:hAnsi="Times New Roman"/>
                <w:sz w:val="18"/>
                <w:szCs w:val="18"/>
                <w:color w:val="auto"/>
              </w:rPr>
              <w:t>”), other than any such applications for Restricted Financial Assistance that were (or would be)</w:t>
            </w:r>
          </w:p>
        </w:tc>
      </w:tr>
      <w:tr>
        <w:trPr>
          <w:trHeight w:val="216"/>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made (x) determined based on the advice of outside counsel of national standing that the terms of the</w:t>
            </w:r>
          </w:p>
        </w:tc>
      </w:tr>
      <w:tr>
        <w:trPr>
          <w:trHeight w:val="216"/>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Transaction would not cause Counterparty to fail to satisfy any condition for application for or receipt or</w:t>
            </w:r>
          </w:p>
        </w:tc>
      </w:tr>
      <w:tr>
        <w:trPr>
          <w:trHeight w:val="216"/>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retention of such Financial Assistance based on the terms of the program or facility as of the date of such</w:t>
            </w:r>
          </w:p>
        </w:tc>
      </w:tr>
      <w:tr>
        <w:trPr>
          <w:trHeight w:val="216"/>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advice or (y) after delivery to Dealer evidence or other guidance from a governmental authority with</w:t>
            </w:r>
          </w:p>
        </w:tc>
      </w:tr>
      <w:tr>
        <w:trPr>
          <w:trHeight w:val="216"/>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jurisdiction for such program or facility that the Transaction is permitted under such program or facility</w:t>
            </w:r>
          </w:p>
        </w:tc>
      </w:tr>
      <w:tr>
        <w:trPr>
          <w:trHeight w:val="216"/>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(either by specific reference to the Transaction or by general reference to transactions with the attributes of</w:t>
            </w:r>
          </w:p>
        </w:tc>
      </w:tr>
      <w:tr>
        <w:trPr>
          <w:trHeight w:val="234"/>
        </w:trPr>
        <w:tc>
          <w:tcPr>
            <w:tcW w:w="2340" w:type="dxa"/>
            <w:vAlign w:val="bottom"/>
          </w:tcPr>
          <w:p>
            <w:pPr>
              <w:spacing w:after="0"/>
              <w:rPr>
                <w:sz w:val="20"/>
                <w:szCs w:val="20"/>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the Transaction in all relevant respects).</w:t>
            </w:r>
          </w:p>
        </w:tc>
      </w:tr>
      <w:tr>
        <w:trPr>
          <w:trHeight w:val="30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Physical Settlement:</w:t>
            </w: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w w:val="99"/>
              </w:rPr>
              <w:t>If Physical Settlement is applicable, then Counterparty shall deliver to Dealer through the Clearance System</w:t>
            </w:r>
          </w:p>
        </w:tc>
      </w:tr>
      <w:tr>
        <w:trPr>
          <w:trHeight w:val="216"/>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a number of Shares equal to the Settlement Shares for the related Settlement Date, and Dealer shall pay to</w:t>
            </w:r>
          </w:p>
        </w:tc>
      </w:tr>
      <w:tr>
        <w:trPr>
          <w:trHeight w:val="216"/>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Counterparty, by wire transfer of immediately available funds to an account designated by Counterparty, an</w:t>
            </w:r>
          </w:p>
        </w:tc>
      </w:tr>
      <w:tr>
        <w:trPr>
          <w:trHeight w:val="216"/>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amount equal to the Physical Settlement Amount for such Settlement Date, on a delivery versus payment</w:t>
            </w:r>
          </w:p>
        </w:tc>
      </w:tr>
      <w:tr>
        <w:trPr>
          <w:trHeight w:val="212"/>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basis. If, on any Settlement Date, the Shares to be delivered by Counterparty to Dealer hereunder are not so</w:t>
            </w:r>
          </w:p>
        </w:tc>
      </w:tr>
      <w:tr>
        <w:trPr>
          <w:trHeight w:val="220"/>
        </w:trPr>
        <w:tc>
          <w:tcPr>
            <w:tcW w:w="2340" w:type="dxa"/>
            <w:vAlign w:val="bottom"/>
          </w:tcPr>
          <w:p>
            <w:pPr>
              <w:spacing w:after="0"/>
              <w:rPr>
                <w:sz w:val="19"/>
                <w:szCs w:val="19"/>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delivered (the “</w:t>
            </w:r>
            <w:r>
              <w:rPr>
                <w:rFonts w:ascii="Times New Roman" w:cs="Times New Roman" w:eastAsia="Times New Roman" w:hAnsi="Times New Roman"/>
                <w:sz w:val="18"/>
                <w:szCs w:val="18"/>
                <w:b w:val="1"/>
                <w:bCs w:val="1"/>
                <w:i w:val="1"/>
                <w:iCs w:val="1"/>
                <w:color w:val="auto"/>
              </w:rPr>
              <w:t>Deferred Shares</w:t>
            </w:r>
            <w:r>
              <w:rPr>
                <w:rFonts w:ascii="Times New Roman" w:cs="Times New Roman" w:eastAsia="Times New Roman" w:hAnsi="Times New Roman"/>
                <w:sz w:val="18"/>
                <w:szCs w:val="18"/>
                <w:color w:val="auto"/>
              </w:rPr>
              <w:t>”), and a Forward Price Reduction Date occurs during the period from, and</w:t>
            </w:r>
          </w:p>
        </w:tc>
      </w:tr>
      <w:tr>
        <w:trPr>
          <w:trHeight w:val="216"/>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w w:val="99"/>
              </w:rPr>
              <w:t>including, such Settlement Date to, but excluding, the date such Shares are actually delivered to Dealer, then</w:t>
            </w:r>
          </w:p>
        </w:tc>
      </w:tr>
      <w:tr>
        <w:trPr>
          <w:trHeight w:val="216"/>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the portion of the Physical Settlement Amount payable by Dealer to Counterparty in respect of the Deferred</w:t>
            </w:r>
          </w:p>
        </w:tc>
      </w:tr>
      <w:tr>
        <w:trPr>
          <w:trHeight w:val="216"/>
        </w:trPr>
        <w:tc>
          <w:tcPr>
            <w:tcW w:w="2340" w:type="dxa"/>
            <w:vAlign w:val="bottom"/>
          </w:tcPr>
          <w:p>
            <w:pPr>
              <w:spacing w:after="0"/>
              <w:rPr>
                <w:sz w:val="18"/>
                <w:szCs w:val="18"/>
                <w:color w:val="auto"/>
              </w:rPr>
            </w:pPr>
          </w:p>
        </w:tc>
        <w:tc>
          <w:tcPr>
            <w:tcW w:w="866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w w:val="99"/>
              </w:rPr>
              <w:t>Shares shall be reduced by an amount equal to the Forward Price Reduction Amount for such Forward Price</w:t>
            </w:r>
          </w:p>
        </w:tc>
      </w:tr>
      <w:tr>
        <w:trPr>
          <w:trHeight w:val="194"/>
        </w:trPr>
        <w:tc>
          <w:tcPr>
            <w:tcW w:w="2340" w:type="dxa"/>
            <w:vAlign w:val="bottom"/>
          </w:tcPr>
          <w:p>
            <w:pPr>
              <w:spacing w:after="0"/>
              <w:rPr>
                <w:sz w:val="16"/>
                <w:szCs w:val="16"/>
                <w:color w:val="auto"/>
              </w:rPr>
            </w:pPr>
          </w:p>
        </w:tc>
        <w:tc>
          <w:tcPr>
            <w:tcW w:w="8660" w:type="dxa"/>
            <w:vAlign w:val="bottom"/>
            <w:gridSpan w:val="5"/>
          </w:tcPr>
          <w:p>
            <w:pPr>
              <w:ind w:left="860"/>
              <w:spacing w:after="0" w:line="194" w:lineRule="exact"/>
              <w:rPr>
                <w:sz w:val="20"/>
                <w:szCs w:val="20"/>
                <w:color w:val="auto"/>
              </w:rPr>
            </w:pPr>
            <w:r>
              <w:rPr>
                <w:rFonts w:ascii="Times New Roman" w:cs="Times New Roman" w:eastAsia="Times New Roman" w:hAnsi="Times New Roman"/>
                <w:sz w:val="18"/>
                <w:szCs w:val="18"/>
                <w:color w:val="auto"/>
              </w:rPr>
              <w:t>Reduction Date, multiplied by the number of Deferred Shares.</w:t>
            </w:r>
          </w:p>
        </w:tc>
      </w:tr>
      <w:tr>
        <w:trPr>
          <w:trHeight w:val="20"/>
        </w:trPr>
        <w:tc>
          <w:tcPr>
            <w:tcW w:w="2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385"/>
        </w:trPr>
        <w:tc>
          <w:tcPr>
            <w:tcW w:w="2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B-1-8</w:t>
            </w:r>
          </w:p>
        </w:tc>
      </w:tr>
    </w:tbl>
    <w:p>
      <w:pPr>
        <w:ind w:left="100"/>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6" w:name="page87"/>
    <w:bookmarkEnd w:id="86"/>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Physical Settlement Amount:</w:t>
            </w:r>
          </w:p>
        </w:tc>
        <w:tc>
          <w:tcPr>
            <w:tcW w:w="8340" w:type="dxa"/>
            <w:vAlign w:val="bottom"/>
            <w:gridSpan w:val="11"/>
          </w:tcPr>
          <w:p>
            <w:pPr>
              <w:ind w:left="540"/>
              <w:spacing w:after="0"/>
              <w:rPr>
                <w:sz w:val="20"/>
                <w:szCs w:val="20"/>
                <w:color w:val="auto"/>
              </w:rPr>
            </w:pPr>
            <w:r>
              <w:rPr>
                <w:rFonts w:ascii="Times New Roman" w:cs="Times New Roman" w:eastAsia="Times New Roman" w:hAnsi="Times New Roman"/>
                <w:sz w:val="18"/>
                <w:szCs w:val="18"/>
                <w:color w:val="auto"/>
                <w:w w:val="99"/>
              </w:rPr>
              <w:t>For any Settlement Date for which Physical Settlement is applicable, an amount in cash equal to the product</w:t>
            </w:r>
          </w:p>
        </w:tc>
      </w:tr>
      <w:tr>
        <w:trPr>
          <w:trHeight w:val="194"/>
        </w:trPr>
        <w:tc>
          <w:tcPr>
            <w:tcW w:w="2660" w:type="dxa"/>
            <w:vAlign w:val="bottom"/>
          </w:tcPr>
          <w:p>
            <w:pPr>
              <w:spacing w:after="0"/>
              <w:rPr>
                <w:sz w:val="16"/>
                <w:szCs w:val="16"/>
                <w:color w:val="auto"/>
              </w:rPr>
            </w:pPr>
          </w:p>
        </w:tc>
        <w:tc>
          <w:tcPr>
            <w:tcW w:w="8340" w:type="dxa"/>
            <w:vAlign w:val="bottom"/>
            <w:gridSpan w:val="11"/>
          </w:tcPr>
          <w:p>
            <w:pPr>
              <w:ind w:left="540"/>
              <w:spacing w:after="0" w:line="194" w:lineRule="exact"/>
              <w:rPr>
                <w:sz w:val="20"/>
                <w:szCs w:val="20"/>
                <w:color w:val="auto"/>
              </w:rPr>
            </w:pPr>
            <w:r>
              <w:rPr>
                <w:rFonts w:ascii="Times New Roman" w:cs="Times New Roman" w:eastAsia="Times New Roman" w:hAnsi="Times New Roman"/>
                <w:sz w:val="18"/>
                <w:szCs w:val="18"/>
                <w:color w:val="auto"/>
                <w:w w:val="99"/>
              </w:rPr>
              <w:t>of (a) the Forward Price in effect on the relevant Settlement Date multiplied by (b) the Settlement Shares for</w:t>
            </w:r>
          </w:p>
        </w:tc>
      </w:tr>
      <w:tr>
        <w:trPr>
          <w:trHeight w:val="237"/>
        </w:trPr>
        <w:tc>
          <w:tcPr>
            <w:tcW w:w="2660" w:type="dxa"/>
            <w:vAlign w:val="bottom"/>
          </w:tcPr>
          <w:p>
            <w:pPr>
              <w:spacing w:after="0"/>
              <w:rPr>
                <w:sz w:val="20"/>
                <w:szCs w:val="20"/>
                <w:color w:val="auto"/>
              </w:rPr>
            </w:pPr>
          </w:p>
        </w:tc>
        <w:tc>
          <w:tcPr>
            <w:tcW w:w="5260" w:type="dxa"/>
            <w:vAlign w:val="bottom"/>
            <w:gridSpan w:val="9"/>
          </w:tcPr>
          <w:p>
            <w:pPr>
              <w:ind w:left="540"/>
              <w:spacing w:after="0"/>
              <w:rPr>
                <w:sz w:val="20"/>
                <w:szCs w:val="20"/>
                <w:color w:val="auto"/>
              </w:rPr>
            </w:pPr>
            <w:r>
              <w:rPr>
                <w:rFonts w:ascii="Times New Roman" w:cs="Times New Roman" w:eastAsia="Times New Roman" w:hAnsi="Times New Roman"/>
                <w:sz w:val="18"/>
                <w:szCs w:val="18"/>
                <w:color w:val="auto"/>
              </w:rPr>
              <w:t>such Settlement Date.</w:t>
            </w:r>
          </w:p>
        </w:tc>
        <w:tc>
          <w:tcPr>
            <w:tcW w:w="960" w:type="dxa"/>
            <w:vAlign w:val="bottom"/>
            <w:tcBorders>
              <w:top w:val="single" w:sz="8" w:color="auto"/>
            </w:tcBorders>
          </w:tcPr>
          <w:p>
            <w:pPr>
              <w:spacing w:after="0"/>
              <w:rPr>
                <w:sz w:val="20"/>
                <w:szCs w:val="20"/>
                <w:color w:val="auto"/>
              </w:rPr>
            </w:pPr>
          </w:p>
        </w:tc>
        <w:tc>
          <w:tcPr>
            <w:tcW w:w="2120" w:type="dxa"/>
            <w:vAlign w:val="bottom"/>
          </w:tcPr>
          <w:p>
            <w:pPr>
              <w:spacing w:after="0"/>
              <w:rPr>
                <w:sz w:val="20"/>
                <w:szCs w:val="20"/>
                <w:color w:val="auto"/>
              </w:rPr>
            </w:pPr>
          </w:p>
        </w:tc>
      </w:tr>
      <w:tr>
        <w:trPr>
          <w:trHeight w:val="30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w:t>
            </w:r>
          </w:p>
        </w:tc>
        <w:tc>
          <w:tcPr>
            <w:tcW w:w="8340" w:type="dxa"/>
            <w:vAlign w:val="bottom"/>
            <w:gridSpan w:val="11"/>
          </w:tcPr>
          <w:p>
            <w:pPr>
              <w:ind w:left="540"/>
              <w:spacing w:after="0"/>
              <w:rPr>
                <w:sz w:val="20"/>
                <w:szCs w:val="20"/>
                <w:color w:val="auto"/>
              </w:rPr>
            </w:pPr>
            <w:r>
              <w:rPr>
                <w:rFonts w:ascii="Times New Roman" w:cs="Times New Roman" w:eastAsia="Times New Roman" w:hAnsi="Times New Roman"/>
                <w:sz w:val="18"/>
                <w:szCs w:val="18"/>
                <w:color w:val="auto"/>
              </w:rPr>
              <w:t>On any Settlement Date in respect of which Cash Settlement applies, (i) if the Cash Settlement Amount is a</w:t>
            </w:r>
          </w:p>
        </w:tc>
      </w:tr>
      <w:tr>
        <w:trPr>
          <w:trHeight w:val="216"/>
        </w:trPr>
        <w:tc>
          <w:tcPr>
            <w:tcW w:w="2660" w:type="dxa"/>
            <w:vAlign w:val="bottom"/>
          </w:tcPr>
          <w:p>
            <w:pPr>
              <w:spacing w:after="0"/>
              <w:rPr>
                <w:sz w:val="18"/>
                <w:szCs w:val="18"/>
                <w:color w:val="auto"/>
              </w:rPr>
            </w:pPr>
          </w:p>
        </w:tc>
        <w:tc>
          <w:tcPr>
            <w:tcW w:w="8340" w:type="dxa"/>
            <w:vAlign w:val="bottom"/>
            <w:gridSpan w:val="11"/>
          </w:tcPr>
          <w:p>
            <w:pPr>
              <w:ind w:left="540"/>
              <w:spacing w:after="0"/>
              <w:rPr>
                <w:sz w:val="20"/>
                <w:szCs w:val="20"/>
                <w:color w:val="auto"/>
              </w:rPr>
            </w:pPr>
            <w:r>
              <w:rPr>
                <w:rFonts w:ascii="Times New Roman" w:cs="Times New Roman" w:eastAsia="Times New Roman" w:hAnsi="Times New Roman"/>
                <w:sz w:val="18"/>
                <w:szCs w:val="18"/>
                <w:color w:val="auto"/>
              </w:rPr>
              <w:t>positive number, Dealer will pay the Cash Settlement Amount to Counterparty, and (ii) if the Cash</w:t>
            </w:r>
          </w:p>
        </w:tc>
      </w:tr>
      <w:tr>
        <w:trPr>
          <w:trHeight w:val="216"/>
        </w:trPr>
        <w:tc>
          <w:tcPr>
            <w:tcW w:w="2660" w:type="dxa"/>
            <w:vAlign w:val="bottom"/>
          </w:tcPr>
          <w:p>
            <w:pPr>
              <w:spacing w:after="0"/>
              <w:rPr>
                <w:sz w:val="18"/>
                <w:szCs w:val="18"/>
                <w:color w:val="auto"/>
              </w:rPr>
            </w:pPr>
          </w:p>
        </w:tc>
        <w:tc>
          <w:tcPr>
            <w:tcW w:w="8340" w:type="dxa"/>
            <w:vAlign w:val="bottom"/>
            <w:gridSpan w:val="11"/>
          </w:tcPr>
          <w:p>
            <w:pPr>
              <w:ind w:left="540"/>
              <w:spacing w:after="0"/>
              <w:rPr>
                <w:sz w:val="20"/>
                <w:szCs w:val="20"/>
                <w:color w:val="auto"/>
              </w:rPr>
            </w:pPr>
            <w:r>
              <w:rPr>
                <w:rFonts w:ascii="Times New Roman" w:cs="Times New Roman" w:eastAsia="Times New Roman" w:hAnsi="Times New Roman"/>
                <w:sz w:val="18"/>
                <w:szCs w:val="18"/>
                <w:color w:val="auto"/>
              </w:rPr>
              <w:t>Settlement Amount is a negative number, Counterparty will pay the absolute value of the Cash Settlement</w:t>
            </w:r>
          </w:p>
        </w:tc>
      </w:tr>
      <w:tr>
        <w:trPr>
          <w:trHeight w:val="216"/>
        </w:trPr>
        <w:tc>
          <w:tcPr>
            <w:tcW w:w="2660" w:type="dxa"/>
            <w:vAlign w:val="bottom"/>
          </w:tcPr>
          <w:p>
            <w:pPr>
              <w:spacing w:after="0"/>
              <w:rPr>
                <w:sz w:val="18"/>
                <w:szCs w:val="18"/>
                <w:color w:val="auto"/>
              </w:rPr>
            </w:pPr>
          </w:p>
        </w:tc>
        <w:tc>
          <w:tcPr>
            <w:tcW w:w="8340" w:type="dxa"/>
            <w:vAlign w:val="bottom"/>
            <w:gridSpan w:val="11"/>
          </w:tcPr>
          <w:p>
            <w:pPr>
              <w:ind w:left="540"/>
              <w:spacing w:after="0"/>
              <w:rPr>
                <w:sz w:val="20"/>
                <w:szCs w:val="20"/>
                <w:color w:val="auto"/>
              </w:rPr>
            </w:pPr>
            <w:r>
              <w:rPr>
                <w:rFonts w:ascii="Times New Roman" w:cs="Times New Roman" w:eastAsia="Times New Roman" w:hAnsi="Times New Roman"/>
                <w:sz w:val="18"/>
                <w:szCs w:val="18"/>
                <w:color w:val="auto"/>
              </w:rPr>
              <w:t>Amount to Dealer. Such amounts shall be paid on such Settlement Date by wire transfer of immediately</w:t>
            </w:r>
          </w:p>
        </w:tc>
      </w:tr>
      <w:tr>
        <w:trPr>
          <w:trHeight w:val="234"/>
        </w:trPr>
        <w:tc>
          <w:tcPr>
            <w:tcW w:w="2660" w:type="dxa"/>
            <w:vAlign w:val="bottom"/>
          </w:tcPr>
          <w:p>
            <w:pPr>
              <w:spacing w:after="0"/>
              <w:rPr>
                <w:sz w:val="20"/>
                <w:szCs w:val="20"/>
                <w:color w:val="auto"/>
              </w:rPr>
            </w:pPr>
          </w:p>
        </w:tc>
        <w:tc>
          <w:tcPr>
            <w:tcW w:w="8340" w:type="dxa"/>
            <w:vAlign w:val="bottom"/>
            <w:gridSpan w:val="11"/>
          </w:tcPr>
          <w:p>
            <w:pPr>
              <w:ind w:left="540"/>
              <w:spacing w:after="0"/>
              <w:rPr>
                <w:sz w:val="20"/>
                <w:szCs w:val="20"/>
                <w:color w:val="auto"/>
              </w:rPr>
            </w:pPr>
            <w:r>
              <w:rPr>
                <w:rFonts w:ascii="Times New Roman" w:cs="Times New Roman" w:eastAsia="Times New Roman" w:hAnsi="Times New Roman"/>
                <w:sz w:val="18"/>
                <w:szCs w:val="18"/>
                <w:color w:val="auto"/>
              </w:rPr>
              <w:t>available funds to an account designated by the relevant party.</w:t>
            </w: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 Amount:</w:t>
            </w:r>
          </w:p>
        </w:tc>
        <w:tc>
          <w:tcPr>
            <w:tcW w:w="8340" w:type="dxa"/>
            <w:vAlign w:val="bottom"/>
            <w:gridSpan w:val="11"/>
          </w:tcPr>
          <w:p>
            <w:pPr>
              <w:ind w:left="540"/>
              <w:spacing w:after="0"/>
              <w:rPr>
                <w:sz w:val="20"/>
                <w:szCs w:val="20"/>
                <w:color w:val="auto"/>
              </w:rPr>
            </w:pPr>
            <w:r>
              <w:rPr>
                <w:rFonts w:ascii="Times New Roman" w:cs="Times New Roman" w:eastAsia="Times New Roman" w:hAnsi="Times New Roman"/>
                <w:sz w:val="18"/>
                <w:szCs w:val="18"/>
                <w:color w:val="auto"/>
              </w:rPr>
              <w:t>An amount determined by the Calculation Agent equal to:</w:t>
            </w:r>
          </w:p>
        </w:tc>
      </w:tr>
      <w:tr>
        <w:trPr>
          <w:trHeight w:val="306"/>
        </w:trPr>
        <w:tc>
          <w:tcPr>
            <w:tcW w:w="2660" w:type="dxa"/>
            <w:vAlign w:val="bottom"/>
          </w:tcPr>
          <w:p>
            <w:pPr>
              <w:spacing w:after="0"/>
              <w:rPr>
                <w:sz w:val="24"/>
                <w:szCs w:val="24"/>
                <w:color w:val="auto"/>
              </w:rPr>
            </w:pPr>
          </w:p>
        </w:tc>
        <w:tc>
          <w:tcPr>
            <w:tcW w:w="8340" w:type="dxa"/>
            <w:vAlign w:val="bottom"/>
            <w:gridSpan w:val="11"/>
          </w:tcPr>
          <w:p>
            <w:pPr>
              <w:ind w:left="540"/>
              <w:spacing w:after="0"/>
              <w:rPr>
                <w:sz w:val="20"/>
                <w:szCs w:val="20"/>
                <w:color w:val="auto"/>
              </w:rPr>
            </w:pPr>
            <w:r>
              <w:rPr>
                <w:rFonts w:ascii="Times New Roman" w:cs="Times New Roman" w:eastAsia="Times New Roman" w:hAnsi="Times New Roman"/>
                <w:sz w:val="18"/>
                <w:szCs w:val="18"/>
                <w:color w:val="auto"/>
              </w:rPr>
              <w:t>(a)    (i)(A) the weighted average (weighted on the same basis as clause (B)) of the Forward Prices on each</w:t>
            </w:r>
          </w:p>
        </w:tc>
      </w:tr>
      <w:tr>
        <w:trPr>
          <w:trHeight w:val="216"/>
        </w:trPr>
        <w:tc>
          <w:tcPr>
            <w:tcW w:w="2660" w:type="dxa"/>
            <w:vAlign w:val="bottom"/>
          </w:tcPr>
          <w:p>
            <w:pPr>
              <w:spacing w:after="0"/>
              <w:rPr>
                <w:sz w:val="18"/>
                <w:szCs w:val="18"/>
                <w:color w:val="auto"/>
              </w:rPr>
            </w:pPr>
          </w:p>
        </w:tc>
        <w:tc>
          <w:tcPr>
            <w:tcW w:w="8340" w:type="dxa"/>
            <w:vAlign w:val="bottom"/>
            <w:gridSpan w:val="11"/>
          </w:tcPr>
          <w:p>
            <w:pPr>
              <w:ind w:left="900"/>
              <w:spacing w:after="0"/>
              <w:rPr>
                <w:sz w:val="20"/>
                <w:szCs w:val="20"/>
                <w:color w:val="auto"/>
              </w:rPr>
            </w:pPr>
            <w:r>
              <w:rPr>
                <w:rFonts w:ascii="Times New Roman" w:cs="Times New Roman" w:eastAsia="Times New Roman" w:hAnsi="Times New Roman"/>
                <w:sz w:val="18"/>
                <w:szCs w:val="18"/>
                <w:color w:val="auto"/>
              </w:rPr>
              <w:t>day during the applicable Unwind Period (calculated assuming no reduction to the Forward Price for</w:t>
            </w:r>
          </w:p>
        </w:tc>
      </w:tr>
      <w:tr>
        <w:trPr>
          <w:trHeight w:val="216"/>
        </w:trPr>
        <w:tc>
          <w:tcPr>
            <w:tcW w:w="2660" w:type="dxa"/>
            <w:vAlign w:val="bottom"/>
          </w:tcPr>
          <w:p>
            <w:pPr>
              <w:spacing w:after="0"/>
              <w:rPr>
                <w:sz w:val="18"/>
                <w:szCs w:val="18"/>
                <w:color w:val="auto"/>
              </w:rPr>
            </w:pPr>
          </w:p>
        </w:tc>
        <w:tc>
          <w:tcPr>
            <w:tcW w:w="8340" w:type="dxa"/>
            <w:vAlign w:val="bottom"/>
            <w:gridSpan w:val="11"/>
          </w:tcPr>
          <w:p>
            <w:pPr>
              <w:ind w:left="900"/>
              <w:spacing w:after="0"/>
              <w:rPr>
                <w:sz w:val="20"/>
                <w:szCs w:val="20"/>
                <w:color w:val="auto"/>
              </w:rPr>
            </w:pPr>
            <w:r>
              <w:rPr>
                <w:rFonts w:ascii="Times New Roman" w:cs="Times New Roman" w:eastAsia="Times New Roman" w:hAnsi="Times New Roman"/>
                <w:sz w:val="18"/>
                <w:szCs w:val="18"/>
                <w:color w:val="auto"/>
              </w:rPr>
              <w:t>any Forward Price Reduction Date that occurs during such Unwind Period, which is accounted for in</w:t>
            </w:r>
          </w:p>
        </w:tc>
      </w:tr>
      <w:tr>
        <w:trPr>
          <w:trHeight w:val="194"/>
        </w:trPr>
        <w:tc>
          <w:tcPr>
            <w:tcW w:w="2660" w:type="dxa"/>
            <w:vAlign w:val="bottom"/>
          </w:tcPr>
          <w:p>
            <w:pPr>
              <w:spacing w:after="0"/>
              <w:rPr>
                <w:sz w:val="16"/>
                <w:szCs w:val="16"/>
                <w:color w:val="auto"/>
              </w:rPr>
            </w:pPr>
          </w:p>
        </w:tc>
        <w:tc>
          <w:tcPr>
            <w:tcW w:w="8340" w:type="dxa"/>
            <w:vAlign w:val="bottom"/>
            <w:gridSpan w:val="11"/>
          </w:tcPr>
          <w:p>
            <w:pPr>
              <w:ind w:left="900"/>
              <w:spacing w:after="0" w:line="194" w:lineRule="exact"/>
              <w:rPr>
                <w:sz w:val="20"/>
                <w:szCs w:val="20"/>
                <w:color w:val="auto"/>
              </w:rPr>
            </w:pPr>
            <w:r>
              <w:rPr>
                <w:rFonts w:ascii="Times New Roman" w:cs="Times New Roman" w:eastAsia="Times New Roman" w:hAnsi="Times New Roman"/>
                <w:sz w:val="18"/>
                <w:szCs w:val="18"/>
                <w:color w:val="auto"/>
                <w:w w:val="99"/>
              </w:rPr>
              <w:t>clause (b) below), minus a commercially reasonable commission related to Dealer’s purchase of Shares</w:t>
            </w:r>
          </w:p>
        </w:tc>
      </w:tr>
      <w:tr>
        <w:trPr>
          <w:trHeight w:val="20"/>
        </w:trPr>
        <w:tc>
          <w:tcPr>
            <w:tcW w:w="2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r>
      <w:tr>
        <w:trPr>
          <w:trHeight w:val="214"/>
        </w:trPr>
        <w:tc>
          <w:tcPr>
            <w:tcW w:w="2660" w:type="dxa"/>
            <w:vAlign w:val="bottom"/>
          </w:tcPr>
          <w:p>
            <w:pPr>
              <w:spacing w:after="0"/>
              <w:rPr>
                <w:sz w:val="18"/>
                <w:szCs w:val="18"/>
                <w:color w:val="auto"/>
              </w:rPr>
            </w:pPr>
          </w:p>
        </w:tc>
        <w:tc>
          <w:tcPr>
            <w:tcW w:w="8340" w:type="dxa"/>
            <w:vAlign w:val="bottom"/>
            <w:gridSpan w:val="11"/>
          </w:tcPr>
          <w:p>
            <w:pPr>
              <w:ind w:left="900"/>
              <w:spacing w:after="0"/>
              <w:rPr>
                <w:sz w:val="20"/>
                <w:szCs w:val="20"/>
                <w:color w:val="auto"/>
              </w:rPr>
            </w:pPr>
            <w:r>
              <w:rPr>
                <w:rFonts w:ascii="Times New Roman" w:cs="Times New Roman" w:eastAsia="Times New Roman" w:hAnsi="Times New Roman"/>
                <w:sz w:val="18"/>
                <w:szCs w:val="18"/>
                <w:color w:val="auto"/>
              </w:rPr>
              <w:t>in connection with the unwind of its commercially reasonable hedge position, to repurchase each</w:t>
            </w:r>
          </w:p>
        </w:tc>
      </w:tr>
      <w:tr>
        <w:trPr>
          <w:trHeight w:val="198"/>
        </w:trPr>
        <w:tc>
          <w:tcPr>
            <w:tcW w:w="2660" w:type="dxa"/>
            <w:vAlign w:val="bottom"/>
          </w:tcPr>
          <w:p>
            <w:pPr>
              <w:spacing w:after="0"/>
              <w:rPr>
                <w:sz w:val="17"/>
                <w:szCs w:val="17"/>
                <w:color w:val="auto"/>
              </w:rPr>
            </w:pPr>
          </w:p>
        </w:tc>
        <w:tc>
          <w:tcPr>
            <w:tcW w:w="8340" w:type="dxa"/>
            <w:vAlign w:val="bottom"/>
            <w:gridSpan w:val="11"/>
          </w:tcPr>
          <w:p>
            <w:pPr>
              <w:ind w:left="900"/>
              <w:spacing w:after="0" w:line="198" w:lineRule="exact"/>
              <w:rPr>
                <w:sz w:val="20"/>
                <w:szCs w:val="20"/>
                <w:color w:val="auto"/>
              </w:rPr>
            </w:pPr>
            <w:r>
              <w:rPr>
                <w:rFonts w:ascii="Times New Roman" w:cs="Times New Roman" w:eastAsia="Times New Roman" w:hAnsi="Times New Roman"/>
                <w:sz w:val="18"/>
                <w:szCs w:val="18"/>
                <w:color w:val="auto"/>
              </w:rPr>
              <w:t>Settlement Share, not to exceed USD 0.02, minus (B) the weighted average price (the “</w:t>
            </w:r>
            <w:r>
              <w:rPr>
                <w:rFonts w:ascii="Times New Roman" w:cs="Times New Roman" w:eastAsia="Times New Roman" w:hAnsi="Times New Roman"/>
                <w:sz w:val="18"/>
                <w:szCs w:val="18"/>
                <w:b w:val="1"/>
                <w:bCs w:val="1"/>
                <w:i w:val="1"/>
                <w:iCs w:val="1"/>
                <w:color w:val="auto"/>
              </w:rPr>
              <w:t>Unwind</w:t>
            </w:r>
          </w:p>
        </w:tc>
      </w:tr>
      <w:tr>
        <w:trPr>
          <w:trHeight w:val="20"/>
        </w:trPr>
        <w:tc>
          <w:tcPr>
            <w:tcW w:w="2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r>
      <w:tr>
        <w:trPr>
          <w:trHeight w:val="218"/>
        </w:trPr>
        <w:tc>
          <w:tcPr>
            <w:tcW w:w="2660" w:type="dxa"/>
            <w:vAlign w:val="bottom"/>
          </w:tcPr>
          <w:p>
            <w:pPr>
              <w:spacing w:after="0"/>
              <w:rPr>
                <w:sz w:val="18"/>
                <w:szCs w:val="18"/>
                <w:color w:val="auto"/>
              </w:rPr>
            </w:pPr>
          </w:p>
        </w:tc>
        <w:tc>
          <w:tcPr>
            <w:tcW w:w="8340" w:type="dxa"/>
            <w:vAlign w:val="bottom"/>
            <w:gridSpan w:val="11"/>
          </w:tcPr>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at which Dealer purchases Shares during the Unwind Period to unwind its hedge</w:t>
            </w:r>
          </w:p>
        </w:tc>
      </w:tr>
      <w:tr>
        <w:trPr>
          <w:trHeight w:val="216"/>
        </w:trPr>
        <w:tc>
          <w:tcPr>
            <w:tcW w:w="2660" w:type="dxa"/>
            <w:vAlign w:val="bottom"/>
          </w:tcPr>
          <w:p>
            <w:pPr>
              <w:spacing w:after="0"/>
              <w:rPr>
                <w:sz w:val="18"/>
                <w:szCs w:val="18"/>
                <w:color w:val="auto"/>
              </w:rPr>
            </w:pPr>
          </w:p>
        </w:tc>
        <w:tc>
          <w:tcPr>
            <w:tcW w:w="8340" w:type="dxa"/>
            <w:vAlign w:val="bottom"/>
            <w:gridSpan w:val="11"/>
          </w:tcPr>
          <w:p>
            <w:pPr>
              <w:ind w:left="900"/>
              <w:spacing w:after="0"/>
              <w:rPr>
                <w:sz w:val="20"/>
                <w:szCs w:val="20"/>
                <w:color w:val="auto"/>
              </w:rPr>
            </w:pPr>
            <w:r>
              <w:rPr>
                <w:rFonts w:ascii="Times New Roman" w:cs="Times New Roman" w:eastAsia="Times New Roman" w:hAnsi="Times New Roman"/>
                <w:sz w:val="18"/>
                <w:szCs w:val="18"/>
                <w:color w:val="auto"/>
              </w:rPr>
              <w:t>with respect to the portion of the Number of Shares to be settled during the Unwind Period (including,</w:t>
            </w:r>
          </w:p>
        </w:tc>
      </w:tr>
      <w:tr>
        <w:trPr>
          <w:trHeight w:val="216"/>
        </w:trPr>
        <w:tc>
          <w:tcPr>
            <w:tcW w:w="2660" w:type="dxa"/>
            <w:vAlign w:val="bottom"/>
          </w:tcPr>
          <w:p>
            <w:pPr>
              <w:spacing w:after="0"/>
              <w:rPr>
                <w:sz w:val="18"/>
                <w:szCs w:val="18"/>
                <w:color w:val="auto"/>
              </w:rPr>
            </w:pPr>
          </w:p>
        </w:tc>
        <w:tc>
          <w:tcPr>
            <w:tcW w:w="8340" w:type="dxa"/>
            <w:vAlign w:val="bottom"/>
            <w:gridSpan w:val="11"/>
          </w:tcPr>
          <w:p>
            <w:pPr>
              <w:ind w:left="900"/>
              <w:spacing w:after="0"/>
              <w:rPr>
                <w:sz w:val="20"/>
                <w:szCs w:val="20"/>
                <w:color w:val="auto"/>
              </w:rPr>
            </w:pPr>
            <w:r>
              <w:rPr>
                <w:rFonts w:ascii="Times New Roman" w:cs="Times New Roman" w:eastAsia="Times New Roman" w:hAnsi="Times New Roman"/>
                <w:sz w:val="18"/>
                <w:szCs w:val="18"/>
                <w:color w:val="auto"/>
              </w:rPr>
              <w:t>for the avoidance of doubt, purchases on any Disrupted Day in part) assuming Dealer has a</w:t>
            </w:r>
          </w:p>
        </w:tc>
      </w:tr>
      <w:tr>
        <w:trPr>
          <w:trHeight w:val="216"/>
        </w:trPr>
        <w:tc>
          <w:tcPr>
            <w:tcW w:w="2660" w:type="dxa"/>
            <w:vAlign w:val="bottom"/>
          </w:tcPr>
          <w:p>
            <w:pPr>
              <w:spacing w:after="0"/>
              <w:rPr>
                <w:sz w:val="18"/>
                <w:szCs w:val="18"/>
                <w:color w:val="auto"/>
              </w:rPr>
            </w:pPr>
          </w:p>
        </w:tc>
        <w:tc>
          <w:tcPr>
            <w:tcW w:w="8340" w:type="dxa"/>
            <w:vAlign w:val="bottom"/>
            <w:gridSpan w:val="11"/>
          </w:tcPr>
          <w:p>
            <w:pPr>
              <w:ind w:left="900"/>
              <w:spacing w:after="0"/>
              <w:rPr>
                <w:sz w:val="20"/>
                <w:szCs w:val="20"/>
                <w:color w:val="auto"/>
              </w:rPr>
            </w:pPr>
            <w:r>
              <w:rPr>
                <w:rFonts w:ascii="Times New Roman" w:cs="Times New Roman" w:eastAsia="Times New Roman" w:hAnsi="Times New Roman"/>
                <w:sz w:val="18"/>
                <w:szCs w:val="18"/>
                <w:color w:val="auto"/>
              </w:rPr>
              <w:t>commercially reasonable hedge position and is purchasing Shares in a commercially reasonable</w:t>
            </w:r>
          </w:p>
        </w:tc>
      </w:tr>
      <w:tr>
        <w:trPr>
          <w:trHeight w:val="216"/>
        </w:trPr>
        <w:tc>
          <w:tcPr>
            <w:tcW w:w="2660" w:type="dxa"/>
            <w:vAlign w:val="bottom"/>
          </w:tcPr>
          <w:p>
            <w:pPr>
              <w:spacing w:after="0"/>
              <w:rPr>
                <w:sz w:val="18"/>
                <w:szCs w:val="18"/>
                <w:color w:val="auto"/>
              </w:rPr>
            </w:pPr>
          </w:p>
        </w:tc>
        <w:tc>
          <w:tcPr>
            <w:tcW w:w="8340" w:type="dxa"/>
            <w:vAlign w:val="bottom"/>
            <w:gridSpan w:val="11"/>
          </w:tcPr>
          <w:p>
            <w:pPr>
              <w:ind w:left="900"/>
              <w:spacing w:after="0"/>
              <w:rPr>
                <w:sz w:val="20"/>
                <w:szCs w:val="20"/>
                <w:color w:val="auto"/>
              </w:rPr>
            </w:pPr>
            <w:r>
              <w:rPr>
                <w:rFonts w:ascii="Times New Roman" w:cs="Times New Roman" w:eastAsia="Times New Roman" w:hAnsi="Times New Roman"/>
                <w:sz w:val="18"/>
                <w:szCs w:val="18"/>
                <w:color w:val="auto"/>
              </w:rPr>
              <w:t>manner at prices that reflect prevailing market prices for the Shares, taking into account Shares</w:t>
            </w:r>
          </w:p>
        </w:tc>
      </w:tr>
      <w:tr>
        <w:trPr>
          <w:trHeight w:val="216"/>
        </w:trPr>
        <w:tc>
          <w:tcPr>
            <w:tcW w:w="2660" w:type="dxa"/>
            <w:vAlign w:val="bottom"/>
          </w:tcPr>
          <w:p>
            <w:pPr>
              <w:spacing w:after="0"/>
              <w:rPr>
                <w:sz w:val="18"/>
                <w:szCs w:val="18"/>
                <w:color w:val="auto"/>
              </w:rPr>
            </w:pPr>
          </w:p>
        </w:tc>
        <w:tc>
          <w:tcPr>
            <w:tcW w:w="8340" w:type="dxa"/>
            <w:vAlign w:val="bottom"/>
            <w:gridSpan w:val="11"/>
          </w:tcPr>
          <w:p>
            <w:pPr>
              <w:ind w:left="900"/>
              <w:spacing w:after="0"/>
              <w:rPr>
                <w:sz w:val="20"/>
                <w:szCs w:val="20"/>
                <w:color w:val="auto"/>
              </w:rPr>
            </w:pPr>
            <w:r>
              <w:rPr>
                <w:rFonts w:ascii="Times New Roman" w:cs="Times New Roman" w:eastAsia="Times New Roman" w:hAnsi="Times New Roman"/>
                <w:sz w:val="18"/>
                <w:szCs w:val="18"/>
                <w:color w:val="auto"/>
              </w:rPr>
              <w:t>anticipated to be delivered or received if Net Share Settlement applies, and the restrictions of</w:t>
            </w:r>
          </w:p>
        </w:tc>
      </w:tr>
      <w:tr>
        <w:trPr>
          <w:trHeight w:val="194"/>
        </w:trPr>
        <w:tc>
          <w:tcPr>
            <w:tcW w:w="2660" w:type="dxa"/>
            <w:vAlign w:val="bottom"/>
          </w:tcPr>
          <w:p>
            <w:pPr>
              <w:spacing w:after="0"/>
              <w:rPr>
                <w:sz w:val="16"/>
                <w:szCs w:val="16"/>
                <w:color w:val="auto"/>
              </w:rPr>
            </w:pPr>
          </w:p>
        </w:tc>
        <w:tc>
          <w:tcPr>
            <w:tcW w:w="8340" w:type="dxa"/>
            <w:vAlign w:val="bottom"/>
            <w:gridSpan w:val="11"/>
          </w:tcPr>
          <w:p>
            <w:pPr>
              <w:ind w:left="900"/>
              <w:spacing w:after="0" w:line="194" w:lineRule="exact"/>
              <w:rPr>
                <w:sz w:val="20"/>
                <w:szCs w:val="20"/>
                <w:color w:val="auto"/>
              </w:rPr>
            </w:pPr>
            <w:r>
              <w:rPr>
                <w:rFonts w:ascii="Times New Roman" w:cs="Times New Roman" w:eastAsia="Times New Roman" w:hAnsi="Times New Roman"/>
                <w:sz w:val="18"/>
                <w:szCs w:val="18"/>
                <w:color w:val="auto"/>
              </w:rPr>
              <w:t>Rule 10b-18 agreed to hereunder, multiplied by (ii) the Settlement Shares for the relevant Settlement</w:t>
            </w:r>
          </w:p>
        </w:tc>
      </w:tr>
      <w:tr>
        <w:trPr>
          <w:trHeight w:val="196"/>
        </w:trPr>
        <w:tc>
          <w:tcPr>
            <w:tcW w:w="2660" w:type="dxa"/>
            <w:vAlign w:val="bottom"/>
          </w:tcPr>
          <w:p>
            <w:pPr>
              <w:spacing w:after="0"/>
              <w:rPr>
                <w:sz w:val="17"/>
                <w:szCs w:val="17"/>
                <w:color w:val="auto"/>
              </w:rPr>
            </w:pPr>
          </w:p>
        </w:tc>
        <w:tc>
          <w:tcPr>
            <w:tcW w:w="3340" w:type="dxa"/>
            <w:vAlign w:val="bottom"/>
            <w:gridSpan w:val="5"/>
          </w:tcPr>
          <w:p>
            <w:pPr>
              <w:ind w:left="900"/>
              <w:spacing w:after="0" w:line="196" w:lineRule="exact"/>
              <w:rPr>
                <w:sz w:val="20"/>
                <w:szCs w:val="20"/>
                <w:color w:val="auto"/>
              </w:rPr>
            </w:pPr>
            <w:r>
              <w:rPr>
                <w:rFonts w:ascii="Times New Roman" w:cs="Times New Roman" w:eastAsia="Times New Roman" w:hAnsi="Times New Roman"/>
                <w:sz w:val="18"/>
                <w:szCs w:val="18"/>
                <w:color w:val="auto"/>
              </w:rPr>
              <w:t>Date; minus</w:t>
            </w:r>
          </w:p>
        </w:tc>
        <w:tc>
          <w:tcPr>
            <w:tcW w:w="880" w:type="dxa"/>
            <w:vAlign w:val="bottom"/>
            <w:tcBorders>
              <w:top w:val="single" w:sz="8" w:color="auto"/>
            </w:tcBorders>
            <w:gridSpan w:val="2"/>
          </w:tcPr>
          <w:p>
            <w:pPr>
              <w:spacing w:after="0"/>
              <w:rPr>
                <w:sz w:val="17"/>
                <w:szCs w:val="17"/>
                <w:color w:val="auto"/>
              </w:rPr>
            </w:pPr>
          </w:p>
        </w:tc>
        <w:tc>
          <w:tcPr>
            <w:tcW w:w="4120" w:type="dxa"/>
            <w:vAlign w:val="bottom"/>
            <w:gridSpan w:val="4"/>
          </w:tcPr>
          <w:p>
            <w:pPr>
              <w:spacing w:after="0"/>
              <w:rPr>
                <w:sz w:val="17"/>
                <w:szCs w:val="17"/>
                <w:color w:val="auto"/>
              </w:rPr>
            </w:pPr>
          </w:p>
        </w:tc>
      </w:tr>
      <w:tr>
        <w:trPr>
          <w:trHeight w:val="20"/>
        </w:trPr>
        <w:tc>
          <w:tcPr>
            <w:tcW w:w="2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r>
      <w:tr>
        <w:trPr>
          <w:trHeight w:val="326"/>
        </w:trPr>
        <w:tc>
          <w:tcPr>
            <w:tcW w:w="2660" w:type="dxa"/>
            <w:vAlign w:val="bottom"/>
          </w:tcPr>
          <w:p>
            <w:pPr>
              <w:spacing w:after="0"/>
              <w:rPr>
                <w:sz w:val="24"/>
                <w:szCs w:val="24"/>
                <w:color w:val="auto"/>
              </w:rPr>
            </w:pPr>
          </w:p>
        </w:tc>
        <w:tc>
          <w:tcPr>
            <w:tcW w:w="8340" w:type="dxa"/>
            <w:vAlign w:val="bottom"/>
            <w:gridSpan w:val="11"/>
          </w:tcPr>
          <w:p>
            <w:pPr>
              <w:ind w:left="540"/>
              <w:spacing w:after="0"/>
              <w:rPr>
                <w:sz w:val="20"/>
                <w:szCs w:val="20"/>
                <w:color w:val="auto"/>
              </w:rPr>
            </w:pPr>
            <w:r>
              <w:rPr>
                <w:rFonts w:ascii="Times New Roman" w:cs="Times New Roman" w:eastAsia="Times New Roman" w:hAnsi="Times New Roman"/>
                <w:sz w:val="18"/>
                <w:szCs w:val="18"/>
                <w:color w:val="auto"/>
              </w:rPr>
              <w:t>(b)    the product of (i) the Forward Price Reduction Amount for any Forward Price Reduction Date that</w:t>
            </w:r>
          </w:p>
        </w:tc>
      </w:tr>
      <w:tr>
        <w:trPr>
          <w:trHeight w:val="216"/>
        </w:trPr>
        <w:tc>
          <w:tcPr>
            <w:tcW w:w="2660" w:type="dxa"/>
            <w:vAlign w:val="bottom"/>
          </w:tcPr>
          <w:p>
            <w:pPr>
              <w:spacing w:after="0"/>
              <w:rPr>
                <w:sz w:val="18"/>
                <w:szCs w:val="18"/>
                <w:color w:val="auto"/>
              </w:rPr>
            </w:pPr>
          </w:p>
        </w:tc>
        <w:tc>
          <w:tcPr>
            <w:tcW w:w="8340" w:type="dxa"/>
            <w:vAlign w:val="bottom"/>
            <w:gridSpan w:val="11"/>
          </w:tcPr>
          <w:p>
            <w:pPr>
              <w:ind w:left="900"/>
              <w:spacing w:after="0"/>
              <w:rPr>
                <w:sz w:val="20"/>
                <w:szCs w:val="20"/>
                <w:color w:val="auto"/>
              </w:rPr>
            </w:pPr>
            <w:r>
              <w:rPr>
                <w:rFonts w:ascii="Times New Roman" w:cs="Times New Roman" w:eastAsia="Times New Roman" w:hAnsi="Times New Roman"/>
                <w:sz w:val="18"/>
                <w:szCs w:val="18"/>
                <w:color w:val="auto"/>
              </w:rPr>
              <w:t>occurs during such Unwind Period and (ii) the number of Settlement Shares for such Settlement Date</w:t>
            </w:r>
          </w:p>
        </w:tc>
      </w:tr>
      <w:tr>
        <w:trPr>
          <w:trHeight w:val="216"/>
        </w:trPr>
        <w:tc>
          <w:tcPr>
            <w:tcW w:w="2660" w:type="dxa"/>
            <w:vAlign w:val="bottom"/>
          </w:tcPr>
          <w:p>
            <w:pPr>
              <w:spacing w:after="0"/>
              <w:rPr>
                <w:sz w:val="18"/>
                <w:szCs w:val="18"/>
                <w:color w:val="auto"/>
              </w:rPr>
            </w:pPr>
          </w:p>
        </w:tc>
        <w:tc>
          <w:tcPr>
            <w:tcW w:w="8340" w:type="dxa"/>
            <w:vAlign w:val="bottom"/>
            <w:gridSpan w:val="11"/>
          </w:tcPr>
          <w:p>
            <w:pPr>
              <w:ind w:left="900"/>
              <w:spacing w:after="0"/>
              <w:rPr>
                <w:sz w:val="20"/>
                <w:szCs w:val="20"/>
                <w:color w:val="auto"/>
              </w:rPr>
            </w:pPr>
            <w:r>
              <w:rPr>
                <w:rFonts w:ascii="Times New Roman" w:cs="Times New Roman" w:eastAsia="Times New Roman" w:hAnsi="Times New Roman"/>
                <w:sz w:val="18"/>
                <w:szCs w:val="18"/>
                <w:color w:val="auto"/>
              </w:rPr>
              <w:t>with respect to which Dealer has not unwound its hedge (assuming Dealer has a commercially</w:t>
            </w:r>
          </w:p>
        </w:tc>
      </w:tr>
      <w:tr>
        <w:trPr>
          <w:trHeight w:val="216"/>
        </w:trPr>
        <w:tc>
          <w:tcPr>
            <w:tcW w:w="2660" w:type="dxa"/>
            <w:vAlign w:val="bottom"/>
          </w:tcPr>
          <w:p>
            <w:pPr>
              <w:spacing w:after="0"/>
              <w:rPr>
                <w:sz w:val="18"/>
                <w:szCs w:val="18"/>
                <w:color w:val="auto"/>
              </w:rPr>
            </w:pPr>
          </w:p>
        </w:tc>
        <w:tc>
          <w:tcPr>
            <w:tcW w:w="8340" w:type="dxa"/>
            <w:vAlign w:val="bottom"/>
            <w:gridSpan w:val="11"/>
          </w:tcPr>
          <w:p>
            <w:pPr>
              <w:ind w:left="900"/>
              <w:spacing w:after="0"/>
              <w:rPr>
                <w:sz w:val="20"/>
                <w:szCs w:val="20"/>
                <w:color w:val="auto"/>
              </w:rPr>
            </w:pPr>
            <w:r>
              <w:rPr>
                <w:rFonts w:ascii="Times New Roman" w:cs="Times New Roman" w:eastAsia="Times New Roman" w:hAnsi="Times New Roman"/>
                <w:sz w:val="18"/>
                <w:szCs w:val="18"/>
                <w:color w:val="auto"/>
              </w:rPr>
              <w:t>reasonable hedge position and unwinds its hedge position in a commercially reasonable manner),</w:t>
            </w:r>
          </w:p>
        </w:tc>
      </w:tr>
      <w:tr>
        <w:trPr>
          <w:trHeight w:val="234"/>
        </w:trPr>
        <w:tc>
          <w:tcPr>
            <w:tcW w:w="2660" w:type="dxa"/>
            <w:vAlign w:val="bottom"/>
          </w:tcPr>
          <w:p>
            <w:pPr>
              <w:spacing w:after="0"/>
              <w:rPr>
                <w:sz w:val="20"/>
                <w:szCs w:val="20"/>
                <w:color w:val="auto"/>
              </w:rPr>
            </w:pPr>
          </w:p>
        </w:tc>
        <w:tc>
          <w:tcPr>
            <w:tcW w:w="8340" w:type="dxa"/>
            <w:vAlign w:val="bottom"/>
            <w:gridSpan w:val="11"/>
          </w:tcPr>
          <w:p>
            <w:pPr>
              <w:ind w:left="900"/>
              <w:spacing w:after="0"/>
              <w:rPr>
                <w:sz w:val="20"/>
                <w:szCs w:val="20"/>
                <w:color w:val="auto"/>
              </w:rPr>
            </w:pPr>
            <w:r>
              <w:rPr>
                <w:rFonts w:ascii="Times New Roman" w:cs="Times New Roman" w:eastAsia="Times New Roman" w:hAnsi="Times New Roman"/>
                <w:sz w:val="18"/>
                <w:szCs w:val="18"/>
                <w:color w:val="auto"/>
              </w:rPr>
              <w:t>including the settlement of such unwinds, as of such Forward Price Reduction Date.</w:t>
            </w:r>
          </w:p>
        </w:tc>
      </w:tr>
      <w:tr>
        <w:trPr>
          <w:trHeight w:val="365"/>
        </w:trPr>
        <w:tc>
          <w:tcPr>
            <w:tcW w:w="2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00" w:type="dxa"/>
            <w:vAlign w:val="bottom"/>
            <w:gridSpan w:val="8"/>
          </w:tcPr>
          <w:p>
            <w:pPr>
              <w:ind w:left="400"/>
              <w:spacing w:after="0"/>
              <w:rPr>
                <w:sz w:val="20"/>
                <w:szCs w:val="20"/>
                <w:color w:val="auto"/>
              </w:rPr>
            </w:pPr>
            <w:r>
              <w:rPr>
                <w:rFonts w:ascii="Times New Roman" w:cs="Times New Roman" w:eastAsia="Times New Roman" w:hAnsi="Times New Roman"/>
                <w:sz w:val="18"/>
                <w:szCs w:val="18"/>
                <w:color w:val="auto"/>
              </w:rPr>
              <w:t>B-1-9</w:t>
            </w:r>
          </w:p>
        </w:tc>
      </w:tr>
    </w:tbl>
    <w:p>
      <w:pPr>
        <w:ind w:left="400"/>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7" w:name="page88"/>
    <w:bookmarkEnd w:id="87"/>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Net Share Settlement:</w:t>
            </w: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On any Settlement Date in respect of which Net Share Settlement applies, if the Cash Settlement Amount is</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 (i) positive number, Dealer shall deliver a number of Shares to Counterparty equal to the Net Share</w:t>
            </w:r>
          </w:p>
        </w:tc>
      </w:tr>
      <w:tr>
        <w:trPr>
          <w:trHeight w:val="214"/>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Settlement Shares, or (ii) negative number, Counterparty shall deliver a number of Shares to Dealer equal to</w:t>
            </w:r>
          </w:p>
        </w:tc>
      </w:tr>
      <w:tr>
        <w:trPr>
          <w:trHeight w:val="218"/>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 xml:space="preserve">the Net Share Settlement Shares;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 if Dealer determines in its reasonable judgment that it would</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be required to deliver Net Share Settlement Shares to Counterparty, Dealer may elect to deliver a portion of</w:t>
            </w:r>
          </w:p>
        </w:tc>
      </w:tr>
      <w:tr>
        <w:trPr>
          <w:trHeight w:val="234"/>
        </w:trPr>
        <w:tc>
          <w:tcPr>
            <w:tcW w:w="2640" w:type="dxa"/>
            <w:vAlign w:val="bottom"/>
          </w:tcPr>
          <w:p>
            <w:pPr>
              <w:spacing w:after="0"/>
              <w:rPr>
                <w:sz w:val="20"/>
                <w:szCs w:val="20"/>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such Net Share Settlement Shares on one or more dates prior to the applicable Settlement Date.</w:t>
            </w:r>
          </w:p>
        </w:tc>
      </w:tr>
      <w:tr>
        <w:trPr>
          <w:trHeight w:val="28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Net Share Settlement Shares:</w:t>
            </w: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With respect to a Settlement Date, the absolute value of the Cash Settlement Amount divided by the</w:t>
            </w:r>
          </w:p>
        </w:tc>
      </w:tr>
      <w:tr>
        <w:trPr>
          <w:trHeight w:val="20"/>
        </w:trPr>
        <w:tc>
          <w:tcPr>
            <w:tcW w:w="26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8"/>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Unwind Purchase Price, with the number of Shares rounded up in the event such calculation results in a</w:t>
            </w:r>
          </w:p>
        </w:tc>
      </w:tr>
      <w:tr>
        <w:trPr>
          <w:trHeight w:val="234"/>
        </w:trPr>
        <w:tc>
          <w:tcPr>
            <w:tcW w:w="2640" w:type="dxa"/>
            <w:vAlign w:val="bottom"/>
          </w:tcPr>
          <w:p>
            <w:pPr>
              <w:spacing w:after="0"/>
              <w:rPr>
                <w:sz w:val="20"/>
                <w:szCs w:val="20"/>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fractional number.</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Unwind Period:</w:t>
            </w: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 period from and including the first Exchange Business Day following the date Counterparty validly</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elects Cash Settlement or Net Share Settlement in respect of a Settlement Date through the second</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Scheduled Trading Day preceding such Settlement Date, subject to “Termination Settlement” as described</w:t>
            </w:r>
          </w:p>
        </w:tc>
      </w:tr>
      <w:tr>
        <w:trPr>
          <w:trHeight w:val="234"/>
        </w:trPr>
        <w:tc>
          <w:tcPr>
            <w:tcW w:w="2640" w:type="dxa"/>
            <w:vAlign w:val="bottom"/>
          </w:tcPr>
          <w:p>
            <w:pPr>
              <w:spacing w:after="0"/>
              <w:rPr>
                <w:sz w:val="20"/>
                <w:szCs w:val="20"/>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in Paragraph 7(g) below.</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Failure to Deliver:</w:t>
            </w: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Applicable if Dealer is required to deliver Shares hereunder; otherwise, Not Applicable.</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Share Cap:</w:t>
            </w: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Notwithstanding any other provision of this Confirmation, in no event will Counterparty be required to</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deliver to Dealer on any Settlement Date, whether pursuant to Physical Settlement, Net Share Settlement or</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any Private Placement Settlement, a number of Shares in excess of (i) two times the Initial Number of</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Shares, subject to adjustment from time to time in accordance with the provisions of this Confirmation or</w:t>
            </w:r>
          </w:p>
        </w:tc>
      </w:tr>
      <w:tr>
        <w:trPr>
          <w:trHeight w:val="216"/>
        </w:trPr>
        <w:tc>
          <w:tcPr>
            <w:tcW w:w="2640" w:type="dxa"/>
            <w:vAlign w:val="bottom"/>
          </w:tcPr>
          <w:p>
            <w:pPr>
              <w:spacing w:after="0"/>
              <w:rPr>
                <w:sz w:val="18"/>
                <w:szCs w:val="18"/>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 Equity Definitions, minus (ii) the aggregate number of Shares delivered by Counterparty to Dealer</w:t>
            </w:r>
          </w:p>
        </w:tc>
      </w:tr>
      <w:tr>
        <w:trPr>
          <w:trHeight w:val="234"/>
        </w:trPr>
        <w:tc>
          <w:tcPr>
            <w:tcW w:w="2640" w:type="dxa"/>
            <w:vAlign w:val="bottom"/>
          </w:tcPr>
          <w:p>
            <w:pPr>
              <w:spacing w:after="0"/>
              <w:rPr>
                <w:sz w:val="20"/>
                <w:szCs w:val="20"/>
                <w:color w:val="auto"/>
              </w:rPr>
            </w:pPr>
          </w:p>
        </w:tc>
        <w:tc>
          <w:tcPr>
            <w:tcW w:w="83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hereunder prior to such Settlement Date.</w:t>
            </w:r>
          </w:p>
        </w:tc>
      </w:tr>
      <w:tr>
        <w:trPr>
          <w:trHeight w:val="364"/>
        </w:trPr>
        <w:tc>
          <w:tcPr>
            <w:tcW w:w="2640" w:type="dxa"/>
            <w:vAlign w:val="bottom"/>
          </w:tcPr>
          <w:p>
            <w:pPr>
              <w:spacing w:after="0"/>
              <w:rPr>
                <w:sz w:val="24"/>
                <w:szCs w:val="24"/>
                <w:color w:val="auto"/>
              </w:rPr>
            </w:pPr>
          </w:p>
        </w:tc>
        <w:tc>
          <w:tcPr>
            <w:tcW w:w="836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B-1-10</w:t>
            </w:r>
          </w:p>
        </w:tc>
      </w:tr>
    </w:tbl>
    <w:p>
      <w:pPr>
        <w:ind w:left="2600"/>
        <w:spacing w:after="0"/>
        <w:rPr>
          <w:sz w:val="20"/>
          <w:szCs w:val="20"/>
          <w:color w:val="auto"/>
        </w:rPr>
        <w:sectPr>
          <w:pgSz w:w="11900" w:h="16838" w:orient="portrait"/>
          <w:cols w:equalWidth="0" w:num="1">
            <w:col w:w="11000"/>
          </w:cols>
          <w:pgMar w:left="440" w:top="378"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Adjustments: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Method of Adjustment: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Calculation Agent Adjustment. Section 11.2(e) of the Equity Definitions is hereby amended by deleting clauses (iii) and (v) thereof. For the avoidance of doubt, the declaration or payment of a cash dividend will not constitute a Potential Adjustment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-793115</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2480" w:space="720"/>
            <w:col w:w="7800"/>
          </w:cols>
          <w:pgMar w:left="440" w:top="378"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Additional Adjustment: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If, in Dealer’s commercially reasonable judgment, the actual cost to Dealer (or an affiliate of Dealer), over any 10 consecutive Scheduled Trading Day period, of borrowing a number of Shares equal to the Number of Shares to hedge in a commercially reasonable manner its exposure to this Transaction exceeds a weighted average rate equal to [ ● ] basis points per annum, the Calculation Agent shall reduce the Forward Price to compensate Dealer for the amount by which such cost exceeded a weighted average rate equal to [ ● ] basis points per annum during such period. The Calculation Agent shall notify Counterparty prior to making any such adjustment to the Forward Price.</w:t>
      </w:r>
    </w:p>
    <w:p>
      <w:pPr>
        <w:spacing w:after="0" w:line="81" w:lineRule="exact"/>
        <w:rPr>
          <w:sz w:val="20"/>
          <w:szCs w:val="20"/>
          <w:color w:val="auto"/>
        </w:rPr>
      </w:pPr>
    </w:p>
    <w:p>
      <w:pPr>
        <w:sectPr>
          <w:pgSz w:w="11900" w:h="16838" w:orient="portrait"/>
          <w:cols w:equalWidth="0" w:num="2">
            <w:col w:w="2480" w:space="720"/>
            <w:col w:w="780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Extraordinary Events:</w:t>
      </w:r>
    </w:p>
    <w:p>
      <w:pPr>
        <w:spacing w:after="0" w:line="20" w:lineRule="exact"/>
        <w:rPr>
          <w:sz w:val="20"/>
          <w:szCs w:val="20"/>
          <w:color w:val="auto"/>
        </w:rPr>
      </w:pPr>
      <w:r>
        <w:rPr>
          <w:sz w:val="20"/>
          <w:szCs w:val="20"/>
          <w:color w:val="auto"/>
        </w:rPr>
        <w:br w:type="column"/>
      </w:r>
    </w:p>
    <w:p>
      <w:pPr>
        <w:ind w:right="220"/>
        <w:spacing w:after="0" w:line="254" w:lineRule="auto"/>
        <w:rPr>
          <w:sz w:val="20"/>
          <w:szCs w:val="20"/>
          <w:color w:val="auto"/>
        </w:rPr>
      </w:pPr>
      <w:r>
        <w:rPr>
          <w:rFonts w:ascii="Times New Roman" w:cs="Times New Roman" w:eastAsia="Times New Roman" w:hAnsi="Times New Roman"/>
          <w:sz w:val="18"/>
          <w:szCs w:val="18"/>
          <w:color w:val="auto"/>
        </w:rPr>
        <w:t>In lieu of the applicable provisions contained in Article 12 of the Equity Definitions, the consequences of any Extraordinary Event (including, for the avoidance of doubt, any Merger Event, Tender Offer, Nationalization, Insolvency, Delisting, or Change In Law) shall be as specified below under the headings “Acceleration Events” and “Termination Settlement” in Paragraphs 7(f) and 7(g), respectively. Notwithstanding anything to the contrary herein or in the Equity Definitions, no Additional Disruption Event will be applicable except to the extent expressly referenced in Paragraph 7(f)(iv) below. The definition of “Tender Offer” in Section 12.1(d) of the Equity Definitions is hereby amended by replacing “10%” with “15%.”</w:t>
      </w:r>
    </w:p>
    <w:p>
      <w:pPr>
        <w:spacing w:after="0" w:line="124" w:lineRule="exact"/>
        <w:rPr>
          <w:sz w:val="20"/>
          <w:szCs w:val="20"/>
          <w:color w:val="auto"/>
        </w:rPr>
      </w:pPr>
    </w:p>
    <w:p>
      <w:pPr>
        <w:sectPr>
          <w:pgSz w:w="11900" w:h="16838" w:orient="portrait"/>
          <w:cols w:equalWidth="0" w:num="2">
            <w:col w:w="2480" w:space="720"/>
            <w:col w:w="7800"/>
          </w:cols>
          <w:pgMar w:left="440" w:top="378"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B-1-11</w:t>
      </w:r>
    </w:p>
    <w:p>
      <w:pPr>
        <w:sectPr>
          <w:pgSz w:w="11900" w:h="16838" w:orient="portrait"/>
          <w:cols w:equalWidth="0" w:num="1">
            <w:col w:w="11000"/>
          </w:cols>
          <w:pgMar w:left="440" w:top="378" w:right="45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7"/>
          <w:szCs w:val="17"/>
          <w:color w:val="auto"/>
        </w:rPr>
        <w:t>Dividends:</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No adjustment shall be made if, on any day occurring after the Trade Date, Counterparty declares a distribution, issue or dividend to existing holders of the Shares of (i) any cash dividend (other than an Extraordinary Dividend) to the extent all cash dividends having an ex-dividend date during the period from and including any Forward Price Reduction Date (with the Trade Date being a Forward Price Reduction Date for purposes of this clause (i) only) to but excluding the next subsequent Forward Price Reduction Date differs from, on a per Share basis, the Forward Price Reduction Amount set forth opposite the first date of any such period on Schedule I, (ii) share capital or securities of another issuer acquired or owned (directly or indirectly) by Counterparty as a result of a spin-off or other similar transaction or (iii) any other type of securities (other than Shares), rights or warrants or other assets, for payment (cash or other consideration) at less than the prevailing market price as determined by 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-1536065</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2480" w:space="720"/>
            <w:col w:w="7800"/>
          </w:cols>
          <w:pgMar w:left="440" w:top="378"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Non-Reliance: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9" w:lineRule="exact"/>
        <w:rPr>
          <w:sz w:val="20"/>
          <w:szCs w:val="20"/>
          <w:color w:val="auto"/>
        </w:rPr>
      </w:pPr>
    </w:p>
    <w:p>
      <w:pPr>
        <w:sectPr>
          <w:pgSz w:w="11900" w:h="16838" w:orient="portrait"/>
          <w:cols w:equalWidth="0" w:num="2">
            <w:col w:w="2480" w:space="720"/>
            <w:col w:w="780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Agreements and Acknowledgments:</w:t>
      </w:r>
    </w:p>
    <w:p>
      <w:pPr>
        <w:sectPr>
          <w:pgSz w:w="11900" w:h="16838" w:orient="portrait"/>
          <w:cols w:equalWidth="0" w:num="1">
            <w:col w:w="11000"/>
          </w:cols>
          <w:pgMar w:left="440" w:top="378" w:right="45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Regarding Hedging Activities: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9" w:lineRule="exact"/>
        <w:rPr>
          <w:sz w:val="20"/>
          <w:szCs w:val="20"/>
          <w:color w:val="auto"/>
        </w:rPr>
      </w:pPr>
    </w:p>
    <w:p>
      <w:pPr>
        <w:sectPr>
          <w:pgSz w:w="11900" w:h="16838" w:orient="portrait"/>
          <w:cols w:equalWidth="0" w:num="2">
            <w:col w:w="2480" w:space="720"/>
            <w:col w:w="780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9" w:lineRule="exact"/>
        <w:rPr>
          <w:sz w:val="20"/>
          <w:szCs w:val="20"/>
          <w:color w:val="auto"/>
        </w:rPr>
      </w:pPr>
    </w:p>
    <w:p>
      <w:pPr>
        <w:sectPr>
          <w:pgSz w:w="11900" w:h="16838" w:orient="portrait"/>
          <w:cols w:equalWidth="0" w:num="2">
            <w:col w:w="2480" w:space="720"/>
            <w:col w:w="780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Transfer:</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Times New Roman" w:cs="Times New Roman" w:eastAsia="Times New Roman" w:hAnsi="Times New Roman"/>
          <w:sz w:val="17"/>
          <w:szCs w:val="17"/>
          <w:color w:val="auto"/>
        </w:rPr>
        <w:t xml:space="preserve">Notwithstanding anything to the contrary herein or in the Agreement, Dealer may assign, transfer and set over all rights, title and interest, powers, obligations, privileges and remedies of Dealer under this Transaction, in whole or in part, to (A) an affiliate of Dealer[ Parent], whose obligations hereunder are fully and unconditionally guaranteed by Dealer[ or Dealer Parent], or (B) any other affiliate of Dealer[ Parent] with a long-term issuer rating equal to or better than the credit rating of Dealer[ or Dealer Parent] at the time of transfer without the consent of Counterparty;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at the time of such assignment or transfer, Counterparty would not, as a result of such assignment or transfer, designation or delegation, reasonably be expected at any time (A) to be required to pay (including a payment in kind) to Dealer or such transferee or assignee or designee an amount in respect of an Indemnifiable Tax greater than the amount Counterparty would have been required to pay to Dealer in the absence of such assignment, transfer, designation or delegation, or (B) to receive a payment (including a payment in kind) after such assignment or transfer that is less than the amount Counterparty would have received, as a result of an amount being deducted or withheld for or on account of a Tax under Section 2(d)(i) of the Agreement, than if the payment were made immediately prior to such assignment or transfer, (ii) prior to such assignment or transfer, Dealer shall have caused the assignee, transferee, or designee to make such Payee Tax Representations and to provide such tax documentation as may be reasonably requested by Counterparty to permit Counterparty to determine that the transfer complies with the requirements of clause (i) in this paragraph, and (iii) at all times, Dealer or any transferee or assignee or other recipient of rights, title and interest, powers, obligations, privileges and remedies shall be eligible to provide a U.S. Internal Revenue Service Form W-9 or W-8ECI, or any successor thereto, with respect to any payments or deliveries under the Agreement.</w:t>
      </w:r>
    </w:p>
    <w:p>
      <w:pPr>
        <w:spacing w:after="0" w:line="200" w:lineRule="exact"/>
        <w:rPr>
          <w:sz w:val="20"/>
          <w:szCs w:val="20"/>
          <w:color w:val="auto"/>
        </w:rPr>
      </w:pPr>
    </w:p>
    <w:p>
      <w:pPr>
        <w:sectPr>
          <w:pgSz w:w="11900" w:h="16838" w:orient="portrait"/>
          <w:cols w:equalWidth="0" w:num="2">
            <w:col w:w="2480" w:space="720"/>
            <w:col w:w="7800"/>
          </w:cols>
          <w:pgMar w:left="440" w:top="378" w:right="459" w:bottom="1440" w:gutter="0" w:footer="0" w:header="0"/>
          <w:type w:val="continuous"/>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B-1-12</w:t>
      </w:r>
    </w:p>
    <w:p>
      <w:pPr>
        <w:sectPr>
          <w:pgSz w:w="11900" w:h="16838" w:orient="portrait"/>
          <w:cols w:equalWidth="0" w:num="1">
            <w:col w:w="11000"/>
          </w:cols>
          <w:pgMar w:left="440" w:top="378" w:right="45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7"/>
          <w:szCs w:val="17"/>
          <w:color w:val="auto"/>
        </w:rPr>
        <w:t>3. Calculation Agent:</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 xml:space="preserve">Dealer whose judgments, determinations and calculations shall be made in good faith and in a commercially reasonable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occurrence and during the continuance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 of the Calculation Agent hereunder and such failure continues for five Exchange Business Days following notice to the Calculation Agent by Counterparty of such failure, Counterparty shall have the right to designate a nationally recognized third-party dealer in over-the-counter corporate equity derivatives to act, during the period commencing on the date such Event of Default occurred and ending on the Early Termination Date with respect to such Event of Default, as the Calculation Agent. Following any determination or calculation by the Calculation Agent hereunder, upon a written request by Counterparty, the Calculation Agent shall promptly (but in any event within five Scheduled Trading Days) provide to Counterparty by e-mail to the e-mail address provided by Counterparty in such request a report (in a commonly used file format for the storage and manipulation of financial data) displaying in reasonable detail the basis for such determination or calculation (including any assumptions used in making such determination or calculation), it being understood that the Calculation Agent shall not be obligated to disclose any proprietary or confidential models or other proprietary or confidential information used by it for such determination or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-2496820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2480" w:space="720"/>
            <w:col w:w="7800"/>
          </w:cols>
          <w:pgMar w:left="440" w:top="378" w:right="4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4. Account Details: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B-1-13</w:t>
      </w:r>
    </w:p>
    <w:p>
      <w:pPr>
        <w:sectPr>
          <w:pgSz w:w="11900" w:h="16838" w:orient="portrait"/>
          <w:cols w:equalWidth="0" w:num="1">
            <w:col w:w="11000"/>
          </w:cols>
          <w:pgMar w:left="440" w:top="378" w:right="45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7"/>
          <w:szCs w:val="17"/>
          <w:color w:val="auto"/>
        </w:rPr>
        <w:t>(a)    Account for delivery of Shares to Dealer: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-206375</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3480" w:space="720"/>
            <w:col w:w="6640"/>
          </w:cols>
          <w:pgMar w:left="440" w:top="270" w:right="61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(b)    Account for delivery of Shares to Counterparty: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furnished</w:t>
      </w:r>
    </w:p>
    <w:p>
      <w:pPr>
        <w:spacing w:after="0" w:line="129" w:lineRule="exact"/>
        <w:rPr>
          <w:sz w:val="20"/>
          <w:szCs w:val="20"/>
          <w:color w:val="auto"/>
        </w:rPr>
      </w:pPr>
    </w:p>
    <w:p>
      <w:pPr>
        <w:sectPr>
          <w:pgSz w:w="11900" w:h="16838" w:orient="portrait"/>
          <w:cols w:equalWidth="0" w:num="2">
            <w:col w:w="3780" w:space="420"/>
            <w:col w:w="6640"/>
          </w:cols>
          <w:pgMar w:left="440" w:top="270"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    Account for payments to Counterparty: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advised under separate cover or telephone confirmed prior to each Settlement Date</w:t>
      </w:r>
    </w:p>
    <w:p>
      <w:pPr>
        <w:spacing w:after="0" w:line="129" w:lineRule="exact"/>
        <w:rPr>
          <w:sz w:val="20"/>
          <w:szCs w:val="20"/>
          <w:color w:val="auto"/>
        </w:rPr>
      </w:pPr>
    </w:p>
    <w:p>
      <w:pPr>
        <w:sectPr>
          <w:pgSz w:w="11900" w:h="16838" w:orient="portrait"/>
          <w:cols w:equalWidth="0" w:num="2">
            <w:col w:w="3480" w:space="720"/>
            <w:col w:w="6640"/>
          </w:cols>
          <w:pgMar w:left="440" w:top="270"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    Account for payments to Dealer: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advised under separate cover or telephone confirmed prior to each Settlement Date</w:t>
      </w:r>
    </w:p>
    <w:p>
      <w:pPr>
        <w:spacing w:after="0" w:line="129" w:lineRule="exact"/>
        <w:rPr>
          <w:sz w:val="20"/>
          <w:szCs w:val="20"/>
          <w:color w:val="auto"/>
        </w:rPr>
      </w:pPr>
    </w:p>
    <w:p>
      <w:pPr>
        <w:sectPr>
          <w:pgSz w:w="11900" w:h="16838" w:orient="portrait"/>
          <w:cols w:equalWidth="0" w:num="2">
            <w:col w:w="3480" w:space="720"/>
            <w:col w:w="6640"/>
          </w:cols>
          <w:pgMar w:left="440" w:top="270" w:right="61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5. Offices:</w:t>
      </w:r>
    </w:p>
    <w:p>
      <w:pPr>
        <w:sectPr>
          <w:pgSz w:w="11900" w:h="16838" w:orient="portrait"/>
          <w:cols w:equalWidth="0" w:num="1">
            <w:col w:w="10840"/>
          </w:cols>
          <w:pgMar w:left="440" w:top="270" w:right="619" w:bottom="1440" w:gutter="0" w:footer="0" w:header="0"/>
          <w:type w:val="continuous"/>
        </w:sectPr>
      </w:pP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Office of Counterparty for the Transaction is: Inapplicable, Counterparty is not a Multibranch Party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Office of Dealer for the Transaction is: [Charlotte][New York][ ● ]</w:t>
      </w:r>
    </w:p>
    <w:p>
      <w:pPr>
        <w:spacing w:after="0" w:line="117" w:lineRule="exact"/>
        <w:rPr>
          <w:sz w:val="20"/>
          <w:szCs w:val="20"/>
          <w:color w:val="auto"/>
        </w:rPr>
      </w:pPr>
    </w:p>
    <w:p>
      <w:pPr>
        <w:ind w:left="620" w:hanging="184"/>
        <w:spacing w:after="0"/>
        <w:tabs>
          <w:tab w:leader="none" w:pos="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For purposes of this Confirmation:</w:t>
      </w:r>
    </w:p>
    <w:p>
      <w:pPr>
        <w:spacing w:after="0" w:line="117" w:lineRule="exact"/>
        <w:rPr>
          <w:rFonts w:ascii="Times New Roman" w:cs="Times New Roman" w:eastAsia="Times New Roman" w:hAnsi="Times New Roman"/>
          <w:sz w:val="18"/>
          <w:szCs w:val="18"/>
          <w:color w:val="auto"/>
        </w:rPr>
      </w:pPr>
    </w:p>
    <w:p>
      <w:pPr>
        <w:ind w:left="1420" w:right="5560" w:hanging="433"/>
        <w:spacing w:after="0" w:line="375" w:lineRule="auto"/>
        <w:tabs>
          <w:tab w:leader="none" w:pos="122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Counterparty: Federal Realty Investment Trust</w:t>
      </w:r>
    </w:p>
    <w:p>
      <w:pPr>
        <w:spacing w:after="0" w:line="1" w:lineRule="exact"/>
        <w:rPr>
          <w:rFonts w:ascii="Times New Roman" w:cs="Times New Roman" w:eastAsia="Times New Roman" w:hAnsi="Times New Roman"/>
          <w:sz w:val="18"/>
          <w:szCs w:val="18"/>
          <w:color w:val="auto"/>
        </w:rPr>
      </w:pPr>
    </w:p>
    <w:p>
      <w:pPr>
        <w:ind w:left="1420" w:right="8140"/>
        <w:spacing w:after="0" w:line="3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909 Rose Avenue Suite 200</w:t>
      </w:r>
    </w:p>
    <w:p>
      <w:pPr>
        <w:spacing w:after="0" w:line="1" w:lineRule="exact"/>
        <w:rPr>
          <w:rFonts w:ascii="Times New Roman" w:cs="Times New Roman" w:eastAsia="Times New Roman" w:hAnsi="Times New Roman"/>
          <w:sz w:val="18"/>
          <w:szCs w:val="18"/>
          <w:color w:val="auto"/>
        </w:rPr>
      </w:pPr>
    </w:p>
    <w:p>
      <w:pPr>
        <w:ind w:left="1420" w:right="700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Bethesda, Maryland 20852 Attention: [ ● ]</w:t>
      </w:r>
    </w:p>
    <w:p>
      <w:pPr>
        <w:spacing w:after="0" w:line="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Dealer:</w:t>
      </w:r>
    </w:p>
    <w:p>
      <w:pPr>
        <w:spacing w:after="0" w:line="117" w:lineRule="exact"/>
        <w:rPr>
          <w:sz w:val="20"/>
          <w:szCs w:val="20"/>
          <w:color w:val="auto"/>
        </w:rPr>
      </w:pPr>
    </w:p>
    <w:p>
      <w:pPr>
        <w:ind w:left="1920" w:hanging="109"/>
        <w:spacing w:after="0"/>
        <w:tabs>
          <w:tab w:leader="none" w:pos="192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1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Provisions:</w:t>
      </w:r>
    </w:p>
    <w:p>
      <w:pPr>
        <w:spacing w:after="0" w:line="117" w:lineRule="exact"/>
        <w:rPr>
          <w:rFonts w:ascii="Times New Roman" w:cs="Times New Roman" w:eastAsia="Times New Roman" w:hAnsi="Times New Roman"/>
          <w:sz w:val="18"/>
          <w:szCs w:val="18"/>
          <w:color w:val="auto"/>
        </w:rPr>
      </w:pPr>
    </w:p>
    <w:p>
      <w:pPr>
        <w:ind w:left="440" w:firstLine="419"/>
        <w:spacing w:after="0" w:line="256" w:lineRule="auto"/>
        <w:tabs>
          <w:tab w:leader="none" w:pos="110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This Transaction shall be effective if and only if Shares are sold by the Agent acting as forward seller for Dealer on or after the Trade Date and on or before the Hedge Completion Date pursuant to the Equity Distribution Agreement. If the Equity Distribution Agreement is terminated prior to any such sale of Shares thereunder, the parties shall have no further obligations in connection with this Transaction, other than in respect of breaches of representations or covenants on or prior to such date. For the avoidance of doubt, if the Equity Distribution Agreement is terminated prior to the Hedge Completion Date, this Transaction shall remain effective with respect to any Shares that had been sold by the Agent acting as forward seller for Dealer on or after the Trade Date and prior to such termination.</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B-1-14</w:t>
      </w:r>
    </w:p>
    <w:p>
      <w:pPr>
        <w:sectPr>
          <w:pgSz w:w="11900" w:h="16838" w:orient="portrait"/>
          <w:cols w:equalWidth="0" w:num="1">
            <w:col w:w="10840"/>
          </w:cols>
          <w:pgMar w:left="440" w:top="270" w:right="619" w:bottom="1440" w:gutter="0" w:footer="0" w:header="0"/>
          <w:type w:val="continuous"/>
        </w:sectPr>
      </w:pPr>
    </w:p>
    <w:bookmarkStart w:id="92" w:name="page93"/>
    <w:bookmarkEnd w:id="92"/>
    <w:p>
      <w:pPr>
        <w:jc w:val="both"/>
        <w:ind w:right="20" w:firstLine="419"/>
        <w:spacing w:after="0" w:line="261" w:lineRule="auto"/>
        <w:tabs>
          <w:tab w:leader="none" w:pos="6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Equity Distribution Agreement Representations, Warranties and Covenants</w:t>
      </w:r>
      <w:r>
        <w:rPr>
          <w:rFonts w:ascii="Times New Roman" w:cs="Times New Roman" w:eastAsia="Times New Roman" w:hAnsi="Times New Roman"/>
          <w:sz w:val="18"/>
          <w:szCs w:val="18"/>
          <w:color w:val="auto"/>
        </w:rPr>
        <w:t>. On the Trade Date and on each date on which Dealer or its affiliates makes a sale pursuant to a prospectus in connection with a hedge of this Transaction, Counterparty repeats and reaffirms as of such date all of the representations and warranties contained in the Equity Distribution Agreement. Counterparty hereby agrees to comply with its covenants contained in the Equity Distribution Agreement as if such covenants were made in favor of Dealer.</w:t>
      </w:r>
    </w:p>
    <w:p>
      <w:pPr>
        <w:spacing w:after="0" w:line="71" w:lineRule="exact"/>
        <w:rPr>
          <w:rFonts w:ascii="Times New Roman" w:cs="Times New Roman" w:eastAsia="Times New Roman" w:hAnsi="Times New Roman"/>
          <w:sz w:val="18"/>
          <w:szCs w:val="18"/>
          <w:color w:val="auto"/>
        </w:rPr>
      </w:pPr>
    </w:p>
    <w:p>
      <w:pPr>
        <w:ind w:right="20" w:firstLine="419"/>
        <w:spacing w:after="0" w:line="254" w:lineRule="auto"/>
        <w:tabs>
          <w:tab w:leader="none" w:pos="66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Interpretive Letter</w:t>
      </w:r>
      <w:r>
        <w:rPr>
          <w:rFonts w:ascii="Times New Roman" w:cs="Times New Roman" w:eastAsia="Times New Roman" w:hAnsi="Times New Roman"/>
          <w:sz w:val="18"/>
          <w:szCs w:val="18"/>
          <w:color w:val="auto"/>
        </w:rPr>
        <w:t>. Counterparty agrees and acknowledges that this Transaction is being entered into in accordance with the October 9, 2003 interpretive letter from the staff of the Securities and Exchange Commission to Goldman, Sachs &amp; Co. (the “</w:t>
      </w:r>
      <w:r>
        <w:rPr>
          <w:rFonts w:ascii="Times New Roman" w:cs="Times New Roman" w:eastAsia="Times New Roman" w:hAnsi="Times New Roman"/>
          <w:sz w:val="18"/>
          <w:szCs w:val="18"/>
          <w:b w:val="1"/>
          <w:bCs w:val="1"/>
          <w:i w:val="1"/>
          <w:iCs w:val="1"/>
          <w:color w:val="auto"/>
        </w:rPr>
        <w:t>Interpretive Letter</w:t>
      </w:r>
      <w:r>
        <w:rPr>
          <w:rFonts w:ascii="Times New Roman" w:cs="Times New Roman" w:eastAsia="Times New Roman" w:hAnsi="Times New Roman"/>
          <w:sz w:val="18"/>
          <w:szCs w:val="18"/>
          <w:color w:val="auto"/>
        </w:rPr>
        <w:t>”) and agrees to take all actions, and to omit to take any actions, reasonably requested by Dealer for this Transaction to comply with the Interpretive Letter. Without limiting the foregoing, Counterparty agrees that neither it nor any “affiliated purchaser” (as defined in Regulation M (“</w:t>
      </w:r>
      <w:r>
        <w:rPr>
          <w:rFonts w:ascii="Times New Roman" w:cs="Times New Roman" w:eastAsia="Times New Roman" w:hAnsi="Times New Roman"/>
          <w:sz w:val="18"/>
          <w:szCs w:val="18"/>
          <w:b w:val="1"/>
          <w:bCs w:val="1"/>
          <w:i w:val="1"/>
          <w:iCs w:val="1"/>
          <w:color w:val="auto"/>
        </w:rPr>
        <w:t>Regulation M</w:t>
      </w:r>
      <w:r>
        <w:rPr>
          <w:rFonts w:ascii="Times New Roman" w:cs="Times New Roman" w:eastAsia="Times New Roman" w:hAnsi="Times New Roman"/>
          <w:sz w:val="18"/>
          <w:szCs w:val="18"/>
          <w:color w:val="auto"/>
        </w:rPr>
        <w:t>”) promulgated under the Exchange Act) will, directly or indirectly, bid for, purchase or attempt to induce any person to bid for or purchase, the Shares or securities that are convertible into, or exchangeable or exercisable for, Shares during any “restricted period” as such term is defined in Regulation M. In addition, Counterparty represents that it is eligible to conduct a primary offering of Shares on Form S-3, the offering contemplated by the Equity Distribution Agreement complies with Rule 415 under the Securities Act, and the Shares are “actively traded” as defined in Rule 101(c)(1) of Regulation M.</w:t>
      </w:r>
    </w:p>
    <w:p>
      <w:pPr>
        <w:spacing w:after="0" w:line="8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Acknowledgments Regarding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61" w:lineRule="auto"/>
        <w:tabs>
          <w:tab w:leader="none" w:pos="115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agrees and acknowledges that, in respect of any Shares delivered to Dealer hereunder, such Shares shall be newly issued (unless mutually agreed otherwise by the parties) and, upon such delivery, duly and validly authorized, issued and outstanding, fully paid and nonassessable, free of any lien, charge, claim or other encumbrance and not subject to any preemptive or similar rights and shall, upon such issuance, be accepted for listing or quotation on the Exchange.</w:t>
      </w:r>
    </w:p>
    <w:p>
      <w:pPr>
        <w:spacing w:after="0" w:line="71" w:lineRule="exact"/>
        <w:rPr>
          <w:rFonts w:ascii="Times New Roman" w:cs="Times New Roman" w:eastAsia="Times New Roman" w:hAnsi="Times New Roman"/>
          <w:sz w:val="18"/>
          <w:szCs w:val="18"/>
          <w:color w:val="auto"/>
        </w:rPr>
      </w:pPr>
    </w:p>
    <w:p>
      <w:pPr>
        <w:ind w:left="540" w:firstLine="408"/>
        <w:spacing w:after="0" w:line="258" w:lineRule="auto"/>
        <w:tabs>
          <w:tab w:leader="none" w:pos="120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agrees and acknowledges that Dealer (or an affiliate of Dealer) will hedge its exposure to this Transaction by selling Shares borrowed from third party securities lenders or other Shares pursuant to a registration statement, and that, pursuant to the terms of the Interpretive Letter, the Shares up to the Initial Number of Shares delivered, pledged or loaned by Counterparty to Dealer (or an affiliate of Dealer) in connection with this Transaction may be used by Dealer (or an affiliate of Dealer) to return to securities lenders without further registration or other restrictions under the Securities Act, in the hands of those securities lenders,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B-1-15</w:t>
      </w:r>
    </w:p>
    <w:p>
      <w:pPr>
        <w:sectPr>
          <w:pgSz w:w="11900" w:h="16838" w:orient="portrait"/>
          <w:cols w:equalWidth="0" w:num="1">
            <w:col w:w="10560"/>
          </w:cols>
          <w:pgMar w:left="880" w:top="270" w:right="459" w:bottom="1440" w:gutter="0" w:footer="0" w:header="0"/>
        </w:sectPr>
      </w:pPr>
    </w:p>
    <w:bookmarkStart w:id="93" w:name="page94"/>
    <w:bookmarkEnd w:id="93"/>
    <w:p>
      <w:pPr>
        <w:ind w:left="121"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irrespective of whether such securities loan is effected by Dealer or an affiliate of Dealer. Accordingly, subject to Paragraph 7(h) below, Counterparty agrees that the Shares that it delivers, pledges or loans to Dealer (or an affiliate of Dealer) on or prior to the final Settlement Date will not bear a restrictive legend and that such Shares will be deposited in, and the delivery thereof shall be effected through the facilities of, the Clearance System.</w:t>
      </w:r>
    </w:p>
    <w:p>
      <w:pPr>
        <w:spacing w:after="0" w:line="72" w:lineRule="exact"/>
        <w:rPr>
          <w:sz w:val="20"/>
          <w:szCs w:val="20"/>
          <w:color w:val="auto"/>
        </w:rPr>
      </w:pPr>
    </w:p>
    <w:p>
      <w:pPr>
        <w:jc w:val="both"/>
        <w:ind w:left="121" w:right="180" w:firstLine="408"/>
        <w:spacing w:after="0" w:line="266" w:lineRule="auto"/>
        <w:tabs>
          <w:tab w:leader="none" w:pos="83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agrees and acknowledges that it has reserved and will keep available at all times, free from preemptive or similar rights and free from any lien, charge, claim or other encumbrance, authorized but unissued Shares at least equal to the Share Cap, solely for the purpose of settlement under this Transaction.</w:t>
      </w:r>
    </w:p>
    <w:p>
      <w:pPr>
        <w:spacing w:after="0" w:line="67" w:lineRule="exact"/>
        <w:rPr>
          <w:rFonts w:ascii="Times New Roman" w:cs="Times New Roman" w:eastAsia="Times New Roman" w:hAnsi="Times New Roman"/>
          <w:sz w:val="18"/>
          <w:szCs w:val="18"/>
          <w:color w:val="auto"/>
        </w:rPr>
      </w:pPr>
    </w:p>
    <w:p>
      <w:pPr>
        <w:ind w:left="121" w:right="280" w:firstLine="408"/>
        <w:spacing w:after="0" w:line="261" w:lineRule="auto"/>
        <w:tabs>
          <w:tab w:leader="none" w:pos="82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provisions set forth below under “Private Placement Procedures” are applicable, Dealer agrees to use any Shares delivered by Counterparty hereunder on any Settlement Date to return to securities lenders to close out open securities loans created by Dealer or an affiliate of Dealer in the course of Dealer’s or such affiliate’s hedging activities related to Dealer’s exposure under this Transaction.</w:t>
      </w:r>
    </w:p>
    <w:p>
      <w:pPr>
        <w:spacing w:after="0" w:line="71" w:lineRule="exact"/>
        <w:rPr>
          <w:rFonts w:ascii="Times New Roman" w:cs="Times New Roman" w:eastAsia="Times New Roman" w:hAnsi="Times New Roman"/>
          <w:sz w:val="18"/>
          <w:szCs w:val="18"/>
          <w:color w:val="auto"/>
        </w:rPr>
      </w:pPr>
    </w:p>
    <w:p>
      <w:pPr>
        <w:ind w:left="121" w:right="160" w:firstLine="408"/>
        <w:spacing w:after="0" w:line="258" w:lineRule="auto"/>
        <w:tabs>
          <w:tab w:leader="none" w:pos="77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bids and purchases of Shares in connection with any Cash Settlement or Net Share Settlement of this Transaction, Dealer shall use its good faith efforts to conduct its activities, or cause its affiliates to conduct their activities, in a manner consistent with the requirements of the safe harbor provided by Rule 10b-18, as if such provisions were applicable to such purchases and any analogous purchases under any Additional Transaction, taking into account any applicable Securities and Exchange Commission no action letters, as appropriate.</w:t>
      </w:r>
    </w:p>
    <w:p>
      <w:pPr>
        <w:spacing w:after="0" w:line="75" w:lineRule="exact"/>
        <w:rPr>
          <w:rFonts w:ascii="Times New Roman" w:cs="Times New Roman" w:eastAsia="Times New Roman" w:hAnsi="Times New Roman"/>
          <w:sz w:val="18"/>
          <w:szCs w:val="18"/>
          <w:color w:val="auto"/>
        </w:rPr>
      </w:pPr>
    </w:p>
    <w:p>
      <w:pPr>
        <w:ind w:left="241" w:hanging="241"/>
        <w:spacing w:after="0"/>
        <w:tabs>
          <w:tab w:leader="none" w:pos="24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Representations and Agreements of Counterparty</w:t>
      </w:r>
      <w:r>
        <w:rPr>
          <w:rFonts w:ascii="Times New Roman" w:cs="Times New Roman" w:eastAsia="Times New Roman" w:hAnsi="Times New Roman"/>
          <w:sz w:val="18"/>
          <w:szCs w:val="18"/>
          <w:color w:val="auto"/>
        </w:rPr>
        <w:t>. Counterparty represents, warrants and agrees as follows:</w:t>
      </w:r>
    </w:p>
    <w:p>
      <w:pPr>
        <w:spacing w:after="0" w:line="117" w:lineRule="exact"/>
        <w:rPr>
          <w:rFonts w:ascii="Times New Roman" w:cs="Times New Roman" w:eastAsia="Times New Roman" w:hAnsi="Times New Roman"/>
          <w:sz w:val="18"/>
          <w:szCs w:val="18"/>
          <w:color w:val="auto"/>
        </w:rPr>
      </w:pPr>
    </w:p>
    <w:p>
      <w:pPr>
        <w:ind w:left="121" w:firstLine="408"/>
        <w:spacing w:after="0" w:line="253" w:lineRule="auto"/>
        <w:tabs>
          <w:tab w:leader="none" w:pos="73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to Dealer on the Trade Date and on any date that Counterparty notifies Dealer that Cash Settlement or Net Share Settlement applies to this Transaction, that (A) Counterparty is not aware of any material nonpublic information regarding Counterparty or the Shares, (B) each of its filings under the Securities Act, the Exchange Act or other applicable securities laws that are required to be filed have been filed and that, as of the date of this representation, when considered as a whole (with the more recent such filings deemed to amend inconsistent statements contained in any earlier such filings), there is no misstatement of material fact contained therein or omission of a material fact required to be stated therein or necessary to make the statements made therein, in the light of the circumstances under which they were made, not misleading, and (C) Counterparty is not entering into this Confirmation nor making any election hereunder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 In addition to any other</w:t>
      </w:r>
    </w:p>
    <w:p>
      <w:pPr>
        <w:spacing w:after="0" w:line="127" w:lineRule="exact"/>
        <w:rPr>
          <w:sz w:val="20"/>
          <w:szCs w:val="20"/>
          <w:color w:val="auto"/>
        </w:rPr>
      </w:pPr>
    </w:p>
    <w:p>
      <w:pPr>
        <w:ind w:left="4381"/>
        <w:spacing w:after="0"/>
        <w:rPr>
          <w:sz w:val="20"/>
          <w:szCs w:val="20"/>
          <w:color w:val="auto"/>
        </w:rPr>
      </w:pPr>
      <w:r>
        <w:rPr>
          <w:rFonts w:ascii="Times New Roman" w:cs="Times New Roman" w:eastAsia="Times New Roman" w:hAnsi="Times New Roman"/>
          <w:sz w:val="18"/>
          <w:szCs w:val="18"/>
          <w:color w:val="auto"/>
        </w:rPr>
        <w:t>B-1-16</w:t>
      </w:r>
    </w:p>
    <w:p>
      <w:pPr>
        <w:sectPr>
          <w:pgSz w:w="11900" w:h="16838" w:orient="portrait"/>
          <w:cols w:equalWidth="0" w:num="1">
            <w:col w:w="10141"/>
          </w:cols>
          <w:pgMar w:left="1299" w:top="270" w:right="459" w:bottom="1440" w:gutter="0" w:footer="0" w:header="0"/>
        </w:sectPr>
      </w:pPr>
    </w:p>
    <w:bookmarkStart w:id="94" w:name="page95"/>
    <w:bookmarkEnd w:id="94"/>
    <w:p>
      <w:pPr>
        <w:ind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requirement set forth herein, Counterparty agrees not to designate, or to appropriately rescind or modify a prior designation of, any Settlement Date if it is notified by Dealer that, in the reasonable determination of Dealer, based on advice of counsel, such settlement or Dealer’s related market activity in respect of such date would result in a violation of any applicable federal or state law or regulation, including the U.S. federal securities laws.</w:t>
      </w:r>
    </w:p>
    <w:p>
      <w:pPr>
        <w:spacing w:after="0" w:line="72" w:lineRule="exact"/>
        <w:rPr>
          <w:sz w:val="20"/>
          <w:szCs w:val="20"/>
          <w:color w:val="auto"/>
        </w:rPr>
      </w:pPr>
    </w:p>
    <w:p>
      <w:pPr>
        <w:ind w:right="40" w:firstLine="408"/>
        <w:spacing w:after="0" w:line="255" w:lineRule="auto"/>
        <w:tabs>
          <w:tab w:leader="none" w:pos="66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Dealer and Counterparty that following any election of Cash Settlement or Net Share Settlement by Counterparty, the purchase of Shares by Dealer during any Unwind Period shall comply with the requirements of Rule 10b5-l(c)(l)(i)(B) under the Exchange Act and that this Confirmation shall be interpreted to comply with the requirements of Rule 10b5-l(c) under the Exchange Act. Counterparty acknowledges that (i) during any Unwind Period Counterparty shall not have, and shall not attempt to exercise, any influence over how, when or whether to effect purchases of Shares by Dealer (or its agent or affiliate) in connection with this Confirmation and (ii) Counterparty is entering into the Agreement and this Confirmation in good faith and not as part of a plan or scheme to evade compliance with federal securities laws including, without limitation, Rule 10b-5 under the Exchange Act.</w:t>
      </w:r>
    </w:p>
    <w:p>
      <w:pPr>
        <w:spacing w:after="0" w:line="80" w:lineRule="exact"/>
        <w:rPr>
          <w:rFonts w:ascii="Times New Roman" w:cs="Times New Roman" w:eastAsia="Times New Roman" w:hAnsi="Times New Roman"/>
          <w:sz w:val="18"/>
          <w:szCs w:val="18"/>
          <w:color w:val="auto"/>
        </w:rPr>
      </w:pPr>
    </w:p>
    <w:p>
      <w:pPr>
        <w:ind w:right="240" w:firstLine="408"/>
        <w:spacing w:after="0" w:line="258" w:lineRule="auto"/>
        <w:tabs>
          <w:tab w:leader="none" w:pos="71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at least one day prior to the first day of any Unwind Period, notify Dealer of the total number of Shares purchased in Rule 10b-18 purchases of blocks pursuant to the once-a-week block exception contained in Rule 10b-18(b)(4) by or for Counterparty or any of its affiliated purchasers during each of the four calendar weeks preceding the first day of the Unwind Period and during the calendar week in which the first day of the Unwind Period occurs (“</w:t>
      </w:r>
      <w:r>
        <w:rPr>
          <w:rFonts w:ascii="Times New Roman" w:cs="Times New Roman" w:eastAsia="Times New Roman" w:hAnsi="Times New Roman"/>
          <w:sz w:val="18"/>
          <w:szCs w:val="18"/>
          <w:b w:val="1"/>
          <w:bCs w:val="1"/>
          <w:i w:val="1"/>
          <w:iCs w:val="1"/>
          <w:color w:val="auto"/>
        </w:rPr>
        <w:t>Rule 10b-18 purchase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blocks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affiliated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each being used as defined in Rule 10b-18).</w:t>
      </w:r>
    </w:p>
    <w:p>
      <w:pPr>
        <w:spacing w:after="0" w:line="75" w:lineRule="exact"/>
        <w:rPr>
          <w:rFonts w:ascii="Times New Roman" w:cs="Times New Roman" w:eastAsia="Times New Roman" w:hAnsi="Times New Roman"/>
          <w:sz w:val="18"/>
          <w:szCs w:val="18"/>
          <w:color w:val="auto"/>
        </w:rPr>
      </w:pPr>
    </w:p>
    <w:p>
      <w:pPr>
        <w:ind w:right="460" w:firstLine="408"/>
        <w:spacing w:after="0" w:line="261" w:lineRule="auto"/>
        <w:tabs>
          <w:tab w:leader="none" w:pos="70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Unwind Period, Counterparty shall (i) notify Dealer prior to the opening of trading in the Shares on any day on which Counterparty makes, or reasonably expects in advance of the opening to be made, any public announcement (as defined in</w:t>
      </w: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165(f) under the Securities Act) of any merger, acquisition, or similar transaction involving a recapitalization relating to Counterparty (other than any such transaction in which the consideration consists solely of cash and there is no valuation period), (ii) promptly notify Dealer following any such announcement that such announcement has been made, and (iii) promptly deliver to Dealer following the making of any such announcement information indicating (A) Counterparty’s average daily Rule 10b-18 purchases (as defined in</w:t>
      </w:r>
    </w:p>
    <w:p>
      <w:pPr>
        <w:spacing w:after="0" w:line="1" w:lineRule="exact"/>
        <w:rPr>
          <w:rFonts w:ascii="Times New Roman" w:cs="Times New Roman" w:eastAsia="Times New Roman" w:hAnsi="Times New Roman"/>
          <w:sz w:val="18"/>
          <w:szCs w:val="18"/>
          <w:color w:val="auto"/>
        </w:rPr>
      </w:pPr>
    </w:p>
    <w:p>
      <w:pPr>
        <w:ind w:right="2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10b-18) during the three full calendar months preceding the date of the announcement of such transaction and (B) Counterparty’s block purchases (as defined in Rule 10b-18) effected pursuant to Rule 10b-18(b)(4) during the three full calendar months preceding the date of the announcement of such transaction. In addition, Counterparty shall promptly notify Dealer of the earlier to occur of the completion of such transaction and the completion of the vote by target shareholders.</w:t>
      </w:r>
    </w:p>
    <w:p>
      <w:pPr>
        <w:spacing w:after="0" w:line="12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B-1-17</w:t>
      </w:r>
    </w:p>
    <w:p>
      <w:pPr>
        <w:sectPr>
          <w:pgSz w:w="11900" w:h="16838" w:orient="portrait"/>
          <w:cols w:equalWidth="0" w:num="1">
            <w:col w:w="10020"/>
          </w:cols>
          <w:pgMar w:left="1420" w:top="270" w:right="459" w:bottom="1440" w:gutter="0" w:footer="0" w:header="0"/>
        </w:sectPr>
      </w:pPr>
    </w:p>
    <w:bookmarkStart w:id="95" w:name="page96"/>
    <w:bookmarkEnd w:id="95"/>
    <w:p>
      <w:pPr>
        <w:ind w:left="-20" w:right="60" w:firstLine="408"/>
        <w:spacing w:after="0" w:line="256" w:lineRule="auto"/>
        <w:tabs>
          <w:tab w:leader="none" w:pos="6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Counterparty nor any of its affiliated purchasers (within the meaning of Rule 10b-18) shall take or refrain from taking any action (including, without limitation, any direct purchases by Counterparty or any of its affiliates, or any purchases by a party to a derivative transaction with Counterparty or any of its affiliates), either under this Confirmation, under an agreement with another party or otherwise, that Counterparty reasonably believes to cause any purchases of Shares by Dealer or any of its affiliates in connection with any Cash Settlement or Net Share Settlement of this Transaction not to meet the requirements of the safe harbor provided by Rule 10b-18 determined as if all such foregoing purchases were made by Counterparty.</w:t>
      </w:r>
    </w:p>
    <w:p>
      <w:pPr>
        <w:spacing w:after="0" w:line="79" w:lineRule="exact"/>
        <w:rPr>
          <w:rFonts w:ascii="Times New Roman" w:cs="Times New Roman" w:eastAsia="Times New Roman" w:hAnsi="Times New Roman"/>
          <w:sz w:val="18"/>
          <w:szCs w:val="18"/>
          <w:color w:val="auto"/>
        </w:rPr>
      </w:pPr>
    </w:p>
    <w:p>
      <w:pPr>
        <w:ind w:left="-20" w:right="100" w:firstLine="408"/>
        <w:spacing w:after="0" w:line="266" w:lineRule="auto"/>
        <w:tabs>
          <w:tab w:leader="none" w:pos="68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will not engage in any “distribution” (as defined in Regulation M), other than a distribution meeting, in each case, the requirements of an exception set forth in each of Rules 101(b) and 102(b) of Regulation M that would cause a “restricted period” (as defined in Regulation M) to occur during any Unwind Period.</w:t>
      </w:r>
    </w:p>
    <w:p>
      <w:pPr>
        <w:spacing w:after="0" w:line="67" w:lineRule="exact"/>
        <w:rPr>
          <w:rFonts w:ascii="Times New Roman" w:cs="Times New Roman" w:eastAsia="Times New Roman" w:hAnsi="Times New Roman"/>
          <w:sz w:val="18"/>
          <w:szCs w:val="18"/>
          <w:color w:val="auto"/>
        </w:rPr>
      </w:pPr>
    </w:p>
    <w:p>
      <w:pPr>
        <w:ind w:left="-20" w:right="580" w:firstLine="408"/>
        <w:spacing w:after="0" w:line="282" w:lineRule="auto"/>
        <w:tabs>
          <w:tab w:leader="none" w:pos="7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53" w:lineRule="exact"/>
        <w:rPr>
          <w:rFonts w:ascii="Times New Roman" w:cs="Times New Roman" w:eastAsia="Times New Roman" w:hAnsi="Times New Roman"/>
          <w:sz w:val="18"/>
          <w:szCs w:val="18"/>
          <w:color w:val="auto"/>
        </w:rPr>
      </w:pPr>
    </w:p>
    <w:p>
      <w:pPr>
        <w:ind w:left="-20" w:right="140" w:firstLine="408"/>
        <w:spacing w:after="0" w:line="282" w:lineRule="auto"/>
        <w:tabs>
          <w:tab w:leader="none" w:pos="78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insolvent, nor will Counterparty be rendered insolvent as a result of this Transaction or its performance of the terms hereof.</w:t>
      </w:r>
    </w:p>
    <w:p>
      <w:pPr>
        <w:spacing w:after="0" w:line="53" w:lineRule="exact"/>
        <w:rPr>
          <w:rFonts w:ascii="Times New Roman" w:cs="Times New Roman" w:eastAsia="Times New Roman" w:hAnsi="Times New Roman"/>
          <w:sz w:val="18"/>
          <w:szCs w:val="18"/>
          <w:color w:val="auto"/>
        </w:rPr>
      </w:pPr>
    </w:p>
    <w:p>
      <w:pPr>
        <w:ind w:left="-20" w:right="40" w:firstLine="408"/>
        <w:spacing w:after="0" w:line="258" w:lineRule="auto"/>
        <w:tabs>
          <w:tab w:leader="none" w:pos="68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13.1 of the Equity Definitions, Counterparty acknowledges that Dealer is not making any representations or warranties or taking any position or expressing any view with respect to the treatment of this Transaction under any accounting standards including ASC Topic 260, Earnings Per Share, ASC Topic 815, Derivatives and Hedging, or ASC Topic 480, Distinguishing Liabilities from Equity and ASC 815-40, Derivatives and Hedging – Contracts in Entity’s Own Equity (or any successor issue statements) or under FASB’s Liabilities &amp; Equity Project.</w:t>
      </w:r>
    </w:p>
    <w:p>
      <w:pPr>
        <w:spacing w:after="0" w:line="75" w:lineRule="exact"/>
        <w:rPr>
          <w:rFonts w:ascii="Times New Roman" w:cs="Times New Roman" w:eastAsia="Times New Roman" w:hAnsi="Times New Roman"/>
          <w:sz w:val="18"/>
          <w:szCs w:val="18"/>
          <w:color w:val="auto"/>
        </w:rPr>
      </w:pPr>
    </w:p>
    <w:p>
      <w:pPr>
        <w:ind w:left="-20" w:right="60" w:firstLine="408"/>
        <w:spacing w:after="0" w:line="282" w:lineRule="auto"/>
        <w:tabs>
          <w:tab w:leader="none" w:pos="6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understands that no obligations of Dealer to it hereunder will be entitled to the benefit of deposit insurance and that such obligations will not be guaranteed by any affiliate of Dealer or any governmental agency.</w:t>
      </w:r>
    </w:p>
    <w:p>
      <w:pPr>
        <w:spacing w:after="0" w:line="53" w:lineRule="exact"/>
        <w:rPr>
          <w:rFonts w:ascii="Times New Roman" w:cs="Times New Roman" w:eastAsia="Times New Roman" w:hAnsi="Times New Roman"/>
          <w:sz w:val="18"/>
          <w:szCs w:val="18"/>
          <w:color w:val="auto"/>
        </w:rPr>
      </w:pPr>
    </w:p>
    <w:p>
      <w:pPr>
        <w:ind w:left="-20" w:firstLine="408"/>
        <w:spacing w:after="0" w:line="255" w:lineRule="auto"/>
        <w:tabs>
          <w:tab w:leader="none" w:pos="68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Counterparty’s actual knowledge, no federal,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other than Sections 13 and 16 of the Exchange Act or Article VII of Counterparty’s Declaration of Trust, as amended and supplemented from time the time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makes no representation or warranty regarding any such requirement that is applicable generally to the ownership of equity securities by Dealer or its affiliates solely as a result of their being a financial institution or broker-dealer.</w:t>
      </w:r>
    </w:p>
    <w:p>
      <w:pPr>
        <w:spacing w:after="0" w:line="12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B-1-18</w:t>
      </w:r>
    </w:p>
    <w:p>
      <w:pPr>
        <w:sectPr>
          <w:pgSz w:w="11900" w:h="16838" w:orient="portrait"/>
          <w:cols w:equalWidth="0" w:num="1">
            <w:col w:w="9980"/>
          </w:cols>
          <w:pgMar w:left="1440" w:top="270" w:right="479" w:bottom="1440" w:gutter="0" w:footer="0" w:header="0"/>
        </w:sectPr>
      </w:pPr>
    </w:p>
    <w:bookmarkStart w:id="96" w:name="page97"/>
    <w:bookmarkEnd w:id="96"/>
    <w:p>
      <w:pPr>
        <w:jc w:val="both"/>
        <w:ind w:left="121" w:right="220" w:firstLine="408"/>
        <w:spacing w:after="0" w:line="258" w:lineRule="auto"/>
        <w:tabs>
          <w:tab w:leader="none" w:pos="87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filing with, or approval, authorization, consent, license, registration, qualification, order or decree of, any court or governmental authority or agency, domestic or foreign, is necessary or required for the execution, delivery and performance by Counterparty of this Confirmation and the consummation of this Transaction (including, without limitation, the issuance and delivery of Shares on any Settlement Date) except (i) such as have been obtained or made under the Securities Act and (ii) as may be required to be obtained or made under state securities laws.</w:t>
      </w:r>
    </w:p>
    <w:p>
      <w:pPr>
        <w:spacing w:after="0" w:line="75" w:lineRule="exact"/>
        <w:rPr>
          <w:rFonts w:ascii="Times New Roman" w:cs="Times New Roman" w:eastAsia="Times New Roman" w:hAnsi="Times New Roman"/>
          <w:sz w:val="18"/>
          <w:szCs w:val="18"/>
          <w:color w:val="auto"/>
        </w:rPr>
      </w:pPr>
    </w:p>
    <w:p>
      <w:pPr>
        <w:jc w:val="both"/>
        <w:ind w:left="121" w:right="160" w:firstLine="408"/>
        <w:spacing w:after="0" w:line="266" w:lineRule="auto"/>
        <w:tabs>
          <w:tab w:leader="none" w:pos="92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 has such knowledge and experience in financial and business affairs as to be capable of evaluating the merits and risks of entering into this Transaction; (ii) has consulted with its own legal, financial, accounting and tax advisors in connection with this Transaction; and (iii) is entering into this Transaction for a bona fide business purpose.</w:t>
      </w:r>
    </w:p>
    <w:p>
      <w:pPr>
        <w:spacing w:after="0" w:line="67" w:lineRule="exact"/>
        <w:rPr>
          <w:rFonts w:ascii="Times New Roman" w:cs="Times New Roman" w:eastAsia="Times New Roman" w:hAnsi="Times New Roman"/>
          <w:sz w:val="18"/>
          <w:szCs w:val="18"/>
          <w:color w:val="auto"/>
        </w:rPr>
      </w:pPr>
    </w:p>
    <w:p>
      <w:pPr>
        <w:ind w:left="121" w:firstLine="408"/>
        <w:spacing w:after="0" w:line="282" w:lineRule="auto"/>
        <w:tabs>
          <w:tab w:leader="none" w:pos="91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will, by the next succeeding Scheduled Trading Day notify Dealer upon obtaining knowledge of the occurrence of any event that would constitute an Event of Default, a Potential Event of Default or a Potential Adjustment Event.</w:t>
      </w:r>
    </w:p>
    <w:p>
      <w:pPr>
        <w:spacing w:after="0" w:line="53" w:lineRule="exact"/>
        <w:rPr>
          <w:rFonts w:ascii="Times New Roman" w:cs="Times New Roman" w:eastAsia="Times New Roman" w:hAnsi="Times New Roman"/>
          <w:sz w:val="18"/>
          <w:szCs w:val="18"/>
          <w:color w:val="auto"/>
        </w:rPr>
      </w:pPr>
    </w:p>
    <w:p>
      <w:pPr>
        <w:ind w:left="121" w:firstLine="408"/>
        <w:spacing w:after="0" w:line="261" w:lineRule="auto"/>
        <w:tabs>
          <w:tab w:leader="none" w:pos="86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positions of Counterparty’s common stock held by Dealer or any of its affiliates solely in its capacity as a nominee or fiduciary (where Dealer and such affiliates have no economic interest in such positions) do not constitute “ownership” by Dealer, and Dealer shall not be deemed or treated as the beneficial or constructive “owner” of such positions, in each case, for purposes of Article VII of the Charter, except for purposes of Section 7.2.4 thereof.</w:t>
      </w:r>
    </w:p>
    <w:p>
      <w:pPr>
        <w:spacing w:after="0" w:line="71" w:lineRule="exact"/>
        <w:rPr>
          <w:rFonts w:ascii="Times New Roman" w:cs="Times New Roman" w:eastAsia="Times New Roman" w:hAnsi="Times New Roman"/>
          <w:sz w:val="18"/>
          <w:szCs w:val="18"/>
          <w:color w:val="auto"/>
        </w:rPr>
      </w:pPr>
    </w:p>
    <w:p>
      <w:pPr>
        <w:jc w:val="both"/>
        <w:ind w:left="121" w:right="140" w:firstLine="408"/>
        <w:spacing w:after="0" w:line="261" w:lineRule="auto"/>
        <w:tabs>
          <w:tab w:leader="none" w:pos="91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 is capable of evaluating investment risks independently, both in general and with regard to particular transactions and investment strategies involving a security or securities; (ii) will exercise independent judgment in evaluating the recommendations of any broker-dealer or its associated persons, unless it has otherwise notified the broker-dealer in writing; and (iii) has total assets of at least USD 50 million as of the date hereof.</w:t>
      </w:r>
    </w:p>
    <w:p>
      <w:pPr>
        <w:spacing w:after="0" w:line="67" w:lineRule="exact"/>
        <w:rPr>
          <w:rFonts w:ascii="Times New Roman" w:cs="Times New Roman" w:eastAsia="Times New Roman" w:hAnsi="Times New Roman"/>
          <w:sz w:val="18"/>
          <w:szCs w:val="18"/>
          <w:color w:val="auto"/>
        </w:rPr>
      </w:pPr>
    </w:p>
    <w:p>
      <w:pPr>
        <w:ind w:left="221" w:hanging="221"/>
        <w:spacing w:after="0"/>
        <w:tabs>
          <w:tab w:leader="none" w:pos="22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Events</w:t>
      </w:r>
      <w:r>
        <w:rPr>
          <w:rFonts w:ascii="Times New Roman" w:cs="Times New Roman" w:eastAsia="Times New Roman" w:hAnsi="Times New Roman"/>
          <w:sz w:val="18"/>
          <w:szCs w:val="18"/>
          <w:color w:val="auto"/>
        </w:rPr>
        <w:t>. Each of the following events shall constitute an “</w:t>
      </w:r>
      <w:r>
        <w:rPr>
          <w:rFonts w:ascii="Times New Roman" w:cs="Times New Roman" w:eastAsia="Times New Roman" w:hAnsi="Times New Roman"/>
          <w:sz w:val="18"/>
          <w:szCs w:val="18"/>
          <w:b w:val="1"/>
          <w:bCs w:val="1"/>
          <w:i w:val="1"/>
          <w:iCs w:val="1"/>
          <w:color w:val="auto"/>
        </w:rPr>
        <w:t>Acceleration Event</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21" w:right="460" w:firstLine="408"/>
        <w:spacing w:after="0" w:line="258" w:lineRule="auto"/>
        <w:tabs>
          <w:tab w:leader="none" w:pos="73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Borrow Event</w:t>
      </w:r>
      <w:r>
        <w:rPr>
          <w:rFonts w:ascii="Times New Roman" w:cs="Times New Roman" w:eastAsia="Times New Roman" w:hAnsi="Times New Roman"/>
          <w:sz w:val="18"/>
          <w:szCs w:val="18"/>
          <w:color w:val="auto"/>
        </w:rPr>
        <w:t>. In the commercially reasonable judgment of Dealer, Dealer (or an affiliate of Dealer) (A) is not able to hedge in a commercially reasonable manner its exposure under this Transaction because insufficient Shares are made available for borrowing by securities lenders or (B) would incur a cost to borrow (or to maintain a borrow of) Shares to hedge in a commercially reasonable manner its exposure under this Transaction that is greater than a rate equal to [ ● ] basis points per annum (each, a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Borrow Event</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4381"/>
        <w:spacing w:after="0"/>
        <w:rPr>
          <w:sz w:val="20"/>
          <w:szCs w:val="20"/>
          <w:color w:val="auto"/>
        </w:rPr>
      </w:pPr>
      <w:r>
        <w:rPr>
          <w:rFonts w:ascii="Times New Roman" w:cs="Times New Roman" w:eastAsia="Times New Roman" w:hAnsi="Times New Roman"/>
          <w:sz w:val="18"/>
          <w:szCs w:val="18"/>
          <w:color w:val="auto"/>
        </w:rPr>
        <w:t>B-1-19</w:t>
      </w:r>
    </w:p>
    <w:p>
      <w:pPr>
        <w:sectPr>
          <w:pgSz w:w="11900" w:h="16838" w:orient="portrait"/>
          <w:cols w:equalWidth="0" w:num="1">
            <w:col w:w="10141"/>
          </w:cols>
          <w:pgMar w:left="1299" w:top="270" w:right="459" w:bottom="1440" w:gutter="0" w:footer="0" w:header="0"/>
        </w:sectPr>
      </w:pPr>
    </w:p>
    <w:bookmarkStart w:id="97" w:name="page98"/>
    <w:bookmarkEnd w:id="97"/>
    <w:p>
      <w:pPr>
        <w:ind w:left="-7" w:right="40" w:firstLine="408"/>
        <w:spacing w:after="0" w:line="269" w:lineRule="auto"/>
        <w:tabs>
          <w:tab w:leader="none" w:pos="658"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 and Other Distributions</w:t>
      </w:r>
      <w:r>
        <w:rPr>
          <w:rFonts w:ascii="Times New Roman" w:cs="Times New Roman" w:eastAsia="Times New Roman" w:hAnsi="Times New Roman"/>
          <w:sz w:val="17"/>
          <w:szCs w:val="17"/>
          <w:color w:val="auto"/>
        </w:rPr>
        <w:t>. On any day occurring after the Trade Date, Counterparty declares a distribution, issue or dividend to existing holders of the Shares of (A) any cash dividend (other than an Extraordinary Dividend) to the extent all cash dividends having an ex-dividend date during the period from, and including, any Forward Price Reduction Date (with the Trade Date being a Forward Price Reduction Date for purposes of this paragraph (ii) only) to, but excluding, the next subsequent Forward Price Reduction Date exceeds, on a per Share basis, the Forward Price Reduction Amount set forth opposite the first date of any such period on Schedule I,</w:t>
      </w:r>
    </w:p>
    <w:p>
      <w:pPr>
        <w:spacing w:after="0" w:line="2" w:lineRule="exact"/>
        <w:rPr>
          <w:rFonts w:ascii="Times New Roman" w:cs="Times New Roman" w:eastAsia="Times New Roman" w:hAnsi="Times New Roman"/>
          <w:sz w:val="17"/>
          <w:szCs w:val="17"/>
          <w:color w:val="auto"/>
        </w:rPr>
      </w:pPr>
    </w:p>
    <w:p>
      <w:pPr>
        <w:ind w:left="-7" w:firstLine="7"/>
        <w:spacing w:after="0" w:line="251" w:lineRule="auto"/>
        <w:tabs>
          <w:tab w:leader="none" w:pos="27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Dividend, (C) any share capital or other securities of another issuer acquired or owned (directly or indirectly) by Counterparty as a result of a spin-off or other similar transaction or (D) any other type of securities (other than Shares), rights or warrants or other assets, in any case for payment (cash or other consideration) at less than the prevailing market price, as determined in a commercially reasonable manner by Dealer; “</w:t>
      </w:r>
      <w:r>
        <w:rPr>
          <w:rFonts w:ascii="Times New Roman" w:cs="Times New Roman" w:eastAsia="Times New Roman" w:hAnsi="Times New Roman"/>
          <w:sz w:val="18"/>
          <w:szCs w:val="18"/>
          <w:b w:val="1"/>
          <w:bCs w:val="1"/>
          <w:i w:val="1"/>
          <w:iCs w:val="1"/>
          <w:color w:val="auto"/>
        </w:rPr>
        <w:t>Extraordinary Dividend</w:t>
      </w:r>
      <w:r>
        <w:rPr>
          <w:rFonts w:ascii="Times New Roman" w:cs="Times New Roman" w:eastAsia="Times New Roman" w:hAnsi="Times New Roman"/>
          <w:sz w:val="18"/>
          <w:szCs w:val="18"/>
          <w:color w:val="auto"/>
        </w:rPr>
        <w:t>” means any dividend or distribution (that is not an ordinary cash dividend) declared by the Issuer with respect to the Shares that, in the commercially reasonable determination of Dealer, is (1) a dividend or distribution declared on the Shares at a time at which the Issuer has not previously declared or paid dividends or distributions on such Shares for the prior four quarterly periods, (2) a payment or distribution by the Issuer to holders of Shares that the Issuer announces will be an “extraordinary” or “special” dividend or distribution, (3) a payment by the Issuer to holders of Shares out of the Issuer’s capital and surplus or (4) any other “special” dividend or distribution on the Shares that is, by its terms or declared intent, outside the normal course of operations or normal dividend policies or practices of the Issuer;</w:t>
      </w:r>
    </w:p>
    <w:p>
      <w:pPr>
        <w:spacing w:after="0" w:line="84" w:lineRule="exact"/>
        <w:rPr>
          <w:rFonts w:ascii="Times New Roman" w:cs="Times New Roman" w:eastAsia="Times New Roman" w:hAnsi="Times New Roman"/>
          <w:sz w:val="18"/>
          <w:szCs w:val="18"/>
          <w:color w:val="auto"/>
        </w:rPr>
      </w:pPr>
    </w:p>
    <w:p>
      <w:pPr>
        <w:ind w:left="-7" w:right="140" w:firstLine="408"/>
        <w:spacing w:after="0" w:line="289" w:lineRule="auto"/>
        <w:tabs>
          <w:tab w:leader="none" w:pos="708"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ISDA Termination</w:t>
      </w:r>
      <w:r>
        <w:rPr>
          <w:rFonts w:ascii="Times New Roman" w:cs="Times New Roman" w:eastAsia="Times New Roman" w:hAnsi="Times New Roman"/>
          <w:sz w:val="17"/>
          <w:szCs w:val="17"/>
          <w:color w:val="auto"/>
        </w:rPr>
        <w:t>. Either Dealer or Counterparty has the right to designate an Early Termination Date pursuant to Section 6 of the Agreement, in which case, except as otherwise specified herein and except as a result of an Event of Default under Section 5(a)(i) of the Agreement, the provisions of Paragraph 7(g) below shall apply in lieu of the consequences specified in Section 6 of the Agreement;</w:t>
      </w:r>
    </w:p>
    <w:p>
      <w:pPr>
        <w:spacing w:after="0" w:line="49" w:lineRule="exact"/>
        <w:rPr>
          <w:rFonts w:ascii="Times New Roman" w:cs="Times New Roman" w:eastAsia="Times New Roman" w:hAnsi="Times New Roman"/>
          <w:sz w:val="17"/>
          <w:szCs w:val="17"/>
          <w:color w:val="auto"/>
        </w:rPr>
      </w:pPr>
    </w:p>
    <w:p>
      <w:pPr>
        <w:ind w:left="-7" w:right="20" w:firstLine="408"/>
        <w:spacing w:after="0" w:line="256" w:lineRule="auto"/>
        <w:tabs>
          <w:tab w:leader="none" w:pos="69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ISDA Events</w:t>
      </w:r>
      <w:r>
        <w:rPr>
          <w:rFonts w:ascii="Times New Roman" w:cs="Times New Roman" w:eastAsia="Times New Roman" w:hAnsi="Times New Roman"/>
          <w:sz w:val="18"/>
          <w:szCs w:val="18"/>
          <w:color w:val="auto"/>
        </w:rPr>
        <w:t xml:space="preserve">. An Announcement Date occurs in respect of any Merger Event, Tender Offer, Nationalization, Insolvency, Delisting or the occurrence of any Hedging Disruption or Change in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case of a Delisting,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 the definition of “Change in Law” provided in Section 12.9(a)(ii) of the Equity Definitions is hereby amended by (A) replacing the phrase “the</w:t>
      </w:r>
    </w:p>
    <w:p>
      <w:pPr>
        <w:spacing w:after="0" w:line="120" w:lineRule="exact"/>
        <w:rPr>
          <w:sz w:val="20"/>
          <w:szCs w:val="20"/>
          <w:color w:val="auto"/>
        </w:rPr>
      </w:pPr>
    </w:p>
    <w:p>
      <w:pPr>
        <w:ind w:left="4253"/>
        <w:spacing w:after="0"/>
        <w:rPr>
          <w:sz w:val="20"/>
          <w:szCs w:val="20"/>
          <w:color w:val="auto"/>
        </w:rPr>
      </w:pPr>
      <w:r>
        <w:rPr>
          <w:rFonts w:ascii="Times New Roman" w:cs="Times New Roman" w:eastAsia="Times New Roman" w:hAnsi="Times New Roman"/>
          <w:sz w:val="18"/>
          <w:szCs w:val="18"/>
          <w:color w:val="auto"/>
        </w:rPr>
        <w:t>B-1-20</w:t>
      </w:r>
    </w:p>
    <w:p>
      <w:pPr>
        <w:sectPr>
          <w:pgSz w:w="11900" w:h="16838" w:orient="portrait"/>
          <w:cols w:equalWidth="0" w:num="1">
            <w:col w:w="10013"/>
          </w:cols>
          <w:pgMar w:left="1427" w:top="270" w:right="459" w:bottom="1440" w:gutter="0" w:footer="0" w:header="0"/>
        </w:sectPr>
      </w:pPr>
    </w:p>
    <w:bookmarkStart w:id="98" w:name="page99"/>
    <w:bookmarkEnd w:id="98"/>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interpretation” in the third line thereof with the phrase “or announcement or statement of the formal or informal interpretation” and</w:t>
      </w:r>
    </w:p>
    <w:p>
      <w:pPr>
        <w:spacing w:after="0" w:line="27" w:lineRule="exact"/>
        <w:rPr>
          <w:sz w:val="20"/>
          <w:szCs w:val="20"/>
          <w:color w:val="auto"/>
        </w:rPr>
      </w:pPr>
    </w:p>
    <w:p>
      <w:pPr>
        <w:ind w:left="540" w:right="100" w:firstLine="7"/>
        <w:spacing w:after="0" w:line="252" w:lineRule="auto"/>
        <w:tabs>
          <w:tab w:leader="none" w:pos="82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word “Transaction” in clause (X) thereof, adding the phrase “in the manner contemplated by Dealer on the Trade Date” and (ii) any determination as to whether (A) the adoption of or any change in any applicable law or regulation (including, without limitation, any tax law) or (B) the promulgation of or any change in or announcement or statement of the formal or informal interpretation by any court, tribunal or regulatory authority with competent jurisdiction of any applicable law or regulation (including any action taken by a taxing authority), in each case, constitutes a “Change in Law” shall be made without regard to Section 739 of the Wall Street Transparency and Accountability Act of 2010 (the “</w:t>
      </w:r>
      <w:r>
        <w:rPr>
          <w:rFonts w:ascii="Times New Roman" w:cs="Times New Roman" w:eastAsia="Times New Roman" w:hAnsi="Times New Roman"/>
          <w:sz w:val="18"/>
          <w:szCs w:val="18"/>
          <w:b w:val="1"/>
          <w:bCs w:val="1"/>
          <w:i w:val="1"/>
          <w:iCs w:val="1"/>
          <w:color w:val="auto"/>
        </w:rPr>
        <w:t>WSTAA</w:t>
      </w:r>
      <w:r>
        <w:rPr>
          <w:rFonts w:ascii="Times New Roman" w:cs="Times New Roman" w:eastAsia="Times New Roman" w:hAnsi="Times New Roman"/>
          <w:sz w:val="18"/>
          <w:szCs w:val="18"/>
          <w:color w:val="auto"/>
        </w:rPr>
        <w:t>”) or any similar provision in any legislation enacted on or after the Trade Date; or</w:t>
      </w:r>
    </w:p>
    <w:p>
      <w:pPr>
        <w:spacing w:after="0" w:line="80" w:lineRule="exact"/>
        <w:rPr>
          <w:rFonts w:ascii="Times New Roman" w:cs="Times New Roman" w:eastAsia="Times New Roman" w:hAnsi="Times New Roman"/>
          <w:sz w:val="18"/>
          <w:szCs w:val="18"/>
          <w:color w:val="auto"/>
        </w:rPr>
      </w:pPr>
    </w:p>
    <w:p>
      <w:pPr>
        <w:ind w:left="540" w:firstLine="408"/>
        <w:spacing w:after="0" w:line="253" w:lineRule="auto"/>
        <w:tabs>
          <w:tab w:leader="none" w:pos="1195"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Event</w:t>
      </w:r>
      <w:r>
        <w:rPr>
          <w:rFonts w:ascii="Times New Roman" w:cs="Times New Roman" w:eastAsia="Times New Roman" w:hAnsi="Times New Roman"/>
          <w:sz w:val="18"/>
          <w:szCs w:val="18"/>
          <w:color w:val="auto"/>
        </w:rPr>
        <w:t>. In the good faith judgment of Dealer, on any day, the Share Amount for such day exceeds the Post-Effective Limit for such day (if any applies) (each, an “</w:t>
      </w:r>
      <w:r>
        <w:rPr>
          <w:rFonts w:ascii="Times New Roman" w:cs="Times New Roman" w:eastAsia="Times New Roman" w:hAnsi="Times New Roman"/>
          <w:sz w:val="18"/>
          <w:szCs w:val="18"/>
          <w:b w:val="1"/>
          <w:bCs w:val="1"/>
          <w:i w:val="1"/>
          <w:iCs w:val="1"/>
          <w:color w:val="auto"/>
        </w:rPr>
        <w:t>Ownership Event</w:t>
      </w:r>
      <w:r>
        <w:rPr>
          <w:rFonts w:ascii="Times New Roman" w:cs="Times New Roman" w:eastAsia="Times New Roman" w:hAnsi="Times New Roman"/>
          <w:sz w:val="18"/>
          <w:szCs w:val="18"/>
          <w:color w:val="auto"/>
        </w:rPr>
        <w:t>”). For purposes of this clause (v), the “</w:t>
      </w:r>
      <w:r>
        <w:rPr>
          <w:rFonts w:ascii="Times New Roman" w:cs="Times New Roman" w:eastAsia="Times New Roman" w:hAnsi="Times New Roman"/>
          <w:sz w:val="18"/>
          <w:szCs w:val="18"/>
          <w:b w:val="1"/>
          <w:bCs w:val="1"/>
          <w:i w:val="1"/>
          <w:iCs w:val="1"/>
          <w:color w:val="auto"/>
        </w:rPr>
        <w:t>Share Amount</w:t>
      </w:r>
      <w:r>
        <w:rPr>
          <w:rFonts w:ascii="Times New Roman" w:cs="Times New Roman" w:eastAsia="Times New Roman" w:hAnsi="Times New Roman"/>
          <w:sz w:val="18"/>
          <w:szCs w:val="18"/>
          <w:color w:val="auto"/>
        </w:rPr>
        <w:t>” as of any day is the number of Shares that Dealer and any person whose ownership position would be aggregated with that of Dealer (Dealer or any such person, a “</w:t>
      </w:r>
      <w:r>
        <w:rPr>
          <w:rFonts w:ascii="Times New Roman" w:cs="Times New Roman" w:eastAsia="Times New Roman" w:hAnsi="Times New Roman"/>
          <w:sz w:val="18"/>
          <w:szCs w:val="18"/>
          <w:b w:val="1"/>
          <w:bCs w:val="1"/>
          <w:i w:val="1"/>
          <w:iCs w:val="1"/>
          <w:color w:val="auto"/>
        </w:rPr>
        <w:t>Dealer Person</w:t>
      </w:r>
      <w:r>
        <w:rPr>
          <w:rFonts w:ascii="Times New Roman" w:cs="Times New Roman" w:eastAsia="Times New Roman" w:hAnsi="Times New Roman"/>
          <w:sz w:val="18"/>
          <w:szCs w:val="18"/>
          <w:color w:val="auto"/>
        </w:rPr>
        <w:t>”) under any law, rule, regulation or regulatory order or Counterparty constituent document that for any reason is, or after the Trade Date becomes, applicable to ownership of Shares (“</w:t>
      </w:r>
      <w:r>
        <w:rPr>
          <w:rFonts w:ascii="Times New Roman" w:cs="Times New Roman" w:eastAsia="Times New Roman" w:hAnsi="Times New Roman"/>
          <w:sz w:val="18"/>
          <w:szCs w:val="18"/>
          <w:b w:val="1"/>
          <w:bCs w:val="1"/>
          <w:i w:val="1"/>
          <w:iCs w:val="1"/>
          <w:color w:val="auto"/>
        </w:rPr>
        <w:t>Applicable Provisions</w:t>
      </w:r>
      <w:r>
        <w:rPr>
          <w:rFonts w:ascii="Times New Roman" w:cs="Times New Roman" w:eastAsia="Times New Roman" w:hAnsi="Times New Roman"/>
          <w:sz w:val="18"/>
          <w:szCs w:val="18"/>
          <w:color w:val="auto"/>
        </w:rPr>
        <w:t>”), owns, beneficially owns, constructively owns, controls, holds the power to vote or otherwise meets a relevant definition of ownership of under the Applicable Provisions, as determined by Dealer in its reasonable discretion. The “</w:t>
      </w:r>
      <w:r>
        <w:rPr>
          <w:rFonts w:ascii="Times New Roman" w:cs="Times New Roman" w:eastAsia="Times New Roman" w:hAnsi="Times New Roman"/>
          <w:sz w:val="18"/>
          <w:szCs w:val="18"/>
          <w:b w:val="1"/>
          <w:bCs w:val="1"/>
          <w:i w:val="1"/>
          <w:iCs w:val="1"/>
          <w:color w:val="auto"/>
        </w:rPr>
        <w:t>Post-Effective Limit</w:t>
      </w:r>
      <w:r>
        <w:rPr>
          <w:rFonts w:ascii="Times New Roman" w:cs="Times New Roman" w:eastAsia="Times New Roman" w:hAnsi="Times New Roman"/>
          <w:sz w:val="18"/>
          <w:szCs w:val="18"/>
          <w:color w:val="auto"/>
        </w:rPr>
        <w:t xml:space="preserve">” means (x) the minimum number of Shares that would give rise to reporting or registration obligations (except for any filing requirements on Form 13F, Schedule 13D or Schedule 13G under the Exchange Act, in each case, as in effect on the Trade Date) or other requirements (including obtaining prior approval from any person or entity) of a Dealer Person, or would result in an adverse effect on a Dealer Person, under the Applicable Provisions, as determined by Dealer in its reasonable discretion,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(y) 1.0% of the number of Shares outstanding.</w:t>
      </w:r>
    </w:p>
    <w:p>
      <w:pPr>
        <w:spacing w:after="0" w:line="83" w:lineRule="exact"/>
        <w:rPr>
          <w:rFonts w:ascii="Times New Roman" w:cs="Times New Roman" w:eastAsia="Times New Roman" w:hAnsi="Times New Roman"/>
          <w:sz w:val="18"/>
          <w:szCs w:val="18"/>
          <w:color w:val="auto"/>
        </w:rPr>
      </w:pPr>
    </w:p>
    <w:p>
      <w:pPr>
        <w:ind w:right="20" w:firstLine="419"/>
        <w:spacing w:after="0" w:line="254" w:lineRule="auto"/>
        <w:tabs>
          <w:tab w:leader="none" w:pos="67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Settlement</w:t>
      </w:r>
      <w:r>
        <w:rPr>
          <w:rFonts w:ascii="Times New Roman" w:cs="Times New Roman" w:eastAsia="Times New Roman" w:hAnsi="Times New Roman"/>
          <w:sz w:val="18"/>
          <w:szCs w:val="18"/>
          <w:color w:val="auto"/>
        </w:rPr>
        <w:t>. Upon the occurrence of any Acceleration Event, Dealer shall have the right to designate, upon at least one Scheduled Trading Day’s notice, any Scheduled Trading Day following such occurrence to be a Settlement Date hereunder (a “</w:t>
      </w: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Settlement Date</w:t>
      </w:r>
      <w:r>
        <w:rPr>
          <w:rFonts w:ascii="Times New Roman" w:cs="Times New Roman" w:eastAsia="Times New Roman" w:hAnsi="Times New Roman"/>
          <w:sz w:val="18"/>
          <w:szCs w:val="18"/>
          <w:color w:val="auto"/>
        </w:rPr>
        <w:t>”) to which Physical Settlement shall apply, and to select the number of Settlement Shares relating to such Termination Settlement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in the case of an Acceleration Event arising out of an Ownership Event, the number of Settlement Shares so designated by Dealer shall not exceed the number of Shares necessary to reduce the Share Amount to reasonably below the Post-Effective Limit and (ii) in the case of an Acceleration Event arising out of a Stock Borrow Event, the number of Settlement Shares so designated by Dealer shall not exceed the number of Shares as to which such Stock Borrow Event exists. If, upon designation of a Termination Settlement Date by Dealer pursuant to the preceding sentence, Counterparty fails to deliver the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B-1-21</w:t>
      </w:r>
    </w:p>
    <w:p>
      <w:pPr>
        <w:sectPr>
          <w:pgSz w:w="11900" w:h="16838" w:orient="portrait"/>
          <w:cols w:equalWidth="0" w:num="1">
            <w:col w:w="10560"/>
          </w:cols>
          <w:pgMar w:left="880" w:top="270" w:right="459" w:bottom="1440" w:gutter="0" w:footer="0" w:header="0"/>
        </w:sectPr>
      </w:pPr>
    </w:p>
    <w:bookmarkStart w:id="99" w:name="page100"/>
    <w:bookmarkEnd w:id="9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 Shares relating to such Termination Settlement Date when due or otherwise fails to perform obligations within its control in respect of this Transaction, it shall be an Event of Default with respect to Counterparty and Section 6 of the Agreement shall apply. If an Acceleration Event occurs during an Unwind Period relating to a number of Settlement Shares to which Cash Settlement or Net Share Settlement applies, then on the Termination Settlement Date relating to such Acceleration Event, notwithstanding any election to the contrary by Counterparty, Cash Settlement or Net Share Settlement shall apply to the portion of the Settlement Shares relating to such Unwind Period as to which Dealer has unwound its hedge (assuming that Dealer has a commercially reasonable hedge and unwinds its hedge in a commercially reasonable manner) and Physical Settlement shall apply in respect of (x) the remainder (if any) of such Settlement Shares and (y) the Settlement Shares designated by Dealer in respect of such Termination Settlement Date. If an Acceleration Event occurs after Counterparty has designated a Settlement Date to which Physical Settlement applies but before the relevant Settlement Shares have been delivered to Dealer, then Dealer shall have the right to cancel such Settlement Date and designate a Termination Settlement Date in respect of such Shares pursuant to the first sentence hereof. Notwithstanding the foregoing, in the case of a Nationalization or Merger Event, if at the time of the related Relevant Settlement Date the Shares have changed into cash or any other property or the right to receive cash or any other property, the Calculation Agent shall adjust the nature of the Shares as it determines appropriate to account for such change such that the nature of the Shares is consistent with what shareholders receive in such event. If Dealer designates a Termination Settlement Date as a result of an Acceleration Event caused by an excess dividend of the type described in Paragraph 7(f)(ii), no adjustments(s) shall be made to the terms of this contract to account for the amount of such excess dividend.</w:t>
      </w:r>
    </w:p>
    <w:p>
      <w:pPr>
        <w:spacing w:after="0" w:line="88" w:lineRule="exact"/>
        <w:rPr>
          <w:sz w:val="20"/>
          <w:szCs w:val="20"/>
          <w:color w:val="auto"/>
        </w:rPr>
      </w:pPr>
    </w:p>
    <w:p>
      <w:pPr>
        <w:ind w:right="60" w:firstLine="419"/>
        <w:spacing w:after="0" w:line="256" w:lineRule="auto"/>
        <w:tabs>
          <w:tab w:leader="none" w:pos="67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 Procedures</w:t>
      </w:r>
      <w:r>
        <w:rPr>
          <w:rFonts w:ascii="Times New Roman" w:cs="Times New Roman" w:eastAsia="Times New Roman" w:hAnsi="Times New Roman"/>
          <w:sz w:val="18"/>
          <w:szCs w:val="18"/>
          <w:color w:val="auto"/>
        </w:rPr>
        <w:t>. If Counterparty is unable to comply with the provisions of sub-paragraph (ii) of “Agreements and Acknowledgments Regarding Shares” above because of a change in law or a change in the policy of the Securities and Exchange Commission or its staff, or Dealer otherwise determines that in its reasonable opinion any Shares to be delivered to Dealer by Counterparty may not be freely returned by Dealer or its affiliates to securities lenders as described under such sub-paragraph (ii) or otherwise constitute “restricted securities” as defined in Rule 144 under the Securities Act, then delivery of any such Shares (the “</w:t>
      </w:r>
      <w:r>
        <w:rPr>
          <w:rFonts w:ascii="Times New Roman" w:cs="Times New Roman" w:eastAsia="Times New Roman" w:hAnsi="Times New Roman"/>
          <w:sz w:val="18"/>
          <w:szCs w:val="18"/>
          <w:b w:val="1"/>
          <w:bCs w:val="1"/>
          <w:i w:val="1"/>
          <w:iCs w:val="1"/>
          <w:color w:val="auto"/>
        </w:rPr>
        <w:t>Restricted Shares</w:t>
      </w:r>
      <w:r>
        <w:rPr>
          <w:rFonts w:ascii="Times New Roman" w:cs="Times New Roman" w:eastAsia="Times New Roman" w:hAnsi="Times New Roman"/>
          <w:sz w:val="18"/>
          <w:szCs w:val="18"/>
          <w:color w:val="auto"/>
        </w:rPr>
        <w:t>”) shall be effected as provided below, unless waived by Dealer.</w:t>
      </w:r>
    </w:p>
    <w:p>
      <w:pPr>
        <w:spacing w:after="0" w:line="75" w:lineRule="exact"/>
        <w:rPr>
          <w:rFonts w:ascii="Times New Roman" w:cs="Times New Roman" w:eastAsia="Times New Roman" w:hAnsi="Times New Roman"/>
          <w:sz w:val="18"/>
          <w:szCs w:val="18"/>
          <w:color w:val="auto"/>
        </w:rPr>
      </w:pPr>
    </w:p>
    <w:p>
      <w:pPr>
        <w:ind w:left="540" w:right="20" w:firstLine="408"/>
        <w:spacing w:after="0" w:line="257" w:lineRule="auto"/>
        <w:tabs>
          <w:tab w:leader="none" w:pos="115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Counterparty delivers the Restricted Shares pursuant to this clause (i) (a “</w:t>
      </w:r>
      <w:r>
        <w:rPr>
          <w:rFonts w:ascii="Times New Roman" w:cs="Times New Roman" w:eastAsia="Times New Roman" w:hAnsi="Times New Roman"/>
          <w:sz w:val="18"/>
          <w:szCs w:val="18"/>
          <w:b w:val="1"/>
          <w:bCs w:val="1"/>
          <w:i w:val="1"/>
          <w:iCs w:val="1"/>
          <w:color w:val="auto"/>
        </w:rPr>
        <w:t>Private Placement Settlement</w:t>
      </w:r>
      <w:r>
        <w:rPr>
          <w:rFonts w:ascii="Times New Roman" w:cs="Times New Roman" w:eastAsia="Times New Roman" w:hAnsi="Times New Roman"/>
          <w:sz w:val="18"/>
          <w:szCs w:val="18"/>
          <w:color w:val="auto"/>
        </w:rPr>
        <w:t xml:space="preserve">”), then delivery of Restricted Shares by Counterparty shall be effected in accordance with private placement procedures customary for private placements of equity securities of substantially similar size with respect to such Restricted Shares reasonably acceptable to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may not elect a Private Placement Settlement if, on the date of its election, it has taken, or caused to be taken, any action that would make unavailable either the exemption pursuant to Section 4(a)(2) of the Securities Act for the sale by Counterparty to Dealer (or any affiliate designated by Dealer) of the Restricted</w:t>
      </w:r>
    </w:p>
    <w:p>
      <w:pPr>
        <w:spacing w:after="0" w:line="1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B-1-22</w:t>
      </w:r>
    </w:p>
    <w:p>
      <w:pPr>
        <w:sectPr>
          <w:pgSz w:w="11900" w:h="16838" w:orient="portrait"/>
          <w:cols w:equalWidth="0" w:num="1">
            <w:col w:w="10540"/>
          </w:cols>
          <w:pgMar w:left="880" w:top="270" w:right="479" w:bottom="1440" w:gutter="0" w:footer="0" w:header="0"/>
        </w:sectPr>
      </w:pPr>
    </w:p>
    <w:bookmarkStart w:id="100" w:name="page101"/>
    <w:bookmarkEnd w:id="100"/>
    <w:p>
      <w:pPr>
        <w:ind w:left="5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or the exemption pursuant to Section 4(a)(1) or Section 4(a)(3) of the Securities Act for resales of the Restricted Shares by Dealer (or any such affiliate of Dealer), and if Counterparty fails to deliver the Restricted Shares when due or otherwise fails to perform obligations within its control in respect of a Private Placement Settlement, it shall be an Event of Default with respect to Counterparty and Section 6 of the Agreement shall apply. The Private Placement Settlement of such Restricted Shares shall include customary representations, covenants, blue sky and other governmental filings and/or registrations, indemnities to Dealer, due diligence rights (for Dealer or any designated buyer of the Restricted Shares by Dealer), opinions and certificates, and such other documentation as is customary for private placement agreements of equity securities of a substantially similar size, all reasonably acceptable to Dealer. In the case of a Private Placement Settlement, Dealer shall, in its good faith discretion, adjust the amount of Restricted Shares to be delivered to Dealer hereunder in a commercially reasonable manner to reflect the fact that such Restricted Shares may not be freely returned to securities lenders by Dealer and may only be saleable by Dealer at a discount to reflect the lack of liquidity in Restricted Shares. Notwithstanding the Agreement or this Confirmation, the date of delivery of such Restricted Shares shall be the Clearance System Business Day following notice by Dealer to Counterparty of the number of Restricted Shares to be delivered pursuant to this clause (i). For the avoidance of doubt, delivery of Restricted Shares shall be due as set forth in the previous sentence and not be due on the date that would otherwise be applicable.</w:t>
      </w:r>
    </w:p>
    <w:p>
      <w:pPr>
        <w:spacing w:after="0" w:line="89" w:lineRule="exact"/>
        <w:rPr>
          <w:sz w:val="20"/>
          <w:szCs w:val="20"/>
          <w:color w:val="auto"/>
        </w:rPr>
      </w:pPr>
    </w:p>
    <w:p>
      <w:pPr>
        <w:ind w:left="540" w:right="20" w:firstLine="408"/>
        <w:spacing w:after="0" w:line="254" w:lineRule="auto"/>
        <w:tabs>
          <w:tab w:leader="none" w:pos="120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Counterparty delivers any Restricted Shares in respect of this Transaction, Counterparty agrees that (A) such Shares may be transferred by and among Dealer and its affiliates and (B) after the minimum “holding period” within the meaning of Rule 144(d) under the Securities Act has elapsed, Counterparty shall promptly remove, or cause the transfer agent for the Shares to remove, any legends referring to any transfer restrictions from such Shares upon delivery by Dealer (or such affiliate of Dealer) to Counterparty or such transfer agent of any seller’s and broker’s representation letters customarily delivered by Dealer or its affiliates in connection with resales of restricted securities pursuant to Rule 144 under the Securities Act, each without any further requirement for the delivery of any certificate, consent, agreement, opinion of counsel, notice or any other document, any transfer tax stamps or payment of any other amount or any other action by Dealer (or such affiliate of Dealer).</w:t>
      </w:r>
    </w:p>
    <w:p>
      <w:pPr>
        <w:spacing w:after="0" w:line="83" w:lineRule="exact"/>
        <w:rPr>
          <w:rFonts w:ascii="Times New Roman" w:cs="Times New Roman" w:eastAsia="Times New Roman" w:hAnsi="Times New Roman"/>
          <w:sz w:val="18"/>
          <w:szCs w:val="18"/>
          <w:color w:val="auto"/>
        </w:rPr>
      </w:pPr>
    </w:p>
    <w:p>
      <w:pPr>
        <w:ind w:right="100" w:firstLine="419"/>
        <w:spacing w:after="0" w:line="258" w:lineRule="auto"/>
        <w:tabs>
          <w:tab w:leader="none" w:pos="63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Counterparty agrees to indemnify Dealer and its affiliates and their respective directors, officers, employees, agents and controlling persons (Dealer and each such affiliate or person being an “</w:t>
      </w:r>
      <w:r>
        <w:rPr>
          <w:rFonts w:ascii="Times New Roman" w:cs="Times New Roman" w:eastAsia="Times New Roman" w:hAnsi="Times New Roman"/>
          <w:sz w:val="18"/>
          <w:szCs w:val="18"/>
          <w:b w:val="1"/>
          <w:bCs w:val="1"/>
          <w:i w:val="1"/>
          <w:iCs w:val="1"/>
          <w:color w:val="auto"/>
        </w:rPr>
        <w:t>Indemnified Party</w:t>
      </w:r>
      <w:r>
        <w:rPr>
          <w:rFonts w:ascii="Times New Roman" w:cs="Times New Roman" w:eastAsia="Times New Roman" w:hAnsi="Times New Roman"/>
          <w:sz w:val="18"/>
          <w:szCs w:val="18"/>
          <w:color w:val="auto"/>
        </w:rPr>
        <w:t>”) from and against any and all losses, claims, damages and liabilities, joint and several, incurred by or asserted against such Indemnified Party arising out of, in connection with, or relating to, any breach of any covenant or representation made by Counterparty in this Confirmation or the Agreement and will reimburse any Indemnified Party for all reasonable expenses (including reasonable legal fees and expenses) as they are incurred in connection with the investigation of,</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B-1-23</w:t>
      </w:r>
    </w:p>
    <w:p>
      <w:pPr>
        <w:sectPr>
          <w:pgSz w:w="11900" w:h="16838" w:orient="portrait"/>
          <w:cols w:equalWidth="0" w:num="1">
            <w:col w:w="10560"/>
          </w:cols>
          <w:pgMar w:left="880" w:top="270" w:right="459" w:bottom="1440" w:gutter="0" w:footer="0" w:header="0"/>
        </w:sectPr>
      </w:pPr>
    </w:p>
    <w:bookmarkStart w:id="101" w:name="page102"/>
    <w:bookmarkEnd w:id="101"/>
    <w:p>
      <w:pPr>
        <w:ind w:right="1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preparation for, or defense of any pending or threatened claim or any action or proceeding arising therefrom, whether or not such Indemnified Party is a party thereto, except to the extent determined in a final and nonappealable judgment by a court of competent jurisdiction to have resulted from Dealer’s gross negligence, fraud, bad faith and/or willful misconduct or from a breach of any representation or covenant of Dealer contained in this Confirmation or the Agreement. The foregoing provisions shall survive any termination or completion of the Transaction.</w:t>
      </w:r>
    </w:p>
    <w:p>
      <w:pPr>
        <w:spacing w:after="0" w:line="56" w:lineRule="exact"/>
        <w:rPr>
          <w:sz w:val="20"/>
          <w:szCs w:val="20"/>
          <w:color w:val="auto"/>
        </w:rPr>
      </w:pPr>
    </w:p>
    <w:p>
      <w:pPr>
        <w:ind w:right="40" w:firstLine="419"/>
        <w:spacing w:after="0" w:line="258" w:lineRule="auto"/>
        <w:tabs>
          <w:tab w:leader="none" w:pos="63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Trial by Jury</w:t>
      </w:r>
      <w:r>
        <w:rPr>
          <w:rFonts w:ascii="Times New Roman" w:cs="Times New Roman" w:eastAsia="Times New Roman" w:hAnsi="Times New Roman"/>
          <w:sz w:val="18"/>
          <w:szCs w:val="18"/>
          <w:color w:val="auto"/>
        </w:rPr>
        <w:t>. COUNTERPARTY AND DEALER HEREBY IRREVOCABLY WAIVE (ON ITS OWN BEHALF AND, TO THE EXTENT PERMITTED BY APPLICABLE LAW, ON BEHALF OF ITS STOCKHOLDERS) ALL RIGHT TO TRIAL BY JURY IN ANY ACTION, PROCEEDING OR COUNTERCLAIM (WHETHER BASED ON CONTRACT, TORT OR OTHERWISE) ARISING OUT OF OR RELATING TO THE TRANSACTION OR THE ACTIONS OF DEALER OR ITS AFFILIATES IN THE NEGOTIATION, PERFORMANCE OR ENFORCEMENT HEREOF.</w:t>
      </w:r>
    </w:p>
    <w:p>
      <w:pPr>
        <w:spacing w:after="0" w:line="75"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Law/Jurisdiction</w:t>
      </w:r>
      <w:r>
        <w:rPr>
          <w:rFonts w:ascii="Times New Roman" w:cs="Times New Roman" w:eastAsia="Times New Roman" w:hAnsi="Times New Roman"/>
          <w:sz w:val="18"/>
          <w:szCs w:val="18"/>
          <w:color w:val="auto"/>
        </w:rPr>
        <w:t>. This Confirmation and any claim, controversy or dispute arising under or related to this Confirmation shall be governed by the laws of the State of New York without reference to the conflict of laws provisions thereof.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75"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by Dealer</w:t>
      </w:r>
      <w:r>
        <w:rPr>
          <w:rFonts w:ascii="Times New Roman" w:cs="Times New Roman" w:eastAsia="Times New Roman" w:hAnsi="Times New Roman"/>
          <w:sz w:val="18"/>
          <w:szCs w:val="18"/>
          <w:color w:val="auto"/>
        </w:rPr>
        <w:t>. Notwithstanding any other provision in this Confirmation to the contrary requiring or allowing Dealer to</w:t>
      </w:r>
    </w:p>
    <w:p>
      <w:pPr>
        <w:spacing w:after="0" w:line="27"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sell, receive or deliver any Shares or other securities to or from Counterparty, Dealer may designate any of its affiliates to purchase, sell, receive or deliver such Shares or other securities and otherwise to perform Dealer’s obligations in respect of the Transaction and any such designee may assume such obligations. Dealer shall be discharged of its obligations to Counterparty only to the extent of any such performance.</w:t>
      </w:r>
    </w:p>
    <w:p>
      <w:pPr>
        <w:spacing w:after="0" w:line="77" w:lineRule="exact"/>
        <w:rPr>
          <w:rFonts w:ascii="Times New Roman" w:cs="Times New Roman" w:eastAsia="Times New Roman" w:hAnsi="Times New Roman"/>
          <w:sz w:val="18"/>
          <w:szCs w:val="18"/>
          <w:color w:val="auto"/>
        </w:rPr>
      </w:pPr>
    </w:p>
    <w:p>
      <w:pPr>
        <w:ind w:right="60" w:firstLine="419"/>
        <w:spacing w:after="0" w:line="258" w:lineRule="auto"/>
        <w:tabs>
          <w:tab w:leader="none" w:pos="72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Filing</w:t>
      </w:r>
      <w:r>
        <w:rPr>
          <w:rFonts w:ascii="Times New Roman" w:cs="Times New Roman" w:eastAsia="Times New Roman" w:hAnsi="Times New Roman"/>
          <w:sz w:val="18"/>
          <w:szCs w:val="18"/>
          <w:color w:val="auto"/>
        </w:rPr>
        <w:t>. Notwithstanding anything to the contrary herein, in the Agreement or in the Equity Definitions, upon any Insolvency Filing or other proceeding under the Bankruptcy Code in respect of the Issuer, this Transaction shall automatically terminate on the date thereof without further liability of either party to this Confirmation to the other party (except for any liability in respect of any breach of representation or covenant by a party under this Confirmation prior to the date of such Insolvency Filing or other proceeding), it being understood that this Transaction is a contract for the issuance of Shares by the Issuer.</w:t>
      </w:r>
    </w:p>
    <w:p>
      <w:pPr>
        <w:spacing w:after="0" w:line="75" w:lineRule="exact"/>
        <w:rPr>
          <w:rFonts w:ascii="Times New Roman" w:cs="Times New Roman" w:eastAsia="Times New Roman" w:hAnsi="Times New Roman"/>
          <w:sz w:val="18"/>
          <w:szCs w:val="18"/>
          <w:color w:val="auto"/>
        </w:rPr>
      </w:pPr>
    </w:p>
    <w:p>
      <w:pPr>
        <w:ind w:right="60" w:firstLine="419"/>
        <w:spacing w:after="0" w:line="261" w:lineRule="auto"/>
        <w:tabs>
          <w:tab w:leader="none" w:pos="67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Effective from the date of commencement of discussions concerning the Transaction, each of Dealer and Counterparty and each of their employees, representatives, or other agents may disclose to any and all persons, without limitation of any kind, the tax treatment and tax structure of the Transaction and all materials of any kind (including opinions or other tax analyses) relating to such tax treatment and tax structure.</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B-1-24</w:t>
      </w:r>
    </w:p>
    <w:p>
      <w:pPr>
        <w:sectPr>
          <w:pgSz w:w="11900" w:h="16838" w:orient="portrait"/>
          <w:cols w:equalWidth="0" w:num="1">
            <w:col w:w="10540"/>
          </w:cols>
          <w:pgMar w:left="880" w:top="270" w:right="479" w:bottom="1440" w:gutter="0" w:footer="0" w:header="0"/>
        </w:sectPr>
      </w:pPr>
    </w:p>
    <w:bookmarkStart w:id="102" w:name="page103"/>
    <w:bookmarkEnd w:id="102"/>
    <w:p>
      <w:pPr>
        <w:ind w:right="100" w:firstLine="419"/>
        <w:spacing w:after="0" w:line="261" w:lineRule="auto"/>
        <w:tabs>
          <w:tab w:leader="none" w:pos="67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 to Extend</w:t>
      </w:r>
      <w:r>
        <w:rPr>
          <w:rFonts w:ascii="Times New Roman" w:cs="Times New Roman" w:eastAsia="Times New Roman" w:hAnsi="Times New Roman"/>
          <w:sz w:val="18"/>
          <w:szCs w:val="18"/>
          <w:color w:val="auto"/>
        </w:rPr>
        <w:t>. Dealer may postpone any Settlement Date or any other date of valuation or delivery, with respect to some or all of the relevant Settlement Shares, if Dealer determines, based on advice of counsel, that such extension is reasonably necessary or appropriate to enable Dealer to effect purchases of Shares in connection with its hedging activity hereunder in a manner that would, if Dealer were Counterparty or an affiliated purchaser of Counterparty, be in compliance with applicable legal and regulatory requirements.</w:t>
      </w:r>
    </w:p>
    <w:p>
      <w:pPr>
        <w:spacing w:after="0" w:line="71"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Counterparty Share Repurchases</w:t>
      </w:r>
      <w:r>
        <w:rPr>
          <w:rFonts w:ascii="Times New Roman" w:cs="Times New Roman" w:eastAsia="Times New Roman" w:hAnsi="Times New Roman"/>
          <w:sz w:val="18"/>
          <w:szCs w:val="18"/>
          <w:color w:val="auto"/>
        </w:rPr>
        <w:t>. Counterparty agrees not to repurchase, directly or indirectly, any Shares if, immediately following such purchase, the Outstanding Share Percentage would be equal to or greater than [4.5]%. The “</w:t>
      </w:r>
      <w:r>
        <w:rPr>
          <w:rFonts w:ascii="Times New Roman" w:cs="Times New Roman" w:eastAsia="Times New Roman" w:hAnsi="Times New Roman"/>
          <w:sz w:val="18"/>
          <w:szCs w:val="18"/>
          <w:b w:val="1"/>
          <w:bCs w:val="1"/>
          <w:i w:val="1"/>
          <w:iCs w:val="1"/>
          <w:color w:val="auto"/>
        </w:rPr>
        <w:t>Outstanding Share Percentage</w:t>
      </w:r>
      <w:r>
        <w:rPr>
          <w:rFonts w:ascii="Times New Roman" w:cs="Times New Roman" w:eastAsia="Times New Roman" w:hAnsi="Times New Roman"/>
          <w:sz w:val="18"/>
          <w:szCs w:val="18"/>
          <w:color w:val="auto"/>
        </w:rPr>
        <w:t>” as of any day is the fraction (1) the numerator of which is the aggregate of the Number of Shares for this Transaction and the “Number of Shares” (as defined in the applicable Additional Confirmation) under any outstanding Additional Transactions and (2) the denominator of which is the number of Shares outstanding on such day.</w:t>
      </w:r>
    </w:p>
    <w:p>
      <w:pPr>
        <w:spacing w:after="0" w:line="75" w:lineRule="exact"/>
        <w:rPr>
          <w:rFonts w:ascii="Times New Roman" w:cs="Times New Roman" w:eastAsia="Times New Roman" w:hAnsi="Times New Roman"/>
          <w:sz w:val="18"/>
          <w:szCs w:val="18"/>
          <w:color w:val="auto"/>
        </w:rPr>
      </w:pPr>
    </w:p>
    <w:p>
      <w:pPr>
        <w:ind w:right="20" w:firstLine="419"/>
        <w:spacing w:after="0" w:line="267" w:lineRule="auto"/>
        <w:tabs>
          <w:tab w:leader="none" w:pos="678"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 on Beneficial Ownership</w:t>
      </w:r>
      <w:r>
        <w:rPr>
          <w:rFonts w:ascii="Times New Roman" w:cs="Times New Roman" w:eastAsia="Times New Roman" w:hAnsi="Times New Roman"/>
          <w:sz w:val="17"/>
          <w:szCs w:val="17"/>
          <w:color w:val="auto"/>
        </w:rPr>
        <w:t>. Notwithstanding any other provisions hereof, Dealer shall not have the right to acquire Shares hereunder and Dealer shall not be entitled to take delivery of any Shares hereunder (in each case, whether in connection with the purchase of Shares on any Settlement Date or any Termination Settlement Date, any Private Placement Settlement or otherwise) to the extent (but only to the extent) that, after such receipt of any Shares hereunder, (i) the Share Amount would exceed the Post-Effective Limit, (ii) Dealer and each person subject to aggregation of Shares with Dealer under Section 13 or Section 16 of the Exchange Act and the rules promulgated thereunder (including all persons who may form a “group” within the meaning of Rule 13d-5(b)(1) under the Exchange Act) (collectively, the “</w:t>
      </w:r>
      <w:r>
        <w:rPr>
          <w:rFonts w:ascii="Times New Roman" w:cs="Times New Roman" w:eastAsia="Times New Roman" w:hAnsi="Times New Roman"/>
          <w:sz w:val="17"/>
          <w:szCs w:val="17"/>
          <w:b w:val="1"/>
          <w:bCs w:val="1"/>
          <w:i w:val="1"/>
          <w:iCs w:val="1"/>
          <w:color w:val="auto"/>
        </w:rPr>
        <w:t>Dealer Group</w:t>
      </w:r>
      <w:r>
        <w:rPr>
          <w:rFonts w:ascii="Times New Roman" w:cs="Times New Roman" w:eastAsia="Times New Roman" w:hAnsi="Times New Roman"/>
          <w:sz w:val="17"/>
          <w:szCs w:val="17"/>
          <w:color w:val="auto"/>
        </w:rPr>
        <w:t>”) would directly or indirectly beneficially own (as such term is defined for purposes of Section 13 or Section 16 of the Exchange Act and the rules promulgated thereunder) in excess of 4.9% of the then outstanding Shares (the “</w:t>
      </w:r>
      <w:r>
        <w:rPr>
          <w:rFonts w:ascii="Times New Roman" w:cs="Times New Roman" w:eastAsia="Times New Roman" w:hAnsi="Times New Roman"/>
          <w:sz w:val="17"/>
          <w:szCs w:val="17"/>
          <w:b w:val="1"/>
          <w:bCs w:val="1"/>
          <w:i w:val="1"/>
          <w:iCs w:val="1"/>
          <w:color w:val="auto"/>
        </w:rPr>
        <w:t>Threshold Number of Shares</w:t>
      </w:r>
      <w:r>
        <w:rPr>
          <w:rFonts w:ascii="Times New Roman" w:cs="Times New Roman" w:eastAsia="Times New Roman" w:hAnsi="Times New Roman"/>
          <w:sz w:val="17"/>
          <w:szCs w:val="17"/>
          <w:color w:val="auto"/>
        </w:rPr>
        <w:t>”), (iii) Dealer would hold 5% or more of the number of Shares of Counterparty’s outstanding common stock or 5% or more of Counterparty’s outstanding voting power (the “</w:t>
      </w:r>
      <w:r>
        <w:rPr>
          <w:rFonts w:ascii="Times New Roman" w:cs="Times New Roman" w:eastAsia="Times New Roman" w:hAnsi="Times New Roman"/>
          <w:sz w:val="17"/>
          <w:szCs w:val="17"/>
          <w:b w:val="1"/>
          <w:bCs w:val="1"/>
          <w:i w:val="1"/>
          <w:iCs w:val="1"/>
          <w:color w:val="auto"/>
        </w:rPr>
        <w:t>Exchange Limit</w:t>
      </w:r>
      <w:r>
        <w:rPr>
          <w:rFonts w:ascii="Times New Roman" w:cs="Times New Roman" w:eastAsia="Times New Roman" w:hAnsi="Times New Roman"/>
          <w:sz w:val="17"/>
          <w:szCs w:val="17"/>
          <w:color w:val="auto"/>
        </w:rPr>
        <w:t>”) or (iv) such acquisition would result in a violation of any restriction on ownership or transfer set forth in Article VII of the Charter (the “</w:t>
      </w:r>
      <w:r>
        <w:rPr>
          <w:rFonts w:ascii="Times New Roman" w:cs="Times New Roman" w:eastAsia="Times New Roman" w:hAnsi="Times New Roman"/>
          <w:sz w:val="17"/>
          <w:szCs w:val="17"/>
          <w:b w:val="1"/>
          <w:bCs w:val="1"/>
          <w:i w:val="1"/>
          <w:iCs w:val="1"/>
          <w:color w:val="auto"/>
        </w:rPr>
        <w:t>Counterparty Stock Ownership Restrictions</w:t>
      </w:r>
      <w:r>
        <w:rPr>
          <w:rFonts w:ascii="Times New Roman" w:cs="Times New Roman" w:eastAsia="Times New Roman" w:hAnsi="Times New Roman"/>
          <w:sz w:val="17"/>
          <w:szCs w:val="17"/>
          <w:color w:val="auto"/>
        </w:rPr>
        <w:t>”). Any purported delivery hereunder shall be void and have no effect to the extent (but only to the extent) that, after such delivery, (i) the Share Amount would exceed the Post-Effective Limit, (ii) the Dealer Group would directly or indirectly so beneficially own in excess of the Threshold Number of Shares, (iii) Dealer would directly or indirectly hold in excess of the Exchange Limit or (iv) such delivery would result in a violation of the Counterparty Stock Ownership Restrictions. If any delivery owed to Dealer hereunder is not made, in whole or in part, as a result of this provision, Counterparty’s obligation to make such delivery shall not be extinguished and Counterparty shall make such delivery as promptly as practicable after, but in no event later than one Scheduled Trading Day after, Dealer gives notice to Counterparty that, after such delivery, (i) the Share Amount would not exceed the Post-Effective Limit, (ii) the Dealer Group would not directly or indirectly so beneficially own in excess of the Threshold Number of Shares, (iii) Dealer would not directly or indirectly hold in excess of the Exchange Limit and (iv) such delivery would not result in a violation of the Counterparty Stock Ownership Restrictions.</w:t>
      </w:r>
    </w:p>
    <w:p>
      <w:pPr>
        <w:spacing w:after="0" w:line="33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B-1-25</w:t>
      </w:r>
    </w:p>
    <w:p>
      <w:pPr>
        <w:sectPr>
          <w:pgSz w:w="11900" w:h="16838" w:orient="portrait"/>
          <w:cols w:equalWidth="0" w:num="1">
            <w:col w:w="10560"/>
          </w:cols>
          <w:pgMar w:left="880" w:top="270" w:right="459" w:bottom="1440" w:gutter="0" w:footer="0" w:header="0"/>
        </w:sectPr>
      </w:pPr>
    </w:p>
    <w:bookmarkStart w:id="103" w:name="page104"/>
    <w:bookmarkEnd w:id="103"/>
    <w:p>
      <w:pPr>
        <w:ind w:left="4" w:right="14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notwithstanding anything herein to the contrary, if any delivery owed to Dealer hereunder is not made, in whole or in part, as a result of the immediately preceding paragraph, Dealer shall be permitted to make any payment due in respect of such Shares to Counterparty in two or more tranches that correspond in amount to the number of Shares delivered by Counterparty to Dealer pursuant to the immediately preceding paragraph.</w:t>
      </w:r>
    </w:p>
    <w:p>
      <w:pPr>
        <w:spacing w:after="0" w:line="7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Dealer represents and warrants that, as of the Trade Date, if Dealer received the maximum number of Shares hereunder assuming both</w:t>
      </w:r>
    </w:p>
    <w:p>
      <w:pPr>
        <w:spacing w:after="0" w:line="27" w:lineRule="exact"/>
        <w:rPr>
          <w:sz w:val="20"/>
          <w:szCs w:val="20"/>
          <w:color w:val="auto"/>
        </w:rPr>
      </w:pPr>
    </w:p>
    <w:p>
      <w:pPr>
        <w:ind w:left="4" w:hanging="4"/>
        <w:spacing w:after="0" w:line="260" w:lineRule="auto"/>
        <w:tabs>
          <w:tab w:leader="none" w:pos="2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Settlement applies and (ii) no restrictions on the delivery of Shares hereunder were applicable, then the Counterparty Stock Ownership Restrictions would not apply so as to limit the number of Shares that Dealer could receive hereunder.</w:t>
      </w:r>
    </w:p>
    <w:p>
      <w:pPr>
        <w:spacing w:after="0" w:line="73" w:lineRule="exact"/>
        <w:rPr>
          <w:rFonts w:ascii="Times New Roman" w:cs="Times New Roman" w:eastAsia="Times New Roman" w:hAnsi="Times New Roman"/>
          <w:sz w:val="18"/>
          <w:szCs w:val="18"/>
          <w:color w:val="auto"/>
        </w:rPr>
      </w:pPr>
    </w:p>
    <w:p>
      <w:pPr>
        <w:ind w:left="4" w:right="140" w:firstLine="419"/>
        <w:spacing w:after="0" w:line="266" w:lineRule="auto"/>
        <w:tabs>
          <w:tab w:leader="none" w:pos="651"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Each of Dealer and Counterparty agrees and represents that it is an “eligible contract participant” as defined in Section 1a(18) of the U.S. Commodity Exchange Act, as amended (the “</w:t>
      </w:r>
      <w:r>
        <w:rPr>
          <w:rFonts w:ascii="Times New Roman" w:cs="Times New Roman" w:eastAsia="Times New Roman" w:hAnsi="Times New Roman"/>
          <w:sz w:val="18"/>
          <w:szCs w:val="18"/>
          <w:b w:val="1"/>
          <w:bCs w:val="1"/>
          <w:i w:val="1"/>
          <w:iCs w:val="1"/>
          <w:color w:val="auto"/>
        </w:rPr>
        <w:t>CEA</w:t>
      </w:r>
      <w:r>
        <w:rPr>
          <w:rFonts w:ascii="Times New Roman" w:cs="Times New Roman" w:eastAsia="Times New Roman" w:hAnsi="Times New Roman"/>
          <w:sz w:val="18"/>
          <w:szCs w:val="18"/>
          <w:color w:val="auto"/>
        </w:rPr>
        <w:t>”), the Agreement and this Transaction are subject to individual negotiation by the parties and have not been executed or traded on a “trading facility” as defined in Section 1a(51) of the CEA.</w:t>
      </w:r>
    </w:p>
    <w:p>
      <w:pPr>
        <w:spacing w:after="0" w:line="67" w:lineRule="exact"/>
        <w:rPr>
          <w:rFonts w:ascii="Times New Roman" w:cs="Times New Roman" w:eastAsia="Times New Roman" w:hAnsi="Times New Roman"/>
          <w:sz w:val="18"/>
          <w:szCs w:val="18"/>
          <w:color w:val="auto"/>
        </w:rPr>
      </w:pPr>
    </w:p>
    <w:p>
      <w:pPr>
        <w:ind w:left="4" w:firstLine="419"/>
        <w:spacing w:after="0" w:line="258" w:lineRule="auto"/>
        <w:tabs>
          <w:tab w:leader="none" w:pos="661"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Bankruptcy Status</w:t>
      </w:r>
      <w:r>
        <w:rPr>
          <w:rFonts w:ascii="Times New Roman" w:cs="Times New Roman" w:eastAsia="Times New Roman" w:hAnsi="Times New Roman"/>
          <w:sz w:val="18"/>
          <w:szCs w:val="18"/>
          <w:color w:val="auto"/>
        </w:rPr>
        <w:t xml:space="preserve">. Subject to Paragraph 7(m) above, Dealer acknowledges and agrees that this Confirmation is not intended to convey to Dealer rights with respect to the transactions contemplated hereby that are senior to the claims of Counterparty’s common stockholders in any U.S. bankruptcy proceedings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herein shall be deemed to limit Dealer’s right to pursue remedies in the event of a breach by Counterparty of its obligations and agreements with respect to this Confirmation and the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nothing herein shall limit or shall be deemed to limit Dealer’s rights in respect of any transaction other than this Transaction.</w:t>
      </w:r>
    </w:p>
    <w:p>
      <w:pPr>
        <w:spacing w:after="0" w:line="75" w:lineRule="exact"/>
        <w:rPr>
          <w:rFonts w:ascii="Times New Roman" w:cs="Times New Roman" w:eastAsia="Times New Roman" w:hAnsi="Times New Roman"/>
          <w:sz w:val="18"/>
          <w:szCs w:val="18"/>
          <w:color w:val="auto"/>
        </w:rPr>
      </w:pPr>
    </w:p>
    <w:p>
      <w:pPr>
        <w:ind w:left="4" w:firstLine="419"/>
        <w:spacing w:after="0" w:line="255" w:lineRule="auto"/>
        <w:tabs>
          <w:tab w:leader="none" w:pos="641"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Collateral or Setoff</w:t>
      </w:r>
      <w:r>
        <w:rPr>
          <w:rFonts w:ascii="Times New Roman" w:cs="Times New Roman" w:eastAsia="Times New Roman" w:hAnsi="Times New Roman"/>
          <w:sz w:val="18"/>
          <w:szCs w:val="18"/>
          <w:color w:val="auto"/>
        </w:rPr>
        <w:t>. Notwithstanding Section 6(f) or any other provision of the Agreement or any other agreement between the parties to the contrary, the obligations of Counterparty hereunder are not secured by any collateral. Obligations in respect of this Transaction shall not be set off against any other obligations of the parties, whether arising under the Agreement, this Confirmation, under any other agreement between the parties hereto, by operation of law or otherwise, and no other obligations of the parties shall be set off against obligations in respect of this Transaction, whether arising under the Agreement, this Confirmation, under any other agreement between the parties hereto, by operation of law or otherwise, and each party hereby waives any such right of setoff, except that set-off solely with respect to amounts payable under this Transaction and any and all Additional Transactions governed by the Agreement shall be permissible.</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B-1-26</w:t>
      </w:r>
    </w:p>
    <w:p>
      <w:pPr>
        <w:sectPr>
          <w:pgSz w:w="11900" w:h="16838" w:orient="portrait"/>
          <w:cols w:equalWidth="0" w:num="1">
            <w:col w:w="10564"/>
          </w:cols>
          <w:pgMar w:left="876" w:top="270" w:right="459" w:bottom="1440" w:gutter="0" w:footer="0" w:header="0"/>
        </w:sectPr>
      </w:pPr>
    </w:p>
    <w:bookmarkStart w:id="104" w:name="page105"/>
    <w:bookmarkEnd w:id="104"/>
    <w:p>
      <w:pPr>
        <w:ind w:left="261" w:hanging="261"/>
        <w:spacing w:after="0"/>
        <w:tabs>
          <w:tab w:leader="none" w:pos="26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Matters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right="40" w:firstLine="408"/>
        <w:spacing w:after="0" w:line="253" w:lineRule="auto"/>
        <w:tabs>
          <w:tab w:leader="none" w:pos="73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Payer Tax Representations</w:t>
      </w:r>
      <w:r>
        <w:rPr>
          <w:rFonts w:ascii="Times New Roman" w:cs="Times New Roman" w:eastAsia="Times New Roman" w:hAnsi="Times New Roman"/>
          <w:sz w:val="18"/>
          <w:szCs w:val="18"/>
          <w:color w:val="auto"/>
        </w:rPr>
        <w:t>. For the purpose of Section 3(e) of the Agreement, each of Dealer and Counterparty makes the following representation: It is not required by any applicable law, as modified by the practice of any relevant governmental revenue authority, of any Relevant Jurisdiction to make any deduction or withholding for or on account of any Tax from any payment (other than interest under Section 9(h) of the Agreement or amounts payable hereunder that may be considered to be interest for U.S. federal income tax purposes) to be made by it to the other party under the Agreement. In making this representation, it may rely on (A) the accuracy of any representations made by the other party pursuant to Section 3(f) of the Agreement, (B) the satisfaction of the agreement contained in Section 4(a)(i) or Section 4(a)(iii) of the Agreement and the accuracy and effectiveness of any document provided by the other party pursuant to Section 4(a)(i) or Section 4(a)(iii) of the Agreement and (C) the satisfaction of the agreement of the other party contained in Section 4(d) of the Agreement, except that it will not be a breach of this representation where reliance is placed on clause (B) above and the other party does not deliver a form or document under Section 4(a)(iii) of the Agreement by reason of material prejudice to its legal or commercial position.</w:t>
      </w:r>
    </w:p>
    <w:p>
      <w:pPr>
        <w:spacing w:after="0" w:line="83" w:lineRule="exact"/>
        <w:rPr>
          <w:rFonts w:ascii="Times New Roman" w:cs="Times New Roman" w:eastAsia="Times New Roman" w:hAnsi="Times New Roman"/>
          <w:sz w:val="18"/>
          <w:szCs w:val="18"/>
          <w:color w:val="auto"/>
        </w:rPr>
      </w:pPr>
    </w:p>
    <w:p>
      <w:pPr>
        <w:ind w:left="801" w:hanging="272"/>
        <w:spacing w:after="0"/>
        <w:tabs>
          <w:tab w:leader="none" w:pos="80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Payee Tax Representations</w:t>
      </w:r>
      <w:r>
        <w:rPr>
          <w:rFonts w:ascii="Times New Roman" w:cs="Times New Roman" w:eastAsia="Times New Roman" w:hAnsi="Times New Roman"/>
          <w:sz w:val="18"/>
          <w:szCs w:val="18"/>
          <w:color w:val="auto"/>
        </w:rPr>
        <w:t>. For the purpose of Section 3(f) of the Agreement:</w:t>
      </w:r>
    </w:p>
    <w:p>
      <w:pPr>
        <w:spacing w:after="0" w:line="117"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8"/>
          <w:szCs w:val="18"/>
          <w:color w:val="auto"/>
        </w:rPr>
        <w:t>(1) Dealer makes the following representations:</w:t>
      </w:r>
    </w:p>
    <w:p>
      <w:pPr>
        <w:spacing w:after="0" w:line="131" w:lineRule="exact"/>
        <w:rPr>
          <w:sz w:val="20"/>
          <w:szCs w:val="20"/>
          <w:color w:val="auto"/>
        </w:rPr>
      </w:pPr>
    </w:p>
    <w:p>
      <w:pPr>
        <w:ind w:left="1101" w:hanging="533"/>
        <w:spacing w:after="0" w:line="255" w:lineRule="auto"/>
        <w:tabs>
          <w:tab w:leader="none" w:pos="110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It is a national banking association organized and existing under the laws of the United States of America. (ii) It is an exempt recipient under section 1.6049-4(c)(1)(ii)(M) of the United States Treasury Regulations. (iii) It is a “U.S. person” (as that term is used in section 1.1441-4(a)(3)(ii) of the United States Treasury Regulations) for U.S. federal income tax purposes.] [It is a limited liability company organized and existing under the laws of the State of Delaware and is treated as a disregarded entity of a New York corporation for U.S. federal income tax purposes.] [It is a national banking association organized or formed under the laws of the United States and is a United States resident for United States federal income tax purposes.] [ ● ]</w:t>
      </w:r>
    </w:p>
    <w:p>
      <w:pPr>
        <w:spacing w:after="0" w:line="81"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8"/>
          <w:szCs w:val="18"/>
          <w:color w:val="auto"/>
        </w:rPr>
        <w:t>(2) Counterparty makes the following representations:</w:t>
      </w:r>
    </w:p>
    <w:p>
      <w:pPr>
        <w:spacing w:after="0" w:line="131" w:lineRule="exact"/>
        <w:rPr>
          <w:sz w:val="20"/>
          <w:szCs w:val="20"/>
          <w:color w:val="auto"/>
        </w:rPr>
      </w:pPr>
    </w:p>
    <w:p>
      <w:pPr>
        <w:ind w:left="1101" w:hanging="533"/>
        <w:spacing w:after="0" w:line="282" w:lineRule="auto"/>
        <w:tabs>
          <w:tab w:leader="none" w:pos="110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“U.S. person” (as that term is used in section 1.1441-4(a)(3)(ii) of United States Treasury Regulations) for U.S. federal income tax purposes.</w:t>
      </w:r>
    </w:p>
    <w:p>
      <w:pPr>
        <w:spacing w:after="0" w:line="94" w:lineRule="exact"/>
        <w:rPr>
          <w:sz w:val="20"/>
          <w:szCs w:val="20"/>
          <w:color w:val="auto"/>
        </w:rPr>
      </w:pPr>
    </w:p>
    <w:p>
      <w:pPr>
        <w:ind w:left="4381"/>
        <w:spacing w:after="0"/>
        <w:rPr>
          <w:sz w:val="20"/>
          <w:szCs w:val="20"/>
          <w:color w:val="auto"/>
        </w:rPr>
      </w:pPr>
      <w:r>
        <w:rPr>
          <w:rFonts w:ascii="Times New Roman" w:cs="Times New Roman" w:eastAsia="Times New Roman" w:hAnsi="Times New Roman"/>
          <w:sz w:val="18"/>
          <w:szCs w:val="18"/>
          <w:color w:val="auto"/>
        </w:rPr>
        <w:t>B-1-27</w:t>
      </w:r>
    </w:p>
    <w:p>
      <w:pPr>
        <w:sectPr>
          <w:pgSz w:w="11900" w:h="16838" w:orient="portrait"/>
          <w:cols w:equalWidth="0" w:num="1">
            <w:col w:w="10101"/>
          </w:cols>
          <w:pgMar w:left="1299" w:top="270" w:right="499" w:bottom="1440" w:gutter="0" w:footer="0" w:header="0"/>
        </w:sectPr>
      </w:pPr>
    </w:p>
    <w:bookmarkStart w:id="105" w:name="page106"/>
    <w:bookmarkEnd w:id="105"/>
    <w:p>
      <w:pPr>
        <w:ind w:left="980" w:right="600" w:hanging="533"/>
        <w:spacing w:after="0" w:line="282"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is a real estate investment trust for U.S. federal income tax purposes and is organized under the laws of the State of Maryland, and is an exempt recipient under section 1.6049-4(c)(1)(ii)(J) of the United States Treasury Regulations.</w:t>
      </w:r>
    </w:p>
    <w:p>
      <w:pPr>
        <w:spacing w:after="0" w:line="54" w:lineRule="exact"/>
        <w:rPr>
          <w:sz w:val="20"/>
          <w:szCs w:val="20"/>
          <w:color w:val="auto"/>
        </w:rPr>
      </w:pPr>
    </w:p>
    <w:p>
      <w:pPr>
        <w:ind w:right="140" w:firstLine="408"/>
        <w:spacing w:after="0" w:line="261" w:lineRule="auto"/>
        <w:tabs>
          <w:tab w:leader="none" w:pos="71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 imposed on payments to non-U.S. counterparties under the United States Foreign Account Tax Compliance Act</w:t>
      </w:r>
      <w:r>
        <w:rPr>
          <w:rFonts w:ascii="Times New Roman" w:cs="Times New Roman" w:eastAsia="Times New Roman" w:hAnsi="Times New Roman"/>
          <w:sz w:val="18"/>
          <w:szCs w:val="18"/>
          <w:color w:val="auto"/>
        </w:rPr>
        <w:t>. “Tax” and “Indemnifiable Tax”, each as defined in Section 14 of the Agreement, shall not include any FATCA Withholding Tax. For the avoidance of doubt, a FATCA Withholding Tax is a Tax the deduction or withholding of which is required by applicable law for the purposes of Section 2(d) of the Agreement.</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117" w:lineRule="exact"/>
        <w:rPr>
          <w:sz w:val="20"/>
          <w:szCs w:val="20"/>
          <w:color w:val="auto"/>
        </w:rPr>
      </w:pPr>
    </w:p>
    <w:p>
      <w:pPr>
        <w:ind w:firstLine="40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FATCA Withholding Tax</w:t>
      </w:r>
      <w:r>
        <w:rPr>
          <w:rFonts w:ascii="Times New Roman" w:cs="Times New Roman" w:eastAsia="Times New Roman" w:hAnsi="Times New Roman"/>
          <w:sz w:val="18"/>
          <w:szCs w:val="18"/>
          <w:color w:val="auto"/>
        </w:rPr>
        <w:t>” means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w:t>
      </w:r>
    </w:p>
    <w:p>
      <w:pPr>
        <w:spacing w:after="0" w:line="72" w:lineRule="exact"/>
        <w:rPr>
          <w:sz w:val="20"/>
          <w:szCs w:val="20"/>
          <w:color w:val="auto"/>
        </w:rPr>
      </w:pPr>
    </w:p>
    <w:p>
      <w:pPr>
        <w:ind w:right="60" w:firstLine="408"/>
        <w:spacing w:after="0" w:line="253" w:lineRule="auto"/>
        <w:tabs>
          <w:tab w:leader="none" w:pos="70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HIRE Act</w:t>
      </w:r>
      <w:r>
        <w:rPr>
          <w:rFonts w:ascii="Times New Roman" w:cs="Times New Roman" w:eastAsia="Times New Roman" w:hAnsi="Times New Roman"/>
          <w:sz w:val="18"/>
          <w:szCs w:val="18"/>
          <w:color w:val="auto"/>
        </w:rPr>
        <w:t xml:space="preserve">. To the extent that either party to the Agreement with respect to this Transaction is not an adhering party to the ISDA 2015 Section 871(m) Protocol published by the ISDA on November 2, 2015 and available at </w:t>
      </w:r>
      <w:r>
        <w:rPr>
          <w:rFonts w:ascii="Times New Roman" w:cs="Times New Roman" w:eastAsia="Times New Roman" w:hAnsi="Times New Roman"/>
          <w:sz w:val="18"/>
          <w:szCs w:val="18"/>
          <w:u w:val="single" w:color="auto"/>
          <w:color w:val="auto"/>
        </w:rPr>
        <w:t>www.isda.org</w:t>
      </w:r>
      <w:r>
        <w:rPr>
          <w:rFonts w:ascii="Times New Roman" w:cs="Times New Roman" w:eastAsia="Times New Roman" w:hAnsi="Times New Roman"/>
          <w:sz w:val="18"/>
          <w:szCs w:val="18"/>
          <w:color w:val="auto"/>
        </w:rPr>
        <w:t>, as may be amended, supplemented, replaced or superseded from time to time (the “</w:t>
      </w:r>
      <w:r>
        <w:rPr>
          <w:rFonts w:ascii="Times New Roman" w:cs="Times New Roman" w:eastAsia="Times New Roman" w:hAnsi="Times New Roman"/>
          <w:sz w:val="18"/>
          <w:szCs w:val="18"/>
          <w:b w:val="1"/>
          <w:bCs w:val="1"/>
          <w:i w:val="1"/>
          <w:iCs w:val="1"/>
          <w:color w:val="auto"/>
        </w:rPr>
        <w:t>871(m) Protocol</w:t>
      </w:r>
      <w:r>
        <w:rPr>
          <w:rFonts w:ascii="Times New Roman" w:cs="Times New Roman" w:eastAsia="Times New Roman" w:hAnsi="Times New Roman"/>
          <w:sz w:val="18"/>
          <w:szCs w:val="18"/>
          <w:color w:val="auto"/>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 For greater certainty, if there is any inconsistency between this provision and the provisions contained in any other agreement between the parties with respect to this Transaction, this provision shall prevail unless such other agreement expressly overrides the provisions of the Attachment to the 871(m) Protocol.</w:t>
      </w:r>
    </w:p>
    <w:p>
      <w:pPr>
        <w:spacing w:after="0" w:line="86" w:lineRule="exact"/>
        <w:rPr>
          <w:rFonts w:ascii="Times New Roman" w:cs="Times New Roman" w:eastAsia="Times New Roman" w:hAnsi="Times New Roman"/>
          <w:sz w:val="18"/>
          <w:szCs w:val="18"/>
          <w:color w:val="auto"/>
        </w:rPr>
      </w:pPr>
    </w:p>
    <w:p>
      <w:pPr>
        <w:ind w:right="120" w:firstLine="408"/>
        <w:spacing w:after="0" w:line="258"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Documentation</w:t>
      </w:r>
      <w:r>
        <w:rPr>
          <w:rFonts w:ascii="Times New Roman" w:cs="Times New Roman" w:eastAsia="Times New Roman" w:hAnsi="Times New Roman"/>
          <w:sz w:val="18"/>
          <w:szCs w:val="18"/>
          <w:color w:val="auto"/>
        </w:rPr>
        <w:t>. For the purposes of Sections 4(a)(i) and 4(a)(ii) of the Agreement, Counterparty shall provide to Dealer a valid and duly executed U.S. Internal Revenue Service Form W-9, or any successor thereto, completed accurately and in a manner reasonably acceptable to Dealer and, in particular, with the “C Corporation” box checked on line 3 thereof (i) on or before the date of execution of this Confirmation; (ii) promptly upon reasonable demand by Dealer; and (iii) promptly upon learning that any such tax form previously provided by Counterparty has become inaccurate or incorrect.</w:t>
      </w:r>
    </w:p>
    <w:p>
      <w:pPr>
        <w:spacing w:after="0" w:line="11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B-1-28</w:t>
      </w:r>
    </w:p>
    <w:p>
      <w:pPr>
        <w:sectPr>
          <w:pgSz w:w="11900" w:h="16838" w:orient="portrait"/>
          <w:cols w:equalWidth="0" w:num="1">
            <w:col w:w="10020"/>
          </w:cols>
          <w:pgMar w:left="1420" w:top="270" w:right="459" w:bottom="1440" w:gutter="0" w:footer="0" w:header="0"/>
        </w:sectPr>
      </w:pPr>
    </w:p>
    <w:bookmarkStart w:id="106" w:name="page107"/>
    <w:bookmarkEnd w:id="106"/>
    <w:p>
      <w:pPr>
        <w:ind w:left="540" w:right="120" w:firstLine="401"/>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purposes of Sections 4(a)(i) and 4(a)(ii) of the Agreement, Dealer shall provide to Counterparty a valid and duly executed U.S. Internal Revenue Service Form W-9 or W-8ECI, or any successor thereto, completed accurately and in a manner reasonably acceptable to Counterparty and, in particular, with the “C Corporation” or “Corporation” box checked on line 3 or 4 thereof, respectively,</w:t>
      </w:r>
    </w:p>
    <w:p>
      <w:pPr>
        <w:spacing w:after="0" w:line="2" w:lineRule="exact"/>
        <w:rPr>
          <w:sz w:val="20"/>
          <w:szCs w:val="20"/>
          <w:color w:val="auto"/>
        </w:rPr>
      </w:pPr>
    </w:p>
    <w:p>
      <w:pPr>
        <w:ind w:left="540" w:firstLine="7"/>
        <w:spacing w:after="0" w:line="260" w:lineRule="auto"/>
        <w:tabs>
          <w:tab w:leader="none" w:pos="755"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date of execution of this Confirmation; (ii) promptly upon reasonable demand by Counterparty; and (iii) promptly upon learning that any such tax form previously provided by Dealer has become inaccurate or incorrect.</w:t>
      </w:r>
    </w:p>
    <w:p>
      <w:pPr>
        <w:spacing w:after="0" w:line="73" w:lineRule="exact"/>
        <w:rPr>
          <w:rFonts w:ascii="Times New Roman" w:cs="Times New Roman" w:eastAsia="Times New Roman" w:hAnsi="Times New Roman"/>
          <w:sz w:val="18"/>
          <w:szCs w:val="18"/>
          <w:color w:val="auto"/>
        </w:rPr>
      </w:pPr>
    </w:p>
    <w:p>
      <w:pPr>
        <w:ind w:left="540" w:right="100" w:firstLine="408"/>
        <w:spacing w:after="0" w:line="261" w:lineRule="auto"/>
        <w:tabs>
          <w:tab w:leader="none" w:pos="1245"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Account</w:t>
      </w:r>
      <w:r>
        <w:rPr>
          <w:rFonts w:ascii="Times New Roman" w:cs="Times New Roman" w:eastAsia="Times New Roman" w:hAnsi="Times New Roman"/>
          <w:sz w:val="18"/>
          <w:szCs w:val="18"/>
          <w:color w:val="auto"/>
        </w:rPr>
        <w:t>. Section 2(b) of the Agreement is hereby amended by the addition of the following after the word “change” in the fourth line thereof: “; provided that if any new account of one party is not in the same tax jurisdiction as the original account, the other party shall not be obliged to pay, for tax reasons, any greater amount and shall not be obliged to accept any lesser amount as a result of such change than would have been the case if such change had not taken place.”</w:t>
      </w:r>
    </w:p>
    <w:p>
      <w:pPr>
        <w:spacing w:after="0" w:line="71" w:lineRule="exact"/>
        <w:rPr>
          <w:rFonts w:ascii="Times New Roman" w:cs="Times New Roman" w:eastAsia="Times New Roman" w:hAnsi="Times New Roman"/>
          <w:sz w:val="18"/>
          <w:szCs w:val="18"/>
          <w:color w:val="auto"/>
        </w:rPr>
      </w:pPr>
    </w:p>
    <w:p>
      <w:pPr>
        <w:ind w:left="540" w:firstLine="408"/>
        <w:spacing w:after="0" w:line="266" w:lineRule="auto"/>
        <w:tabs>
          <w:tab w:leader="none" w:pos="1295"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Deduction or Withholding for Tax</w:t>
      </w:r>
      <w:r>
        <w:rPr>
          <w:rFonts w:ascii="Times New Roman" w:cs="Times New Roman" w:eastAsia="Times New Roman" w:hAnsi="Times New Roman"/>
          <w:sz w:val="18"/>
          <w:szCs w:val="18"/>
          <w:color w:val="auto"/>
        </w:rPr>
        <w:t>. Sections 2(d)(i), 2(d)(i)(4), 2(d)(ii)(1) of the Agreement are hereby amended by replacing the words “pay,” “paid,” “payment” or “payments” with the words “pay or deliver,” “paid or delivered,” “payment or delivery” or “payments or deliveries,” respectively.</w:t>
      </w:r>
    </w:p>
    <w:p>
      <w:pPr>
        <w:spacing w:after="0" w:line="67" w:lineRule="exact"/>
        <w:rPr>
          <w:rFonts w:ascii="Times New Roman" w:cs="Times New Roman" w:eastAsia="Times New Roman" w:hAnsi="Times New Roman"/>
          <w:sz w:val="18"/>
          <w:szCs w:val="18"/>
          <w:color w:val="auto"/>
        </w:rPr>
      </w:pPr>
    </w:p>
    <w:p>
      <w:pPr>
        <w:ind w:right="100" w:firstLine="419"/>
        <w:spacing w:after="0" w:line="256" w:lineRule="auto"/>
        <w:tabs>
          <w:tab w:leader="none" w:pos="67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Wall Street Transparency and Accountability Act of 2010</w:t>
      </w:r>
      <w:r>
        <w:rPr>
          <w:rFonts w:ascii="Times New Roman" w:cs="Times New Roman" w:eastAsia="Times New Roman" w:hAnsi="Times New Roman"/>
          <w:sz w:val="18"/>
          <w:szCs w:val="18"/>
          <w:color w:val="auto"/>
        </w:rPr>
        <w:t>. The parties hereby agree that none of (i) Section 739 of the WSTAA, (ii) any similar legal certainty provision included in any legislation enacted, or rule or regulation promulgated, on or after the Trade Date, (iii) the enactment of the WSTAA or any regulation under the WSTAA, (iv) any requirement under the WSTAA or (v) any amendment made by the WSTAA shall limit or otherwise impair either party’s right to terminate, renegotiate, modify, amend or supplement this Confirmation or the Agreement, as applicable, arising from a termination event, force majeure, illegality, increased cost, regulatory change or similar event under this Confirmation, the Equity Definitions or the Agreement (including, but not limited to, any right arising from any Acceleration Event).</w:t>
      </w:r>
    </w:p>
    <w:p>
      <w:pPr>
        <w:spacing w:after="0" w:line="79" w:lineRule="exact"/>
        <w:rPr>
          <w:rFonts w:ascii="Times New Roman" w:cs="Times New Roman" w:eastAsia="Times New Roman" w:hAnsi="Times New Roman"/>
          <w:sz w:val="18"/>
          <w:szCs w:val="18"/>
          <w:color w:val="auto"/>
        </w:rPr>
      </w:pPr>
    </w:p>
    <w:p>
      <w:pPr>
        <w:ind w:right="60" w:firstLine="419"/>
        <w:spacing w:after="0" w:line="255" w:lineRule="auto"/>
        <w:tabs>
          <w:tab w:leader="none" w:pos="71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Forwards / Dealers</w:t>
      </w:r>
      <w:r>
        <w:rPr>
          <w:rFonts w:ascii="Times New Roman" w:cs="Times New Roman" w:eastAsia="Times New Roman" w:hAnsi="Times New Roman"/>
          <w:sz w:val="18"/>
          <w:szCs w:val="18"/>
          <w:color w:val="auto"/>
        </w:rPr>
        <w:t>. Dealer acknowledges that Counterparty has entered or may enter in the future into one or more substantially similar forward transactions for the Shares (each, an “</w:t>
      </w:r>
      <w:r>
        <w:rPr>
          <w:rFonts w:ascii="Times New Roman" w:cs="Times New Roman" w:eastAsia="Times New Roman" w:hAnsi="Times New Roman"/>
          <w:sz w:val="18"/>
          <w:szCs w:val="18"/>
          <w:b w:val="1"/>
          <w:bCs w:val="1"/>
          <w:i w:val="1"/>
          <w:iCs w:val="1"/>
          <w:color w:val="auto"/>
        </w:rPr>
        <w:t>Other Forward</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Other Forwards</w:t>
      </w:r>
      <w:r>
        <w:rPr>
          <w:rFonts w:ascii="Times New Roman" w:cs="Times New Roman" w:eastAsia="Times New Roman" w:hAnsi="Times New Roman"/>
          <w:sz w:val="18"/>
          <w:szCs w:val="18"/>
          <w:color w:val="auto"/>
        </w:rPr>
        <w:t>”) with one or more other dealers. Dealer and Counterparty agree that if Counterparty designates a “Settlement Date” with respect to one or more Other Forwards for which “Cash Settlement” or “Net Share Settlement” is applicable, and the resulting “Unwind Period” for such Other Forwards coincides for any period of time with an Unwind Period for this Transaction (the “</w:t>
      </w:r>
      <w:r>
        <w:rPr>
          <w:rFonts w:ascii="Times New Roman" w:cs="Times New Roman" w:eastAsia="Times New Roman" w:hAnsi="Times New Roman"/>
          <w:sz w:val="18"/>
          <w:szCs w:val="18"/>
          <w:b w:val="1"/>
          <w:bCs w:val="1"/>
          <w:i w:val="1"/>
          <w:iCs w:val="1"/>
          <w:color w:val="auto"/>
        </w:rPr>
        <w:t>Overlap Unwind Period</w:t>
      </w:r>
      <w:r>
        <w:rPr>
          <w:rFonts w:ascii="Times New Roman" w:cs="Times New Roman" w:eastAsia="Times New Roman" w:hAnsi="Times New Roman"/>
          <w:sz w:val="18"/>
          <w:szCs w:val="18"/>
          <w:color w:val="auto"/>
        </w:rPr>
        <w:t>”), Counterparty shall notify Dealer at least one Scheduled Trading Day prior to the commencement of such Overlap Unwind Period of the first Scheduled Trading Day and length of such Overlap Unwind Period, and Dealer shall be permitted to purchase Shares to unwind its commercially reasonable hedge in a</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B-1-29</w:t>
      </w:r>
    </w:p>
    <w:p>
      <w:pPr>
        <w:sectPr>
          <w:pgSz w:w="11900" w:h="16838" w:orient="portrait"/>
          <w:cols w:equalWidth="0" w:num="1">
            <w:col w:w="10560"/>
          </w:cols>
          <w:pgMar w:left="880" w:top="270" w:right="459" w:bottom="1440" w:gutter="0" w:footer="0" w:header="0"/>
        </w:sectPr>
      </w:pPr>
    </w:p>
    <w:bookmarkStart w:id="107" w:name="page108"/>
    <w:bookmarkEnd w:id="107"/>
    <w:p>
      <w:pPr>
        <w:ind w:right="1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commercially reasonable manner in respect of this Transaction only on alternating Scheduled Trading Days during such Overlap Unwind Period, commencing on the first, second, third or later Scheduled Trading Day of such Overlap Unwind Period, as notified to Dealer by Counterparty at least one Business Day prior to such Overlap Unwind Period (which alternating Scheduled Trading Days, for the avoidance of doubt, may be every other Scheduled Trading Day if there is only one other dealer, every third Scheduled Trading Day if there are two other dealers, etc.).</w:t>
      </w:r>
    </w:p>
    <w:p>
      <w:pPr>
        <w:spacing w:after="0" w:line="56" w:lineRule="exact"/>
        <w:rPr>
          <w:sz w:val="20"/>
          <w:szCs w:val="20"/>
          <w:color w:val="auto"/>
        </w:rPr>
      </w:pPr>
    </w:p>
    <w:p>
      <w:pPr>
        <w:ind w:firstLine="419"/>
        <w:spacing w:after="0" w:line="256" w:lineRule="auto"/>
        <w:tabs>
          <w:tab w:leader="none" w:pos="67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Cash</w:t>
      </w:r>
      <w:r>
        <w:rPr>
          <w:rFonts w:ascii="Times New Roman" w:cs="Times New Roman" w:eastAsia="Times New Roman" w:hAnsi="Times New Roman"/>
          <w:sz w:val="18"/>
          <w:szCs w:val="18"/>
          <w:color w:val="auto"/>
        </w:rPr>
        <w:t>. For the avoidance of doubt, nothing in this Confirmation shall be interpreted as requiring Counterparty to deliver cash in respect of the settlement of this Transaction, except in circumstances where the required cash settlement thereof is permitted for classification of the contract as equity by ASC 815-40 (formerly EITF 00-19) as in effect on the Trade Date (including, without limitation, where Counterparty so elects to deliver cash or fails timely to elect to deliver Shares in respect of such settlement). For the avoidance of doubt, the preceding sentence shall not be construed as limiting (i) Paragraph 7(i) hereunder or (ii) any damages that may be payable by Counterparty as a result of breach of this Confirmation.</w:t>
      </w:r>
    </w:p>
    <w:p>
      <w:pPr>
        <w:spacing w:after="0" w:line="79"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420" w:firstLine="408"/>
        <w:spacing w:after="0" w:line="255" w:lineRule="auto"/>
        <w:tabs>
          <w:tab w:leader="none" w:pos="115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may be delivered via facsimile, electronic mail (including any electronic signature covered by the U.S. federal ESIGN Act of 2000, Uniform Electronic Transactions Act, the Electronic Signatures and Records Act or other applicable law, e.g., DocuSign [and AdobeSign] (any such signature, an “</w:t>
      </w:r>
      <w:r>
        <w:rPr>
          <w:rFonts w:ascii="Times New Roman" w:cs="Times New Roman" w:eastAsia="Times New Roman" w:hAnsi="Times New Roman"/>
          <w:sz w:val="18"/>
          <w:szCs w:val="18"/>
          <w:b w:val="1"/>
          <w:bCs w:val="1"/>
          <w:i w:val="1"/>
          <w:iCs w:val="1"/>
          <w:color w:val="auto"/>
        </w:rPr>
        <w:t>Electronic Signature</w:t>
      </w:r>
      <w:r>
        <w:rPr>
          <w:rFonts w:ascii="Times New Roman" w:cs="Times New Roman" w:eastAsia="Times New Roman" w:hAnsi="Times New Roman"/>
          <w:sz w:val="18"/>
          <w:szCs w:val="18"/>
          <w:color w:val="auto"/>
        </w:rPr>
        <w:t>”)) or other transmission method and any counterpart so delivered shall be deemed to have been duly and validly delivered and be valid and effective for all purposes. The words “execution,” “signed,” “signature” and words of like import in this Confirmation or in any other certificate, agreement or document related to this Confirmation shall include any Electronic Signature, except to the extent electronic notices are expressly prohibited under this Confirmation or the Agreement.</w:t>
      </w:r>
    </w:p>
    <w:p>
      <w:pPr>
        <w:spacing w:after="0" w:line="80" w:lineRule="exact"/>
        <w:rPr>
          <w:rFonts w:ascii="Times New Roman" w:cs="Times New Roman" w:eastAsia="Times New Roman" w:hAnsi="Times New Roman"/>
          <w:sz w:val="18"/>
          <w:szCs w:val="18"/>
          <w:color w:val="auto"/>
        </w:rPr>
      </w:pPr>
    </w:p>
    <w:p>
      <w:pPr>
        <w:ind w:left="540" w:right="320" w:firstLine="408"/>
        <w:spacing w:after="0" w:line="282" w:lineRule="auto"/>
        <w:tabs>
          <w:tab w:leader="none" w:pos="120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Agreement, either party may deliver to the other party a notice relating to any Event of Default or Termination Event under this Confirmation by e-mail.</w:t>
      </w:r>
    </w:p>
    <w:p>
      <w:pPr>
        <w:spacing w:after="0" w:line="54" w:lineRule="exact"/>
        <w:rPr>
          <w:sz w:val="20"/>
          <w:szCs w:val="20"/>
          <w:color w:val="auto"/>
        </w:rPr>
      </w:pPr>
    </w:p>
    <w:p>
      <w:pPr>
        <w:ind w:right="20" w:firstLine="423"/>
        <w:spacing w:after="0" w:line="255" w:lineRule="auto"/>
        <w:rPr>
          <w:sz w:val="20"/>
          <w:szCs w:val="20"/>
          <w:color w:val="auto"/>
        </w:rPr>
      </w:pPr>
      <w:r>
        <w:rPr>
          <w:rFonts w:ascii="Times New Roman" w:cs="Times New Roman" w:eastAsia="Times New Roman" w:hAnsi="Times New Roman"/>
          <w:sz w:val="18"/>
          <w:szCs w:val="18"/>
          <w:color w:val="auto"/>
        </w:rPr>
        <w:t xml:space="preserve">[(z) </w:t>
      </w:r>
      <w:r>
        <w:rPr>
          <w:rFonts w:ascii="Times New Roman" w:cs="Times New Roman" w:eastAsia="Times New Roman" w:hAnsi="Times New Roman"/>
          <w:sz w:val="18"/>
          <w:szCs w:val="18"/>
          <w:u w:val="single" w:color="auto"/>
          <w:color w:val="auto"/>
        </w:rPr>
        <w:t>U.S. Stay Regulations</w:t>
      </w:r>
      <w:r>
        <w:rPr>
          <w:rFonts w:ascii="Times New Roman" w:cs="Times New Roman" w:eastAsia="Times New Roman" w:hAnsi="Times New Roman"/>
          <w:sz w:val="18"/>
          <w:szCs w:val="18"/>
          <w:color w:val="auto"/>
        </w:rPr>
        <w:t>. To the extent that the QFC Stay Rules are applicable hereto, then the parties agree that (i) to the extent that prior to the date hereof both parties have adhered to the 2018 ISDA U.S. Resolution Stay Protocol (the “</w:t>
      </w:r>
      <w:r>
        <w:rPr>
          <w:rFonts w:ascii="Times New Roman" w:cs="Times New Roman" w:eastAsia="Times New Roman" w:hAnsi="Times New Roman"/>
          <w:sz w:val="18"/>
          <w:szCs w:val="18"/>
          <w:b w:val="1"/>
          <w:bCs w:val="1"/>
          <w:i w:val="1"/>
          <w:iCs w:val="1"/>
          <w:color w:val="auto"/>
        </w:rPr>
        <w:t>Protocol</w:t>
      </w:r>
      <w:r>
        <w:rPr>
          <w:rFonts w:ascii="Times New Roman" w:cs="Times New Roman" w:eastAsia="Times New Roman" w:hAnsi="Times New Roman"/>
          <w:sz w:val="18"/>
          <w:szCs w:val="18"/>
          <w:color w:val="auto"/>
        </w:rPr>
        <w:t>”), the terms of the Protocol are incorporated into and form a part of this Confirmation, and for such purposes this Confirmation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w:t>
      </w:r>
      <w:r>
        <w:rPr>
          <w:rFonts w:ascii="Times New Roman" w:cs="Times New Roman" w:eastAsia="Times New Roman" w:hAnsi="Times New Roman"/>
          <w:sz w:val="18"/>
          <w:szCs w:val="18"/>
          <w:b w:val="1"/>
          <w:bCs w:val="1"/>
          <w:i w:val="1"/>
          <w:iCs w:val="1"/>
          <w:color w:val="auto"/>
        </w:rPr>
        <w:t>Bilateral Agreement</w:t>
      </w:r>
      <w:r>
        <w:rPr>
          <w:rFonts w:ascii="Times New Roman" w:cs="Times New Roman" w:eastAsia="Times New Roman" w:hAnsi="Times New Roman"/>
          <w:sz w:val="18"/>
          <w:szCs w:val="18"/>
          <w:color w:val="auto"/>
        </w:rPr>
        <w:t>”), the terms of the Bilateral Agreement are incorporated into and</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B-1-30</w:t>
      </w:r>
    </w:p>
    <w:p>
      <w:pPr>
        <w:sectPr>
          <w:pgSz w:w="11900" w:h="16838" w:orient="portrait"/>
          <w:cols w:equalWidth="0" w:num="1">
            <w:col w:w="10580"/>
          </w:cols>
          <w:pgMar w:left="880" w:top="270" w:right="439" w:bottom="1440" w:gutter="0" w:footer="0" w:header="0"/>
        </w:sectPr>
      </w:pPr>
    </w:p>
    <w:bookmarkStart w:id="108" w:name="page109"/>
    <w:bookmarkEnd w:id="108"/>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a part of this Confirmation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Times New Roman" w:cs="Times New Roman" w:eastAsia="Times New Roman" w:hAnsi="Times New Roman"/>
          <w:sz w:val="18"/>
          <w:szCs w:val="18"/>
          <w:b w:val="1"/>
          <w:bCs w:val="1"/>
          <w:i w:val="1"/>
          <w:iCs w:val="1"/>
          <w:color w:val="auto"/>
        </w:rPr>
        <w:t>Bilateral Terms</w:t>
      </w:r>
      <w:r>
        <w:rPr>
          <w:rFonts w:ascii="Times New Roman" w:cs="Times New Roman" w:eastAsia="Times New Roman" w:hAnsi="Times New Roman"/>
          <w:sz w:val="18"/>
          <w:szCs w:val="18"/>
          <w:color w:val="auto"/>
        </w:rPr>
        <w:t xml:space="preserve">”) of the form of bilateral template entitled “Full-Length Omnibus (for use between U.S. G-SIBs and Corporate Groups)” published by ISDA on November 2, 2018 (currently available on the 2018 ISDA U.S. Resolution Stay Protocol page at </w:t>
      </w:r>
      <w:r>
        <w:rPr>
          <w:rFonts w:ascii="Times New Roman" w:cs="Times New Roman" w:eastAsia="Times New Roman" w:hAnsi="Times New Roman"/>
          <w:sz w:val="18"/>
          <w:szCs w:val="18"/>
          <w:u w:val="single" w:color="auto"/>
          <w:color w:val="auto"/>
        </w:rPr>
        <w:t>www.isda.org</w:t>
      </w:r>
      <w:r>
        <w:rPr>
          <w:rFonts w:ascii="Times New Roman" w:cs="Times New Roman" w:eastAsia="Times New Roman" w:hAnsi="Times New Roman"/>
          <w:sz w:val="18"/>
          <w:szCs w:val="18"/>
          <w:color w:val="auto"/>
        </w:rPr>
        <w:t xml:space="preserve"> and, a copy of which is available upon request), the effect of which is to amend the qualified financial contracts between the parties thereto to conform with the requirements of the QFC Stay Rules, are hereby incorporated into and form a part of this Confirmation, and for such purposes this Confirmation shall be deemed a “Covered Agreement,” Dealer shall be deemed a “Covered Entity” and Counterparty shall be deemed a “Counterparty Entity.” In the event that, after the date of this Confirmation, both parties hereto become adhering parties to the Protocol, the terms of the Protocol will replace the terms of this paragraph. In the event of any inconsistencies between this Confirmation and the terms of the Protocol, the Bilateral Agreement or the Bilateral Terms (each, the “</w:t>
      </w:r>
      <w:r>
        <w:rPr>
          <w:rFonts w:ascii="Times New Roman" w:cs="Times New Roman" w:eastAsia="Times New Roman" w:hAnsi="Times New Roman"/>
          <w:sz w:val="18"/>
          <w:szCs w:val="18"/>
          <w:b w:val="1"/>
          <w:bCs w:val="1"/>
          <w:i w:val="1"/>
          <w:iCs w:val="1"/>
          <w:color w:val="auto"/>
        </w:rPr>
        <w:t>QFC Stay Terms</w:t>
      </w:r>
      <w:r>
        <w:rPr>
          <w:rFonts w:ascii="Times New Roman" w:cs="Times New Roman" w:eastAsia="Times New Roman" w:hAnsi="Times New Roman"/>
          <w:sz w:val="18"/>
          <w:szCs w:val="18"/>
          <w:color w:val="auto"/>
        </w:rPr>
        <w:t>”), as applicable, the QFC Stay Terms will govern. Terms used in this paragraph without definition shall have the meanings assigned to them under the QFC Stay Rules. For purposes of this paragraph, references to “this Confirmation”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w:t>
      </w:r>
    </w:p>
    <w:p>
      <w:pPr>
        <w:spacing w:after="0" w:line="85" w:lineRule="exact"/>
        <w:rPr>
          <w:sz w:val="20"/>
          <w:szCs w:val="20"/>
          <w:color w:val="auto"/>
        </w:rPr>
      </w:pPr>
    </w:p>
    <w:p>
      <w:pPr>
        <w:ind w:firstLine="423"/>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QFC Stay Rules</w:t>
      </w:r>
      <w:r>
        <w:rPr>
          <w:rFonts w:ascii="Times New Roman" w:cs="Times New Roman" w:eastAsia="Times New Roman" w:hAnsi="Times New Roman"/>
          <w:sz w:val="18"/>
          <w:szCs w:val="18"/>
          <w:color w:val="auto"/>
        </w:rPr>
        <w:t>” mean the regulations codified at 12 C.F.R. 252.2, 252.81–8, 12 C.F.R. 382.1-7 and 12 C.F.R. 47.1-8, which, subject to limited exceptions, require an express recognition of the stay-and-transfer powers of the Federal Deposit Insurance Corporation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75" w:lineRule="exact"/>
        <w:rPr>
          <w:sz w:val="20"/>
          <w:szCs w:val="20"/>
          <w:color w:val="auto"/>
        </w:rPr>
      </w:pPr>
    </w:p>
    <w:p>
      <w:pPr>
        <w:ind w:left="740" w:hanging="321"/>
        <w:spacing w:after="0"/>
        <w:tabs>
          <w:tab w:leader="none" w:pos="7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[Insert Dealer Boilerplate, if any].</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B-1-31</w:t>
      </w:r>
    </w:p>
    <w:p>
      <w:pPr>
        <w:sectPr>
          <w:pgSz w:w="11900" w:h="16838" w:orient="portrait"/>
          <w:cols w:equalWidth="0" w:num="1">
            <w:col w:w="10580"/>
          </w:cols>
          <w:pgMar w:left="880" w:top="270" w:right="439" w:bottom="1440" w:gutter="0" w:footer="0" w:header="0"/>
        </w:sectPr>
      </w:pPr>
    </w:p>
    <w:bookmarkStart w:id="109" w:name="page110"/>
    <w:bookmarkEnd w:id="10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your agreement to be bound by the terms stated herein by executing the copy of this Confirmation enclosed for that purpose and returning it to us.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[DEALER]</w:t>
      </w:r>
    </w:p>
    <w:p>
      <w:pPr>
        <w:spacing w:after="0" w:line="225" w:lineRule="exact"/>
        <w:rPr>
          <w:sz w:val="20"/>
          <w:szCs w:val="20"/>
          <w:color w:val="auto"/>
        </w:rPr>
      </w:pPr>
    </w:p>
    <w:p>
      <w:pPr>
        <w:jc w:val="right"/>
        <w:ind w:right="336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33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B-1-32</w:t>
      </w:r>
    </w:p>
    <w:p>
      <w:pPr>
        <w:sectPr>
          <w:pgSz w:w="11900" w:h="16838" w:orient="portrait"/>
          <w:cols w:equalWidth="0" w:num="1">
            <w:col w:w="10780"/>
          </w:cols>
          <w:pgMar w:left="440" w:top="270" w:right="6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Confirmed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FEDERAL REALTY INVESTMENT TRUST</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0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B-1-33</w:t>
      </w:r>
    </w:p>
    <w:p>
      <w:pPr>
        <w:sectPr>
          <w:pgSz w:w="11900" w:h="16838" w:orient="portrait"/>
          <w:cols w:equalWidth="0" w:num="1">
            <w:col w:w="9579"/>
          </w:cols>
          <w:pgMar w:left="880" w:top="270" w:right="1440"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10060" w:type="dxa"/>
            <w:vAlign w:val="bottom"/>
            <w:gridSpan w:val="3"/>
          </w:tcPr>
          <w:p>
            <w:pPr>
              <w:ind w:left="4000"/>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0" w:type="dxa"/>
            <w:vAlign w:val="bottom"/>
          </w:tcPr>
          <w:p>
            <w:pPr>
              <w:spacing w:after="0"/>
              <w:rPr>
                <w:sz w:val="1"/>
                <w:szCs w:val="1"/>
                <w:color w:val="auto"/>
              </w:rPr>
            </w:pPr>
          </w:p>
        </w:tc>
      </w:tr>
      <w:tr>
        <w:trPr>
          <w:trHeight w:val="367"/>
        </w:trPr>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Forward Price</w:t>
            </w:r>
          </w:p>
        </w:tc>
        <w:tc>
          <w:tcPr>
            <w:tcW w:w="9100" w:type="dxa"/>
            <w:vAlign w:val="bottom"/>
          </w:tcPr>
          <w:p>
            <w:pPr>
              <w:spacing w:after="0"/>
              <w:rPr>
                <w:sz w:val="24"/>
                <w:szCs w:val="24"/>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Forward Price</w:t>
            </w:r>
          </w:p>
        </w:tc>
        <w:tc>
          <w:tcPr>
            <w:tcW w:w="0" w:type="dxa"/>
            <w:vAlign w:val="bottom"/>
          </w:tcPr>
          <w:p>
            <w:pPr>
              <w:spacing w:after="0"/>
              <w:rPr>
                <w:sz w:val="1"/>
                <w:szCs w:val="1"/>
                <w:color w:val="auto"/>
              </w:rPr>
            </w:pPr>
          </w:p>
        </w:tc>
      </w:tr>
      <w:tr>
        <w:trPr>
          <w:trHeight w:val="146"/>
        </w:trPr>
        <w:tc>
          <w:tcPr>
            <w:tcW w:w="960" w:type="dxa"/>
            <w:vAlign w:val="bottom"/>
            <w:vMerge w:val="continue"/>
          </w:tcPr>
          <w:p>
            <w:pPr>
              <w:spacing w:after="0"/>
              <w:rPr>
                <w:sz w:val="12"/>
                <w:szCs w:val="12"/>
                <w:color w:val="auto"/>
              </w:rPr>
            </w:pPr>
          </w:p>
        </w:tc>
        <w:tc>
          <w:tcPr>
            <w:tcW w:w="9100" w:type="dxa"/>
            <w:vAlign w:val="bottom"/>
          </w:tcPr>
          <w:p>
            <w:pPr>
              <w:spacing w:after="0"/>
              <w:rPr>
                <w:sz w:val="12"/>
                <w:szCs w:val="12"/>
                <w:color w:val="auto"/>
              </w:rPr>
            </w:pPr>
          </w:p>
        </w:tc>
        <w:tc>
          <w:tcPr>
            <w:tcW w:w="96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Reduction</w:t>
            </w:r>
          </w:p>
        </w:tc>
        <w:tc>
          <w:tcPr>
            <w:tcW w:w="0" w:type="dxa"/>
            <w:vAlign w:val="bottom"/>
          </w:tcPr>
          <w:p>
            <w:pPr>
              <w:spacing w:after="0"/>
              <w:rPr>
                <w:sz w:val="1"/>
                <w:szCs w:val="1"/>
                <w:color w:val="auto"/>
              </w:rPr>
            </w:pPr>
          </w:p>
        </w:tc>
      </w:tr>
      <w:tr>
        <w:trPr>
          <w:trHeight w:val="182"/>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Reduction Date</w:t>
            </w:r>
          </w:p>
        </w:tc>
        <w:tc>
          <w:tcPr>
            <w:tcW w:w="9100" w:type="dxa"/>
            <w:vAlign w:val="bottom"/>
          </w:tcPr>
          <w:p>
            <w:pPr>
              <w:spacing w:after="0"/>
              <w:rPr>
                <w:sz w:val="15"/>
                <w:szCs w:val="15"/>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9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Trade Date</w:t>
            </w:r>
          </w:p>
        </w:tc>
        <w:tc>
          <w:tcPr>
            <w:tcW w:w="9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USD 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910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USD [ ● ]</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9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USD [ ● ]</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Final Date</w:t>
            </w:r>
          </w:p>
        </w:tc>
        <w:tc>
          <w:tcPr>
            <w:tcW w:w="9100" w:type="dxa"/>
            <w:vAlign w:val="bottom"/>
          </w:tcPr>
          <w:p>
            <w:pPr>
              <w:spacing w:after="0"/>
              <w:rPr>
                <w:sz w:val="20"/>
                <w:szCs w:val="20"/>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USD 0.000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PRICING SUPPLEMENT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 ● ]</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Federal Realty Investment Trust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909 Rose Avenue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Suite 200</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 ● ]</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From: [DEALER]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This Pricing Supplement is the Pricing Supplement contemplated by the Registered Forward Transaction dated as of [ ● ] (the “</w:t>
      </w:r>
      <w:r>
        <w:rPr>
          <w:rFonts w:ascii="Times New Roman" w:cs="Times New Roman" w:eastAsia="Times New Roman" w:hAnsi="Times New Roman"/>
          <w:sz w:val="18"/>
          <w:szCs w:val="18"/>
          <w:b w:val="1"/>
          <w:bCs w:val="1"/>
          <w:i w:val="1"/>
          <w:iCs w:val="1"/>
          <w:color w:val="auto"/>
        </w:rPr>
        <w:t>Confirmation</w:t>
      </w:r>
      <w:r>
        <w:rPr>
          <w:rFonts w:ascii="Times New Roman" w:cs="Times New Roman" w:eastAsia="Times New Roman" w:hAnsi="Times New Roman"/>
          <w:sz w:val="18"/>
          <w:szCs w:val="18"/>
          <w:color w:val="auto"/>
        </w:rPr>
        <w:t>”) between Federal Realty Investment Trust (“</w:t>
      </w:r>
      <w:r>
        <w:rPr>
          <w:rFonts w:ascii="Times New Roman" w:cs="Times New Roman" w:eastAsia="Times New Roman" w:hAnsi="Times New Roman"/>
          <w:sz w:val="18"/>
          <w:szCs w:val="18"/>
          <w:b w:val="1"/>
          <w:bCs w:val="1"/>
          <w:i w:val="1"/>
          <w:iCs w:val="1"/>
          <w:color w:val="auto"/>
        </w:rPr>
        <w:t>Counterparty</w:t>
      </w:r>
      <w:r>
        <w:rPr>
          <w:rFonts w:ascii="Times New Roman" w:cs="Times New Roman" w:eastAsia="Times New Roman" w:hAnsi="Times New Roman"/>
          <w:sz w:val="18"/>
          <w:szCs w:val="18"/>
          <w:color w:val="auto"/>
        </w:rPr>
        <w:t>”) and [DEALER] (“</w:t>
      </w:r>
      <w:r>
        <w:rPr>
          <w:rFonts w:ascii="Times New Roman" w:cs="Times New Roman" w:eastAsia="Times New Roman" w:hAnsi="Times New Roman"/>
          <w:sz w:val="18"/>
          <w:szCs w:val="18"/>
          <w:b w:val="1"/>
          <w:bCs w:val="1"/>
          <w:i w:val="1"/>
          <w:iCs w:val="1"/>
          <w:color w:val="auto"/>
        </w:rPr>
        <w:t>Dealer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all purposes under the Confirmation,</w:t>
      </w:r>
    </w:p>
    <w:p>
      <w:pPr>
        <w:spacing w:after="0" w:line="117" w:lineRule="exact"/>
        <w:rPr>
          <w:sz w:val="20"/>
          <w:szCs w:val="20"/>
          <w:color w:val="auto"/>
        </w:rPr>
      </w:pPr>
    </w:p>
    <w:p>
      <w:pPr>
        <w:ind w:left="680" w:hanging="244"/>
        <w:spacing w:after="0"/>
        <w:tabs>
          <w:tab w:leader="none" w:pos="6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Hedge Completion Date is [ ● ];</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shall be [ ● ], subject to further adjustment in accordance with the terms of the Confirmation; and</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Forward Price shall be USD [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 B-1</w:t>
      </w:r>
    </w:p>
    <w:p>
      <w:pPr>
        <w:sectPr>
          <w:pgSz w:w="11900" w:h="16838" w:orient="portrait"/>
          <w:cols w:equalWidth="0" w:num="1">
            <w:col w:w="11020"/>
          </w:cols>
          <w:pgMar w:left="440" w:top="270" w:right="439" w:bottom="1440" w:gutter="0" w:footer="0" w:header="0"/>
        </w:sectPr>
      </w:pPr>
    </w:p>
    <w:bookmarkStart w:id="113" w:name="page114"/>
    <w:bookmarkEnd w:id="11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[DEALER]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Exh. B-2</w:t>
      </w:r>
    </w:p>
    <w:p>
      <w:pPr>
        <w:sectPr>
          <w:pgSz w:w="11900" w:h="16838" w:orient="portrait"/>
          <w:cols w:equalWidth="0" w:num="1">
            <w:col w:w="9019"/>
          </w:cols>
          <w:pgMar w:left="1440" w:top="270"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Confirmed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FEDERAL REALTY INVESTMENT TRUST</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Exh. B-3</w:t>
      </w:r>
    </w:p>
    <w:p>
      <w:pPr>
        <w:sectPr>
          <w:pgSz w:w="11900" w:h="16838" w:orient="portrait"/>
          <w:cols w:equalWidth="0" w:num="1">
            <w:col w:w="9579"/>
          </w:cols>
          <w:pgMar w:left="880" w:top="270" w:right="1440"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AUTHORIZED INDIVIDUALS FOR PLACEMENT NOTICES AND ACCEPTANCES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70" w:right="1440"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COMPENSATION</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Sales Agents and the Forward Sellers shall be paid compensation at a mutually agreed rate not to exceed 2.00% of the gross sales price of Securities sold pursuant to the terms of this Agreement. The Forward Sellers shall receive any such compensation in the form of a reduced Forward Hedge Price for the corresponding Forward Purchaser.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 C-1</w:t>
      </w:r>
    </w:p>
    <w:p>
      <w:pPr>
        <w:sectPr>
          <w:pgSz w:w="11900" w:h="16838" w:orient="portrait"/>
          <w:cols w:equalWidth="0" w:num="1">
            <w:col w:w="10980"/>
          </w:cols>
          <w:pgMar w:left="440" w:top="270" w:right="47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FORM OF OPINION OF PILLSBURY WINTHROP SHAW PITTMAN LLP (CORPORATE)</w:t>
      </w:r>
    </w:p>
    <w:p>
      <w:pPr>
        <w:spacing w:after="0" w:line="23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[Omitted]</w:t>
      </w:r>
    </w:p>
    <w:p>
      <w:pPr>
        <w:spacing w:after="0" w:line="1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Exh. D-1</w:t>
      </w:r>
    </w:p>
    <w:p>
      <w:pPr>
        <w:sectPr>
          <w:pgSz w:w="11900" w:h="16838" w:orient="portrait"/>
          <w:cols w:equalWidth="0" w:num="1">
            <w:col w:w="9019"/>
          </w:cols>
          <w:pgMar w:left="1440" w:top="270" w:right="1440"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[FORM OF OPINION OF PILLSBURY WINTHROP SHAW PITTMAN LLP (TAX)</w:t>
      </w:r>
    </w:p>
    <w:p>
      <w:pPr>
        <w:spacing w:after="0" w:line="23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[Omitted]</w:t>
      </w:r>
    </w:p>
    <w:p>
      <w:pPr>
        <w:spacing w:after="0" w:line="1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Exh. D-2</w:t>
      </w:r>
    </w:p>
    <w:p>
      <w:pPr>
        <w:sectPr>
          <w:pgSz w:w="11900" w:h="16838" w:orient="portrait"/>
          <w:cols w:equalWidth="0" w:num="1">
            <w:col w:w="9019"/>
          </w:cols>
          <w:pgMar w:left="1440" w:top="270" w:right="1440"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OFFICER’S CERTIFICATE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 the duly qualified and elected [*] of Federal Realty Investment Trust</w:t>
      </w:r>
      <w:r>
        <w:rPr>
          <w:rFonts w:ascii="Times New Roman" w:cs="Times New Roman" w:eastAsia="Times New Roman" w:hAnsi="Times New Roman"/>
          <w:sz w:val="18"/>
          <w:szCs w:val="18"/>
          <w:u w:val="single" w:color="auto"/>
          <w:color w:val="0000FF"/>
        </w:rPr>
        <w:t>, a Maryland real estate investment trust</w:t>
      </w:r>
      <w:r>
        <w:rPr>
          <w:rFonts w:ascii="Times New Roman" w:cs="Times New Roman" w:eastAsia="Times New Roman" w:hAnsi="Times New Roman"/>
          <w:sz w:val="18"/>
          <w:szCs w:val="18"/>
          <w:color w:val="auto"/>
        </w:rPr>
        <w:t xml:space="preserv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 Maryland real estate investment trust, and of</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Federal Realty OP LP</w:t>
      </w:r>
      <w:r>
        <w:rPr>
          <w:rFonts w:ascii="Times New Roman" w:cs="Times New Roman" w:eastAsia="Times New Roman" w:hAnsi="Times New Roman"/>
          <w:sz w:val="18"/>
          <w:szCs w:val="18"/>
          <w:u w:val="single" w:color="auto"/>
          <w:color w:val="0000FF"/>
        </w:rPr>
        <w:t>, a Delaware limited partnership</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Operating Partnership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-121920</wp:posOffset>
            </wp:positionV>
            <wp:extent cx="18256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FF0000"/>
          <w:strike w:val="1"/>
        </w:rPr>
        <w:t>Delaware limited partnership</w:t>
      </w:r>
      <w:r>
        <w:rPr>
          <w:rFonts w:ascii="Times New Roman" w:cs="Times New Roman" w:eastAsia="Times New Roman" w:hAnsi="Times New Roman"/>
          <w:sz w:val="18"/>
          <w:szCs w:val="18"/>
          <w:color w:val="000000"/>
        </w:rPr>
        <w:t>, does hereby certify on behalf of the Company and the Operating Partnership, pursuant to Section [7(o)] of the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-121920</wp:posOffset>
            </wp:positionV>
            <wp:extent cx="16256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-121920</wp:posOffset>
            </wp:positionV>
            <wp:extent cx="1465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Distribution Agreement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dated </w:t>
      </w:r>
      <w:r>
        <w:rPr>
          <w:rFonts w:ascii="Times New Roman" w:cs="Times New Roman" w:eastAsia="Times New Roman" w:hAnsi="Times New Roman"/>
          <w:sz w:val="18"/>
          <w:szCs w:val="18"/>
          <w:u w:val="single" w:color="auto"/>
          <w:color w:val="0000FF"/>
        </w:rPr>
        <w:t>as of</w:t>
      </w:r>
      <w:r>
        <w:rPr>
          <w:rFonts w:ascii="Times New Roman" w:cs="Times New Roman" w:eastAsia="Times New Roman" w:hAnsi="Times New Roman"/>
          <w:sz w:val="18"/>
          <w:szCs w:val="18"/>
          <w:color w:val="auto"/>
        </w:rPr>
        <w:t xml:space="preserve"> February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14</w:t>
      </w:r>
      <w:r>
        <w:rPr>
          <w:rFonts w:ascii="Times New Roman" w:cs="Times New Roman" w:eastAsia="Times New Roman" w:hAnsi="Times New Roman"/>
          <w:sz w:val="18"/>
          <w:szCs w:val="18"/>
          <w:color w:val="auto"/>
        </w:rPr>
        <w:t xml:space="preserve"> , 2022 </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 as amended by Amendment No. 1 to Equity Distribution Agreement, dated as of March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-70485</wp:posOffset>
            </wp:positionV>
            <wp:extent cx="6667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2024 (as so amended,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u w:val="single" w:color="auto"/>
          <w:color w:val="000000"/>
        </w:rPr>
        <w:t>Agreement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between</w:t>
      </w:r>
      <w:r>
        <w:rPr>
          <w:rFonts w:ascii="Times New Roman" w:cs="Times New Roman" w:eastAsia="Times New Roman" w:hAnsi="Times New Roman"/>
          <w:sz w:val="18"/>
          <w:szCs w:val="18"/>
          <w:u w:val="single" w:color="auto"/>
          <w:color w:val="0000FF"/>
        </w:rPr>
        <w:t>, by and among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Company, the Operating Partnership,</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each of Wells Fargo Bank, 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-121920</wp:posOffset>
            </wp:positionV>
            <wp:extent cx="260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-121920</wp:posOffset>
            </wp:positionV>
            <wp:extent cx="54864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Association, BNP Paribas,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Bank of America, N.A., Citibank, N.A.,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Deutsche Bank AG, London Branch,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JPMorgan Chase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9855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-121920</wp:posOffset>
            </wp:positionV>
            <wp:extent cx="70294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-121920</wp:posOffset>
            </wp:positionV>
            <wp:extent cx="163703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FF0000"/>
          <w:strike w:val="1"/>
        </w:rPr>
        <w:t>Wells Fargo Bank, National Association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Jefferies LLC</w:t>
      </w:r>
      <w:r>
        <w:rPr>
          <w:rFonts w:ascii="Times New Roman" w:cs="Times New Roman" w:eastAsia="Times New Roman" w:hAnsi="Times New Roman"/>
          <w:sz w:val="18"/>
          <w:szCs w:val="18"/>
          <w:u w:val="single" w:color="auto"/>
          <w:color w:val="0000FF"/>
        </w:rPr>
        <w:t>, Regions Securities LLC, The Bank of Nova Scotia, The Toronto-Dominion Bank and Truist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20840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3091815</wp:posOffset>
            </wp:positionH>
            <wp:positionV relativeFrom="paragraph">
              <wp:posOffset>-121920</wp:posOffset>
            </wp:positionV>
            <wp:extent cx="17145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Bank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(each in its capacity as forward purchaser, a “</w:t>
      </w:r>
      <w:r>
        <w:rPr>
          <w:rFonts w:ascii="Times New Roman" w:cs="Times New Roman" w:eastAsia="Times New Roman" w:hAnsi="Times New Roman"/>
          <w:sz w:val="18"/>
          <w:szCs w:val="18"/>
          <w:u w:val="single" w:color="auto"/>
          <w:color w:val="000000"/>
        </w:rPr>
        <w:t>Forward Purchaser</w:t>
      </w:r>
      <w:r>
        <w:rPr>
          <w:rFonts w:ascii="Times New Roman" w:cs="Times New Roman" w:eastAsia="Times New Roman" w:hAnsi="Times New Roman"/>
          <w:sz w:val="18"/>
          <w:szCs w:val="18"/>
          <w:color w:val="000000"/>
        </w:rPr>
        <w:t>,” and together the “</w:t>
      </w:r>
      <w:r>
        <w:rPr>
          <w:rFonts w:ascii="Times New Roman" w:cs="Times New Roman" w:eastAsia="Times New Roman" w:hAnsi="Times New Roman"/>
          <w:sz w:val="18"/>
          <w:szCs w:val="18"/>
          <w:u w:val="single" w:color="auto"/>
          <w:color w:val="000000"/>
        </w:rPr>
        <w:t>Forward Purchasers</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each of 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-121920</wp:posOffset>
            </wp:positionV>
            <wp:extent cx="42602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LLC, BNP Paribas Securities Corp.,</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BofA Securities, Inc., Citigroup Global Markets Inc.,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Deutsche Bank Securities Inc.,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24003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-121920</wp:posOffset>
            </wp:positionV>
            <wp:extent cx="142303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FF0000"/>
          <w:strike w:val="1"/>
        </w:rPr>
        <w:t>Wells Fargo Securities, LLC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Jefferies LLC</w:t>
      </w:r>
      <w:r>
        <w:rPr>
          <w:rFonts w:ascii="Times New Roman" w:cs="Times New Roman" w:eastAsia="Times New Roman" w:hAnsi="Times New Roman"/>
          <w:sz w:val="18"/>
          <w:szCs w:val="18"/>
          <w:u w:val="single" w:color="auto"/>
          <w:color w:val="0000FF"/>
        </w:rPr>
        <w:t>, Regions Securities LLC, Scotia Capital (USA) Inc., SMBC Nikko Securities America, Inc., 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68021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680210" cy="8255"/>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-121920</wp:posOffset>
            </wp:positionV>
            <wp:extent cx="14401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Securities (USA) LLC and Truist Securities, Inc.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(each in its capacity as agent for the Company and/or principal in connection with the offering and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-121920</wp:posOffset>
            </wp:positionV>
            <wp:extent cx="442341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of any Issuance Securities, a “</w:t>
      </w:r>
      <w:r>
        <w:rPr>
          <w:rFonts w:ascii="Times New Roman" w:cs="Times New Roman" w:eastAsia="Times New Roman" w:hAnsi="Times New Roman"/>
          <w:sz w:val="18"/>
          <w:szCs w:val="18"/>
          <w:u w:val="single" w:color="auto"/>
          <w:color w:val="auto"/>
        </w:rPr>
        <w:t>Sales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Sales Agents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FF0000"/>
        </w:rPr>
        <w:t>in their</w:t>
      </w:r>
      <w:r>
        <w:rPr>
          <w:rFonts w:ascii="Times New Roman" w:cs="Times New Roman" w:eastAsia="Times New Roman" w:hAnsi="Times New Roman"/>
          <w:sz w:val="18"/>
          <w:szCs w:val="18"/>
          <w:u w:val="single" w:color="auto"/>
          <w:color w:val="0000FF"/>
        </w:rPr>
        <w:t>, except in the case of SMBC Nikko Securities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222885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228850"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-70485</wp:posOffset>
            </wp:positionV>
            <wp:extent cx="3556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556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in its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capacity as agent for the related Forward Purchaser in connection with the offering and sale of any Forward Hedge Securities, a “</w:t>
      </w:r>
      <w:r>
        <w:rPr>
          <w:rFonts w:ascii="Times New Roman" w:cs="Times New Roman" w:eastAsia="Times New Roman" w:hAnsi="Times New Roman"/>
          <w:sz w:val="18"/>
          <w:szCs w:val="18"/>
          <w:u w:val="single" w:color="auto"/>
          <w:color w:val="000000"/>
        </w:rPr>
        <w:t>Forward Seller</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-121920</wp:posOffset>
            </wp:positionV>
            <wp:extent cx="28117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and together the “</w:t>
      </w:r>
      <w:r>
        <w:rPr>
          <w:rFonts w:ascii="Times New Roman" w:cs="Times New Roman" w:eastAsia="Times New Roman" w:hAnsi="Times New Roman"/>
          <w:sz w:val="18"/>
          <w:szCs w:val="18"/>
          <w:u w:val="single" w:color="auto"/>
          <w:color w:val="auto"/>
        </w:rPr>
        <w:t>Forward Sellers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that to the knowledge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22288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14605</wp:posOffset>
            </wp:positionV>
            <wp:extent cx="5143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9" w:lineRule="exact"/>
        <w:rPr>
          <w:sz w:val="20"/>
          <w:szCs w:val="20"/>
          <w:color w:val="auto"/>
        </w:rPr>
      </w:pPr>
    </w:p>
    <w:p>
      <w:pPr>
        <w:ind w:right="20" w:firstLine="436"/>
        <w:spacing w:after="0" w:line="255" w:lineRule="auto"/>
        <w:tabs>
          <w:tab w:leader="none" w:pos="65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of the Company and the Operating Partnership in Section 5 of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80" w:lineRule="exact"/>
        <w:rPr>
          <w:rFonts w:ascii="Times New Roman" w:cs="Times New Roman" w:eastAsia="Times New Roman" w:hAnsi="Times New Roman"/>
          <w:sz w:val="18"/>
          <w:szCs w:val="18"/>
          <w:color w:val="auto"/>
        </w:rPr>
      </w:pPr>
    </w:p>
    <w:p>
      <w:pPr>
        <w:ind w:firstLine="436"/>
        <w:spacing w:after="0" w:line="266" w:lineRule="auto"/>
        <w:tabs>
          <w:tab w:leader="none" w:pos="70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Company and the Operating Partnership has complied in all material respects with all agreements and satisfied all conditions on its part to be performed or satisfied pursuant to the Agreement at or prior to the date hereof (other than those conditions waived by the </w:t>
      </w:r>
      <w:r>
        <w:rPr>
          <w:rFonts w:ascii="Times New Roman" w:cs="Times New Roman" w:eastAsia="Times New Roman" w:hAnsi="Times New Roman"/>
          <w:sz w:val="18"/>
          <w:szCs w:val="18"/>
          <w:u w:val="single" w:color="auto"/>
          <w:color w:val="0000FF"/>
        </w:rPr>
        <w:t>applicable Sales</w:t>
      </w:r>
      <w:r>
        <w:rPr>
          <w:rFonts w:ascii="Times New Roman" w:cs="Times New Roman" w:eastAsia="Times New Roman" w:hAnsi="Times New Roman"/>
          <w:sz w:val="18"/>
          <w:szCs w:val="18"/>
          <w:color w:val="auto"/>
        </w:rPr>
        <w:t xml:space="preserve"> Agent</w:t>
      </w:r>
      <w:r>
        <w:rPr>
          <w:rFonts w:ascii="Times New Roman" w:cs="Times New Roman" w:eastAsia="Times New Roman" w:hAnsi="Times New Roman"/>
          <w:sz w:val="18"/>
          <w:szCs w:val="18"/>
          <w:u w:val="single" w:color="auto"/>
          <w:color w:val="0000FF"/>
        </w:rPr>
        <w:t>, Forward Seller and/or Forward Purchaser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6015355</wp:posOffset>
            </wp:positionH>
            <wp:positionV relativeFrom="paragraph">
              <wp:posOffset>-141605</wp:posOffset>
            </wp:positionV>
            <wp:extent cx="7461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-4445</wp:posOffset>
            </wp:positionV>
            <wp:extent cx="195453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15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Capitalized terms used herein but not otherwise defined shall have the meanings assigned to such terms in the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 E-1</w:t>
      </w:r>
    </w:p>
    <w:p>
      <w:pPr>
        <w:sectPr>
          <w:pgSz w:w="11900" w:h="16838" w:orient="portrait"/>
          <w:cols w:equalWidth="0" w:num="1">
            <w:col w:w="11000"/>
          </w:cols>
          <w:pgMar w:left="440" w:top="270" w:right="459" w:bottom="1440" w:gutter="0" w:footer="0" w:header="0"/>
        </w:sectPr>
      </w:pPr>
    </w:p>
    <w:bookmarkStart w:id="120" w:name="page121"/>
    <w:bookmarkEnd w:id="12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FEDERAL REALTY INVESTMENT TRUST</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229" w:lineRule="exact"/>
        <w:rPr>
          <w:sz w:val="20"/>
          <w:szCs w:val="20"/>
          <w:color w:val="auto"/>
        </w:rPr>
      </w:pPr>
    </w:p>
    <w:p>
      <w:pPr>
        <w:ind w:left="562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Exh. E-2</w:t>
      </w:r>
    </w:p>
    <w:p>
      <w:pPr>
        <w:sectPr>
          <w:pgSz w:w="11900" w:h="16838" w:orient="portrait"/>
          <w:cols w:equalWidth="0" w:num="1">
            <w:col w:w="9140"/>
          </w:cols>
          <w:pgMar w:left="1440" w:top="266" w:right="131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PERMITTED FREE WRITING PROSPECTUSES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 F-1</w:t>
      </w:r>
    </w:p>
    <w:p>
      <w:pPr>
        <w:sectPr>
          <w:pgSz w:w="11900" w:h="16838" w:orient="portrait"/>
          <w:cols w:equalWidth="0" w:num="1">
            <w:col w:w="9019"/>
          </w:cols>
          <w:pgMar w:left="1440" w:top="270" w:right="1440"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Authorized Individuals for Placement Notices and Acceptances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 CERTIFICATE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 the duly qualified and elected [*] of Federal Realty Investment Trust, a Maryland real estate investment trust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Federal Realty OP LP, a Delaware limited partnership (the “</w:t>
      </w:r>
      <w:r>
        <w:rPr>
          <w:rFonts w:ascii="Times New Roman" w:cs="Times New Roman" w:eastAsia="Times New Roman" w:hAnsi="Times New Roman"/>
          <w:sz w:val="18"/>
          <w:szCs w:val="18"/>
          <w:u w:val="single" w:color="auto"/>
          <w:color w:val="auto"/>
        </w:rPr>
        <w:t>Operating Partnership</w:t>
      </w:r>
      <w:r>
        <w:rPr>
          <w:rFonts w:ascii="Times New Roman" w:cs="Times New Roman" w:eastAsia="Times New Roman" w:hAnsi="Times New Roman"/>
          <w:sz w:val="18"/>
          <w:szCs w:val="18"/>
          <w:color w:val="auto"/>
        </w:rPr>
        <w:t>”), does hereby certify on behalf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Operating Partnership, pursuant to Section [7(o)] of the Equity Distribution Agreement, dated as of February 14, 2022, as amended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No. 1 to Equity Distribution Agreement, dated as of March 8, 2024 (as so amended,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Partnership, each of Wells Fargo Bank, National Association, BNP Paribas, Bank of America, N.A., Citibank, N.A., Deutsche Bank AG,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Branch, JPMorgan Chase Bank, National Association, Jefferies LLC, Regions Securities LLC, The Bank of Nova Scotia, The Toronto-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Dominion Bank and Truist Bank (each in its capacity as forward purchaser, a “</w:t>
      </w:r>
      <w:r>
        <w:rPr>
          <w:rFonts w:ascii="Times New Roman" w:cs="Times New Roman" w:eastAsia="Times New Roman" w:hAnsi="Times New Roman"/>
          <w:sz w:val="18"/>
          <w:szCs w:val="18"/>
          <w:u w:val="single" w:color="auto"/>
          <w:color w:val="auto"/>
        </w:rPr>
        <w:t>Forward Purchaser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Forward Purchasers</w:t>
      </w:r>
      <w:r>
        <w:rPr>
          <w:rFonts w:ascii="Times New Roman" w:cs="Times New Roman" w:eastAsia="Times New Roman" w:hAnsi="Times New Roman"/>
          <w:sz w:val="18"/>
          <w:szCs w:val="18"/>
          <w:color w:val="auto"/>
        </w:rPr>
        <w:t>”) and each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 BNP Paribas Securities Corp., BofA Securities, Inc., Citigroup Global Markets Inc., Deutsche Bank Securities Inc., J.P.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Securities LLC, Jefferies LLC, Regions Securities LLC, Scotia Capital (USA) Inc., SMBC Nikko Securities America, Inc., TD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LLC and Truist Securities, Inc. (each in its capacity as agent for the Company and/or principal in connection with the offering and sale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Issuance Securities, a “</w:t>
      </w:r>
      <w:r>
        <w:rPr>
          <w:rFonts w:ascii="Times New Roman" w:cs="Times New Roman" w:eastAsia="Times New Roman" w:hAnsi="Times New Roman"/>
          <w:sz w:val="17"/>
          <w:szCs w:val="17"/>
          <w:u w:val="single" w:color="auto"/>
          <w:color w:val="auto"/>
        </w:rPr>
        <w:t>Sales Agent</w:t>
      </w:r>
      <w:r>
        <w:rPr>
          <w:rFonts w:ascii="Times New Roman" w:cs="Times New Roman" w:eastAsia="Times New Roman" w:hAnsi="Times New Roman"/>
          <w:sz w:val="17"/>
          <w:szCs w:val="17"/>
          <w:color w:val="auto"/>
        </w:rPr>
        <w:t>,” and together the “</w:t>
      </w:r>
      <w:r>
        <w:rPr>
          <w:rFonts w:ascii="Times New Roman" w:cs="Times New Roman" w:eastAsia="Times New Roman" w:hAnsi="Times New Roman"/>
          <w:sz w:val="17"/>
          <w:szCs w:val="17"/>
          <w:u w:val="single" w:color="auto"/>
          <w:color w:val="auto"/>
        </w:rPr>
        <w:t>Sales Agents</w:t>
      </w:r>
      <w:r>
        <w:rPr>
          <w:rFonts w:ascii="Times New Roman" w:cs="Times New Roman" w:eastAsia="Times New Roman" w:hAnsi="Times New Roman"/>
          <w:sz w:val="17"/>
          <w:szCs w:val="17"/>
          <w:color w:val="auto"/>
        </w:rPr>
        <w:t>,” and, except in the case of SMBC Nikko Securities America, Inc., in its capacity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for the related Forward Purchaser in connection with the offering and sale of any Forward Hedge Securities, a “</w:t>
      </w:r>
      <w:r>
        <w:rPr>
          <w:rFonts w:ascii="Times New Roman" w:cs="Times New Roman" w:eastAsia="Times New Roman" w:hAnsi="Times New Roman"/>
          <w:sz w:val="18"/>
          <w:szCs w:val="18"/>
          <w:u w:val="single" w:color="auto"/>
          <w:color w:val="auto"/>
        </w:rPr>
        <w:t>Forward Seller</w:t>
      </w:r>
      <w:r>
        <w:rPr>
          <w:rFonts w:ascii="Times New Roman" w:cs="Times New Roman" w:eastAsia="Times New Roman" w:hAnsi="Times New Roman"/>
          <w:sz w:val="18"/>
          <w:szCs w:val="18"/>
          <w:color w:val="auto"/>
        </w:rPr>
        <w:t>” and together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Sellers</w:t>
      </w:r>
      <w:r>
        <w:rPr>
          <w:rFonts w:ascii="Times New Roman" w:cs="Times New Roman" w:eastAsia="Times New Roman" w:hAnsi="Times New Roman"/>
          <w:sz w:val="18"/>
          <w:szCs w:val="18"/>
          <w:color w:val="auto"/>
        </w:rPr>
        <w:t>”), that to the knowledge of the undersigned:</w:t>
      </w:r>
    </w:p>
    <w:p>
      <w:pPr>
        <w:spacing w:after="0" w:line="207" w:lineRule="exact"/>
        <w:rPr>
          <w:sz w:val="20"/>
          <w:szCs w:val="20"/>
          <w:color w:val="auto"/>
        </w:rPr>
      </w:pPr>
    </w:p>
    <w:p>
      <w:pPr>
        <w:ind w:right="20" w:firstLine="436"/>
        <w:spacing w:after="0" w:line="255" w:lineRule="auto"/>
        <w:tabs>
          <w:tab w:leader="none" w:pos="6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of the Company and the Operating Partnership in Section 5 of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8" w:lineRule="exact"/>
        <w:rPr>
          <w:rFonts w:ascii="Times New Roman" w:cs="Times New Roman" w:eastAsia="Times New Roman" w:hAnsi="Times New Roman"/>
          <w:sz w:val="18"/>
          <w:szCs w:val="18"/>
          <w:color w:val="auto"/>
        </w:rPr>
      </w:pPr>
    </w:p>
    <w:p>
      <w:pPr>
        <w:ind w:firstLine="436"/>
        <w:spacing w:after="0" w:line="266" w:lineRule="auto"/>
        <w:tabs>
          <w:tab w:leader="none" w:pos="70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Operating Partnership has complied in all material respects with all agreements and satisfied all conditions on its part to be performed or satisfied pursuant to the Agreement at or prior to the date hereof (other than those conditions waived by the applicable Sales Agent, Forward Seller and/or Forward Purchaser).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herein but not otherwise defined shall have the meanings assigned to such terms in the Agreement.</w:t>
      </w:r>
    </w:p>
    <w:p>
      <w:pPr>
        <w:spacing w:after="0" w:line="15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Exh. C-1</w:t>
      </w:r>
    </w:p>
    <w:p>
      <w:pPr>
        <w:sectPr>
          <w:pgSz w:w="11900" w:h="16838" w:orient="portrait"/>
          <w:cols w:equalWidth="0" w:num="1">
            <w:col w:w="11000"/>
          </w:cols>
          <w:pgMar w:left="440" w:top="266" w:right="459" w:bottom="1440" w:gutter="0" w:footer="0" w:header="0"/>
        </w:sectPr>
      </w:pPr>
    </w:p>
    <w:bookmarkStart w:id="124" w:name="page125"/>
    <w:bookmarkEnd w:id="124"/>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FEDERAL REALTY INVESTMENT TRUST</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1342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1342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Exh. C-2</w:t>
      </w:r>
    </w:p>
    <w:p>
      <w:pPr>
        <w:sectPr>
          <w:pgSz w:w="11900" w:h="16838" w:orient="portrait"/>
          <w:cols w:equalWidth="0" w:num="1">
            <w:col w:w="9140"/>
          </w:cols>
          <w:pgMar w:left="1440" w:top="266" w:right="131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PILLSBURY WINTHROP SHAW PITTMAN LLP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909 Rose Avenue,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Bethesda, MD 20852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acting as counsel for Federal Realty Investment Trust, a Maryland real estate investment trust (the “Company”), in connection with the issuance and sale, from time to time, of up to $500,000,000 aggregate offering price of common shares of beneficial interest (the “Shares”), par value $.01 per share, of the Company, all of which are authorized but heretofore unissued shares to be offered and sold by the Company, pursuant to the Registration Statement on Form S-3 (Registration No. 333-277767) (the “Registration Statement”), filed by the Company with the Securities and Exchange Commission (the “Commission”) under the Securities Act of 1933 (the “Act”), and related prospectus, dated March 8, 2024, as supplemented by the prospectus supplement dated March 8, 2024 relating to the offer and sale of the Shares (as so supplemented, the “Prospectus”).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reviewed the Registration Statement, the Prospectus and such other agreements, documents, records, certificates and other materials, and have reviewed and are familiar with such corporate proceedings and satisfied ourselves as to such other matters, as we have considered relevant or necessary as a basis for our opinions set forth in this letter. 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 Based on the foregoing, we are of the opinion that the Shares have been duly authorized and, when issued and sold by the Company in the manner described in the Registration Statement and the Prospectus and in accordance with the resolutions adopted by the Board of Trustees of the Company and the Pricing Committee thereof, will be validly issued, fully paid and nonassessable.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set forth in this letter are limited to the Maryland General Corporation Law and the Maryland REIT Law as in effect on the date hereof.</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Company’s Current Report on Form 8-K filed by the Company with the Commission on the date hereof and the incorporation thereof in the Registration Statement and to the use of our name under the caption “Legal Matters” in the Prospectus. In giving this consent, we do not thereby admit that we are within the category of persons whose consent is required under Section 7 of the Act or the rules and regulations of the Commission promulgated thereunder.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PILLSBURY WINTHROP SHAW PITTMAN LLP</w:t>
      </w:r>
    </w:p>
    <w:p>
      <w:pPr>
        <w:sectPr>
          <w:pgSz w:w="11900" w:h="16838" w:orient="portrait"/>
          <w:cols w:equalWidth="0" w:num="1">
            <w:col w:w="11020"/>
          </w:cols>
          <w:pgMar w:left="440" w:top="117" w:right="4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PILLSBURY WINTHROP SHAW PITTMAN LLP</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1200 Seventeenth St. NW</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Washington, DC 20036</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March 8,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909 Rose Avenue, Suite 200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North Bethesda, MD 20852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20"/>
        <w:spacing w:after="0" w:line="252" w:lineRule="auto"/>
        <w:rPr>
          <w:sz w:val="20"/>
          <w:szCs w:val="20"/>
          <w:color w:val="auto"/>
        </w:rPr>
      </w:pPr>
      <w:r>
        <w:rPr>
          <w:rFonts w:ascii="Times New Roman" w:cs="Times New Roman" w:eastAsia="Times New Roman" w:hAnsi="Times New Roman"/>
          <w:sz w:val="18"/>
          <w:szCs w:val="18"/>
          <w:color w:val="auto"/>
        </w:rPr>
        <w:t>We are acting as counsel for Federal Realty Investment Trust, a Maryland real estate investment trust (the “Company”), in connection with the Registration Statement on Form S-3 (the “Registration Statement”) (Registration No. 333-277767), filed by the Company with the Securities and Exchange Commission (the “Commission”) under the Securities Act of 1933 (the “Act”), and related prospectus, dated March 8, 2024, as supplemented by the prospectus supplement dated March 8, 2024 (as so supplemented, the “Prospectus”) relating to the offer and sale of up to 729,246 common shares of beneficial interest, $.01 par value per share, of the Company (“Common Shares”). Such Common Shares are to be offered for the respective accounts of the holders thereof (the “Selling Shareholder Shares”). The Selling Shareholder Shares are comprised of Common Shares issuable upon (i) the conversion of the Company’s outstanding 5.147% Series 1 Cumulative Convertible Preferred Shares of Beneficial Interest, par value $0.01 per share (the “Preferred Shares”), and (ii) the redemption of outstanding units (the “DownREIT Units”) of limited partnership interest or limited liability company interest, as the case may be, in each of (A) NVI-Avenue, LLC, (B) Route 35 Shrewsbury Limited Partnership, (C) Shrewsbury Commons L.P.,</w:t>
      </w:r>
    </w:p>
    <w:p>
      <w:pPr>
        <w:spacing w:after="0" w:line="6" w:lineRule="exact"/>
        <w:rPr>
          <w:sz w:val="20"/>
          <w:szCs w:val="20"/>
          <w:color w:val="auto"/>
        </w:rPr>
      </w:pPr>
    </w:p>
    <w:p>
      <w:pPr>
        <w:ind w:left="4" w:right="620" w:hanging="4"/>
        <w:spacing w:after="0" w:line="260" w:lineRule="auto"/>
        <w:tabs>
          <w:tab w:leader="none" w:pos="29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 Girt Limited Partnership, (E) 35 West, LLC and (F) Federal Realty Partners, L.P. (such entities in items (A) through (F), collectively the “DownREIT Entities”).</w:t>
      </w:r>
    </w:p>
    <w:p>
      <w:pPr>
        <w:spacing w:after="0" w:line="181"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We have reviewed the Registration Statement, the Prospectus and such other agreements, documents, records, certificates and other materials, and have reviewed and are familiar with such corporate proceedings and satisfied ourselves as to such other matters, as we have considered relevant or necessary as a basis for our opinions set forth in this letter. 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w:t>
      </w:r>
    </w:p>
    <w:p>
      <w:pPr>
        <w:spacing w:after="0" w:line="187" w:lineRule="exact"/>
        <w:rPr>
          <w:sz w:val="20"/>
          <w:szCs w:val="20"/>
          <w:color w:val="auto"/>
        </w:rPr>
      </w:pPr>
    </w:p>
    <w:p>
      <w:pPr>
        <w:ind w:left="4" w:right="180"/>
        <w:spacing w:after="0" w:line="258" w:lineRule="auto"/>
        <w:rPr>
          <w:sz w:val="20"/>
          <w:szCs w:val="20"/>
          <w:color w:val="auto"/>
        </w:rPr>
      </w:pPr>
      <w:r>
        <w:rPr>
          <w:rFonts w:ascii="Times New Roman" w:cs="Times New Roman" w:eastAsia="Times New Roman" w:hAnsi="Times New Roman"/>
          <w:sz w:val="18"/>
          <w:szCs w:val="18"/>
          <w:color w:val="auto"/>
        </w:rPr>
        <w:t>On the basis of the foregoing and subject to the other qualifications and limitations set forth herein, we are of the opinion that the Selling Shareholder Shares have been duly authorized and, when issued by the Company upon (i) conversion of the Preferred Shares into Common Shares in accordance with the Articles Supplementary establishing and fixing the rights and preferences of the Preferred Shares and (ii) redemption of the DownREIT Units for Common Shares in accordance with the agreement of limited partnership or operating agreement, as applicable, of each of the DownREIT Entities, will be validly issued, fully paid and nonassessable.</w:t>
      </w:r>
    </w:p>
    <w:p>
      <w:pPr>
        <w:sectPr>
          <w:pgSz w:w="11900" w:h="16838" w:orient="portrait"/>
          <w:cols w:equalWidth="0" w:num="1">
            <w:col w:w="11024"/>
          </w:cols>
          <w:pgMar w:left="436" w:top="117"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opinions set forth in this letter are limited to Maryland General Corporation Law and the Maryland REIT Law, in each case as in effect on the date hereof.</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letter as Exhibit 5.2 to the Company’s Current Report on Form 8-K filed by the Company with the Commission on the date hereof, the incorporation thereof in the Registration Statement and to the use of our name under the caption “Legal Matters” in the Prospectus. In giving this consent, we do not thereby admit that we are within the category of persons whose consent is required under Section 7 of the Act or the rules and regulations of the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Pillsbury Winthrop Shaw Pittman LLP</w:t>
      </w:r>
    </w:p>
    <w:p>
      <w:pPr>
        <w:sectPr>
          <w:pgSz w:w="11900" w:h="16838" w:orient="portrait"/>
          <w:cols w:equalWidth="0" w:num="1">
            <w:col w:w="10860"/>
          </w:cols>
          <w:pgMar w:left="440" w:top="270" w:right="59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5.3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PILLSBURY WINTHROP SHAW PITTMAN LLP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1200 Seventeenth St. NW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20036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909 Rose Avenue,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Bethesda, MD 20852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acting as counsel for Federal Realty Investment Trust, a Maryland real estate investment trust (the “Company”), in connection with the Registration Statement on Form S-3 (the “Registration Statement”) (Registration No. 333-277767), filed by the Company with the Securities and Exchange Commission (the “Commission”) under the Securities Act of 1933 (the “Act”), and related prospectus, dated March 8, 2024, as supplemented by the prospectus supplement dated March 8, 2024 (as so supplemented, the “Prospectus”) relating to the offer and sale of up to 4,739,566 common shares of beneficial interest, $.01 par value per share, of the Company (“Common Shares”). Such Common Shares are to be offered for the respective accounts of the holders thereof (the “Selling Shareholder Shares”). The Selling Shareholder Shares are comprised of Common Shares issuable upon exercise of the exchange option pursuant to the 3.25% Exchangeable Senior Notes due 2029 (the “Notes”) issued by Federal Realty OP LP, a Delaware limited partnership.</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reviewed the Registration Statement, the Prospectus and such other agreements, documents, records, certificates and other materials, and have reviewed and are familiar with such corporate proceedings and satisfied ourselves as to such other matters, as we have considered relevant or necessary as a basis for our opinions set forth in this letter. 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subject to the other qualifications and limitations set forth herein, we are of the opinion that the Selling Shareholder Shares have been duly authorized and, when issued by the Company upon exercise of the exchange option pursuant to the Notes, will be validly issued, fully paid and nonassessable.</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opinions set forth in this letter are limited to Maryland General Corporation Law and the Maryland REIT Law, in each case as in effect on the date hereof.</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letter as Exhibit 5.3 to the Company’s Current Report on Form 8-K filed by the Company with the Commission on the date hereof, the incorporation</w:t>
      </w:r>
    </w:p>
    <w:p>
      <w:pPr>
        <w:sectPr>
          <w:pgSz w:w="11900" w:h="16838" w:orient="portrait"/>
          <w:cols w:equalWidth="0" w:num="1">
            <w:col w:w="11020"/>
          </w:cols>
          <w:pgMar w:left="440" w:top="117"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thereof in the Registration Statement and to the use of our name under the caption “Legal Matters” in the Prospectus. In giving this consent, we do not thereby admit that we are within the category of persons whose consent is required under Section 7 of the Act or the rules and regulations of the Commission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Pillsbury Winthrop Shaw Pittman LLP</w:t>
      </w:r>
    </w:p>
    <w:sectPr>
      <w:pgSz w:w="11900" w:h="16838" w:orient="portrait"/>
      <w:cols w:equalWidth="0" w:num="1">
        <w:col w:w="10820"/>
      </w:cols>
      <w:pgMar w:left="440" w:top="27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
      <w:numFmt w:val="bullet"/>
      <w:start w:val="1"/>
    </w:lvl>
  </w:abstractNum>
  <w:abstractNum w:abstractNumId="2">
    <w:nsid w:val="1CF10FD8"/>
    <w:multiLevelType w:val="hybridMultilevel"/>
    <w:lvl w:ilvl="0">
      <w:lvlJc w:val="left"/>
      <w:lvlText w:val="%1)"/>
      <w:numFmt w:val="lowerLetter"/>
      <w:start w:val="1"/>
    </w:lvl>
  </w:abstractNum>
  <w:abstractNum w:abstractNumId="3">
    <w:nsid w:val="180115BE"/>
    <w:multiLevelType w:val="hybridMultilevel"/>
    <w:lvl w:ilvl="0">
      <w:lvlJc w:val="left"/>
      <w:lvlText w:val="%1)"/>
      <w:numFmt w:val="lowerLetter"/>
      <w:start w:val="4"/>
    </w:lvl>
  </w:abstractNum>
  <w:abstractNum w:abstractNumId="4">
    <w:nsid w:val="235BA861"/>
    <w:multiLevelType w:val="hybridMultilevel"/>
    <w:lvl w:ilvl="0">
      <w:lvlJc w:val="left"/>
      <w:lvlText w:val="%1)"/>
      <w:numFmt w:val="lowerLetter"/>
      <w:start w:val="5"/>
    </w:lvl>
  </w:abstractNum>
  <w:abstractNum w:abstractNumId="5">
    <w:nsid w:val="47398C89"/>
    <w:multiLevelType w:val="hybridMultilevel"/>
    <w:lvl w:ilvl="0">
      <w:lvlJc w:val="left"/>
      <w:lvlText w:val="%1)"/>
      <w:numFmt w:val="lowerLetter"/>
      <w:start w:val="6"/>
    </w:lvl>
  </w:abstractNum>
  <w:abstractNum w:abstractNumId="6">
    <w:nsid w:val="354FE9F9"/>
    <w:multiLevelType w:val="hybridMultilevel"/>
    <w:lvl w:ilvl="0">
      <w:lvlJc w:val="left"/>
      <w:lvlText w:val="%1)"/>
      <w:numFmt w:val="lowerLetter"/>
      <w:start w:val="7"/>
    </w:lvl>
  </w:abstractNum>
  <w:abstractNum w:abstractNumId="7">
    <w:nsid w:val="15B5AF5C"/>
    <w:multiLevelType w:val="hybridMultilevel"/>
    <w:lvl w:ilvl="0">
      <w:lvlJc w:val="left"/>
      <w:lvlText w:val="%1)"/>
      <w:numFmt w:val="lowerLetter"/>
      <w:start w:val="10"/>
    </w:lvl>
  </w:abstractNum>
  <w:abstractNum w:abstractNumId="8">
    <w:nsid w:val="741226BB"/>
    <w:multiLevelType w:val="hybridMultilevel"/>
    <w:lvl w:ilvl="0">
      <w:lvlJc w:val="left"/>
      <w:lvlText w:val="%1)"/>
      <w:numFmt w:val="lowerLetter"/>
      <w:start w:val="11"/>
    </w:lvl>
  </w:abstractNum>
  <w:abstractNum w:abstractNumId="9">
    <w:nsid w:val="D34B6A8"/>
    <w:multiLevelType w:val="hybridMultilevel"/>
    <w:lvl w:ilvl="0">
      <w:lvlJc w:val="left"/>
      <w:lvlText w:val="%1)"/>
      <w:numFmt w:val="lowerLetter"/>
      <w:start w:val="12"/>
    </w:lvl>
  </w:abstractNum>
  <w:abstractNum w:abstractNumId="10">
    <w:nsid w:val="10233C99"/>
    <w:multiLevelType w:val="hybridMultilevel"/>
    <w:lvl w:ilvl="0">
      <w:lvlJc w:val="left"/>
      <w:lvlText w:val="%1)"/>
      <w:numFmt w:val="lowerLetter"/>
      <w:start w:val="1"/>
    </w:lvl>
  </w:abstractNum>
  <w:abstractNum w:abstractNumId="11">
    <w:nsid w:val="3F6AB60F"/>
    <w:multiLevelType w:val="hybridMultilevel"/>
    <w:lvl w:ilvl="0">
      <w:lvlJc w:val="left"/>
      <w:lvlText w:val=" "/>
      <w:numFmt w:val="bullet"/>
      <w:start w:val="1"/>
    </w:lvl>
  </w:abstractNum>
  <w:abstractNum w:abstractNumId="12">
    <w:nsid w:val="61574095"/>
    <w:multiLevelType w:val="hybridMultilevel"/>
    <w:lvl w:ilvl="0">
      <w:lvlJc w:val="left"/>
      <w:lvlText w:val=" "/>
      <w:numFmt w:val="bullet"/>
      <w:start w:val="1"/>
    </w:lvl>
  </w:abstractNum>
  <w:abstractNum w:abstractNumId="13">
    <w:nsid w:val="7E0C57B1"/>
    <w:multiLevelType w:val="hybridMultilevel"/>
    <w:lvl w:ilvl="0">
      <w:lvlJc w:val="left"/>
      <w:lvlText w:val=" "/>
      <w:numFmt w:val="bullet"/>
      <w:start w:val="1"/>
    </w:lvl>
  </w:abstractNum>
  <w:abstractNum w:abstractNumId="14">
    <w:nsid w:val="77AE35EB"/>
    <w:multiLevelType w:val="hybridMultilevel"/>
    <w:lvl w:ilvl="0">
      <w:lvlJc w:val="left"/>
      <w:lvlText w:val=" "/>
      <w:numFmt w:val="bullet"/>
      <w:start w:val="1"/>
    </w:lvl>
  </w:abstractNum>
  <w:abstractNum w:abstractNumId="15">
    <w:nsid w:val="579BE4F1"/>
    <w:multiLevelType w:val="hybridMultilevel"/>
    <w:lvl w:ilvl="0">
      <w:lvlJc w:val="left"/>
      <w:lvlText w:val=" "/>
      <w:numFmt w:val="bullet"/>
      <w:start w:val="1"/>
    </w:lvl>
  </w:abstractNum>
  <w:abstractNum w:abstractNumId="16">
    <w:nsid w:val="310C50B3"/>
    <w:multiLevelType w:val="hybridMultilevel"/>
    <w:lvl w:ilvl="0">
      <w:lvlJc w:val="left"/>
      <w:lvlText w:val=" "/>
      <w:numFmt w:val="bullet"/>
      <w:start w:val="1"/>
    </w:lvl>
  </w:abstractNum>
  <w:abstractNum w:abstractNumId="17">
    <w:nsid w:val="5FF87E05"/>
    <w:multiLevelType w:val="hybridMultilevel"/>
    <w:lvl w:ilvl="0">
      <w:lvlJc w:val="left"/>
      <w:lvlText w:val=" "/>
      <w:numFmt w:val="bullet"/>
      <w:start w:val="1"/>
    </w:lvl>
  </w:abstractNum>
  <w:abstractNum w:abstractNumId="18">
    <w:nsid w:val="2F305DEF"/>
    <w:multiLevelType w:val="hybridMultilevel"/>
    <w:lvl w:ilvl="0">
      <w:lvlJc w:val="left"/>
      <w:lvlText w:val=" "/>
      <w:numFmt w:val="bullet"/>
      <w:start w:val="1"/>
    </w:lvl>
  </w:abstractNum>
  <w:abstractNum w:abstractNumId="19">
    <w:nsid w:val="25A70BF7"/>
    <w:multiLevelType w:val="hybridMultilevel"/>
    <w:lvl w:ilvl="0">
      <w:lvlJc w:val="left"/>
      <w:lvlText w:val="(%1)"/>
      <w:numFmt w:val="lowerLetter"/>
      <w:start w:val="1"/>
    </w:lvl>
  </w:abstractNum>
  <w:abstractNum w:abstractNumId="20">
    <w:nsid w:val="1DBABF00"/>
    <w:multiLevelType w:val="hybridMultilevel"/>
    <w:lvl w:ilvl="0">
      <w:lvlJc w:val="left"/>
      <w:lvlText w:val="(%1)"/>
      <w:numFmt w:val="lowerLetter"/>
      <w:start w:val="2"/>
    </w:lvl>
  </w:abstractNum>
  <w:abstractNum w:abstractNumId="21">
    <w:nsid w:val="4AD084E9"/>
    <w:multiLevelType w:val="hybridMultilevel"/>
    <w:lvl w:ilvl="0">
      <w:lvlJc w:val="left"/>
      <w:lvlText w:val="(%1)"/>
      <w:numFmt w:val="lowerLetter"/>
      <w:start w:val="3"/>
    </w:lvl>
  </w:abstractNum>
  <w:abstractNum w:abstractNumId="22">
    <w:nsid w:val="1F48EAA1"/>
    <w:multiLevelType w:val="hybridMultilevel"/>
    <w:lvl w:ilvl="0">
      <w:lvlJc w:val="left"/>
      <w:lvlText w:val="(%1)"/>
      <w:numFmt w:val="lowerLetter"/>
      <w:start w:val="1"/>
    </w:lvl>
  </w:abstractNum>
  <w:abstractNum w:abstractNumId="23">
    <w:nsid w:val="1381823A"/>
    <w:multiLevelType w:val="hybridMultilevel"/>
    <w:lvl w:ilvl="0">
      <w:lvlJc w:val="left"/>
      <w:lvlText w:val="(%1)"/>
      <w:numFmt w:val="lowerLetter"/>
      <w:start w:val="4"/>
    </w:lvl>
  </w:abstractNum>
  <w:abstractNum w:abstractNumId="24">
    <w:nsid w:val="5DB70AE5"/>
    <w:multiLevelType w:val="hybridMultilevel"/>
    <w:lvl w:ilvl="0">
      <w:lvlJc w:val="left"/>
      <w:lvlText w:val="(%1)"/>
      <w:numFmt w:val="lowerLetter"/>
      <w:start w:val="1"/>
    </w:lvl>
  </w:abstractNum>
  <w:abstractNum w:abstractNumId="25">
    <w:nsid w:val="100F8FCA"/>
    <w:multiLevelType w:val="hybridMultilevel"/>
    <w:lvl w:ilvl="0">
      <w:lvlJc w:val="left"/>
      <w:lvlText w:val="(%1)"/>
      <w:numFmt w:val="lowerLetter"/>
      <w:start w:val="1"/>
    </w:lvl>
    <w:lvl w:ilvl="1">
      <w:lvlJc w:val="left"/>
      <w:lvlText w:val="(%2)"/>
      <w:numFmt w:val="decimal"/>
      <w:start w:val="1"/>
    </w:lvl>
  </w:abstractNum>
  <w:abstractNum w:abstractNumId="26">
    <w:nsid w:val="6590700B"/>
    <w:multiLevelType w:val="hybridMultilevel"/>
    <w:lvl w:ilvl="0">
      <w:lvlJc w:val="left"/>
      <w:lvlText w:val="(%1)"/>
      <w:numFmt w:val="decimal"/>
      <w:start w:val="2"/>
    </w:lvl>
  </w:abstractNum>
  <w:abstractNum w:abstractNumId="27">
    <w:nsid w:val="15014ACB"/>
    <w:multiLevelType w:val="hybridMultilevel"/>
    <w:lvl w:ilvl="0">
      <w:lvlJc w:val="left"/>
      <w:lvlText w:val="(%1)"/>
      <w:numFmt w:val="decimal"/>
      <w:start w:val="4"/>
    </w:lvl>
  </w:abstractNum>
  <w:abstractNum w:abstractNumId="28">
    <w:nsid w:val="5F5E7FD0"/>
    <w:multiLevelType w:val="hybridMultilevel"/>
    <w:lvl w:ilvl="0">
      <w:lvlJc w:val="left"/>
      <w:lvlText w:val="(%1)"/>
      <w:numFmt w:val="decimal"/>
      <w:start w:val="6"/>
    </w:lvl>
  </w:abstractNum>
  <w:abstractNum w:abstractNumId="29">
    <w:nsid w:val="98A3148"/>
    <w:multiLevelType w:val="hybridMultilevel"/>
    <w:lvl w:ilvl="0">
      <w:lvlJc w:val="left"/>
      <w:lvlText w:val="(%1)"/>
      <w:numFmt w:val="decimal"/>
      <w:start w:val="10"/>
    </w:lvl>
  </w:abstractNum>
  <w:abstractNum w:abstractNumId="30">
    <w:nsid w:val="799D0247"/>
    <w:multiLevelType w:val="hybridMultilevel"/>
    <w:lvl w:ilvl="0">
      <w:lvlJc w:val="left"/>
      <w:lvlText w:val="(%1)"/>
      <w:numFmt w:val="decimal"/>
      <w:start w:val="12"/>
    </w:lvl>
  </w:abstractNum>
  <w:abstractNum w:abstractNumId="31">
    <w:nsid w:val="6B94764"/>
    <w:multiLevelType w:val="hybridMultilevel"/>
    <w:lvl w:ilvl="0">
      <w:lvlJc w:val="left"/>
      <w:lvlText w:val="(%1)"/>
      <w:numFmt w:val="decimal"/>
      <w:start w:val="15"/>
    </w:lvl>
  </w:abstractNum>
  <w:abstractNum w:abstractNumId="32">
    <w:nsid w:val="42C296BD"/>
    <w:multiLevelType w:val="hybridMultilevel"/>
    <w:lvl w:ilvl="0">
      <w:lvlJc w:val="left"/>
      <w:lvlText w:val="(%1)"/>
      <w:numFmt w:val="decimal"/>
      <w:start w:val="18"/>
    </w:lvl>
  </w:abstractNum>
  <w:abstractNum w:abstractNumId="33">
    <w:nsid w:val="168E121F"/>
    <w:multiLevelType w:val="hybridMultilevel"/>
    <w:lvl w:ilvl="0">
      <w:lvlJc w:val="left"/>
      <w:lvlText w:val="(%1)"/>
      <w:numFmt w:val="decimal"/>
      <w:start w:val="22"/>
    </w:lvl>
  </w:abstractNum>
  <w:abstractNum w:abstractNumId="34">
    <w:nsid w:val="1EBA5D23"/>
    <w:multiLevelType w:val="hybridMultilevel"/>
    <w:lvl w:ilvl="0">
      <w:lvlJc w:val="left"/>
      <w:lvlText w:val="(%1)"/>
      <w:numFmt w:val="decimal"/>
      <w:start w:val="26"/>
    </w:lvl>
  </w:abstractNum>
  <w:abstractNum w:abstractNumId="35">
    <w:nsid w:val="661E3F1E"/>
    <w:multiLevelType w:val="hybridMultilevel"/>
    <w:lvl w:ilvl="0">
      <w:lvlJc w:val="left"/>
      <w:lvlText w:val="(%1)"/>
      <w:numFmt w:val="decimal"/>
      <w:start w:val="29"/>
    </w:lvl>
  </w:abstractNum>
  <w:abstractNum w:abstractNumId="36">
    <w:nsid w:val="5DC79EA8"/>
    <w:multiLevelType w:val="hybridMultilevel"/>
    <w:lvl w:ilvl="0">
      <w:lvlJc w:val="left"/>
      <w:lvlText w:val="(%1)"/>
      <w:numFmt w:val="decimal"/>
      <w:start w:val="34"/>
    </w:lvl>
  </w:abstractNum>
  <w:abstractNum w:abstractNumId="37">
    <w:nsid w:val="540A471C"/>
    <w:multiLevelType w:val="hybridMultilevel"/>
    <w:lvl w:ilvl="0">
      <w:lvlJc w:val="left"/>
      <w:lvlText w:val="(%1)"/>
      <w:numFmt w:val="lowerLetter"/>
      <w:start w:val="2"/>
    </w:lvl>
  </w:abstractNum>
  <w:abstractNum w:abstractNumId="38">
    <w:nsid w:val="7BD3EE7B"/>
    <w:multiLevelType w:val="hybridMultilevel"/>
    <w:lvl w:ilvl="0">
      <w:lvlJc w:val="left"/>
      <w:lvlText w:val="(%1)"/>
      <w:numFmt w:val="lowerLetter"/>
      <w:start w:val="1"/>
    </w:lvl>
  </w:abstractNum>
  <w:abstractNum w:abstractNumId="39">
    <w:nsid w:val="51D9C564"/>
    <w:multiLevelType w:val="hybridMultilevel"/>
    <w:lvl w:ilvl="0">
      <w:lvlJc w:val="left"/>
      <w:lvlText w:val="(%1)"/>
      <w:numFmt w:val="lowerLetter"/>
      <w:start w:val="3"/>
    </w:lvl>
  </w:abstractNum>
  <w:abstractNum w:abstractNumId="40">
    <w:nsid w:val="613EFDC5"/>
    <w:multiLevelType w:val="hybridMultilevel"/>
    <w:lvl w:ilvl="0">
      <w:lvlJc w:val="left"/>
      <w:lvlText w:val="%1"/>
      <w:numFmt w:val="upperLetter"/>
      <w:start w:val="1"/>
    </w:lvl>
    <w:lvl w:ilvl="1">
      <w:lvlJc w:val="left"/>
      <w:lvlText w:val="(%2)"/>
      <w:numFmt w:val="lowerLetter"/>
      <w:start w:val="7"/>
    </w:lvl>
  </w:abstractNum>
  <w:abstractNum w:abstractNumId="41">
    <w:nsid w:val="BF72B14"/>
    <w:multiLevelType w:val="hybridMultilevel"/>
    <w:lvl w:ilvl="0">
      <w:lvlJc w:val="left"/>
      <w:lvlText w:val="(%1)"/>
      <w:numFmt w:val="upperLetter"/>
      <w:start w:val="1"/>
    </w:lvl>
    <w:lvl w:ilvl="1">
      <w:lvlJc w:val="left"/>
      <w:lvlText w:val="(%2)"/>
      <w:numFmt w:val="lowerLetter"/>
      <w:start w:val="8"/>
    </w:lvl>
  </w:abstractNum>
  <w:abstractNum w:abstractNumId="42">
    <w:nsid w:val="11447B73"/>
    <w:multiLevelType w:val="hybridMultilevel"/>
    <w:lvl w:ilvl="0">
      <w:lvlJc w:val="left"/>
      <w:lvlText w:val="%1"/>
      <w:numFmt w:val="lowerLetter"/>
      <w:start w:val="1"/>
    </w:lvl>
    <w:lvl w:ilvl="1">
      <w:lvlJc w:val="left"/>
      <w:lvlText w:val="(%2)"/>
      <w:numFmt w:val="lowerLetter"/>
      <w:start w:val="10"/>
    </w:lvl>
  </w:abstractNum>
  <w:abstractNum w:abstractNumId="43">
    <w:nsid w:val="42963E5A"/>
    <w:multiLevelType w:val="hybridMultilevel"/>
    <w:lvl w:ilvl="0">
      <w:lvlJc w:val="left"/>
      <w:lvlText w:val="(%1)"/>
      <w:numFmt w:val="lowerLetter"/>
      <w:start w:val="61"/>
    </w:lvl>
    <w:lvl w:ilvl="1">
      <w:lvlJc w:val="left"/>
      <w:lvlText w:val="%2"/>
      <w:numFmt w:val="lowerLetter"/>
      <w:start w:val="1"/>
    </w:lvl>
  </w:abstractNum>
  <w:abstractNum w:abstractNumId="44">
    <w:nsid w:val="A0382C5"/>
    <w:multiLevelType w:val="hybridMultilevel"/>
    <w:lvl w:ilvl="0">
      <w:lvlJc w:val="left"/>
      <w:lvlText w:val="(%1)"/>
      <w:numFmt w:val="lowerLetter"/>
      <w:start w:val="9"/>
    </w:lvl>
    <w:lvl w:ilvl="1">
      <w:lvlJc w:val="left"/>
      <w:lvlText w:val="%2"/>
      <w:numFmt w:val="lowerLetter"/>
      <w:start w:val="1"/>
    </w:lvl>
  </w:abstractNum>
  <w:abstractNum w:abstractNumId="45">
    <w:nsid w:val="8F2B15E"/>
    <w:multiLevelType w:val="hybridMultilevel"/>
    <w:lvl w:ilvl="0">
      <w:lvlJc w:val="left"/>
      <w:lvlText w:val="(%1)"/>
      <w:numFmt w:val="lowerLetter"/>
      <w:start w:val="1"/>
    </w:lvl>
  </w:abstractNum>
  <w:abstractNum w:abstractNumId="46">
    <w:nsid w:val="1A32234B"/>
    <w:multiLevelType w:val="hybridMultilevel"/>
    <w:lvl w:ilvl="0">
      <w:lvlJc w:val="left"/>
      <w:lvlText w:val="(%1)"/>
      <w:numFmt w:val="lowerLetter"/>
      <w:start w:val="2"/>
    </w:lvl>
  </w:abstractNum>
  <w:abstractNum w:abstractNumId="47">
    <w:nsid w:val="3B0FD379"/>
    <w:multiLevelType w:val="hybridMultilevel"/>
    <w:lvl w:ilvl="0">
      <w:lvlJc w:val="left"/>
      <w:lvlText w:val="(%1)"/>
      <w:numFmt w:val="lowerLetter"/>
      <w:start w:val="3"/>
    </w:lvl>
  </w:abstractNum>
  <w:abstractNum w:abstractNumId="48">
    <w:nsid w:val="68EB2F63"/>
    <w:multiLevelType w:val="hybridMultilevel"/>
    <w:lvl w:ilvl="0">
      <w:lvlJc w:val="left"/>
      <w:lvlText w:val="(%1)"/>
      <w:numFmt w:val="lowerLetter"/>
      <w:start w:val="5"/>
    </w:lvl>
  </w:abstractNum>
  <w:abstractNum w:abstractNumId="49">
    <w:nsid w:val="4962813B"/>
    <w:multiLevelType w:val="hybridMultilevel"/>
    <w:lvl w:ilvl="0">
      <w:lvlJc w:val="left"/>
      <w:lvlText w:val="(%1)"/>
      <w:numFmt w:val="lowerLetter"/>
      <w:start w:val="12"/>
    </w:lvl>
  </w:abstractNum>
  <w:abstractNum w:abstractNumId="50">
    <w:nsid w:val="60B6DF70"/>
    <w:multiLevelType w:val="hybridMultilevel"/>
    <w:lvl w:ilvl="0">
      <w:lvlJc w:val="left"/>
      <w:lvlText w:val="(%1)"/>
      <w:numFmt w:val="lowerLetter"/>
      <w:start w:val="15"/>
    </w:lvl>
    <w:lvl w:ilvl="1">
      <w:lvlJc w:val="left"/>
      <w:lvlText w:val="(%2)"/>
      <w:numFmt w:val="decimal"/>
      <w:start w:val="1"/>
    </w:lvl>
    <w:lvl w:ilvl="2">
      <w:lvlJc w:val="left"/>
      <w:lvlText w:val="(%3)"/>
      <w:numFmt w:val="lowerRoman"/>
      <w:start w:val="1"/>
    </w:lvl>
  </w:abstractNum>
  <w:abstractNum w:abstractNumId="51">
    <w:nsid w:val="6A5EE64"/>
    <w:multiLevelType w:val="hybridMultilevel"/>
    <w:lvl w:ilvl="0">
      <w:lvlJc w:val="left"/>
      <w:lvlText w:val="(%1)"/>
      <w:numFmt w:val="lowerLetter"/>
      <w:start w:val="16"/>
    </w:lvl>
  </w:abstractNum>
  <w:abstractNum w:abstractNumId="52">
    <w:nsid w:val="14330624"/>
    <w:multiLevelType w:val="hybridMultilevel"/>
    <w:lvl w:ilvl="0">
      <w:lvlJc w:val="left"/>
      <w:lvlText w:val="(%1)"/>
      <w:numFmt w:val="decimal"/>
      <w:start w:val="3"/>
    </w:lvl>
    <w:lvl w:ilvl="1">
      <w:lvlJc w:val="left"/>
      <w:lvlText w:val="(%2)"/>
      <w:numFmt w:val="lowerLetter"/>
      <w:start w:val="19"/>
    </w:lvl>
  </w:abstractNum>
  <w:abstractNum w:abstractNumId="53">
    <w:nsid w:val="7FFFCA11"/>
    <w:multiLevelType w:val="hybridMultilevel"/>
    <w:lvl w:ilvl="0">
      <w:lvlJc w:val="left"/>
      <w:lvlText w:val="(%1)"/>
      <w:numFmt w:val="lowerLetter"/>
      <w:start w:val="24"/>
    </w:lvl>
  </w:abstractNum>
  <w:abstractNum w:abstractNumId="54">
    <w:nsid w:val="1A27709E"/>
    <w:multiLevelType w:val="hybridMultilevel"/>
    <w:lvl w:ilvl="0">
      <w:lvlJc w:val="left"/>
      <w:lvlText w:val="(%1)"/>
      <w:numFmt w:val="lowerLetter"/>
      <w:start w:val="27"/>
    </w:lvl>
  </w:abstractNum>
  <w:abstractNum w:abstractNumId="55">
    <w:nsid w:val="71EA1109"/>
    <w:multiLevelType w:val="hybridMultilevel"/>
    <w:lvl w:ilvl="0">
      <w:lvlJc w:val="left"/>
      <w:lvlText w:val="%1"/>
      <w:numFmt w:val="lowerRoman"/>
      <w:start w:val="1"/>
    </w:lvl>
    <w:lvl w:ilvl="1">
      <w:lvlJc w:val="left"/>
      <w:lvlText w:val="(%2)"/>
      <w:numFmt w:val="lowerLetter"/>
      <w:start w:val="1"/>
    </w:lvl>
  </w:abstractNum>
  <w:abstractNum w:abstractNumId="56">
    <w:nsid w:val="100F59DC"/>
    <w:multiLevelType w:val="hybridMultilevel"/>
    <w:lvl w:ilvl="0">
      <w:lvlJc w:val="left"/>
      <w:lvlText w:val="(%1)"/>
      <w:numFmt w:val="lowerRoman"/>
      <w:start w:val="6"/>
    </w:lvl>
    <w:lvl w:ilvl="1">
      <w:lvlJc w:val="left"/>
      <w:lvlText w:val="(%2)"/>
      <w:numFmt w:val="lowerLetter"/>
      <w:start w:val="2"/>
    </w:lvl>
  </w:abstractNum>
  <w:abstractNum w:abstractNumId="57">
    <w:nsid w:val="7FB7E0AA"/>
    <w:multiLevelType w:val="hybridMultilevel"/>
    <w:lvl w:ilvl="0">
      <w:lvlJc w:val="left"/>
      <w:lvlText w:val="(%1)"/>
      <w:numFmt w:val="lowerLetter"/>
      <w:start w:val="1"/>
    </w:lvl>
  </w:abstractNum>
  <w:abstractNum w:abstractNumId="58">
    <w:nsid w:val="6EB5BD4"/>
    <w:multiLevelType w:val="hybridMultilevel"/>
    <w:lvl w:ilvl="0">
      <w:lvlJc w:val="left"/>
      <w:lvlText w:val="(%1)"/>
      <w:numFmt w:val="lowerLetter"/>
      <w:start w:val="3"/>
    </w:lvl>
  </w:abstractNum>
  <w:abstractNum w:abstractNumId="59">
    <w:nsid w:val="6F6DD9AC"/>
    <w:multiLevelType w:val="hybridMultilevel"/>
    <w:lvl w:ilvl="0">
      <w:lvlJc w:val="left"/>
      <w:lvlText w:val="(%1)"/>
      <w:numFmt w:val="lowerLetter"/>
      <w:start w:val="12"/>
    </w:lvl>
  </w:abstractNum>
  <w:abstractNum w:abstractNumId="60">
    <w:nsid w:val="94211F2"/>
    <w:multiLevelType w:val="hybridMultilevel"/>
    <w:lvl w:ilvl="0">
      <w:lvlJc w:val="left"/>
      <w:lvlText w:val="(%1)"/>
      <w:numFmt w:val="lowerLetter"/>
      <w:start w:val="1"/>
    </w:lvl>
  </w:abstractNum>
  <w:abstractNum w:abstractNumId="61">
    <w:nsid w:val="885E1B"/>
    <w:multiLevelType w:val="hybridMultilevel"/>
    <w:lvl w:ilvl="0">
      <w:lvlJc w:val="left"/>
      <w:lvlText w:val="(%1)"/>
      <w:numFmt w:val="lowerLetter"/>
      <w:start w:val="3"/>
    </w:lvl>
  </w:abstractNum>
  <w:abstractNum w:abstractNumId="62">
    <w:nsid w:val="76272110"/>
    <w:multiLevelType w:val="hybridMultilevel"/>
    <w:lvl w:ilvl="0">
      <w:lvlJc w:val="left"/>
      <w:lvlText w:val="(%1)"/>
      <w:numFmt w:val="lowerLetter"/>
      <w:start w:val="1"/>
    </w:lvl>
  </w:abstractNum>
  <w:abstractNum w:abstractNumId="63">
    <w:nsid w:val="4C04A8AF"/>
    <w:multiLevelType w:val="hybridMultilevel"/>
    <w:lvl w:ilvl="0">
      <w:lvlJc w:val="left"/>
      <w:lvlText w:val="%1"/>
      <w:numFmt w:val="lowerLetter"/>
      <w:start w:val="1"/>
    </w:lvl>
    <w:lvl w:ilvl="1">
      <w:lvlJc w:val="left"/>
      <w:lvlText w:val="(%2)"/>
      <w:numFmt w:val="lowerLetter"/>
      <w:start w:val="2"/>
    </w:lvl>
  </w:abstractNum>
  <w:abstractNum w:abstractNumId="64">
    <w:nsid w:val="1716703B"/>
    <w:multiLevelType w:val="hybridMultilevel"/>
    <w:lvl w:ilvl="0">
      <w:lvlJc w:val="left"/>
      <w:lvlText w:val="(%1)"/>
      <w:numFmt w:val="lowerLetter"/>
      <w:start w:val="4"/>
    </w:lvl>
    <w:lvl w:ilvl="1">
      <w:lvlJc w:val="left"/>
      <w:lvlText w:val="(%2)"/>
      <w:numFmt w:val="lowerLetter"/>
      <w:start w:val="6"/>
    </w:lvl>
  </w:abstractNum>
  <w:abstractNum w:abstractNumId="65">
    <w:nsid w:val="14E17E33"/>
    <w:multiLevelType w:val="hybridMultilevel"/>
    <w:lvl w:ilvl="0">
      <w:lvlJc w:val="left"/>
      <w:lvlText w:val="(%1)"/>
      <w:numFmt w:val="lowerRoman"/>
      <w:start w:val="1"/>
    </w:lvl>
  </w:abstractNum>
  <w:abstractNum w:abstractNumId="66">
    <w:nsid w:val="3222E7CD"/>
    <w:multiLevelType w:val="hybridMultilevel"/>
    <w:lvl w:ilvl="0">
      <w:lvlJc w:val="left"/>
      <w:lvlText w:val="(%1)"/>
      <w:numFmt w:val="lowerLetter"/>
      <w:start w:val="1"/>
    </w:lvl>
  </w:abstractNum>
  <w:abstractNum w:abstractNumId="67">
    <w:nsid w:val="74DE0EE3"/>
    <w:multiLevelType w:val="hybridMultilevel"/>
    <w:lvl w:ilvl="0">
      <w:lvlJc w:val="left"/>
      <w:lvlText w:val="1"/>
      <w:numFmt w:val="bullet"/>
      <w:start w:val="1"/>
    </w:lvl>
  </w:abstractNum>
  <w:abstractNum w:abstractNumId="68">
    <w:nsid w:val="68EBC550"/>
    <w:multiLevelType w:val="hybridMultilevel"/>
    <w:lvl w:ilvl="0">
      <w:lvlJc w:val="left"/>
      <w:lvlText w:val="2"/>
      <w:numFmt w:val="bullet"/>
      <w:start w:val="1"/>
    </w:lvl>
  </w:abstractNum>
  <w:abstractNum w:abstractNumId="69">
    <w:nsid w:val="2DF6D648"/>
    <w:multiLevelType w:val="hybridMultilevel"/>
    <w:lvl w:ilvl="0">
      <w:lvlJc w:val="left"/>
      <w:lvlText w:val="3"/>
      <w:numFmt w:val="bullet"/>
      <w:start w:val="1"/>
    </w:lvl>
  </w:abstractNum>
  <w:abstractNum w:abstractNumId="70">
    <w:nsid w:val="46B7D447"/>
    <w:multiLevelType w:val="hybridMultilevel"/>
    <w:lvl w:ilvl="0">
      <w:lvlJc w:val="left"/>
      <w:lvlText w:val="4"/>
      <w:numFmt w:val="bullet"/>
      <w:start w:val="1"/>
    </w:lvl>
  </w:abstractNum>
  <w:abstractNum w:abstractNumId="71">
    <w:nsid w:val="4A2AC315"/>
    <w:multiLevelType w:val="hybridMultilevel"/>
    <w:lvl w:ilvl="0">
      <w:lvlJc w:val="left"/>
      <w:lvlText w:val="5"/>
      <w:numFmt w:val="bullet"/>
      <w:start w:val="1"/>
    </w:lvl>
  </w:abstractNum>
  <w:abstractNum w:abstractNumId="72">
    <w:nsid w:val="39EE015C"/>
    <w:multiLevelType w:val="hybridMultilevel"/>
    <w:lvl w:ilvl="0">
      <w:lvlJc w:val="left"/>
      <w:lvlText w:val="6"/>
      <w:numFmt w:val="bullet"/>
      <w:start w:val="1"/>
    </w:lvl>
  </w:abstractNum>
  <w:abstractNum w:abstractNumId="73">
    <w:nsid w:val="57FC4FBB"/>
    <w:multiLevelType w:val="hybridMultilevel"/>
    <w:lvl w:ilvl="0">
      <w:lvlJc w:val="left"/>
      <w:lvlText w:val="7"/>
      <w:numFmt w:val="bullet"/>
      <w:start w:val="1"/>
    </w:lvl>
  </w:abstractNum>
  <w:abstractNum w:abstractNumId="74">
    <w:nsid w:val="CC1016F"/>
    <w:multiLevelType w:val="hybridMultilevel"/>
    <w:lvl w:ilvl="0">
      <w:lvlJc w:val="left"/>
      <w:lvlText w:val="8"/>
      <w:numFmt w:val="bullet"/>
      <w:start w:val="1"/>
    </w:lvl>
  </w:abstractNum>
  <w:abstractNum w:abstractNumId="75">
    <w:nsid w:val="43F18422"/>
    <w:multiLevelType w:val="hybridMultilevel"/>
    <w:lvl w:ilvl="0">
      <w:lvlJc w:val="left"/>
      <w:lvlText w:val="9"/>
      <w:numFmt w:val="bullet"/>
      <w:start w:val="1"/>
    </w:lvl>
  </w:abstractNum>
  <w:abstractNum w:abstractNumId="76">
    <w:nsid w:val="60EF0119"/>
    <w:multiLevelType w:val="hybridMultilevel"/>
    <w:lvl w:ilvl="0">
      <w:lvlJc w:val="left"/>
      <w:lvlText w:val="%1."/>
      <w:numFmt w:val="decimal"/>
      <w:start w:val="1"/>
    </w:lvl>
  </w:abstractNum>
  <w:abstractNum w:abstractNumId="77">
    <w:nsid w:val="26F324BA"/>
    <w:multiLevelType w:val="hybridMultilevel"/>
    <w:lvl w:ilvl="0">
      <w:lvlJc w:val="left"/>
      <w:lvlText w:val="(%1)"/>
      <w:numFmt w:val="lowerRoman"/>
      <w:start w:val="1"/>
    </w:lvl>
  </w:abstractNum>
  <w:abstractNum w:abstractNumId="78">
    <w:nsid w:val="7F01579B"/>
    <w:multiLevelType w:val="hybridMultilevel"/>
    <w:lvl w:ilvl="0">
      <w:lvlJc w:val="left"/>
      <w:lvlText w:val="%1."/>
      <w:numFmt w:val="decimal"/>
      <w:start w:val="6"/>
    </w:lvl>
    <w:lvl w:ilvl="1">
      <w:lvlJc w:val="left"/>
      <w:lvlText w:val="(%2)"/>
      <w:numFmt w:val="lowerLetter"/>
      <w:start w:val="1"/>
    </w:lvl>
  </w:abstractNum>
  <w:abstractNum w:abstractNumId="79">
    <w:nsid w:val="49DA307D"/>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80">
    <w:nsid w:val="7055A5F5"/>
    <w:multiLevelType w:val="hybridMultilevel"/>
    <w:lvl w:ilvl="0">
      <w:lvlJc w:val="left"/>
      <w:lvlText w:val="(%1)"/>
      <w:numFmt w:val="lowerLetter"/>
      <w:start w:val="2"/>
    </w:lvl>
    <w:lvl w:ilvl="1">
      <w:lvlJc w:val="left"/>
      <w:lvlText w:val="(%2)"/>
      <w:numFmt w:val="lowerRoman"/>
      <w:start w:val="1"/>
    </w:lvl>
  </w:abstractNum>
  <w:abstractNum w:abstractNumId="81">
    <w:nsid w:val="5FB8370B"/>
    <w:multiLevelType w:val="hybridMultilevel"/>
    <w:lvl w:ilvl="0">
      <w:lvlJc w:val="left"/>
      <w:lvlText w:val="%1"/>
      <w:numFmt w:val="lowerLetter"/>
      <w:start w:val="1"/>
    </w:lvl>
    <w:lvl w:ilvl="1">
      <w:lvlJc w:val="left"/>
      <w:lvlText w:val="(%2)"/>
      <w:numFmt w:val="lowerRoman"/>
      <w:start w:val="3"/>
    </w:lvl>
  </w:abstractNum>
  <w:abstractNum w:abstractNumId="82">
    <w:nsid w:val="50801EE1"/>
    <w:multiLevelType w:val="hybridMultilevel"/>
    <w:lvl w:ilvl="0">
      <w:lvlJc w:val="left"/>
      <w:lvlText w:val="(%1)"/>
      <w:numFmt w:val="lowerLetter"/>
      <w:start w:val="5"/>
    </w:lvl>
    <w:lvl w:ilvl="1">
      <w:lvlJc w:val="left"/>
      <w:lvlText w:val="(%2)"/>
      <w:numFmt w:val="lowerRoman"/>
      <w:start w:val="1"/>
    </w:lvl>
  </w:abstractNum>
  <w:abstractNum w:abstractNumId="83">
    <w:nsid w:val="488AC1A"/>
    <w:multiLevelType w:val="hybridMultilevel"/>
    <w:lvl w:ilvl="0">
      <w:lvlJc w:val="left"/>
      <w:lvlText w:val="(%1)"/>
      <w:numFmt w:val="lowerRoman"/>
      <w:start w:val="2"/>
    </w:lvl>
  </w:abstractNum>
  <w:abstractNum w:abstractNumId="84">
    <w:nsid w:val="5FB8011C"/>
    <w:multiLevelType w:val="hybridMultilevel"/>
    <w:lvl w:ilvl="0">
      <w:lvlJc w:val="left"/>
      <w:lvlText w:val="(%1)"/>
      <w:numFmt w:val="lowerRoman"/>
      <w:start w:val="5"/>
    </w:lvl>
  </w:abstractNum>
  <w:abstractNum w:abstractNumId="85">
    <w:nsid w:val="6AA78F7F"/>
    <w:multiLevelType w:val="hybridMultilevel"/>
    <w:lvl w:ilvl="0">
      <w:lvlJc w:val="left"/>
      <w:lvlText w:val="%1"/>
      <w:numFmt w:val="lowerLetter"/>
      <w:start w:val="1"/>
    </w:lvl>
    <w:lvl w:ilvl="1">
      <w:lvlJc w:val="left"/>
      <w:lvlText w:val="(%2)"/>
      <w:numFmt w:val="lowerRoman"/>
      <w:start w:val="12"/>
    </w:lvl>
  </w:abstractNum>
  <w:abstractNum w:abstractNumId="86">
    <w:nsid w:val="7672BD23"/>
    <w:multiLevelType w:val="hybridMultilevel"/>
    <w:lvl w:ilvl="0">
      <w:lvlJc w:val="left"/>
      <w:lvlText w:val="(%1)"/>
      <w:numFmt w:val="lowerLetter"/>
      <w:start w:val="6"/>
    </w:lvl>
    <w:lvl w:ilvl="1">
      <w:lvlJc w:val="left"/>
      <w:lvlText w:val="(%2)"/>
      <w:numFmt w:val="lowerRoman"/>
      <w:start w:val="1"/>
    </w:lvl>
  </w:abstractNum>
  <w:abstractNum w:abstractNumId="87">
    <w:nsid w:val="6FC75AF8"/>
    <w:multiLevelType w:val="hybridMultilevel"/>
    <w:lvl w:ilvl="0">
      <w:lvlJc w:val="left"/>
      <w:lvlText w:val="%1"/>
      <w:numFmt w:val="upperLetter"/>
      <w:start w:val="1"/>
    </w:lvl>
    <w:lvl w:ilvl="1">
      <w:lvlJc w:val="left"/>
      <w:lvlText w:val="(%2)"/>
      <w:numFmt w:val="lowerRoman"/>
      <w:start w:val="2"/>
    </w:lvl>
  </w:abstractNum>
  <w:abstractNum w:abstractNumId="88">
    <w:nsid w:val="6A5F7029"/>
    <w:multiLevelType w:val="hybridMultilevel"/>
    <w:lvl w:ilvl="0">
      <w:lvlJc w:val="left"/>
      <w:lvlText w:val="(%1)"/>
      <w:numFmt w:val="upperLetter"/>
      <w:start w:val="2"/>
    </w:lvl>
    <w:lvl w:ilvl="1">
      <w:lvlJc w:val="left"/>
      <w:lvlText w:val="(%2)"/>
      <w:numFmt w:val="lowerRoman"/>
      <w:start w:val="3"/>
    </w:lvl>
  </w:abstractNum>
  <w:abstractNum w:abstractNumId="89">
    <w:nsid w:val="7D5E18F8"/>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22"/>
    </w:lvl>
  </w:abstractNum>
  <w:abstractNum w:abstractNumId="90">
    <w:nsid w:val="5F3534A4"/>
    <w:multiLevelType w:val="hybridMultilevel"/>
    <w:lvl w:ilvl="0">
      <w:lvlJc w:val="left"/>
      <w:lvlText w:val="(%1)"/>
      <w:numFmt w:val="lowerLetter"/>
      <w:start w:val="7"/>
    </w:lvl>
    <w:lvl w:ilvl="1">
      <w:lvlJc w:val="left"/>
      <w:lvlText w:val="%2"/>
      <w:numFmt w:val="upperLetter"/>
      <w:start w:val="1"/>
    </w:lvl>
    <w:lvl w:ilvl="2">
      <w:lvlJc w:val="left"/>
      <w:lvlText w:val="%3"/>
      <w:numFmt w:val="lowerLetter"/>
      <w:start w:val="1"/>
    </w:lvl>
  </w:abstractNum>
  <w:abstractNum w:abstractNumId="91">
    <w:nsid w:val="73A1821B"/>
    <w:multiLevelType w:val="hybridMultilevel"/>
    <w:lvl w:ilvl="0">
      <w:lvlJc w:val="left"/>
      <w:lvlText w:val="(%1)"/>
      <w:numFmt w:val="lowerLetter"/>
      <w:start w:val="8"/>
    </w:lvl>
    <w:lvl w:ilvl="1">
      <w:lvlJc w:val="left"/>
      <w:lvlText w:val="(%2)"/>
      <w:numFmt w:val="lowerLetter"/>
      <w:start w:val="9"/>
    </w:lvl>
  </w:abstractNum>
  <w:abstractNum w:abstractNumId="92">
    <w:nsid w:val="7DE67713"/>
    <w:multiLevelType w:val="hybridMultilevel"/>
    <w:lvl w:ilvl="0">
      <w:lvlJc w:val="left"/>
      <w:lvlText w:val="%1"/>
      <w:numFmt w:val="lowerRoman"/>
      <w:start w:val="1"/>
    </w:lvl>
    <w:lvl w:ilvl="1">
      <w:lvlJc w:val="left"/>
      <w:lvlText w:val="(%2)"/>
      <w:numFmt w:val="lowerRoman"/>
      <w:start w:val="2"/>
    </w:lvl>
  </w:abstractNum>
  <w:abstractNum w:abstractNumId="93">
    <w:nsid w:val="555C55B5"/>
    <w:multiLevelType w:val="hybridMultilevel"/>
    <w:lvl w:ilvl="0">
      <w:lvlJc w:val="left"/>
      <w:lvlText w:val="(%1)"/>
      <w:numFmt w:val="lowerRoman"/>
      <w:start w:val="1"/>
    </w:lvl>
    <w:lvl w:ilvl="1">
      <w:lvlJc w:val="left"/>
      <w:lvlText w:val="%2"/>
      <w:numFmt w:val="lowerRoman"/>
      <w:start w:val="1"/>
    </w:lvl>
  </w:abstractNum>
  <w:abstractNum w:abstractNumId="94">
    <w:nsid w:val="3FA62ACA"/>
    <w:multiLevelType w:val="hybridMultilevel"/>
    <w:lvl w:ilvl="0">
      <w:lvlJc w:val="left"/>
      <w:lvlText w:val="(%1)"/>
      <w:numFmt w:val="lowerLetter"/>
      <w:start w:val="10"/>
    </w:lvl>
  </w:abstractNum>
  <w:abstractNum w:abstractNumId="95">
    <w:nsid w:val="14FCE74E"/>
    <w:multiLevelType w:val="hybridMultilevel"/>
    <w:lvl w:ilvl="0">
      <w:lvlJc w:val="left"/>
      <w:lvlText w:val="(%1)"/>
      <w:numFmt w:val="lowerLetter"/>
      <w:start w:val="15"/>
    </w:lvl>
  </w:abstractNum>
  <w:abstractNum w:abstractNumId="96">
    <w:nsid w:val="6A3DD3E8"/>
    <w:multiLevelType w:val="hybridMultilevel"/>
    <w:lvl w:ilvl="0">
      <w:lvlJc w:val="left"/>
      <w:lvlText w:val="(%1)"/>
      <w:numFmt w:val="lowerLetter"/>
      <w:start w:val="9"/>
    </w:lvl>
    <w:lvl w:ilvl="1">
      <w:lvlJc w:val="left"/>
      <w:lvlText w:val="(%2)"/>
      <w:numFmt w:val="lowerLetter"/>
      <w:start w:val="18"/>
    </w:lvl>
  </w:abstractNum>
  <w:abstractNum w:abstractNumId="97">
    <w:nsid w:val="71C91298"/>
    <w:multiLevelType w:val="hybridMultilevel"/>
    <w:lvl w:ilvl="0">
      <w:lvlJc w:val="left"/>
      <w:lvlText w:val="(%1)"/>
      <w:numFmt w:val="lowerLetter"/>
      <w:start w:val="21"/>
    </w:lvl>
    <w:lvl w:ilvl="1">
      <w:lvlJc w:val="left"/>
      <w:lvlText w:val="(%2)"/>
      <w:numFmt w:val="lowerRoman"/>
      <w:start w:val="1"/>
    </w:lvl>
  </w:abstractNum>
  <w:abstractNum w:abstractNumId="98">
    <w:nsid w:val="9DAF632"/>
    <w:multiLevelType w:val="hybridMultilevel"/>
    <w:lvl w:ilvl="0">
      <w:lvlJc w:val="left"/>
      <w:lvlText w:val="%1."/>
      <w:numFmt w:val="lowerLetter"/>
      <w:start w:val="1"/>
    </w:lvl>
  </w:abstractNum>
  <w:abstractNum w:abstractNumId="99">
    <w:nsid w:val="53299938"/>
    <w:multiLevelType w:val="hybridMultilevel"/>
    <w:lvl w:ilvl="0">
      <w:lvlJc w:val="left"/>
      <w:lvlText w:val="%1."/>
      <w:numFmt w:val="lowerLetter"/>
      <w:start w:val="1"/>
    </w:lvl>
  </w:abstractNum>
  <w:abstractNum w:abstractNumId="100">
    <w:nsid w:val="1FBFE8E0"/>
    <w:multiLevelType w:val="hybridMultilevel"/>
    <w:lvl w:ilvl="0">
      <w:lvlJc w:val="left"/>
      <w:lvlText w:val="%1."/>
      <w:numFmt w:val="lowerLetter"/>
      <w:start w:val="2"/>
    </w:lvl>
  </w:abstractNum>
  <w:abstractNum w:abstractNumId="101">
    <w:nsid w:val="5092CA79"/>
    <w:multiLevelType w:val="hybridMultilevel"/>
    <w:lvl w:ilvl="0">
      <w:lvlJc w:val="left"/>
      <w:lvlText w:val="(%1)"/>
      <w:numFmt w:val="lowerRoman"/>
      <w:start w:val="3"/>
    </w:lvl>
  </w:abstractNum>
  <w:abstractNum w:abstractNumId="102">
    <w:nsid w:val="1D545C4D"/>
    <w:multiLevelType w:val="hybridMultilevel"/>
    <w:lvl w:ilvl="0">
      <w:lvlJc w:val="left"/>
      <w:lvlText w:val="(%1)"/>
      <w:numFmt w:val="lowerRoman"/>
      <w:start w:val="4"/>
    </w:lvl>
  </w:abstractNum>
  <w:abstractNum w:abstractNumId="103">
    <w:nsid w:val="59ADEA3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104">
    <w:nsid w:val="288F1A34"/>
    <w:multiLevelType w:val="hybridMultilevel"/>
    <w:lvl w:ilvl="0">
      <w:lvlJc w:val="left"/>
      <w:lvlText w:val="(%1)"/>
      <w:numFmt w:val="lowerLetter"/>
      <w:start w:val="22"/>
    </w:lvl>
    <w:lvl w:ilvl="1">
      <w:lvlJc w:val="left"/>
      <w:lvlText w:val="%2"/>
      <w:numFmt w:val="lowerRoman"/>
      <w:start w:val="1"/>
    </w:lvl>
    <w:lvl w:ilvl="2">
      <w:lvlJc w:val="left"/>
      <w:lvlText w:val="%3"/>
      <w:numFmt w:val="lowerRoman"/>
      <w:start w:val="1"/>
    </w:lvl>
  </w:abstractNum>
  <w:abstractNum w:abstractNumId="105">
    <w:nsid w:val="2A155DBC"/>
    <w:multiLevelType w:val="hybridMultilevel"/>
    <w:lvl w:ilvl="0">
      <w:lvlJc w:val="left"/>
      <w:lvlText w:val="(%1)"/>
      <w:numFmt w:val="lowerLetter"/>
      <w:start w:val="24"/>
    </w:lvl>
    <w:lvl w:ilvl="1">
      <w:lvlJc w:val="left"/>
      <w:lvlText w:val="(%2)"/>
      <w:numFmt w:val="lowerRoman"/>
      <w:start w:val="1"/>
    </w:lvl>
  </w:abstractNum>
  <w:abstractNum w:abstractNumId="106">
    <w:nsid w:val="1D9F6E5F"/>
    <w:multiLevelType w:val="hybridMultilevel"/>
    <w:lvl w:ilvl="0">
      <w:lvlJc w:val="left"/>
      <w:lvlText w:val="(%1)"/>
      <w:numFmt w:val="lowerLetter"/>
      <w:start w:val="27"/>
    </w:lvl>
  </w:abstractNum>
  <w:abstractNum w:abstractNumId="107">
    <w:nsid w:val="97E1B4E"/>
    <w:multiLevelType w:val="hybridMultilevel"/>
    <w:lvl w:ilvl="0">
      <w:lvlJc w:val="left"/>
      <w:lvlText w:val="(%1)"/>
      <w:numFmt w:val="lowerLetter"/>
      <w:start w:val="1"/>
    </w:lvl>
  </w:abstractNum>
  <w:abstractNum w:abstractNumId="108">
    <w:nsid w:val="51088277"/>
    <w:multiLevelType w:val="hybridMultilevel"/>
    <w:lvl w:ilvl="0">
      <w:lvlJc w:val="left"/>
      <w:lvlText w:val="(%1)"/>
      <w:numFmt w:val="lowerRoman"/>
      <w:start w:val="1"/>
    </w:lvl>
  </w:abstractNum>
  <w:abstractNum w:abstractNumId="109">
    <w:nsid w:val="1CA0C5FA"/>
    <w:multiLevelType w:val="hybridMultilevel"/>
    <w:lvl w:ilvl="0">
      <w:lvlJc w:val="left"/>
      <w:lvlText w:val="(%1)"/>
      <w:numFmt w:val="lowerRoman"/>
      <w:start w:val="1"/>
    </w:lvl>
  </w:abstractNum>
  <w:abstractNum w:abstractNumId="110">
    <w:nsid w:val="53584BCB"/>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2024-03-11T06:50:30Z</dcterms:created>
  <dcterms:modified xsi:type="dcterms:W3CDTF">2024-03-11T06:50:30Z</dcterms:modified>
</cp:coreProperties>
</file>