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1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362" w:lineRule="exact"/>
        <w:rPr>
          <w:sz w:val="24"/>
          <w:szCs w:val="24"/>
          <w:color w:val="auto"/>
        </w:rPr>
      </w:pPr>
    </w:p>
    <w:p>
      <w:pPr>
        <w:ind w:left="3740" w:right="980" w:hanging="3705"/>
        <w:spacing w:after="0" w:line="360" w:lineRule="auto"/>
        <w:tabs>
          <w:tab w:leader="none" w:pos="71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THE SECTION 13 OR 15(D) OF THE SECURITIES EXCHANGE ACT OF 1934 For the quarterly period ended September 30, 2019</w:t>
      </w: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1-07533</w:t>
      </w:r>
    </w:p>
    <w:p>
      <w:pPr>
        <w:spacing w:after="0" w:line="83" w:lineRule="exact"/>
        <w:rPr>
          <w:sz w:val="24"/>
          <w:szCs w:val="24"/>
          <w:color w:val="auto"/>
        </w:rPr>
      </w:pPr>
    </w:p>
    <w:p>
      <w:pPr>
        <w:jc w:val="center"/>
        <w:ind w:right="-139"/>
        <w:spacing w:after="0"/>
        <w:rPr>
          <w:sz w:val="20"/>
          <w:szCs w:val="20"/>
          <w:color w:val="auto"/>
        </w:rPr>
      </w:pPr>
      <w:r>
        <w:rPr>
          <w:rFonts w:ascii="Arial" w:cs="Arial" w:eastAsia="Arial" w:hAnsi="Arial"/>
          <w:sz w:val="36"/>
          <w:szCs w:val="36"/>
          <w:b w:val="1"/>
          <w:bCs w:val="1"/>
          <w:color w:val="auto"/>
        </w:rPr>
        <w:t>FEDERAL REALTY INVESTMENT TRUST</w:t>
      </w:r>
    </w:p>
    <w:p>
      <w:pPr>
        <w:spacing w:after="0" w:line="84"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Declaration of Trust)</w:t>
      </w:r>
    </w:p>
    <w:p>
      <w:pPr>
        <w:spacing w:after="0" w:line="248" w:lineRule="exact"/>
        <w:rPr>
          <w:sz w:val="24"/>
          <w:szCs w:val="24"/>
          <w:color w:val="auto"/>
        </w:rPr>
      </w:pPr>
    </w:p>
    <w:tbl>
      <w:tblPr>
        <w:tblLayout w:type="fixed"/>
        <w:tblInd w:w="280" w:type="dxa"/>
        <w:tblCellMar>
          <w:top w:w="0" w:type="dxa"/>
          <w:left w:w="0" w:type="dxa"/>
          <w:bottom w:w="0" w:type="dxa"/>
          <w:right w:w="0" w:type="dxa"/>
        </w:tblCellMar>
      </w:tblPr>
      <w:tr>
        <w:trPr>
          <w:trHeight w:val="210"/>
        </w:trPr>
        <w:tc>
          <w:tcPr>
            <w:tcW w:w="1500" w:type="dxa"/>
            <w:vAlign w:val="bottom"/>
          </w:tcPr>
          <w:p>
            <w:pPr>
              <w:spacing w:after="0"/>
              <w:rPr>
                <w:sz w:val="18"/>
                <w:szCs w:val="18"/>
                <w:color w:val="auto"/>
              </w:rPr>
            </w:pPr>
          </w:p>
        </w:tc>
        <w:tc>
          <w:tcPr>
            <w:tcW w:w="3120" w:type="dxa"/>
            <w:vAlign w:val="bottom"/>
            <w:gridSpan w:val="2"/>
          </w:tcPr>
          <w:p>
            <w:pPr>
              <w:jc w:val="center"/>
              <w:ind w:right="2005"/>
              <w:spacing w:after="0"/>
              <w:rPr>
                <w:sz w:val="20"/>
                <w:szCs w:val="20"/>
                <w:color w:val="auto"/>
              </w:rPr>
            </w:pPr>
            <w:r>
              <w:rPr>
                <w:rFonts w:ascii="Arial" w:cs="Arial" w:eastAsia="Arial" w:hAnsi="Arial"/>
                <w:sz w:val="16"/>
                <w:szCs w:val="16"/>
                <w:b w:val="1"/>
                <w:bCs w:val="1"/>
                <w:color w:val="auto"/>
                <w:w w:val="96"/>
              </w:rPr>
              <w:t>Maryland</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20" w:type="dxa"/>
            <w:vAlign w:val="bottom"/>
          </w:tcPr>
          <w:p>
            <w:pPr>
              <w:ind w:left="720"/>
              <w:spacing w:after="0"/>
              <w:rPr>
                <w:sz w:val="20"/>
                <w:szCs w:val="20"/>
                <w:color w:val="auto"/>
              </w:rPr>
            </w:pPr>
            <w:r>
              <w:rPr>
                <w:rFonts w:ascii="Arial" w:cs="Arial" w:eastAsia="Arial" w:hAnsi="Arial"/>
                <w:sz w:val="16"/>
                <w:szCs w:val="16"/>
                <w:b w:val="1"/>
                <w:bCs w:val="1"/>
                <w:color w:val="auto"/>
              </w:rPr>
              <w:t>52-0782497</w:t>
            </w:r>
          </w:p>
        </w:tc>
        <w:tc>
          <w:tcPr>
            <w:tcW w:w="0" w:type="dxa"/>
            <w:vAlign w:val="bottom"/>
          </w:tcPr>
          <w:p>
            <w:pPr>
              <w:spacing w:after="0"/>
              <w:rPr>
                <w:sz w:val="1"/>
                <w:szCs w:val="1"/>
                <w:color w:val="auto"/>
              </w:rPr>
            </w:pPr>
          </w:p>
        </w:tc>
      </w:tr>
      <w:tr>
        <w:trPr>
          <w:trHeight w:val="251"/>
        </w:trPr>
        <w:tc>
          <w:tcPr>
            <w:tcW w:w="4620" w:type="dxa"/>
            <w:vAlign w:val="bottom"/>
            <w:gridSpan w:val="3"/>
          </w:tcPr>
          <w:p>
            <w:pPr>
              <w:jc w:val="center"/>
              <w:ind w:right="525"/>
              <w:spacing w:after="0"/>
              <w:rPr>
                <w:sz w:val="20"/>
                <w:szCs w:val="20"/>
                <w:color w:val="auto"/>
              </w:rPr>
            </w:pPr>
            <w:r>
              <w:rPr>
                <w:rFonts w:ascii="Arial" w:cs="Arial" w:eastAsia="Arial" w:hAnsi="Arial"/>
                <w:sz w:val="14"/>
                <w:szCs w:val="14"/>
                <w:b w:val="1"/>
                <w:bCs w:val="1"/>
                <w:color w:val="auto"/>
                <w:w w:val="94"/>
              </w:rPr>
              <w:t>(State of Organization)</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(IRS Employer Identification No.)</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600" w:type="dxa"/>
            <w:vAlign w:val="bottom"/>
            <w:gridSpan w:val="5"/>
          </w:tcPr>
          <w:p>
            <w:pPr>
              <w:jc w:val="center"/>
              <w:ind w:right="2261"/>
              <w:spacing w:after="0"/>
              <w:rPr>
                <w:sz w:val="20"/>
                <w:szCs w:val="20"/>
                <w:color w:val="auto"/>
              </w:rPr>
            </w:pPr>
            <w:r>
              <w:rPr>
                <w:rFonts w:ascii="Arial" w:cs="Arial" w:eastAsia="Arial" w:hAnsi="Arial"/>
                <w:sz w:val="16"/>
                <w:szCs w:val="16"/>
                <w:b w:val="1"/>
                <w:bCs w:val="1"/>
                <w:color w:val="auto"/>
                <w:w w:val="91"/>
              </w:rPr>
              <w:t>1626 East Jefferson Street, Rockville, Maryland 20852</w:t>
            </w: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380" w:type="dxa"/>
            <w:vAlign w:val="bottom"/>
            <w:gridSpan w:val="4"/>
          </w:tcPr>
          <w:p>
            <w:pPr>
              <w:jc w:val="center"/>
              <w:ind w:left="825"/>
              <w:spacing w:after="0"/>
              <w:rPr>
                <w:sz w:val="20"/>
                <w:szCs w:val="20"/>
                <w:color w:val="auto"/>
              </w:rPr>
            </w:pPr>
            <w:r>
              <w:rPr>
                <w:rFonts w:ascii="Arial" w:cs="Arial" w:eastAsia="Arial" w:hAnsi="Arial"/>
                <w:sz w:val="14"/>
                <w:szCs w:val="14"/>
                <w:b w:val="1"/>
                <w:bCs w:val="1"/>
                <w:color w:val="auto"/>
                <w:w w:val="93"/>
              </w:rPr>
              <w:t>(Address of Principal Executive Offices) (Zip Code)</w:t>
            </w: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440" w:type="dxa"/>
            <w:vAlign w:val="bottom"/>
            <w:gridSpan w:val="2"/>
          </w:tcPr>
          <w:p>
            <w:pPr>
              <w:jc w:val="center"/>
              <w:ind w:left="99"/>
              <w:spacing w:after="0"/>
              <w:rPr>
                <w:sz w:val="20"/>
                <w:szCs w:val="20"/>
                <w:color w:val="auto"/>
              </w:rPr>
            </w:pPr>
            <w:r>
              <w:rPr>
                <w:rFonts w:ascii="Arial" w:cs="Arial" w:eastAsia="Arial" w:hAnsi="Arial"/>
                <w:sz w:val="16"/>
                <w:szCs w:val="16"/>
                <w:b w:val="1"/>
                <w:bCs w:val="1"/>
                <w:color w:val="auto"/>
                <w:w w:val="93"/>
              </w:rPr>
              <w:t>(301) 998-8100</w:t>
            </w:r>
          </w:p>
        </w:tc>
        <w:tc>
          <w:tcPr>
            <w:tcW w:w="11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380" w:type="dxa"/>
            <w:vAlign w:val="bottom"/>
            <w:gridSpan w:val="4"/>
          </w:tcPr>
          <w:p>
            <w:pPr>
              <w:jc w:val="center"/>
              <w:ind w:left="785"/>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15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gridSpan w:val="2"/>
          </w:tcPr>
          <w:p>
            <w:pPr>
              <w:jc w:val="center"/>
              <w:ind w:right="1120"/>
              <w:spacing w:after="0"/>
              <w:rPr>
                <w:sz w:val="20"/>
                <w:szCs w:val="20"/>
                <w:color w:val="auto"/>
              </w:rPr>
            </w:pPr>
            <w:r>
              <w:rPr>
                <w:rFonts w:ascii="Arial" w:cs="Arial" w:eastAsia="Arial" w:hAnsi="Arial"/>
                <w:sz w:val="16"/>
                <w:szCs w:val="16"/>
                <w:b w:val="1"/>
                <w:bCs w:val="1"/>
                <w:color w:val="auto"/>
                <w:w w:val="92"/>
              </w:rPr>
              <w:t>Trading Symbol</w:t>
            </w:r>
          </w:p>
        </w:tc>
        <w:tc>
          <w:tcPr>
            <w:tcW w:w="3220" w:type="dxa"/>
            <w:vAlign w:val="bottom"/>
          </w:tcPr>
          <w:p>
            <w:pPr>
              <w:spacing w:after="0"/>
              <w:rPr>
                <w:sz w:val="20"/>
                <w:szCs w:val="20"/>
                <w:color w:val="auto"/>
              </w:rPr>
            </w:pPr>
            <w:r>
              <w:rPr>
                <w:rFonts w:ascii="Arial" w:cs="Arial" w:eastAsia="Arial" w:hAnsi="Arial"/>
                <w:sz w:val="16"/>
                <w:szCs w:val="16"/>
                <w:b w:val="1"/>
                <w:bCs w:val="1"/>
                <w:color w:val="auto"/>
                <w:w w:val="90"/>
              </w:rPr>
              <w:t>Name of Each Exchange On Which Registered</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620" w:type="dxa"/>
            <w:vAlign w:val="bottom"/>
            <w:gridSpan w:val="3"/>
          </w:tcPr>
          <w:p>
            <w:pPr>
              <w:jc w:val="center"/>
              <w:ind w:right="265"/>
              <w:spacing w:after="0"/>
              <w:rPr>
                <w:sz w:val="20"/>
                <w:szCs w:val="20"/>
                <w:color w:val="auto"/>
              </w:rPr>
            </w:pPr>
            <w:r>
              <w:rPr>
                <w:rFonts w:ascii="Arial" w:cs="Arial" w:eastAsia="Arial" w:hAnsi="Arial"/>
                <w:sz w:val="16"/>
                <w:szCs w:val="16"/>
                <w:color w:val="auto"/>
                <w:w w:val="92"/>
              </w:rPr>
              <w:t>Common Shares of Beneficial Interest</w:t>
            </w:r>
          </w:p>
        </w:tc>
        <w:tc>
          <w:tcPr>
            <w:tcW w:w="320" w:type="dxa"/>
            <w:vAlign w:val="bottom"/>
          </w:tcPr>
          <w:p>
            <w:pPr>
              <w:spacing w:after="0"/>
              <w:rPr>
                <w:sz w:val="24"/>
                <w:szCs w:val="24"/>
                <w:color w:val="auto"/>
              </w:rPr>
            </w:pPr>
          </w:p>
        </w:tc>
        <w:tc>
          <w:tcPr>
            <w:tcW w:w="2240" w:type="dxa"/>
            <w:vAlign w:val="bottom"/>
            <w:gridSpan w:val="2"/>
          </w:tcPr>
          <w:p>
            <w:pPr>
              <w:jc w:val="center"/>
              <w:ind w:right="1120"/>
              <w:spacing w:after="0"/>
              <w:rPr>
                <w:sz w:val="20"/>
                <w:szCs w:val="20"/>
                <w:color w:val="auto"/>
              </w:rPr>
            </w:pPr>
            <w:r>
              <w:rPr>
                <w:rFonts w:ascii="Arial" w:cs="Arial" w:eastAsia="Arial" w:hAnsi="Arial"/>
                <w:sz w:val="18"/>
                <w:szCs w:val="18"/>
                <w:color w:val="auto"/>
                <w:w w:val="91"/>
              </w:rPr>
              <w:t>FRT</w:t>
            </w:r>
          </w:p>
        </w:tc>
        <w:tc>
          <w:tcPr>
            <w:tcW w:w="3220" w:type="dxa"/>
            <w:vAlign w:val="bottom"/>
          </w:tcPr>
          <w:p>
            <w:pPr>
              <w:ind w:left="74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247"/>
        </w:trPr>
        <w:tc>
          <w:tcPr>
            <w:tcW w:w="4620" w:type="dxa"/>
            <w:vAlign w:val="bottom"/>
            <w:gridSpan w:val="3"/>
          </w:tcPr>
          <w:p>
            <w:pPr>
              <w:jc w:val="center"/>
              <w:ind w:right="245"/>
              <w:spacing w:after="0"/>
              <w:rPr>
                <w:sz w:val="20"/>
                <w:szCs w:val="20"/>
                <w:color w:val="auto"/>
              </w:rPr>
            </w:pPr>
            <w:r>
              <w:rPr>
                <w:rFonts w:ascii="Arial" w:cs="Arial" w:eastAsia="Arial" w:hAnsi="Arial"/>
                <w:sz w:val="16"/>
                <w:szCs w:val="16"/>
                <w:color w:val="auto"/>
                <w:w w:val="89"/>
              </w:rPr>
              <w:t>$.01 par value per share, with associated Common Share Purchase</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500" w:type="dxa"/>
            <w:vAlign w:val="bottom"/>
          </w:tcPr>
          <w:p>
            <w:pPr>
              <w:spacing w:after="0"/>
              <w:rPr>
                <w:sz w:val="17"/>
                <w:szCs w:val="17"/>
                <w:color w:val="auto"/>
              </w:rPr>
            </w:pPr>
          </w:p>
        </w:tc>
        <w:tc>
          <w:tcPr>
            <w:tcW w:w="3120" w:type="dxa"/>
            <w:vAlign w:val="bottom"/>
            <w:gridSpan w:val="2"/>
          </w:tcPr>
          <w:p>
            <w:pPr>
              <w:jc w:val="center"/>
              <w:ind w:right="1745"/>
              <w:spacing w:after="0"/>
              <w:rPr>
                <w:sz w:val="20"/>
                <w:szCs w:val="20"/>
                <w:color w:val="auto"/>
              </w:rPr>
            </w:pPr>
            <w:r>
              <w:rPr>
                <w:rFonts w:ascii="Arial" w:cs="Arial" w:eastAsia="Arial" w:hAnsi="Arial"/>
                <w:sz w:val="16"/>
                <w:szCs w:val="16"/>
                <w:color w:val="auto"/>
                <w:w w:val="92"/>
              </w:rPr>
              <w:t>Rights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4620" w:type="dxa"/>
            <w:vAlign w:val="bottom"/>
            <w:gridSpan w:val="3"/>
          </w:tcPr>
          <w:p>
            <w:pPr>
              <w:jc w:val="center"/>
              <w:ind w:right="265"/>
              <w:spacing w:after="0"/>
              <w:rPr>
                <w:sz w:val="20"/>
                <w:szCs w:val="20"/>
                <w:color w:val="auto"/>
              </w:rPr>
            </w:pPr>
            <w:r>
              <w:rPr>
                <w:rFonts w:ascii="Arial" w:cs="Arial" w:eastAsia="Arial" w:hAnsi="Arial"/>
                <w:sz w:val="16"/>
                <w:szCs w:val="16"/>
                <w:color w:val="auto"/>
                <w:w w:val="89"/>
              </w:rPr>
              <w:t>Depositary Shares, each representing 1/1000 of a share</w:t>
            </w:r>
          </w:p>
        </w:tc>
        <w:tc>
          <w:tcPr>
            <w:tcW w:w="320" w:type="dxa"/>
            <w:vAlign w:val="bottom"/>
          </w:tcPr>
          <w:p>
            <w:pPr>
              <w:spacing w:after="0"/>
              <w:rPr>
                <w:sz w:val="24"/>
                <w:szCs w:val="24"/>
                <w:color w:val="auto"/>
              </w:rPr>
            </w:pPr>
          </w:p>
        </w:tc>
        <w:tc>
          <w:tcPr>
            <w:tcW w:w="2240" w:type="dxa"/>
            <w:vAlign w:val="bottom"/>
            <w:gridSpan w:val="2"/>
          </w:tcPr>
          <w:p>
            <w:pPr>
              <w:jc w:val="center"/>
              <w:ind w:right="1120"/>
              <w:spacing w:after="0"/>
              <w:rPr>
                <w:sz w:val="20"/>
                <w:szCs w:val="20"/>
                <w:color w:val="auto"/>
              </w:rPr>
            </w:pPr>
            <w:r>
              <w:rPr>
                <w:rFonts w:ascii="Arial" w:cs="Arial" w:eastAsia="Arial" w:hAnsi="Arial"/>
                <w:sz w:val="18"/>
                <w:szCs w:val="18"/>
                <w:color w:val="auto"/>
                <w:w w:val="88"/>
              </w:rPr>
              <w:t>FRT-C</w:t>
            </w:r>
          </w:p>
        </w:tc>
        <w:tc>
          <w:tcPr>
            <w:tcW w:w="3220" w:type="dxa"/>
            <w:vAlign w:val="bottom"/>
          </w:tcPr>
          <w:p>
            <w:pPr>
              <w:ind w:left="74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bl>
    <w:p>
      <w:pPr>
        <w:spacing w:after="0" w:line="44" w:lineRule="exact"/>
        <w:rPr>
          <w:sz w:val="24"/>
          <w:szCs w:val="24"/>
          <w:color w:val="auto"/>
        </w:rPr>
      </w:pPr>
    </w:p>
    <w:p>
      <w:pPr>
        <w:jc w:val="center"/>
        <w:ind w:right="6440"/>
        <w:spacing w:after="0"/>
        <w:rPr>
          <w:sz w:val="20"/>
          <w:szCs w:val="20"/>
          <w:color w:val="auto"/>
        </w:rPr>
      </w:pPr>
      <w:r>
        <w:rPr>
          <w:rFonts w:ascii="Arial" w:cs="Arial" w:eastAsia="Arial" w:hAnsi="Arial"/>
          <w:sz w:val="15"/>
          <w:szCs w:val="15"/>
          <w:color w:val="auto"/>
        </w:rPr>
        <w:t>of 5.00% Series C Cumulative Redeemable Preferred Stock, $.01 par</w:t>
      </w:r>
    </w:p>
    <w:p>
      <w:pPr>
        <w:spacing w:after="0" w:line="34" w:lineRule="exact"/>
        <w:rPr>
          <w:sz w:val="24"/>
          <w:szCs w:val="24"/>
          <w:color w:val="auto"/>
        </w:rPr>
      </w:pPr>
    </w:p>
    <w:p>
      <w:pPr>
        <w:jc w:val="center"/>
        <w:ind w:right="6440"/>
        <w:spacing w:after="0"/>
        <w:rPr>
          <w:sz w:val="20"/>
          <w:szCs w:val="20"/>
          <w:color w:val="auto"/>
        </w:rPr>
      </w:pPr>
      <w:r>
        <w:rPr>
          <w:rFonts w:ascii="Arial" w:cs="Arial" w:eastAsia="Arial" w:hAnsi="Arial"/>
          <w:sz w:val="16"/>
          <w:szCs w:val="16"/>
          <w:color w:val="auto"/>
        </w:rPr>
        <w:t>value per share</w:t>
      </w:r>
    </w:p>
    <w:p>
      <w:pPr>
        <w:spacing w:after="0" w:line="177"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s>
        <w:rPr>
          <w:sz w:val="20"/>
          <w:szCs w:val="20"/>
          <w:color w:val="auto"/>
        </w:rPr>
      </w:pPr>
      <w:r>
        <w:rPr>
          <w:rFonts w:ascii="Arial" w:cs="Arial" w:eastAsia="Arial" w:hAnsi="Arial"/>
          <w:sz w:val="16"/>
          <w:szCs w:val="16"/>
          <w:color w:val="auto"/>
        </w:rPr>
        <w:t>days.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146" w:lineRule="exact"/>
        <w:rPr>
          <w:sz w:val="24"/>
          <w:szCs w:val="24"/>
          <w:color w:val="auto"/>
        </w:rPr>
      </w:pPr>
    </w:p>
    <w:p>
      <w:pPr>
        <w:ind w:right="400"/>
        <w:spacing w:after="0" w:line="221" w:lineRule="exact"/>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w:t>
      </w:r>
      <w:r>
        <w:rPr>
          <w:rFonts w:ascii="Arial" w:cs="Arial" w:eastAsia="Arial" w:hAnsi="Arial"/>
          <w:sz w:val="17"/>
          <w:szCs w:val="17"/>
          <w:color w:val="auto"/>
        </w:rPr>
        <w:t>§232.405 of this chapter)</w:t>
      </w:r>
      <w:r>
        <w:rPr>
          <w:rFonts w:ascii="Arial" w:cs="Arial" w:eastAsia="Arial" w:hAnsi="Arial"/>
          <w:sz w:val="15"/>
          <w:szCs w:val="15"/>
          <w:color w:val="auto"/>
        </w:rPr>
        <w:t xml:space="preserve">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14" w:lineRule="exact"/>
        <w:rPr>
          <w:sz w:val="24"/>
          <w:szCs w:val="24"/>
          <w:color w:val="auto"/>
        </w:rPr>
      </w:pPr>
    </w:p>
    <w:p>
      <w:pPr>
        <w:ind w:right="8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0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442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380" w:type="dxa"/>
            <w:vAlign w:val="bottom"/>
          </w:tcPr>
          <w:p>
            <w:pPr>
              <w:ind w:left="7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513"/>
        </w:trPr>
        <w:tc>
          <w:tcPr>
            <w:tcW w:w="200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442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380" w:type="dxa"/>
            <w:vAlign w:val="bottom"/>
          </w:tcPr>
          <w:p>
            <w:pPr>
              <w:ind w:left="7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513"/>
        </w:trPr>
        <w:tc>
          <w:tcPr>
            <w:tcW w:w="20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380" w:type="dxa"/>
            <w:vAlign w:val="bottom"/>
          </w:tcPr>
          <w:p>
            <w:pPr>
              <w:ind w:left="70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356"/>
        </w:trPr>
        <w:tc>
          <w:tcPr>
            <w:tcW w:w="10800" w:type="dxa"/>
            <w:vAlign w:val="bottom"/>
            <w:gridSpan w:val="3"/>
          </w:tcPr>
          <w:p>
            <w:pPr>
              <w:ind w:left="40"/>
              <w:spacing w:after="0"/>
              <w:rPr>
                <w:sz w:val="20"/>
                <w:szCs w:val="20"/>
                <w:color w:val="auto"/>
              </w:rPr>
            </w:pPr>
            <w:r>
              <w:rPr>
                <w:rFonts w:ascii="Arial" w:cs="Arial" w:eastAsia="Arial" w:hAnsi="Arial"/>
                <w:sz w:val="16"/>
                <w:szCs w:val="16"/>
                <w:color w:val="auto"/>
                <w:w w:val="94"/>
              </w:rPr>
              <w:t>If an emerging growth company, indicate by checkmark if the registrant has elected not use the extended transition period for complying with any new or revised</w:t>
            </w:r>
          </w:p>
        </w:tc>
        <w:tc>
          <w:tcPr>
            <w:tcW w:w="460" w:type="dxa"/>
            <w:vAlign w:val="bottom"/>
            <w:vMerge w:val="restart"/>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91"/>
        </w:trPr>
        <w:tc>
          <w:tcPr>
            <w:tcW w:w="6420" w:type="dxa"/>
            <w:vAlign w:val="bottom"/>
            <w:gridSpan w:val="2"/>
          </w:tcPr>
          <w:p>
            <w:pPr>
              <w:ind w:left="40"/>
              <w:spacing w:after="0"/>
              <w:rPr>
                <w:sz w:val="20"/>
                <w:szCs w:val="20"/>
                <w:color w:val="auto"/>
              </w:rPr>
            </w:pPr>
            <w:r>
              <w:rPr>
                <w:rFonts w:ascii="Arial" w:cs="Arial" w:eastAsia="Arial" w:hAnsi="Arial"/>
                <w:sz w:val="16"/>
                <w:szCs w:val="16"/>
                <w:color w:val="auto"/>
              </w:rPr>
              <w:t>financial accounting standards provided pursuant to Section 13(a) of the Exchange Act.</w:t>
            </w:r>
          </w:p>
        </w:tc>
        <w:tc>
          <w:tcPr>
            <w:tcW w:w="43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10800" w:type="dxa"/>
            <w:vAlign w:val="bottom"/>
            <w:gridSpan w:val="3"/>
          </w:tcPr>
          <w:p>
            <w:pPr>
              <w:spacing w:after="0" w:line="24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21"/>
                <w:szCs w:val="21"/>
                <w:color w:val="auto"/>
              </w:rPr>
              <w:t>☒</w:t>
            </w:r>
            <w:r>
              <w:rPr>
                <w:rFonts w:ascii="Arial" w:cs="Arial" w:eastAsia="Arial" w:hAnsi="Arial"/>
                <w:sz w:val="16"/>
                <w:szCs w:val="16"/>
                <w:color w:val="auto"/>
              </w:rPr>
              <w:t xml:space="preserve"> No</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Registrant’s common shares outstanding on October 25, 2019 was 75,522,757.</w:t>
      </w:r>
    </w:p>
    <w:p>
      <w:pPr>
        <w:sectPr>
          <w:pgSz w:w="11900" w:h="16838" w:orient="portrait"/>
          <w:cols w:equalWidth="0" w:num="1">
            <w:col w:w="11300"/>
          </w:cols>
          <w:pgMar w:left="240" w:top="234"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400" w:type="dxa"/>
            <w:vAlign w:val="bottom"/>
            <w:gridSpan w:val="2"/>
          </w:tcPr>
          <w:p>
            <w:pPr>
              <w:spacing w:after="0"/>
              <w:rPr>
                <w:sz w:val="20"/>
                <w:szCs w:val="20"/>
                <w:color w:val="auto"/>
              </w:rPr>
            </w:pPr>
            <w:r>
              <w:rPr>
                <w:rFonts w:ascii="Arial" w:cs="Arial" w:eastAsia="Arial" w:hAnsi="Arial"/>
                <w:sz w:val="16"/>
                <w:szCs w:val="16"/>
                <w:b w:val="1"/>
                <w:bCs w:val="1"/>
                <w:color w:val="0000EE"/>
              </w:rPr>
              <w:t>Table of Contents</w:t>
            </w:r>
          </w:p>
        </w:tc>
        <w:tc>
          <w:tcPr>
            <w:tcW w:w="9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6"/>
        </w:trPr>
        <w:tc>
          <w:tcPr>
            <w:tcW w:w="12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tcPr>
          <w:p>
            <w:pPr>
              <w:jc w:val="center"/>
              <w:ind w:right="1110"/>
              <w:spacing w:after="0"/>
              <w:rPr>
                <w:sz w:val="20"/>
                <w:szCs w:val="20"/>
                <w:color w:val="auto"/>
              </w:rPr>
            </w:pPr>
            <w:r>
              <w:rPr>
                <w:rFonts w:ascii="Arial" w:cs="Arial" w:eastAsia="Arial" w:hAnsi="Arial"/>
                <w:sz w:val="18"/>
                <w:szCs w:val="18"/>
                <w:b w:val="1"/>
                <w:bCs w:val="1"/>
                <w:color w:val="auto"/>
              </w:rPr>
              <w:t>FEDERAL REALTY INVESTMENT TRUST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jc w:val="center"/>
              <w:ind w:right="1110"/>
              <w:spacing w:after="0"/>
              <w:rPr>
                <w:sz w:val="20"/>
                <w:szCs w:val="20"/>
                <w:color w:val="auto"/>
              </w:rPr>
            </w:pPr>
            <w:r>
              <w:rPr>
                <w:rFonts w:ascii="Arial" w:cs="Arial" w:eastAsia="Arial" w:hAnsi="Arial"/>
                <w:sz w:val="18"/>
                <w:szCs w:val="18"/>
                <w:b w:val="1"/>
                <w:bCs w:val="1"/>
                <w:color w:val="auto"/>
                <w:w w:val="99"/>
              </w:rPr>
              <w:t>QUARTERLY REPORT ON FORM 10-Q</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20" w:type="dxa"/>
            <w:vAlign w:val="bottom"/>
          </w:tcPr>
          <w:p>
            <w:pPr>
              <w:jc w:val="center"/>
              <w:ind w:right="1090"/>
              <w:spacing w:after="0"/>
              <w:rPr>
                <w:sz w:val="20"/>
                <w:szCs w:val="20"/>
                <w:color w:val="auto"/>
              </w:rPr>
            </w:pPr>
            <w:r>
              <w:rPr>
                <w:rFonts w:ascii="Arial" w:cs="Arial" w:eastAsia="Arial" w:hAnsi="Arial"/>
                <w:sz w:val="18"/>
                <w:szCs w:val="18"/>
                <w:b w:val="1"/>
                <w:bCs w:val="1"/>
                <w:color w:val="auto"/>
                <w:w w:val="97"/>
              </w:rPr>
              <w:t>QUARTER ENDED SEPTEMBER 30, 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tcPr>
          <w:p>
            <w:pPr>
              <w:jc w:val="center"/>
              <w:ind w:right="109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11220" w:type="dxa"/>
            <w:vAlign w:val="bottom"/>
            <w:gridSpan w:val="3"/>
          </w:tcPr>
          <w:p>
            <w:pPr>
              <w:ind w:left="40"/>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1.</w:t>
            </w:r>
          </w:p>
        </w:tc>
        <w:tc>
          <w:tcPr>
            <w:tcW w:w="982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80" w:type="dxa"/>
            <w:vAlign w:val="bottom"/>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rPr>
              <w:t>Consolidated Balance Sheets as of September 30, 2019 (unaudited) and December 31, 2018</w:t>
            </w:r>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6"/>
        </w:trPr>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w w:val="95"/>
              </w:rPr>
              <w:t>Consolidated Statements of Comprehensive Income (unaudited) for the three and nine months ended September 30, 2019 and</w:t>
            </w: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190"/>
        </w:trPr>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20" w:type="dxa"/>
            <w:vAlign w:val="bottom"/>
          </w:tcPr>
          <w:p>
            <w:pPr>
              <w:ind w:left="140"/>
              <w:spacing w:after="0" w:line="190" w:lineRule="exact"/>
              <w:rPr>
                <w:sz w:val="20"/>
                <w:szCs w:val="20"/>
                <w:color w:val="auto"/>
              </w:rPr>
            </w:pPr>
            <w:r>
              <w:rPr>
                <w:rFonts w:ascii="Arial" w:cs="Arial" w:eastAsia="Arial" w:hAnsi="Arial"/>
                <w:sz w:val="18"/>
                <w:szCs w:val="18"/>
                <w:color w:val="auto"/>
              </w:rPr>
              <w:t>2018</w:t>
            </w:r>
          </w:p>
        </w:tc>
        <w:tc>
          <w:tcPr>
            <w:tcW w:w="80" w:type="dxa"/>
            <w:vAlign w:val="bottom"/>
          </w:tcPr>
          <w:p>
            <w:pPr>
              <w:spacing w:after="0"/>
              <w:rPr>
                <w:sz w:val="16"/>
                <w:szCs w:val="16"/>
                <w:color w:val="auto"/>
              </w:rPr>
            </w:pPr>
          </w:p>
        </w:tc>
        <w:tc>
          <w:tcPr>
            <w:tcW w:w="100" w:type="dxa"/>
            <w:vAlign w:val="bottom"/>
            <w:tcBorders>
              <w:bottom w:val="single" w:sz="8" w:color="0000EE"/>
            </w:tcBorders>
          </w:tcPr>
          <w:p>
            <w:pPr>
              <w:jc w:val="right"/>
              <w:spacing w:after="0" w:line="190"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w w:val="93"/>
              </w:rPr>
              <w:t>Consolidated Statements of Shareholders' Equity (unaudited) for the three and nine months ended September 30, 2019 and 2018</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rPr>
              <w:t>Consolidated Statements of Cash Flows (unaudited) for the nine months ended September 30, 2019 and 2018</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rPr>
              <w:t>Notes to Consolidated Financial Statements (unaudited)</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2.</w:t>
            </w:r>
          </w:p>
        </w:tc>
        <w:tc>
          <w:tcPr>
            <w:tcW w:w="982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14</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3.</w:t>
            </w:r>
          </w:p>
        </w:tc>
        <w:tc>
          <w:tcPr>
            <w:tcW w:w="982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4.</w:t>
            </w:r>
          </w:p>
        </w:tc>
        <w:tc>
          <w:tcPr>
            <w:tcW w:w="982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574"/>
        </w:trPr>
        <w:tc>
          <w:tcPr>
            <w:tcW w:w="11220" w:type="dxa"/>
            <w:vAlign w:val="bottom"/>
            <w:gridSpan w:val="3"/>
          </w:tcPr>
          <w:p>
            <w:pPr>
              <w:ind w:left="40"/>
              <w:spacing w:after="0"/>
              <w:rPr>
                <w:sz w:val="20"/>
                <w:szCs w:val="20"/>
                <w:color w:val="auto"/>
              </w:rPr>
            </w:pPr>
            <w:r>
              <w:rPr>
                <w:rFonts w:ascii="Arial" w:cs="Arial" w:eastAsia="Arial" w:hAnsi="Arial"/>
                <w:sz w:val="18"/>
                <w:szCs w:val="18"/>
                <w:b w:val="1"/>
                <w:bCs w:val="1"/>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1.</w:t>
            </w:r>
          </w:p>
        </w:tc>
        <w:tc>
          <w:tcPr>
            <w:tcW w:w="982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1A.</w:t>
            </w:r>
          </w:p>
        </w:tc>
        <w:tc>
          <w:tcPr>
            <w:tcW w:w="982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2.</w:t>
            </w:r>
          </w:p>
        </w:tc>
        <w:tc>
          <w:tcPr>
            <w:tcW w:w="9820" w:type="dxa"/>
            <w:vAlign w:val="bottom"/>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3.</w:t>
            </w:r>
          </w:p>
        </w:tc>
        <w:tc>
          <w:tcPr>
            <w:tcW w:w="9820" w:type="dxa"/>
            <w:vAlign w:val="bottom"/>
          </w:tcPr>
          <w:p>
            <w:pPr>
              <w:ind w:left="14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4.</w:t>
            </w:r>
          </w:p>
        </w:tc>
        <w:tc>
          <w:tcPr>
            <w:tcW w:w="982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5.</w:t>
            </w:r>
          </w:p>
        </w:tc>
        <w:tc>
          <w:tcPr>
            <w:tcW w:w="982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6.</w:t>
            </w:r>
          </w:p>
        </w:tc>
        <w:tc>
          <w:tcPr>
            <w:tcW w:w="9820" w:type="dxa"/>
            <w:vAlign w:val="bottom"/>
          </w:tcPr>
          <w:p>
            <w:pPr>
              <w:ind w:left="14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574"/>
        </w:trPr>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SIGNATURES</w:t>
            </w:r>
          </w:p>
        </w:tc>
        <w:tc>
          <w:tcPr>
            <w:tcW w:w="98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939"/>
        </w:trPr>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tcPr>
          <w:p>
            <w:pPr>
              <w:jc w:val="center"/>
              <w:ind w:right="111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080" w:type="dxa"/>
            <w:vAlign w:val="bottom"/>
          </w:tcPr>
          <w:p>
            <w:pPr>
              <w:jc w:val="right"/>
              <w:ind w:right="11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276"/>
        </w:trPr>
        <w:tc>
          <w:tcPr>
            <w:tcW w:w="8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2"/>
        </w:trPr>
        <w:tc>
          <w:tcPr>
            <w:tcW w:w="8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40" w:type="dxa"/>
            <w:vAlign w:val="bottom"/>
            <w:gridSpan w:val="4"/>
          </w:tcPr>
          <w:p>
            <w:pPr>
              <w:jc w:val="right"/>
              <w:ind w:right="91"/>
              <w:spacing w:after="0" w:line="153" w:lineRule="exact"/>
              <w:rPr>
                <w:sz w:val="20"/>
                <w:szCs w:val="20"/>
                <w:color w:val="auto"/>
              </w:rPr>
            </w:pPr>
            <w:r>
              <w:rPr>
                <w:rFonts w:ascii="Arial" w:cs="Arial" w:eastAsia="Arial" w:hAnsi="Arial"/>
                <w:sz w:val="14"/>
                <w:szCs w:val="14"/>
                <w:b w:val="1"/>
                <w:bCs w:val="1"/>
                <w:color w:val="auto"/>
                <w:w w:val="93"/>
              </w:rPr>
              <w:t>(In thousands, except share and per</w:t>
            </w:r>
          </w:p>
        </w:tc>
        <w:tc>
          <w:tcPr>
            <w:tcW w:w="0" w:type="dxa"/>
            <w:vAlign w:val="bottom"/>
          </w:tcPr>
          <w:p>
            <w:pPr>
              <w:spacing w:after="0"/>
              <w:rPr>
                <w:sz w:val="1"/>
                <w:szCs w:val="1"/>
                <w:color w:val="auto"/>
              </w:rPr>
            </w:pPr>
          </w:p>
        </w:tc>
      </w:tr>
      <w:tr>
        <w:trPr>
          <w:trHeight w:val="186"/>
        </w:trPr>
        <w:tc>
          <w:tcPr>
            <w:tcW w:w="8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4"/>
          </w:tcPr>
          <w:p>
            <w:pPr>
              <w:jc w:val="right"/>
              <w:ind w:right="851"/>
              <w:spacing w:after="0"/>
              <w:rPr>
                <w:sz w:val="20"/>
                <w:szCs w:val="20"/>
                <w:color w:val="auto"/>
              </w:rPr>
            </w:pPr>
            <w:r>
              <w:rPr>
                <w:rFonts w:ascii="Arial" w:cs="Arial" w:eastAsia="Arial" w:hAnsi="Arial"/>
                <w:sz w:val="14"/>
                <w:szCs w:val="14"/>
                <w:b w:val="1"/>
                <w:bCs w:val="1"/>
                <w:color w:val="auto"/>
              </w:rPr>
              <w:t>share data)</w:t>
            </w:r>
          </w:p>
        </w:tc>
        <w:tc>
          <w:tcPr>
            <w:tcW w:w="0" w:type="dxa"/>
            <w:vAlign w:val="bottom"/>
          </w:tcPr>
          <w:p>
            <w:pPr>
              <w:spacing w:after="0"/>
              <w:rPr>
                <w:sz w:val="1"/>
                <w:szCs w:val="1"/>
                <w:color w:val="auto"/>
              </w:rPr>
            </w:pPr>
          </w:p>
        </w:tc>
      </w:tr>
      <w:tr>
        <w:trPr>
          <w:trHeight w:val="276"/>
        </w:trPr>
        <w:tc>
          <w:tcPr>
            <w:tcW w:w="8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Real estate, at cost</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8"/>
              </w:rPr>
              <w:t>Operating (including $1,536,443 and $1,701,804 of consolidated variable interest entities, respectively)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7,302,912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7,307,622</w:t>
            </w:r>
          </w:p>
        </w:tc>
        <w:tc>
          <w:tcPr>
            <w:tcW w:w="0" w:type="dxa"/>
            <w:vAlign w:val="bottom"/>
          </w:tcPr>
          <w:p>
            <w:pPr>
              <w:spacing w:after="0"/>
              <w:rPr>
                <w:sz w:val="1"/>
                <w:szCs w:val="1"/>
                <w:color w:val="auto"/>
              </w:rPr>
            </w:pPr>
          </w:p>
        </w:tc>
      </w:tr>
      <w:tr>
        <w:trPr>
          <w:trHeight w:val="229"/>
        </w:trPr>
        <w:tc>
          <w:tcPr>
            <w:tcW w:w="8780" w:type="dxa"/>
            <w:vAlign w:val="bottom"/>
          </w:tcPr>
          <w:p>
            <w:pPr>
              <w:ind w:left="700"/>
              <w:spacing w:after="0"/>
              <w:rPr>
                <w:sz w:val="20"/>
                <w:szCs w:val="20"/>
                <w:color w:val="auto"/>
              </w:rPr>
            </w:pPr>
            <w:r>
              <w:rPr>
                <w:rFonts w:ascii="Arial" w:cs="Arial" w:eastAsia="Arial" w:hAnsi="Arial"/>
                <w:sz w:val="18"/>
                <w:szCs w:val="18"/>
                <w:color w:val="auto"/>
              </w:rPr>
              <w:t>Construction-in-progress (including $97,922 and $51,313 of consolidated variable interest entities,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70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691,989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495,274</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Assets held for sale</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49,835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16,576</w:t>
            </w:r>
          </w:p>
        </w:tc>
        <w:tc>
          <w:tcPr>
            <w:tcW w:w="0" w:type="dxa"/>
            <w:vAlign w:val="bottom"/>
          </w:tcPr>
          <w:p>
            <w:pPr>
              <w:spacing w:after="0"/>
              <w:rPr>
                <w:sz w:val="1"/>
                <w:szCs w:val="1"/>
                <w:color w:val="auto"/>
              </w:rPr>
            </w:pPr>
          </w:p>
        </w:tc>
      </w:tr>
      <w:tr>
        <w:trPr>
          <w:trHeight w:val="237"/>
        </w:trPr>
        <w:tc>
          <w:tcPr>
            <w:tcW w:w="87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8,044,736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7,819,472</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7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3"/>
              </w:rPr>
              <w:t>Less accumulated depreciation and amortization (including $289,739 and $292,374 of consolidated variable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interest entities, respectively)</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(2,190,486)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(2,059,143)</w:t>
            </w:r>
          </w:p>
        </w:tc>
        <w:tc>
          <w:tcPr>
            <w:tcW w:w="0" w:type="dxa"/>
            <w:vAlign w:val="bottom"/>
          </w:tcPr>
          <w:p>
            <w:pPr>
              <w:spacing w:after="0"/>
              <w:rPr>
                <w:sz w:val="1"/>
                <w:szCs w:val="1"/>
                <w:color w:val="auto"/>
              </w:rPr>
            </w:pPr>
          </w:p>
        </w:tc>
      </w:tr>
      <w:tr>
        <w:trPr>
          <w:trHeight w:val="237"/>
        </w:trPr>
        <w:tc>
          <w:tcPr>
            <w:tcW w:w="8780" w:type="dxa"/>
            <w:vAlign w:val="bottom"/>
          </w:tcPr>
          <w:p>
            <w:pPr>
              <w:ind w:left="380"/>
              <w:spacing w:after="0"/>
              <w:rPr>
                <w:sz w:val="20"/>
                <w:szCs w:val="20"/>
                <w:color w:val="auto"/>
              </w:rPr>
            </w:pPr>
            <w:r>
              <w:rPr>
                <w:rFonts w:ascii="Arial" w:cs="Arial" w:eastAsia="Arial" w:hAnsi="Arial"/>
                <w:sz w:val="18"/>
                <w:szCs w:val="18"/>
                <w:color w:val="auto"/>
              </w:rPr>
              <w:t>Net real estate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5,854,250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5,760,329</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162,543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64,087</w:t>
            </w: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Accounts and notes receivable, net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143,855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142,237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notes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30,429</w:t>
            </w: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Investment in partnerships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30,017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26,859</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94,271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Finance lease right of use assets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52,723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239,477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265,703</w:t>
            </w:r>
          </w:p>
        </w:tc>
        <w:tc>
          <w:tcPr>
            <w:tcW w:w="0" w:type="dxa"/>
            <w:vAlign w:val="bottom"/>
          </w:tcPr>
          <w:p>
            <w:pPr>
              <w:spacing w:after="0"/>
              <w:rPr>
                <w:sz w:val="1"/>
                <w:szCs w:val="1"/>
                <w:color w:val="auto"/>
              </w:rPr>
            </w:pPr>
          </w:p>
        </w:tc>
      </w:tr>
      <w:tr>
        <w:trPr>
          <w:trHeight w:val="237"/>
        </w:trPr>
        <w:tc>
          <w:tcPr>
            <w:tcW w:w="87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6,607,565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6,289,644</w:t>
            </w:r>
          </w:p>
        </w:tc>
        <w:tc>
          <w:tcPr>
            <w:tcW w:w="0" w:type="dxa"/>
            <w:vAlign w:val="bottom"/>
          </w:tcPr>
          <w:p>
            <w:pPr>
              <w:spacing w:after="0"/>
              <w:rPr>
                <w:sz w:val="1"/>
                <w:szCs w:val="1"/>
                <w:color w:val="auto"/>
              </w:rPr>
            </w:pPr>
          </w:p>
        </w:tc>
      </w:tr>
      <w:tr>
        <w:trPr>
          <w:trHeight w:val="67"/>
        </w:trPr>
        <w:tc>
          <w:tcPr>
            <w:tcW w:w="87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Mortgages payable, net (including $389,523 and $444,388 of consolidated variable interest entities,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466,600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474,379</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Arial" w:cs="Arial" w:eastAsia="Arial" w:hAnsi="Arial"/>
                <w:sz w:val="18"/>
                <w:szCs w:val="18"/>
                <w:color w:val="auto"/>
              </w:rPr>
              <w:t>Capital lease obligations</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71,519</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Notes payable,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279,027</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Arial" w:cs="Arial" w:eastAsia="Arial" w:hAnsi="Arial"/>
                <w:sz w:val="18"/>
                <w:szCs w:val="18"/>
                <w:color w:val="auto"/>
              </w:rPr>
              <w:t>Senior notes and debentures, net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2,806,422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2,404,279</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221,781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177,922</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Arial" w:cs="Arial" w:eastAsia="Arial" w:hAnsi="Arial"/>
                <w:sz w:val="18"/>
                <w:szCs w:val="18"/>
                <w:color w:val="auto"/>
              </w:rPr>
              <w:t>Dividends payable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81,477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78,207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Security deposits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17,875</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74,032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Finance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72,065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Arial" w:cs="Arial" w:eastAsia="Arial" w:hAnsi="Arial"/>
                <w:sz w:val="18"/>
                <w:szCs w:val="18"/>
                <w:color w:val="auto"/>
              </w:rPr>
              <w:t>Other liabilities and deferred credits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165,542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182,898</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3,912,162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3,686,106</w:t>
            </w: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Commitments and contingencies (Note 6)</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122,282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136,208</w:t>
            </w: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Preferred shares, authorized 15,000,000 shares, $.01 par:</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780" w:type="dxa"/>
            <w:vAlign w:val="bottom"/>
          </w:tcPr>
          <w:p>
            <w:pPr>
              <w:ind w:left="820"/>
              <w:spacing w:after="0"/>
              <w:rPr>
                <w:sz w:val="20"/>
                <w:szCs w:val="20"/>
                <w:color w:val="auto"/>
              </w:rPr>
            </w:pPr>
            <w:r>
              <w:rPr>
                <w:rFonts w:ascii="Arial" w:cs="Arial" w:eastAsia="Arial" w:hAnsi="Arial"/>
                <w:sz w:val="18"/>
                <w:szCs w:val="18"/>
                <w:color w:val="auto"/>
                <w:w w:val="89"/>
              </w:rPr>
              <w:t>5.0% Series C Cumulative Redeemable Preferred Shares, (stated at liquidation preference $25,000 per share),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820"/>
              <w:spacing w:after="0"/>
              <w:rPr>
                <w:sz w:val="20"/>
                <w:szCs w:val="20"/>
                <w:color w:val="auto"/>
              </w:rPr>
            </w:pPr>
            <w:r>
              <w:rPr>
                <w:rFonts w:ascii="Arial" w:cs="Arial" w:eastAsia="Arial" w:hAnsi="Arial"/>
                <w:sz w:val="18"/>
                <w:szCs w:val="18"/>
                <w:color w:val="auto"/>
              </w:rPr>
              <w:t>6,000 shares issued and outstanding</w:t>
            </w:r>
          </w:p>
        </w:tc>
        <w:tc>
          <w:tcPr>
            <w:tcW w:w="1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7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2"/>
              </w:rPr>
              <w:t>5.417% Series 1 Cumulative Convertible Preferred Shares, (stated at liquidation preference $25 per share),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7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399,896 shares issued and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29"/>
        </w:trPr>
        <w:tc>
          <w:tcPr>
            <w:tcW w:w="8780" w:type="dxa"/>
            <w:vAlign w:val="bottom"/>
          </w:tcPr>
          <w:p>
            <w:pPr>
              <w:ind w:left="700"/>
              <w:spacing w:after="0"/>
              <w:rPr>
                <w:sz w:val="20"/>
                <w:szCs w:val="20"/>
                <w:color w:val="auto"/>
              </w:rPr>
            </w:pPr>
            <w:r>
              <w:rPr>
                <w:rFonts w:ascii="Arial" w:cs="Arial" w:eastAsia="Arial" w:hAnsi="Arial"/>
                <w:sz w:val="18"/>
                <w:szCs w:val="18"/>
                <w:color w:val="auto"/>
                <w:w w:val="93"/>
              </w:rPr>
              <w:t>Common shares of beneficial interest, $.01 par, 100,000,000 shares authorized, 75,494,931 and 74,249,633</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700"/>
              <w:spacing w:after="0"/>
              <w:rPr>
                <w:sz w:val="20"/>
                <w:szCs w:val="20"/>
                <w:color w:val="auto"/>
              </w:rPr>
            </w:pPr>
            <w:r>
              <w:rPr>
                <w:rFonts w:ascii="Arial" w:cs="Arial" w:eastAsia="Arial" w:hAnsi="Arial"/>
                <w:sz w:val="18"/>
                <w:szCs w:val="18"/>
                <w:color w:val="auto"/>
              </w:rPr>
              <w:t>shares issued and outstanding, respectively</w:t>
            </w:r>
          </w:p>
        </w:tc>
        <w:tc>
          <w:tcPr>
            <w:tcW w:w="1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3,167,460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3,004,442</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Arial" w:cs="Arial" w:eastAsia="Arial" w:hAnsi="Arial"/>
                <w:sz w:val="18"/>
                <w:szCs w:val="18"/>
                <w:color w:val="auto"/>
              </w:rPr>
              <w:t>Accumulated dividends in excess of net income</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(857,152)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(818,877)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7"/>
        </w:trPr>
        <w:tc>
          <w:tcPr>
            <w:tcW w:w="8780" w:type="dxa"/>
            <w:vAlign w:val="bottom"/>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2,469,928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2,345,891</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103,193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121,439</w:t>
            </w:r>
          </w:p>
        </w:tc>
        <w:tc>
          <w:tcPr>
            <w:tcW w:w="0" w:type="dxa"/>
            <w:vAlign w:val="bottom"/>
          </w:tcPr>
          <w:p>
            <w:pPr>
              <w:spacing w:after="0"/>
              <w:rPr>
                <w:sz w:val="1"/>
                <w:szCs w:val="1"/>
                <w:color w:val="auto"/>
              </w:rPr>
            </w:pPr>
          </w:p>
        </w:tc>
      </w:tr>
      <w:tr>
        <w:trPr>
          <w:trHeight w:val="237"/>
        </w:trPr>
        <w:tc>
          <w:tcPr>
            <w:tcW w:w="878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2,573,121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2,467,330</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6,607,565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6,289,644</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vMerge w:val="restart"/>
          </w:tcPr>
          <w:p>
            <w:pPr>
              <w:ind w:left="2880"/>
              <w:spacing w:after="0"/>
              <w:rPr>
                <w:sz w:val="20"/>
                <w:szCs w:val="20"/>
                <w:color w:val="auto"/>
              </w:rPr>
            </w:pPr>
            <w:r>
              <w:rPr>
                <w:rFonts w:ascii="Arial" w:cs="Arial" w:eastAsia="Arial" w:hAnsi="Arial"/>
                <w:sz w:val="18"/>
                <w:szCs w:val="18"/>
                <w:color w:val="auto"/>
                <w:w w:val="93"/>
              </w:rPr>
              <w:t>The accompanying notes are an integral part of these consolidated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6" w:right="259" w:bottom="17"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6" w:right="259" w:bottom="17"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4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64"/>
        </w:trPr>
        <w:tc>
          <w:tcPr>
            <w:tcW w:w="5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Rental income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233,212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228,960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694,435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677,776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7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37"/>
        </w:trPr>
        <w:tc>
          <w:tcPr>
            <w:tcW w:w="532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7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233,947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229,753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696,639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680,060</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54,484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41,909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140,182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126,587</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81,883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85,841</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11,060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7,638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32,047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23,980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7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178,327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177,269</w:t>
            </w:r>
          </w:p>
        </w:tc>
        <w:tc>
          <w:tcPr>
            <w:tcW w:w="0" w:type="dxa"/>
            <w:vAlign w:val="bottom"/>
          </w:tcPr>
          <w:p>
            <w:pPr>
              <w:spacing w:after="0"/>
              <w:rPr>
                <w:sz w:val="1"/>
                <w:szCs w:val="1"/>
                <w:color w:val="auto"/>
              </w:rPr>
            </w:pPr>
          </w:p>
        </w:tc>
      </w:tr>
      <w:tr>
        <w:trPr>
          <w:trHeight w:val="237"/>
        </w:trPr>
        <w:tc>
          <w:tcPr>
            <w:tcW w:w="53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7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154,222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139,411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432,439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413,677</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60"/>
              <w:spacing w:after="0"/>
              <w:rPr>
                <w:sz w:val="20"/>
                <w:szCs w:val="20"/>
                <w:color w:val="auto"/>
              </w:rPr>
            </w:pPr>
            <w:r>
              <w:rPr>
                <w:rFonts w:ascii="Arial" w:cs="Arial" w:eastAsia="Arial" w:hAnsi="Arial"/>
                <w:sz w:val="18"/>
                <w:szCs w:val="18"/>
                <w:color w:val="auto"/>
              </w:rPr>
              <w:t>Gain on sale of real estate, net of tax</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14,293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30,490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10,413</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94,018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93,467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294,690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276,796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OTHER INCOME/(EXPENSE)</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interest income</w:t>
            </w: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(82,567)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(82,116)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partnerships</w:t>
            </w:r>
          </w:p>
        </w:tc>
        <w:tc>
          <w:tcPr>
            <w:tcW w:w="7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7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67,106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64,180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211,576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192,644</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7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7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65,465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62,558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206,511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187,400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on preferred shares</w:t>
            </w:r>
          </w:p>
        </w:tc>
        <w:tc>
          <w:tcPr>
            <w:tcW w:w="7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(6,031)</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7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63,455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60,548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200,480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181,369</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7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BASIC:</w:t>
            </w:r>
          </w:p>
        </w:tc>
        <w:tc>
          <w:tcPr>
            <w:tcW w:w="7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60"/>
              <w:spacing w:after="0"/>
              <w:rPr>
                <w:sz w:val="20"/>
                <w:szCs w:val="20"/>
                <w:color w:val="auto"/>
              </w:rPr>
            </w:pPr>
            <w:r>
              <w:rPr>
                <w:rFonts w:ascii="Arial" w:cs="Arial" w:eastAsia="Arial" w:hAnsi="Arial"/>
                <w:sz w:val="18"/>
                <w:szCs w:val="18"/>
                <w:color w:val="auto"/>
              </w:rPr>
              <w:t>Net income available for common shareholders</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7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w:t>
            </w: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74,584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73,100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available for common shareholders</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number of common shares</w:t>
            </w: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2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74,832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73,408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74,584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73,136</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7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3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66,995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63,895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210,857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192,749</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7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COMPREHENSIVE INCOME ATTRIBUTABLE TO THE TRUST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65,354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62,273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205,792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187,505</w:t>
            </w: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800" w:type="dxa"/>
            <w:vAlign w:val="bottom"/>
            <w:gridSpan w:val="8"/>
          </w:tcPr>
          <w:p>
            <w:pPr>
              <w:jc w:val="center"/>
              <w:ind w:left="2530"/>
              <w:spacing w:after="0"/>
              <w:rPr>
                <w:sz w:val="20"/>
                <w:szCs w:val="20"/>
                <w:color w:val="auto"/>
              </w:rPr>
            </w:pPr>
            <w:r>
              <w:rPr>
                <w:rFonts w:ascii="Arial" w:cs="Arial" w:eastAsia="Arial" w:hAnsi="Arial"/>
                <w:sz w:val="18"/>
                <w:szCs w:val="18"/>
                <w:color w:val="auto"/>
                <w:w w:val="89"/>
              </w:rPr>
              <w:t>The accompanying notes are an integral part of these consolidated statements.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20" w:type="dxa"/>
            <w:vAlign w:val="bottom"/>
          </w:tcPr>
          <w:p>
            <w:pPr>
              <w:spacing w:after="0"/>
              <w:rPr>
                <w:sz w:val="24"/>
                <w:szCs w:val="24"/>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Nine Months Ended September 30, 2019</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4"/>
          <w:szCs w:val="14"/>
          <w:color w:val="auto"/>
          <w:shd w:val="clear" w:color="auto" w:fill="CCEEFF"/>
        </w:rPr>
        <w:t>BALANCE AT DECEMBER 31, 2018</w:t>
      </w:r>
    </w:p>
    <w:p>
      <w:pPr>
        <w:spacing w:after="0" w:line="109" w:lineRule="exact"/>
        <w:rPr>
          <w:sz w:val="20"/>
          <w:szCs w:val="20"/>
          <w:color w:val="auto"/>
        </w:rPr>
      </w:pPr>
    </w:p>
    <w:p>
      <w:pPr>
        <w:ind w:left="40" w:right="360"/>
        <w:spacing w:after="0" w:line="253" w:lineRule="auto"/>
        <w:rPr>
          <w:sz w:val="20"/>
          <w:szCs w:val="20"/>
          <w:color w:val="auto"/>
        </w:rPr>
      </w:pPr>
      <w:r>
        <w:rPr>
          <w:rFonts w:ascii="Arial" w:cs="Arial" w:eastAsia="Arial" w:hAnsi="Arial"/>
          <w:sz w:val="14"/>
          <w:szCs w:val="14"/>
          <w:color w:val="auto"/>
        </w:rPr>
        <w:t>January 1, 2019 adoption of new accounting standard - See Note 2</w:t>
      </w:r>
    </w:p>
    <w:p>
      <w:pPr>
        <w:spacing w:after="0" w:line="12" w:lineRule="exact"/>
        <w:rPr>
          <w:sz w:val="20"/>
          <w:szCs w:val="20"/>
          <w:color w:val="auto"/>
        </w:rPr>
      </w:pPr>
    </w:p>
    <w:p>
      <w:pPr>
        <w:ind w:left="40" w:right="320"/>
        <w:spacing w:after="0" w:line="253" w:lineRule="auto"/>
        <w:rPr>
          <w:sz w:val="20"/>
          <w:szCs w:val="20"/>
          <w:color w:val="auto"/>
        </w:rPr>
      </w:pPr>
      <w:r>
        <w:rPr>
          <w:rFonts w:ascii="Arial" w:cs="Arial" w:eastAsia="Arial" w:hAnsi="Arial"/>
          <w:sz w:val="14"/>
          <w:szCs w:val="14"/>
          <w:color w:val="auto"/>
          <w:shd w:val="clear" w:color="auto" w:fill="CCEEFF"/>
        </w:rPr>
        <w:t>Net income, excluding $2,604 attributable to redeemable noncontrolling interests</w:t>
      </w:r>
    </w:p>
    <w:p>
      <w:pPr>
        <w:spacing w:after="0" w:line="1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Other comprehensive loss - change in fair value of interest rate swaps</w:t>
      </w:r>
    </w:p>
    <w:p>
      <w:pPr>
        <w:spacing w:after="0" w:line="12" w:lineRule="exact"/>
        <w:rPr>
          <w:sz w:val="20"/>
          <w:szCs w:val="20"/>
          <w:color w:val="auto"/>
        </w:rPr>
      </w:pPr>
    </w:p>
    <w:p>
      <w:pPr>
        <w:ind w:left="40" w:right="340"/>
        <w:spacing w:after="0" w:line="253" w:lineRule="auto"/>
        <w:rPr>
          <w:sz w:val="20"/>
          <w:szCs w:val="20"/>
          <w:color w:val="auto"/>
        </w:rPr>
      </w:pPr>
      <w:r>
        <w:rPr>
          <w:rFonts w:ascii="Arial" w:cs="Arial" w:eastAsia="Arial" w:hAnsi="Arial"/>
          <w:sz w:val="14"/>
          <w:szCs w:val="14"/>
          <w:color w:val="auto"/>
          <w:shd w:val="clear" w:color="auto" w:fill="CCEEFF"/>
        </w:rPr>
        <w:t>Dividends declared to common shareholders ($3.09 per share)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declared to preferred shareholders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shd w:val="clear" w:color="auto" w:fill="CCEEFF"/>
        </w:rPr>
        <w:t>Distributions declared to noncontrolling interests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Common shares issued,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Shares issued under dividend reinvestment plan</w:t>
      </w:r>
    </w:p>
    <w:p>
      <w:pPr>
        <w:spacing w:after="0" w:line="121" w:lineRule="exact"/>
        <w:rPr>
          <w:sz w:val="20"/>
          <w:szCs w:val="20"/>
          <w:color w:val="auto"/>
        </w:rPr>
      </w:pPr>
    </w:p>
    <w:p>
      <w:pPr>
        <w:ind w:left="40" w:right="460"/>
        <w:spacing w:after="0" w:line="253" w:lineRule="auto"/>
        <w:rPr>
          <w:sz w:val="20"/>
          <w:szCs w:val="20"/>
          <w:color w:val="auto"/>
        </w:rPr>
      </w:pPr>
      <w:r>
        <w:rPr>
          <w:rFonts w:ascii="Arial" w:cs="Arial" w:eastAsia="Arial" w:hAnsi="Arial"/>
          <w:sz w:val="14"/>
          <w:szCs w:val="14"/>
          <w:color w:val="auto"/>
        </w:rPr>
        <w:t>Share-based compensation expense, net of forfeitures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withheld for employee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Conversion and redemption of OP units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Contributions from noncontrolling interests</w:t>
      </w:r>
    </w:p>
    <w:p>
      <w:pPr>
        <w:spacing w:after="0" w:line="109" w:lineRule="exact"/>
        <w:rPr>
          <w:sz w:val="20"/>
          <w:szCs w:val="20"/>
          <w:color w:val="auto"/>
        </w:rPr>
      </w:pPr>
    </w:p>
    <w:p>
      <w:pPr>
        <w:ind w:left="40" w:right="500"/>
        <w:spacing w:after="0" w:line="253" w:lineRule="auto"/>
        <w:rPr>
          <w:sz w:val="20"/>
          <w:szCs w:val="20"/>
          <w:color w:val="auto"/>
        </w:rPr>
      </w:pPr>
      <w:r>
        <w:rPr>
          <w:rFonts w:ascii="Arial" w:cs="Arial" w:eastAsia="Arial" w:hAnsi="Arial"/>
          <w:sz w:val="14"/>
          <w:szCs w:val="14"/>
          <w:color w:val="auto"/>
        </w:rPr>
        <w:t>Adjustment to redeemable noncontrolling interests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SEPTEMBER 30, 2019</w:t>
      </w:r>
    </w:p>
    <w:p>
      <w:pPr>
        <w:spacing w:after="0" w:line="2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JUNE 30, 2019</w:t>
      </w:r>
    </w:p>
    <w:p>
      <w:pPr>
        <w:spacing w:after="0" w:line="109" w:lineRule="exact"/>
        <w:rPr>
          <w:sz w:val="20"/>
          <w:szCs w:val="20"/>
          <w:color w:val="auto"/>
        </w:rPr>
      </w:pPr>
    </w:p>
    <w:p>
      <w:pPr>
        <w:ind w:left="40" w:right="440"/>
        <w:spacing w:after="0" w:line="253" w:lineRule="auto"/>
        <w:rPr>
          <w:sz w:val="20"/>
          <w:szCs w:val="20"/>
          <w:color w:val="auto"/>
        </w:rPr>
      </w:pPr>
      <w:r>
        <w:rPr>
          <w:rFonts w:ascii="Arial" w:cs="Arial" w:eastAsia="Arial" w:hAnsi="Arial"/>
          <w:sz w:val="14"/>
          <w:szCs w:val="14"/>
          <w:color w:val="auto"/>
        </w:rPr>
        <w:t>Net income, excluding $821 attributable to redeemable noncontrolling interests</w:t>
      </w:r>
    </w:p>
    <w:p>
      <w:pPr>
        <w:spacing w:after="0" w:line="1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Other comprehensive loss - change in fair value of interest rate swaps</w:t>
      </w:r>
    </w:p>
    <w:p>
      <w:pPr>
        <w:spacing w:after="0" w:line="12" w:lineRule="exact"/>
        <w:rPr>
          <w:sz w:val="20"/>
          <w:szCs w:val="20"/>
          <w:color w:val="auto"/>
        </w:rPr>
      </w:pPr>
    </w:p>
    <w:p>
      <w:pPr>
        <w:ind w:left="40" w:right="340"/>
        <w:spacing w:after="0" w:line="253" w:lineRule="auto"/>
        <w:rPr>
          <w:sz w:val="20"/>
          <w:szCs w:val="20"/>
          <w:color w:val="auto"/>
        </w:rPr>
      </w:pPr>
      <w:r>
        <w:rPr>
          <w:rFonts w:ascii="Arial" w:cs="Arial" w:eastAsia="Arial" w:hAnsi="Arial"/>
          <w:sz w:val="14"/>
          <w:szCs w:val="14"/>
          <w:color w:val="auto"/>
        </w:rPr>
        <w:t>Dividends declared to common shareholders ($1.05 per share)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declared to preferred shareholders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Distributions declared to noncontrolling interests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Common shares issued,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Shares issued under dividend reinvestment plan</w:t>
      </w:r>
    </w:p>
    <w:p>
      <w:pPr>
        <w:spacing w:after="0" w:line="121" w:lineRule="exact"/>
        <w:rPr>
          <w:sz w:val="20"/>
          <w:szCs w:val="20"/>
          <w:color w:val="auto"/>
        </w:rPr>
      </w:pPr>
    </w:p>
    <w:p>
      <w:pPr>
        <w:ind w:left="40" w:right="460"/>
        <w:spacing w:after="0" w:line="253" w:lineRule="auto"/>
        <w:rPr>
          <w:sz w:val="20"/>
          <w:szCs w:val="20"/>
          <w:color w:val="auto"/>
        </w:rPr>
      </w:pPr>
      <w:r>
        <w:rPr>
          <w:rFonts w:ascii="Arial" w:cs="Arial" w:eastAsia="Arial" w:hAnsi="Arial"/>
          <w:sz w:val="14"/>
          <w:szCs w:val="14"/>
          <w:color w:val="auto"/>
        </w:rPr>
        <w:t>Share-based compensation expense, net of forfeitures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withheld for employee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Redemption of OP units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Contributions from noncontrolling interests</w:t>
      </w:r>
    </w:p>
    <w:p>
      <w:pPr>
        <w:spacing w:after="0" w:line="109" w:lineRule="exact"/>
        <w:rPr>
          <w:sz w:val="20"/>
          <w:szCs w:val="20"/>
          <w:color w:val="auto"/>
        </w:rPr>
      </w:pPr>
    </w:p>
    <w:p>
      <w:pPr>
        <w:ind w:left="40" w:right="500"/>
        <w:spacing w:after="0" w:line="253" w:lineRule="auto"/>
        <w:rPr>
          <w:sz w:val="20"/>
          <w:szCs w:val="20"/>
          <w:color w:val="auto"/>
        </w:rPr>
      </w:pPr>
      <w:r>
        <w:rPr>
          <w:rFonts w:ascii="Arial" w:cs="Arial" w:eastAsia="Arial" w:hAnsi="Arial"/>
          <w:sz w:val="14"/>
          <w:szCs w:val="14"/>
          <w:color w:val="auto"/>
        </w:rPr>
        <w:t>Adjustment to redeemable noncontrolling interests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SEPTEMBER 30, 2019</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11"/>
          </w:tcPr>
          <w:p>
            <w:pPr>
              <w:ind w:left="380"/>
              <w:spacing w:after="0"/>
              <w:rPr>
                <w:sz w:val="20"/>
                <w:szCs w:val="20"/>
                <w:color w:val="auto"/>
              </w:rPr>
            </w:pPr>
            <w:r>
              <w:rPr>
                <w:rFonts w:ascii="Arial" w:cs="Arial" w:eastAsia="Arial" w:hAnsi="Arial"/>
                <w:sz w:val="14"/>
                <w:szCs w:val="14"/>
                <w:b w:val="1"/>
                <w:bCs w:val="1"/>
                <w:color w:val="auto"/>
                <w:w w:val="97"/>
              </w:rPr>
              <w:t>Shareholders’ Equity of the Trust</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6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Preferred Shares</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6"/>
            <w:vMerge w:val="restart"/>
          </w:tcPr>
          <w:p>
            <w:pPr>
              <w:jc w:val="right"/>
              <w:ind w:right="188"/>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vMerge w:val="restart"/>
          </w:tcPr>
          <w:p>
            <w:pPr>
              <w:spacing w:after="0"/>
              <w:rPr>
                <w:sz w:val="13"/>
                <w:szCs w:val="13"/>
                <w:color w:val="auto"/>
              </w:rPr>
            </w:pPr>
          </w:p>
        </w:tc>
        <w:tc>
          <w:tcPr>
            <w:tcW w:w="9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5"/>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3"/>
                <w:szCs w:val="13"/>
                <w:color w:val="auto"/>
              </w:rPr>
            </w:pPr>
          </w:p>
        </w:tc>
        <w:tc>
          <w:tcPr>
            <w:tcW w:w="1040" w:type="dxa"/>
            <w:vAlign w:val="bottom"/>
            <w:gridSpan w:val="4"/>
          </w:tcPr>
          <w:p>
            <w:pPr>
              <w:jc w:val="center"/>
              <w:ind w:right="2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1660" w:type="dxa"/>
            <w:vAlign w:val="bottom"/>
            <w:tcBorders>
              <w:bottom w:val="single" w:sz="8" w:color="auto"/>
            </w:tcBorders>
            <w:gridSpan w:val="3"/>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6"/>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1000" w:type="dxa"/>
            <w:vAlign w:val="bottom"/>
            <w:gridSpan w:val="5"/>
          </w:tcPr>
          <w:p>
            <w:pPr>
              <w:ind w:left="60"/>
              <w:spacing w:after="0" w:line="158" w:lineRule="exact"/>
              <w:rPr>
                <w:sz w:val="20"/>
                <w:szCs w:val="20"/>
                <w:color w:val="auto"/>
              </w:rPr>
            </w:pPr>
            <w:r>
              <w:rPr>
                <w:rFonts w:ascii="Arial" w:cs="Arial" w:eastAsia="Arial" w:hAnsi="Arial"/>
                <w:sz w:val="14"/>
                <w:szCs w:val="14"/>
                <w:b w:val="1"/>
                <w:bCs w:val="1"/>
                <w:color w:val="auto"/>
              </w:rPr>
              <w:t>Dividends in</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3"/>
          </w:tcPr>
          <w:p>
            <w:pPr>
              <w:jc w:val="center"/>
              <w:ind w:right="380"/>
              <w:spacing w:after="0" w:line="158"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0"/>
                <w:szCs w:val="10"/>
                <w:color w:val="auto"/>
              </w:rPr>
            </w:pPr>
          </w:p>
        </w:tc>
        <w:tc>
          <w:tcPr>
            <w:tcW w:w="8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0"/>
                <w:szCs w:val="10"/>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82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5"/>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20" w:type="dxa"/>
            <w:vAlign w:val="bottom"/>
            <w:gridSpan w:val="5"/>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8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940" w:type="dxa"/>
            <w:vAlign w:val="bottom"/>
            <w:tcBorders>
              <w:bottom w:val="single" w:sz="8" w:color="auto"/>
            </w:tcBorders>
            <w:gridSpan w:val="2"/>
            <w:vMerge w:val="continue"/>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Income</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Interests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11"/>
          </w:tcPr>
          <w:p>
            <w:pPr>
              <w:ind w:left="320"/>
              <w:spacing w:after="0"/>
              <w:rPr>
                <w:sz w:val="20"/>
                <w:szCs w:val="20"/>
                <w:color w:val="auto"/>
              </w:rPr>
            </w:pPr>
            <w:r>
              <w:rPr>
                <w:rFonts w:ascii="Arial" w:cs="Arial" w:eastAsia="Arial" w:hAnsi="Arial"/>
                <w:sz w:val="14"/>
                <w:szCs w:val="14"/>
                <w:b w:val="1"/>
                <w:bCs w:val="1"/>
                <w:color w:val="auto"/>
                <w:w w:val="94"/>
              </w:rPr>
              <w:t>(In thousands, except share data)</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405,896</w:t>
            </w:r>
          </w:p>
        </w:tc>
        <w:tc>
          <w:tcPr>
            <w:tcW w:w="14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$ 159,997</w:t>
            </w:r>
          </w:p>
        </w:tc>
        <w:tc>
          <w:tcPr>
            <w:tcW w:w="100" w:type="dxa"/>
            <w:vAlign w:val="bottom"/>
          </w:tcPr>
          <w:p>
            <w:pPr>
              <w:spacing w:after="0"/>
              <w:rPr>
                <w:sz w:val="23"/>
                <w:szCs w:val="23"/>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w w:val="94"/>
              </w:rPr>
              <w:t>74,249,633</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23"/>
                <w:szCs w:val="23"/>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w w:val="96"/>
              </w:rPr>
              <w:t>$3,004,442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(818,877)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121,439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2,467,330</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(7,098)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(7,098)</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206,511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2,461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208,972</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(231,657)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(231,657)</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(6,031)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(6,031)</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(8,812)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(8,812)</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1,045,470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139,488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139,499</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12,006</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1,567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1,567</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110,804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10,142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10,143</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(34,234)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(4,615)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(4,615)</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111,252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11,933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(12,006)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357"/>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4,503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4,503</w:t>
            </w:r>
          </w:p>
        </w:tc>
        <w:tc>
          <w:tcPr>
            <w:tcW w:w="0" w:type="dxa"/>
            <w:vAlign w:val="bottom"/>
          </w:tcPr>
          <w:p>
            <w:pPr>
              <w:spacing w:after="0"/>
              <w:rPr>
                <w:sz w:val="1"/>
                <w:szCs w:val="1"/>
                <w:color w:val="auto"/>
              </w:rPr>
            </w:pPr>
          </w:p>
        </w:tc>
      </w:tr>
      <w:tr>
        <w:trPr>
          <w:trHeight w:val="237"/>
        </w:trPr>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405,896</w:t>
            </w: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3"/>
              </w:rPr>
              <w:t>$ 159,997</w:t>
            </w: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w w:val="94"/>
              </w:rPr>
              <w:t>75,494,931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w w:val="96"/>
              </w:rPr>
              <w:t>$3,167,460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(857,152)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bottom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103,193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2,573,121</w:t>
            </w: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405,896</w:t>
            </w:r>
          </w:p>
        </w:tc>
        <w:tc>
          <w:tcPr>
            <w:tcW w:w="14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$ 159,997</w:t>
            </w:r>
          </w:p>
        </w:tc>
        <w:tc>
          <w:tcPr>
            <w:tcW w:w="100" w:type="dxa"/>
            <w:vAlign w:val="bottom"/>
          </w:tcPr>
          <w:p>
            <w:pPr>
              <w:spacing w:after="0"/>
              <w:rPr>
                <w:sz w:val="24"/>
                <w:szCs w:val="24"/>
                <w:color w:val="auto"/>
              </w:rPr>
            </w:pP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w w:val="99"/>
              </w:rPr>
              <w:t>74,950,197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752</w:t>
            </w: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$3,088,946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(841,505)</w:t>
            </w:r>
          </w:p>
        </w:tc>
        <w:tc>
          <w:tcPr>
            <w:tcW w:w="20" w:type="dxa"/>
            <w:vAlign w:val="bottom"/>
          </w:tcPr>
          <w:p>
            <w:pPr>
              <w:spacing w:after="0"/>
              <w:rPr>
                <w:sz w:val="24"/>
                <w:szCs w:val="24"/>
                <w:color w:val="auto"/>
              </w:rPr>
            </w:pP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(1,024)</w:t>
            </w:r>
          </w:p>
        </w:tc>
        <w:tc>
          <w:tcPr>
            <w:tcW w:w="2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103,480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2,510,646</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65,465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66,285</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(79,102)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(79,102)</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(1,148)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(1,148)</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rPr>
              <w:t>533,516</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71,189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71,195</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rPr>
              <w:t>3,885</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rPr>
              <w:t>8,667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3,151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3,151</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(1,334)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4"/>
                <w:szCs w:val="14"/>
                <w:color w:val="auto"/>
              </w:rPr>
              <w:t>(173)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357"/>
        </w:trPr>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3,836</w:t>
            </w: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3,836</w:t>
            </w:r>
          </w:p>
        </w:tc>
        <w:tc>
          <w:tcPr>
            <w:tcW w:w="0" w:type="dxa"/>
            <w:vAlign w:val="bottom"/>
          </w:tcPr>
          <w:p>
            <w:pPr>
              <w:spacing w:after="0"/>
              <w:rPr>
                <w:sz w:val="1"/>
                <w:szCs w:val="1"/>
                <w:color w:val="auto"/>
              </w:rPr>
            </w:pPr>
          </w:p>
        </w:tc>
      </w:tr>
      <w:tr>
        <w:trPr>
          <w:trHeight w:val="237"/>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405,896</w:t>
            </w:r>
          </w:p>
        </w:tc>
        <w:tc>
          <w:tcPr>
            <w:tcW w:w="140" w:type="dxa"/>
            <w:vAlign w:val="bottom"/>
          </w:tcPr>
          <w:p>
            <w:pPr>
              <w:spacing w:after="0"/>
              <w:rPr>
                <w:sz w:val="20"/>
                <w:szCs w:val="20"/>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$ 159,997</w:t>
            </w:r>
          </w:p>
        </w:tc>
        <w:tc>
          <w:tcPr>
            <w:tcW w:w="100" w:type="dxa"/>
            <w:vAlign w:val="bottom"/>
          </w:tcPr>
          <w:p>
            <w:pPr>
              <w:spacing w:after="0"/>
              <w:rPr>
                <w:sz w:val="20"/>
                <w:szCs w:val="20"/>
                <w:color w:val="auto"/>
              </w:rPr>
            </w:pP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w w:val="99"/>
              </w:rPr>
              <w:t>75,494,931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$3,167,460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(857,152)</w:t>
            </w:r>
          </w:p>
        </w:tc>
        <w:tc>
          <w:tcPr>
            <w:tcW w:w="20" w:type="dxa"/>
            <w:vAlign w:val="bottom"/>
          </w:tcPr>
          <w:p>
            <w:pPr>
              <w:spacing w:after="0"/>
              <w:rPr>
                <w:sz w:val="20"/>
                <w:szCs w:val="20"/>
                <w:color w:val="auto"/>
              </w:rPr>
            </w:pP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(1,135)</w:t>
            </w:r>
          </w:p>
        </w:tc>
        <w:tc>
          <w:tcPr>
            <w:tcW w:w="2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103,193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2,573,121</w:t>
            </w:r>
          </w:p>
        </w:tc>
        <w:tc>
          <w:tcPr>
            <w:tcW w:w="0" w:type="dxa"/>
            <w:vAlign w:val="bottom"/>
          </w:tcPr>
          <w:p>
            <w:pPr>
              <w:spacing w:after="0"/>
              <w:rPr>
                <w:sz w:val="1"/>
                <w:szCs w:val="1"/>
                <w:color w:val="auto"/>
              </w:rPr>
            </w:pPr>
          </w:p>
        </w:tc>
      </w:tr>
      <w:tr>
        <w:trPr>
          <w:trHeight w:val="20"/>
        </w:trPr>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-5659120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-5264785</wp:posOffset>
            </wp:positionV>
            <wp:extent cx="7246620" cy="222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-4819015</wp:posOffset>
            </wp:positionV>
            <wp:extent cx="7246620"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-4424680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-4081145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-3686810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-3343910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-2949575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-2675255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-2280285</wp:posOffset>
            </wp:positionV>
            <wp:extent cx="724662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-1834515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-1491615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-1148715</wp:posOffset>
            </wp:positionV>
            <wp:extent cx="724662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-753745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-410845</wp:posOffset>
            </wp:positionV>
            <wp:extent cx="724662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67" w:lineRule="exact"/>
        <w:rPr>
          <w:sz w:val="20"/>
          <w:szCs w:val="20"/>
          <w:color w:val="auto"/>
        </w:rPr>
      </w:pPr>
    </w:p>
    <w:p>
      <w:pPr>
        <w:jc w:val="center"/>
        <w:ind w:right="2980"/>
        <w:spacing w:after="0"/>
        <w:rPr>
          <w:sz w:val="20"/>
          <w:szCs w:val="20"/>
          <w:color w:val="auto"/>
        </w:rPr>
      </w:pPr>
      <w:r>
        <w:rPr>
          <w:rFonts w:ascii="Arial" w:cs="Arial" w:eastAsia="Arial" w:hAnsi="Arial"/>
          <w:sz w:val="15"/>
          <w:szCs w:val="15"/>
          <w:color w:val="auto"/>
        </w:rPr>
        <w:t>The accompanying notes are an integral part of these consolidated statements.</w:t>
      </w:r>
    </w:p>
    <w:p>
      <w:pPr>
        <w:spacing w:after="0" w:line="255"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2940" w:space="40"/>
            <w:col w:w="8440"/>
          </w:cols>
          <w:pgMar w:left="240" w:top="126"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2018</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Shareholders’ Equity of the Trust</w:t>
            </w: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1660" w:type="dxa"/>
            <w:vAlign w:val="bottom"/>
            <w:gridSpan w:val="2"/>
            <w:vMerge w:val="restart"/>
          </w:tcPr>
          <w:p>
            <w:pPr>
              <w:jc w:val="right"/>
              <w:ind w:right="228"/>
              <w:spacing w:after="0"/>
              <w:rPr>
                <w:sz w:val="20"/>
                <w:szCs w:val="20"/>
                <w:color w:val="auto"/>
              </w:rPr>
            </w:pPr>
            <w:r>
              <w:rPr>
                <w:rFonts w:ascii="Arial" w:cs="Arial" w:eastAsia="Arial" w:hAnsi="Arial"/>
                <w:sz w:val="14"/>
                <w:szCs w:val="14"/>
                <w:b w:val="1"/>
                <w:bCs w:val="1"/>
                <w:color w:val="auto"/>
              </w:rPr>
              <w:t>Preferred Shares</w:t>
            </w:r>
          </w:p>
        </w:tc>
        <w:tc>
          <w:tcPr>
            <w:tcW w:w="100" w:type="dxa"/>
            <w:vAlign w:val="bottom"/>
            <w:vMerge w:val="restart"/>
          </w:tcPr>
          <w:p>
            <w:pPr>
              <w:spacing w:after="0"/>
              <w:rPr>
                <w:sz w:val="13"/>
                <w:szCs w:val="13"/>
                <w:color w:val="auto"/>
              </w:rPr>
            </w:pPr>
          </w:p>
        </w:tc>
        <w:tc>
          <w:tcPr>
            <w:tcW w:w="156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Common Shares</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3"/>
                <w:szCs w:val="13"/>
                <w:color w:val="auto"/>
              </w:rPr>
            </w:pPr>
          </w:p>
        </w:tc>
        <w:tc>
          <w:tcPr>
            <w:tcW w:w="90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3"/>
        </w:trPr>
        <w:tc>
          <w:tcPr>
            <w:tcW w:w="2980" w:type="dxa"/>
            <w:vAlign w:val="bottom"/>
          </w:tcPr>
          <w:p>
            <w:pPr>
              <w:spacing w:after="0"/>
              <w:rPr>
                <w:sz w:val="13"/>
                <w:szCs w:val="13"/>
                <w:color w:val="auto"/>
              </w:rPr>
            </w:pPr>
          </w:p>
        </w:tc>
        <w:tc>
          <w:tcPr>
            <w:tcW w:w="1660" w:type="dxa"/>
            <w:vAlign w:val="bottom"/>
            <w:tcBorders>
              <w:bottom w:val="single" w:sz="8" w:color="auto"/>
            </w:tcBorders>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560" w:type="dxa"/>
            <w:vAlign w:val="bottom"/>
            <w:tcBorders>
              <w:bottom w:val="single" w:sz="8" w:color="auto"/>
            </w:tcBorders>
            <w:gridSpan w:val="3"/>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Dividends in</w:t>
            </w:r>
          </w:p>
        </w:tc>
        <w:tc>
          <w:tcPr>
            <w:tcW w:w="140" w:type="dxa"/>
            <w:vAlign w:val="bottom"/>
          </w:tcPr>
          <w:p>
            <w:pPr>
              <w:spacing w:after="0"/>
              <w:rPr>
                <w:sz w:val="13"/>
                <w:szCs w:val="13"/>
                <w:color w:val="auto"/>
              </w:rPr>
            </w:pPr>
          </w:p>
        </w:tc>
        <w:tc>
          <w:tcPr>
            <w:tcW w:w="90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9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3"/>
              </w:rPr>
              <w:t>Excess of Net</w:t>
            </w:r>
          </w:p>
        </w:tc>
        <w:tc>
          <w:tcPr>
            <w:tcW w:w="10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14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Noncontrolling</w:t>
            </w: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Income</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5"/>
              </w:rPr>
              <w:t>Interests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20" w:type="dxa"/>
            <w:vAlign w:val="bottom"/>
            <w:gridSpan w:val="3"/>
          </w:tcPr>
          <w:p>
            <w:pPr>
              <w:ind w:left="340"/>
              <w:spacing w:after="0"/>
              <w:rPr>
                <w:sz w:val="20"/>
                <w:szCs w:val="20"/>
                <w:color w:val="auto"/>
              </w:rPr>
            </w:pPr>
            <w:r>
              <w:rPr>
                <w:rFonts w:ascii="Arial" w:cs="Arial" w:eastAsia="Arial" w:hAnsi="Arial"/>
                <w:sz w:val="14"/>
                <w:szCs w:val="14"/>
                <w:b w:val="1"/>
                <w:bCs w:val="1"/>
                <w:color w:val="auto"/>
                <w:w w:val="92"/>
              </w:rPr>
              <w:t>(In thousands, except share data)</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2017</w:t>
            </w:r>
          </w:p>
        </w:tc>
        <w:tc>
          <w:tcPr>
            <w:tcW w:w="8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405,896</w:t>
            </w: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$ 159,997</w:t>
            </w: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4"/>
              </w:rPr>
              <w:t>73,090,877</w:t>
            </w:r>
          </w:p>
        </w:tc>
        <w:tc>
          <w:tcPr>
            <w:tcW w:w="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733</w:t>
            </w:r>
          </w:p>
        </w:tc>
        <w:tc>
          <w:tcPr>
            <w:tcW w:w="98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$2,855,321</w:t>
            </w:r>
          </w:p>
        </w:tc>
        <w:tc>
          <w:tcPr>
            <w:tcW w:w="1000" w:type="dxa"/>
            <w:vAlign w:val="bottom"/>
            <w:vMerge w:val="restart"/>
            <w:shd w:val="clear" w:color="auto" w:fill="CCEEFF"/>
          </w:tcPr>
          <w:p>
            <w:pPr>
              <w:jc w:val="center"/>
              <w:ind w:right="9"/>
              <w:spacing w:after="0"/>
              <w:rPr>
                <w:sz w:val="20"/>
                <w:szCs w:val="20"/>
                <w:color w:val="auto"/>
              </w:rPr>
            </w:pPr>
            <w:r>
              <w:rPr>
                <w:rFonts w:ascii="Arial" w:cs="Arial" w:eastAsia="Arial" w:hAnsi="Arial"/>
                <w:sz w:val="14"/>
                <w:szCs w:val="14"/>
                <w:color w:val="auto"/>
              </w:rPr>
              <w:t>$   (749,367)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28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124,808</w:t>
            </w:r>
          </w:p>
        </w:tc>
        <w:tc>
          <w:tcPr>
            <w:tcW w:w="9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  2,391,514</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420"/>
          </w:cols>
          <w:pgMar w:left="240" w:top="126" w:right="239" w:bottom="1440" w:gutter="0" w:footer="0" w:header="0"/>
        </w:sectPr>
      </w:pPr>
    </w:p>
    <w:p>
      <w:pPr>
        <w:ind w:left="40" w:right="280"/>
        <w:spacing w:after="0" w:line="253" w:lineRule="auto"/>
        <w:rPr>
          <w:sz w:val="20"/>
          <w:szCs w:val="20"/>
          <w:color w:val="auto"/>
        </w:rPr>
      </w:pPr>
      <w:r>
        <w:rPr>
          <w:rFonts w:ascii="Arial" w:cs="Arial" w:eastAsia="Arial" w:hAnsi="Arial"/>
          <w:sz w:val="14"/>
          <w:szCs w:val="14"/>
          <w:color w:val="auto"/>
        </w:rPr>
        <w:t>January 1, 2018 adoption of new accounting standard</w:t>
      </w:r>
    </w:p>
    <w:p>
      <w:pPr>
        <w:spacing w:after="0" w:line="12" w:lineRule="exact"/>
        <w:rPr>
          <w:sz w:val="20"/>
          <w:szCs w:val="20"/>
          <w:color w:val="auto"/>
        </w:rPr>
      </w:pPr>
    </w:p>
    <w:p>
      <w:pPr>
        <w:ind w:left="40" w:right="240"/>
        <w:spacing w:after="0" w:line="253" w:lineRule="auto"/>
        <w:rPr>
          <w:sz w:val="20"/>
          <w:szCs w:val="20"/>
          <w:color w:val="auto"/>
        </w:rPr>
      </w:pPr>
      <w:r>
        <w:rPr>
          <w:rFonts w:ascii="Arial" w:cs="Arial" w:eastAsia="Arial" w:hAnsi="Arial"/>
          <w:sz w:val="14"/>
          <w:szCs w:val="14"/>
          <w:color w:val="auto"/>
        </w:rPr>
        <w:t>Net income, excluding $2,920 attributable to redeemable noncontrolling interests</w:t>
      </w:r>
    </w:p>
    <w:p>
      <w:pPr>
        <w:spacing w:after="0" w:line="12" w:lineRule="exact"/>
        <w:rPr>
          <w:sz w:val="20"/>
          <w:szCs w:val="20"/>
          <w:color w:val="auto"/>
        </w:rPr>
      </w:pPr>
    </w:p>
    <w:p>
      <w:pPr>
        <w:ind w:left="40" w:right="220"/>
        <w:spacing w:after="0" w:line="253" w:lineRule="auto"/>
        <w:rPr>
          <w:sz w:val="20"/>
          <w:szCs w:val="20"/>
          <w:color w:val="auto"/>
        </w:rPr>
      </w:pPr>
      <w:r>
        <w:rPr>
          <w:rFonts w:ascii="Arial" w:cs="Arial" w:eastAsia="Arial" w:hAnsi="Arial"/>
          <w:sz w:val="14"/>
          <w:szCs w:val="14"/>
          <w:color w:val="auto"/>
        </w:rPr>
        <w:t>Other comprehensive income - change in fair value of interest rate swaps</w:t>
      </w:r>
    </w:p>
    <w:p>
      <w:pPr>
        <w:spacing w:after="0" w:line="12" w:lineRule="exact"/>
        <w:rPr>
          <w:sz w:val="20"/>
          <w:szCs w:val="20"/>
          <w:color w:val="auto"/>
        </w:rPr>
      </w:pPr>
    </w:p>
    <w:p>
      <w:pPr>
        <w:ind w:left="40" w:right="260"/>
        <w:spacing w:after="0" w:line="253" w:lineRule="auto"/>
        <w:rPr>
          <w:sz w:val="20"/>
          <w:szCs w:val="20"/>
          <w:color w:val="auto"/>
        </w:rPr>
      </w:pPr>
      <w:r>
        <w:rPr>
          <w:rFonts w:ascii="Arial" w:cs="Arial" w:eastAsia="Arial" w:hAnsi="Arial"/>
          <w:sz w:val="14"/>
          <w:szCs w:val="14"/>
          <w:color w:val="auto"/>
        </w:rPr>
        <w:t>Dividends declared to common shareholders ($3.02 per share)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declared to preferred shareholders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Distributions declared to noncontrolling interests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Common shares issued,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Exercise of stock options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Shares issued under dividend reinvestment plan</w:t>
      </w:r>
    </w:p>
    <w:p>
      <w:pPr>
        <w:spacing w:after="0" w:line="121" w:lineRule="exact"/>
        <w:rPr>
          <w:sz w:val="20"/>
          <w:szCs w:val="20"/>
          <w:color w:val="auto"/>
        </w:rPr>
      </w:pPr>
    </w:p>
    <w:p>
      <w:pPr>
        <w:ind w:left="40" w:right="380"/>
        <w:spacing w:after="0" w:line="253" w:lineRule="auto"/>
        <w:rPr>
          <w:sz w:val="20"/>
          <w:szCs w:val="20"/>
          <w:color w:val="auto"/>
        </w:rPr>
      </w:pPr>
      <w:r>
        <w:rPr>
          <w:rFonts w:ascii="Arial" w:cs="Arial" w:eastAsia="Arial" w:hAnsi="Arial"/>
          <w:sz w:val="14"/>
          <w:szCs w:val="14"/>
          <w:color w:val="auto"/>
        </w:rPr>
        <w:t>Share-based compensation expense, net of forfeitures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withheld for employee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Conversion and redemption of OP units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Contributions from noncontrolling interests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SEPTEMBER 30, 2018</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(6,028)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(6,028)</w:t>
            </w:r>
          </w:p>
        </w:tc>
      </w:tr>
      <w:tr>
        <w:trPr>
          <w:trHeight w:val="351"/>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187,400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2,324</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189,724</w:t>
            </w:r>
          </w:p>
        </w:tc>
      </w:tr>
      <w:tr>
        <w:trPr>
          <w:trHeight w:val="351"/>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105</w:t>
            </w:r>
          </w:p>
        </w:tc>
      </w:tr>
      <w:tr>
        <w:trPr>
          <w:trHeight w:val="351"/>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(221,623)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(221,623)</w:t>
            </w: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(6,031)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(6,031)</w:t>
            </w: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(4,010)</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(4,010)</w:t>
            </w: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612,727</w:t>
            </w:r>
          </w:p>
        </w:tc>
        <w:tc>
          <w:tcPr>
            <w:tcW w:w="10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77,365</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77,371</w:t>
            </w: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93,593</w:t>
            </w:r>
          </w:p>
        </w:tc>
        <w:tc>
          <w:tcPr>
            <w:tcW w:w="10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4,040</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4,041</w:t>
            </w: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13,750</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1,647</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1,647</w:t>
            </w:r>
          </w:p>
        </w:tc>
      </w:tr>
      <w:tr>
        <w:trPr>
          <w:trHeight w:val="351"/>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55,773</w:t>
            </w:r>
          </w:p>
        </w:tc>
        <w:tc>
          <w:tcPr>
            <w:tcW w:w="10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9,637</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9,638</w:t>
            </w: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(8,189)</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(927)</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(927)</w:t>
            </w: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(528)</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(5,378)</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(5,906)</w:t>
            </w:r>
          </w:p>
        </w:tc>
      </w:tr>
      <w:tr>
        <w:trPr>
          <w:trHeight w:val="276"/>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3,924</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3,924</w:t>
            </w:r>
          </w:p>
        </w:tc>
      </w:tr>
      <w:tr>
        <w:trPr>
          <w:trHeight w:val="237"/>
        </w:trPr>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405,896</w:t>
            </w: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3"/>
              </w:rPr>
              <w:t>$ 159,997</w:t>
            </w: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4"/>
              </w:rPr>
              <w:t>73,859,280</w:t>
            </w:r>
          </w:p>
        </w:tc>
        <w:tc>
          <w:tcPr>
            <w:tcW w:w="1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   741</w:t>
            </w: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$2,946,555</w:t>
            </w:r>
          </w:p>
        </w:tc>
        <w:tc>
          <w:tcPr>
            <w:tcW w:w="1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(795,649)</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121,668</w:t>
            </w:r>
          </w:p>
        </w:tc>
        <w:tc>
          <w:tcPr>
            <w:tcW w:w="1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  2,433,439</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-2451735</wp:posOffset>
            </wp:positionV>
            <wp:extent cx="724662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-2005965</wp:posOffset>
            </wp:positionV>
            <wp:extent cx="724662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-1611630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-1268730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-925830</wp:posOffset>
            </wp:positionV>
            <wp:extent cx="724662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-530860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-187960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85725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2">
            <w:col w:w="2860" w:space="120"/>
            <w:col w:w="8440"/>
          </w:cols>
          <w:pgMar w:left="240" w:top="1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BALANCE AT JUNE 30, 2018</w:t>
      </w:r>
    </w:p>
    <w:p>
      <w:pPr>
        <w:spacing w:after="0" w:line="109" w:lineRule="exact"/>
        <w:rPr>
          <w:sz w:val="20"/>
          <w:szCs w:val="20"/>
          <w:color w:val="auto"/>
        </w:rPr>
      </w:pPr>
    </w:p>
    <w:p>
      <w:pPr>
        <w:ind w:left="40" w:right="440"/>
        <w:spacing w:after="0" w:line="253" w:lineRule="auto"/>
        <w:rPr>
          <w:sz w:val="20"/>
          <w:szCs w:val="20"/>
          <w:color w:val="auto"/>
        </w:rPr>
      </w:pPr>
      <w:r>
        <w:rPr>
          <w:rFonts w:ascii="Arial" w:cs="Arial" w:eastAsia="Arial" w:hAnsi="Arial"/>
          <w:sz w:val="14"/>
          <w:szCs w:val="14"/>
          <w:color w:val="auto"/>
        </w:rPr>
        <w:t>Net income, excluding $922 attributable to redeemable noncontrolling interests</w:t>
      </w:r>
    </w:p>
    <w:p>
      <w:pPr>
        <w:spacing w:after="0" w:line="1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Other comprehensive loss - change in fair value of interest rate swaps</w:t>
      </w:r>
    </w:p>
    <w:p>
      <w:pPr>
        <w:spacing w:after="0" w:line="12" w:lineRule="exact"/>
        <w:rPr>
          <w:sz w:val="20"/>
          <w:szCs w:val="20"/>
          <w:color w:val="auto"/>
        </w:rPr>
      </w:pPr>
    </w:p>
    <w:p>
      <w:pPr>
        <w:ind w:left="40" w:right="340"/>
        <w:spacing w:after="0" w:line="253" w:lineRule="auto"/>
        <w:rPr>
          <w:sz w:val="20"/>
          <w:szCs w:val="20"/>
          <w:color w:val="auto"/>
        </w:rPr>
      </w:pPr>
      <w:r>
        <w:rPr>
          <w:rFonts w:ascii="Arial" w:cs="Arial" w:eastAsia="Arial" w:hAnsi="Arial"/>
          <w:sz w:val="14"/>
          <w:szCs w:val="14"/>
          <w:color w:val="auto"/>
        </w:rPr>
        <w:t>Dividends declared to common shareholders ($1.02 per share)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declared to preferred shareholders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Distributions declared to noncontrolling interests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Common shares issued,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Exercise of stock options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Shares issued under dividend reinvestment plan</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00" w:type="dxa"/>
            <w:vAlign w:val="bottom"/>
          </w:tcPr>
          <w:p>
            <w:pPr>
              <w:jc w:val="right"/>
              <w:ind w:right="68"/>
              <w:spacing w:after="0"/>
              <w:rPr>
                <w:sz w:val="20"/>
                <w:szCs w:val="20"/>
                <w:color w:val="auto"/>
              </w:rPr>
            </w:pPr>
            <w:r>
              <w:rPr>
                <w:rFonts w:ascii="Arial" w:cs="Arial" w:eastAsia="Arial" w:hAnsi="Arial"/>
                <w:sz w:val="14"/>
                <w:szCs w:val="14"/>
                <w:color w:val="auto"/>
                <w:w w:val="86"/>
              </w:rPr>
              <w:t>405,896</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$ 159,997</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73,434,943</w:t>
            </w:r>
          </w:p>
        </w:tc>
        <w:tc>
          <w:tcPr>
            <w:tcW w:w="820" w:type="dxa"/>
            <w:vAlign w:val="bottom"/>
          </w:tcPr>
          <w:p>
            <w:pPr>
              <w:jc w:val="right"/>
              <w:ind w:right="55"/>
              <w:spacing w:after="0"/>
              <w:rPr>
                <w:sz w:val="20"/>
                <w:szCs w:val="20"/>
                <w:color w:val="auto"/>
              </w:rPr>
            </w:pPr>
            <w:r>
              <w:rPr>
                <w:rFonts w:ascii="Arial" w:cs="Arial" w:eastAsia="Arial" w:hAnsi="Arial"/>
                <w:sz w:val="14"/>
                <w:szCs w:val="14"/>
                <w:color w:val="auto"/>
                <w:w w:val="94"/>
              </w:rPr>
              <w:t>$737</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$2,884,771</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   (780,973)</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412</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   122,648</w:t>
            </w:r>
          </w:p>
        </w:tc>
        <w:tc>
          <w:tcPr>
            <w:tcW w:w="820" w:type="dxa"/>
            <w:vAlign w:val="bottom"/>
          </w:tcPr>
          <w:p>
            <w:pPr>
              <w:jc w:val="right"/>
              <w:spacing w:after="0"/>
              <w:rPr>
                <w:sz w:val="20"/>
                <w:szCs w:val="20"/>
                <w:color w:val="auto"/>
              </w:rPr>
            </w:pPr>
            <w:r>
              <w:rPr>
                <w:rFonts w:ascii="Arial" w:cs="Arial" w:eastAsia="Arial" w:hAnsi="Arial"/>
                <w:sz w:val="14"/>
                <w:szCs w:val="14"/>
                <w:color w:val="auto"/>
              </w:rPr>
              <w:t>2,387,592</w:t>
            </w:r>
          </w:p>
        </w:tc>
      </w:tr>
      <w:tr>
        <w:trPr>
          <w:trHeight w:val="351"/>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5"/>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62,558</w:t>
            </w:r>
          </w:p>
        </w:tc>
        <w:tc>
          <w:tcPr>
            <w:tcW w:w="440" w:type="dxa"/>
            <w:vAlign w:val="bottom"/>
          </w:tcPr>
          <w:p>
            <w:pPr>
              <w:spacing w:after="0"/>
              <w:rPr>
                <w:sz w:val="24"/>
                <w:szCs w:val="2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700</w:t>
            </w:r>
          </w:p>
        </w:tc>
        <w:tc>
          <w:tcPr>
            <w:tcW w:w="820" w:type="dxa"/>
            <w:vAlign w:val="bottom"/>
          </w:tcPr>
          <w:p>
            <w:pPr>
              <w:jc w:val="right"/>
              <w:spacing w:after="0"/>
              <w:rPr>
                <w:sz w:val="20"/>
                <w:szCs w:val="20"/>
                <w:color w:val="auto"/>
              </w:rPr>
            </w:pPr>
            <w:r>
              <w:rPr>
                <w:rFonts w:ascii="Arial" w:cs="Arial" w:eastAsia="Arial" w:hAnsi="Arial"/>
                <w:sz w:val="14"/>
                <w:szCs w:val="14"/>
                <w:color w:val="auto"/>
              </w:rPr>
              <w:t>63,258</w:t>
            </w:r>
          </w:p>
        </w:tc>
      </w:tr>
      <w:tr>
        <w:trPr>
          <w:trHeight w:val="351"/>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5"/>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(285)</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(285)</w:t>
            </w:r>
          </w:p>
        </w:tc>
      </w:tr>
      <w:tr>
        <w:trPr>
          <w:trHeight w:val="351"/>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5"/>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(75,224)</w:t>
            </w:r>
          </w:p>
        </w:tc>
        <w:tc>
          <w:tcPr>
            <w:tcW w:w="440" w:type="dxa"/>
            <w:vAlign w:val="bottom"/>
          </w:tcPr>
          <w:p>
            <w:pPr>
              <w:spacing w:after="0"/>
              <w:rPr>
                <w:sz w:val="24"/>
                <w:szCs w:val="2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(75,224)</w:t>
            </w:r>
          </w:p>
        </w:tc>
      </w:tr>
      <w:tr>
        <w:trPr>
          <w:trHeight w:val="270"/>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5"/>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(2,010)</w:t>
            </w:r>
          </w:p>
        </w:tc>
        <w:tc>
          <w:tcPr>
            <w:tcW w:w="440" w:type="dxa"/>
            <w:vAlign w:val="bottom"/>
          </w:tcPr>
          <w:p>
            <w:pPr>
              <w:spacing w:after="0"/>
              <w:rPr>
                <w:sz w:val="23"/>
                <w:szCs w:val="23"/>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(2,010)</w:t>
            </w:r>
          </w:p>
        </w:tc>
      </w:tr>
      <w:tr>
        <w:trPr>
          <w:trHeight w:val="270"/>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5"/>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(1,243)</w:t>
            </w:r>
          </w:p>
        </w:tc>
        <w:tc>
          <w:tcPr>
            <w:tcW w:w="820" w:type="dxa"/>
            <w:vAlign w:val="bottom"/>
          </w:tcPr>
          <w:p>
            <w:pPr>
              <w:jc w:val="right"/>
              <w:spacing w:after="0"/>
              <w:rPr>
                <w:sz w:val="20"/>
                <w:szCs w:val="20"/>
                <w:color w:val="auto"/>
              </w:rPr>
            </w:pPr>
            <w:r>
              <w:rPr>
                <w:rFonts w:ascii="Arial" w:cs="Arial" w:eastAsia="Arial" w:hAnsi="Arial"/>
                <w:sz w:val="14"/>
                <w:szCs w:val="14"/>
                <w:color w:val="auto"/>
              </w:rPr>
              <w:t>(1,243)</w:t>
            </w:r>
          </w:p>
        </w:tc>
      </w:tr>
      <w:tr>
        <w:trPr>
          <w:trHeight w:val="270"/>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464,113</w:t>
            </w:r>
          </w:p>
        </w:tc>
        <w:tc>
          <w:tcPr>
            <w:tcW w:w="820" w:type="dxa"/>
            <w:vAlign w:val="bottom"/>
          </w:tcPr>
          <w:p>
            <w:pPr>
              <w:jc w:val="right"/>
              <w:ind w:right="55"/>
              <w:spacing w:after="0"/>
              <w:rPr>
                <w:sz w:val="20"/>
                <w:szCs w:val="20"/>
                <w:color w:val="auto"/>
              </w:rPr>
            </w:pPr>
            <w:r>
              <w:rPr>
                <w:rFonts w:ascii="Arial" w:cs="Arial" w:eastAsia="Arial" w:hAnsi="Arial"/>
                <w:sz w:val="14"/>
                <w:szCs w:val="14"/>
                <w:color w:val="auto"/>
              </w:rPr>
              <w:t>4</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59,047</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59,051</w:t>
            </w:r>
          </w:p>
        </w:tc>
      </w:tr>
      <w:tr>
        <w:trPr>
          <w:trHeight w:val="270"/>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5"/>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4,458</w:t>
            </w:r>
          </w:p>
        </w:tc>
        <w:tc>
          <w:tcPr>
            <w:tcW w:w="820" w:type="dxa"/>
            <w:vAlign w:val="bottom"/>
          </w:tcPr>
          <w:p>
            <w:pPr>
              <w:jc w:val="right"/>
              <w:ind w:right="55"/>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561</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-1295400</wp:posOffset>
            </wp:positionV>
            <wp:extent cx="7246620"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-849630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-506095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-163195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2940" w:space="260"/>
            <w:col w:w="8220"/>
          </w:cols>
          <w:pgMar w:left="240" w:top="126"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980" w:type="dxa"/>
            <w:vAlign w:val="bottom"/>
          </w:tcPr>
          <w:p>
            <w:pPr>
              <w:ind w:left="40"/>
              <w:spacing w:after="0"/>
              <w:rPr>
                <w:sz w:val="20"/>
                <w:szCs w:val="20"/>
                <w:color w:val="auto"/>
              </w:rPr>
            </w:pPr>
            <w:r>
              <w:rPr>
                <w:rFonts w:ascii="Arial" w:cs="Arial" w:eastAsia="Arial" w:hAnsi="Arial"/>
                <w:sz w:val="14"/>
                <w:szCs w:val="14"/>
                <w:color w:val="auto"/>
              </w:rPr>
              <w:t>Share-based compensation expense, net of</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40"/>
              <w:spacing w:after="0"/>
              <w:rPr>
                <w:sz w:val="20"/>
                <w:szCs w:val="20"/>
                <w:color w:val="auto"/>
              </w:rPr>
            </w:pPr>
            <w:r>
              <w:rPr>
                <w:rFonts w:ascii="Arial" w:cs="Arial" w:eastAsia="Arial" w:hAnsi="Arial"/>
                <w:sz w:val="14"/>
                <w:szCs w:val="14"/>
                <w:color w:val="auto"/>
              </w:rPr>
              <w:t>forfeitures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(43,801)</w:t>
            </w:r>
          </w:p>
        </w:tc>
        <w:tc>
          <w:tcPr>
            <w:tcW w:w="1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2,494</w:t>
            </w: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2,494</w:t>
            </w:r>
          </w:p>
        </w:tc>
        <w:tc>
          <w:tcPr>
            <w:tcW w:w="0" w:type="dxa"/>
            <w:vAlign w:val="bottom"/>
          </w:tcPr>
          <w:p>
            <w:pPr>
              <w:spacing w:after="0"/>
              <w:rPr>
                <w:sz w:val="1"/>
                <w:szCs w:val="1"/>
                <w:color w:val="auto"/>
              </w:rPr>
            </w:pPr>
          </w:p>
        </w:tc>
      </w:tr>
      <w:tr>
        <w:trPr>
          <w:trHeight w:val="197"/>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withheld for employee taxes</w:t>
            </w: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(1,182)</w:t>
            </w:r>
          </w:p>
        </w:tc>
        <w:tc>
          <w:tcPr>
            <w:tcW w:w="12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980" w:type="dxa"/>
            <w:vAlign w:val="bottom"/>
          </w:tcPr>
          <w:p>
            <w:pPr>
              <w:ind w:left="40"/>
              <w:spacing w:after="0"/>
              <w:rPr>
                <w:sz w:val="20"/>
                <w:szCs w:val="20"/>
                <w:color w:val="auto"/>
              </w:rPr>
            </w:pPr>
            <w:r>
              <w:rPr>
                <w:rFonts w:ascii="Arial" w:cs="Arial" w:eastAsia="Arial" w:hAnsi="Arial"/>
                <w:sz w:val="14"/>
                <w:szCs w:val="14"/>
                <w:color w:val="auto"/>
              </w:rPr>
              <w:t>Conversion and redemption of OP units</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749</w:t>
            </w:r>
          </w:p>
        </w:tc>
        <w:tc>
          <w:tcPr>
            <w:tcW w:w="12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(1,352)</w:t>
            </w:r>
          </w:p>
        </w:tc>
        <w:tc>
          <w:tcPr>
            <w:tcW w:w="1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(1,520)</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Contributions from noncontrolling interests</w:t>
            </w: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915</w:t>
            </w: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980" w:type="dxa"/>
            <w:vAlign w:val="bottom"/>
          </w:tcPr>
          <w:p>
            <w:pPr>
              <w:ind w:left="40"/>
              <w:spacing w:after="0"/>
              <w:rPr>
                <w:sz w:val="20"/>
                <w:szCs w:val="20"/>
                <w:color w:val="auto"/>
              </w:rPr>
            </w:pPr>
            <w:r>
              <w:rPr>
                <w:rFonts w:ascii="Arial" w:cs="Arial" w:eastAsia="Arial" w:hAnsi="Arial"/>
                <w:sz w:val="14"/>
                <w:szCs w:val="14"/>
                <w:color w:val="auto"/>
              </w:rPr>
              <w:t>BALANCE AT SEPTEMBER 30, 2018</w:t>
            </w:r>
          </w:p>
        </w:tc>
        <w:tc>
          <w:tcPr>
            <w:tcW w:w="8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405,896</w:t>
            </w:r>
          </w:p>
        </w:tc>
        <w:tc>
          <w:tcPr>
            <w:tcW w:w="140" w:type="dxa"/>
            <w:vAlign w:val="bottom"/>
          </w:tcPr>
          <w:p>
            <w:pPr>
              <w:spacing w:after="0"/>
              <w:rPr>
                <w:sz w:val="14"/>
                <w:szCs w:val="14"/>
                <w:color w:val="auto"/>
              </w:rPr>
            </w:pPr>
          </w:p>
        </w:tc>
        <w:tc>
          <w:tcPr>
            <w:tcW w:w="7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w w:val="93"/>
              </w:rPr>
              <w:t>$ 159,997</w:t>
            </w:r>
          </w:p>
        </w:tc>
        <w:tc>
          <w:tcPr>
            <w:tcW w:w="120" w:type="dxa"/>
            <w:vAlign w:val="bottom"/>
          </w:tcPr>
          <w:p>
            <w:pPr>
              <w:spacing w:after="0"/>
              <w:rPr>
                <w:sz w:val="14"/>
                <w:szCs w:val="14"/>
                <w:color w:val="auto"/>
              </w:rPr>
            </w:pPr>
          </w:p>
        </w:tc>
        <w:tc>
          <w:tcPr>
            <w:tcW w:w="8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w w:val="96"/>
              </w:rPr>
              <w:t>73,859,280</w:t>
            </w:r>
          </w:p>
        </w:tc>
        <w:tc>
          <w:tcPr>
            <w:tcW w:w="120" w:type="dxa"/>
            <w:vAlign w:val="bottom"/>
          </w:tcPr>
          <w:p>
            <w:pPr>
              <w:spacing w:after="0"/>
              <w:rPr>
                <w:sz w:val="14"/>
                <w:szCs w:val="14"/>
                <w:color w:val="auto"/>
              </w:rPr>
            </w:pPr>
          </w:p>
        </w:tc>
        <w:tc>
          <w:tcPr>
            <w:tcW w:w="700" w:type="dxa"/>
            <w:vAlign w:val="bottom"/>
            <w:tcBorders>
              <w:top w:val="single" w:sz="8" w:color="auto"/>
            </w:tcBorders>
            <w:vMerge w:val="restart"/>
          </w:tcPr>
          <w:p>
            <w:pPr>
              <w:jc w:val="right"/>
              <w:ind w:right="58"/>
              <w:spacing w:after="0"/>
              <w:rPr>
                <w:sz w:val="20"/>
                <w:szCs w:val="20"/>
                <w:color w:val="auto"/>
              </w:rPr>
            </w:pPr>
            <w:r>
              <w:rPr>
                <w:rFonts w:ascii="Arial" w:cs="Arial" w:eastAsia="Arial" w:hAnsi="Arial"/>
                <w:sz w:val="14"/>
                <w:szCs w:val="14"/>
                <w:color w:val="auto"/>
                <w:w w:val="94"/>
              </w:rPr>
              <w:t>$741</w:t>
            </w:r>
          </w:p>
        </w:tc>
        <w:tc>
          <w:tcPr>
            <w:tcW w:w="100" w:type="dxa"/>
            <w:vAlign w:val="bottom"/>
          </w:tcPr>
          <w:p>
            <w:pPr>
              <w:spacing w:after="0"/>
              <w:rPr>
                <w:sz w:val="14"/>
                <w:szCs w:val="14"/>
                <w:color w:val="auto"/>
              </w:rPr>
            </w:pPr>
          </w:p>
        </w:tc>
        <w:tc>
          <w:tcPr>
            <w:tcW w:w="8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w w:val="96"/>
              </w:rPr>
              <w:t>$2,946,555</w:t>
            </w:r>
          </w:p>
        </w:tc>
        <w:tc>
          <w:tcPr>
            <w:tcW w:w="100" w:type="dxa"/>
            <w:vAlign w:val="bottom"/>
          </w:tcPr>
          <w:p>
            <w:pPr>
              <w:spacing w:after="0"/>
              <w:rPr>
                <w:sz w:val="14"/>
                <w:szCs w:val="14"/>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   (795,649)</w:t>
            </w:r>
          </w:p>
        </w:tc>
        <w:tc>
          <w:tcPr>
            <w:tcW w:w="100" w:type="dxa"/>
            <w:vAlign w:val="bottom"/>
          </w:tcPr>
          <w:p>
            <w:pPr>
              <w:spacing w:after="0"/>
              <w:rPr>
                <w:sz w:val="14"/>
                <w:szCs w:val="14"/>
                <w:color w:val="auto"/>
              </w:rPr>
            </w:pPr>
          </w:p>
        </w:tc>
        <w:tc>
          <w:tcPr>
            <w:tcW w:w="40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4"/>
                <w:szCs w:val="14"/>
                <w:color w:val="auto"/>
              </w:rPr>
            </w:pPr>
          </w:p>
        </w:tc>
        <w:tc>
          <w:tcPr>
            <w:tcW w:w="9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   121,668</w:t>
            </w:r>
          </w:p>
        </w:tc>
        <w:tc>
          <w:tcPr>
            <w:tcW w:w="100" w:type="dxa"/>
            <w:vAlign w:val="bottom"/>
          </w:tcPr>
          <w:p>
            <w:pPr>
              <w:spacing w:after="0"/>
              <w:rPr>
                <w:sz w:val="14"/>
                <w:szCs w:val="14"/>
                <w:color w:val="auto"/>
              </w:rPr>
            </w:pPr>
          </w:p>
        </w:tc>
        <w:tc>
          <w:tcPr>
            <w:tcW w:w="9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  2,433,439</w:t>
            </w:r>
          </w:p>
        </w:tc>
        <w:tc>
          <w:tcPr>
            <w:tcW w:w="0" w:type="dxa"/>
            <w:vAlign w:val="bottom"/>
          </w:tcPr>
          <w:p>
            <w:pPr>
              <w:spacing w:after="0"/>
              <w:rPr>
                <w:sz w:val="1"/>
                <w:szCs w:val="1"/>
                <w:color w:val="auto"/>
              </w:rPr>
            </w:pPr>
          </w:p>
        </w:tc>
      </w:tr>
      <w:tr>
        <w:trPr>
          <w:trHeight w:val="65"/>
        </w:trPr>
        <w:tc>
          <w:tcPr>
            <w:tcW w:w="2980" w:type="dxa"/>
            <w:vAlign w:val="bottom"/>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6"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85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190"/>
        </w:trPr>
        <w:tc>
          <w:tcPr>
            <w:tcW w:w="8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r>
      <w:tr>
        <w:trPr>
          <w:trHeight w:val="255"/>
        </w:trPr>
        <w:tc>
          <w:tcPr>
            <w:tcW w:w="856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211,576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192,644</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178,327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177,269</w:t>
            </w: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Gain on sale of real estate, net of tax</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(30,490)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(10,413)</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from partnerships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2,693</w:t>
            </w: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3,251</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Proceeds from new market tax credit transaction, net of deferred costs</w:t>
            </w:r>
          </w:p>
        </w:tc>
        <w:tc>
          <w:tcPr>
            <w:tcW w:w="2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12,353</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in 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(4,514)</w:t>
            </w: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Increase in prepaid expenses and other assets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(11,682)</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in accounts payable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2,896</w:t>
            </w: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(Decrease) increase in security deposits and other liabilities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219</w:t>
            </w: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344,306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364,716</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(3,624)</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(226,232)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(217,437)</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other</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(53,890)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(50,744)</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Proceeds from sale of real estate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115,781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142,711</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partnership formation</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37,998</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Investment in partnerships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from partnerships in excess of earnings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Leasing costs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(19,938)</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(issuance) of mortgage and other notes receivable, net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37"/>
        </w:trPr>
        <w:tc>
          <w:tcPr>
            <w:tcW w:w="856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(227,266)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(111,773)</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Repayments under revolving credit facility, including costs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(14,500)</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senior notes, net of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400,106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Repayment of mortgages, finance leases and notes payable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(299,485)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(15,137)</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shares, net of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139,729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81,628</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(232,985)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(224,311)</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withheld for employee taxes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Contributions from noncontrolling interests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2,753</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(12,848)</w:t>
            </w:r>
          </w:p>
        </w:tc>
      </w:tr>
      <w:tr>
        <w:trPr>
          <w:trHeight w:val="237"/>
        </w:trPr>
        <w:tc>
          <w:tcPr>
            <w:tcW w:w="8560" w:type="dxa"/>
            <w:vAlign w:val="bottom"/>
          </w:tcPr>
          <w:p>
            <w:pPr>
              <w:ind w:left="38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(18,456)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(183,342)</w:t>
            </w: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cash, cash equivalents and 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69,601</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beginning of year</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108,332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25,200</w:t>
            </w: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206,916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94,801</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00"/>
          </w:cols>
          <w:pgMar w:left="240" w:top="126"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26" w:right="2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California, and South Florida. As of September 30, 2019, we owned or had a majority interest in community and neighborhood shopping centers and mixed-use properties which are operated as 104 predominantly retail real estate projects.</w:t>
      </w:r>
    </w:p>
    <w:p>
      <w:pPr>
        <w:spacing w:after="0" w:line="13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accompanying consolidated balance sheet as of December 31, 2018, which has been derived from audited financial statements, and unaudited interim consolidated financial statements have been prepared pursuant to the rules and regulations of the Securities and Exchange Commission. Certain information and note disclosures normally included in annual financial statements prepared in accordance with accounting principles generally accepted in the United States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the Trust’s latest Annual Report on Form 10-K. In the opinion of management, all adjustments (consisting of normal, recurring adjustments) necessary for a fair presentation for the periods presented have been included. The results of operations for the three and nine months ended September 30, 2019 are not necessarily indicative of the results that may be expected for the full year. Certain 2018 amounts have been reclassified to conform to current period presentation, which includes the presentation of rental income on our Consolidated Statements of Comprehensive Income.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6" w:right="25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ectPr>
          <w:pgSz w:w="11900" w:h="16838" w:orient="portrait"/>
          <w:cols w:equalWidth="0" w:num="1">
            <w:col w:w="11360"/>
          </w:cols>
          <w:pgMar w:left="240" w:top="126" w:right="299" w:bottom="1440" w:gutter="0" w:footer="0" w:header="0"/>
        </w:sectPr>
      </w:pP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3804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u w:val="single" w:color="auto"/>
          <w:color w:val="auto"/>
        </w:rPr>
        <w:t>Adopted on January 1, 2019:</w:t>
      </w:r>
    </w:p>
    <w:p>
      <w:pPr>
        <w:spacing w:after="0" w:line="98" w:lineRule="exact"/>
        <w:rPr>
          <w:sz w:val="20"/>
          <w:szCs w:val="20"/>
          <w:color w:val="auto"/>
        </w:rPr>
      </w:pPr>
    </w:p>
    <w:p>
      <w:pPr>
        <w:ind w:left="40"/>
        <w:spacing w:after="0" w:line="274" w:lineRule="auto"/>
        <w:rPr>
          <w:sz w:val="20"/>
          <w:szCs w:val="20"/>
          <w:color w:val="auto"/>
        </w:rPr>
      </w:pPr>
      <w:r>
        <w:rPr>
          <w:rFonts w:ascii="Arial" w:cs="Arial" w:eastAsia="Arial" w:hAnsi="Arial"/>
          <w:sz w:val="17"/>
          <w:szCs w:val="17"/>
          <w:color w:val="auto"/>
        </w:rPr>
        <w:t>Leases (Topic 842) and related updates: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ASU 2016-02,</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February 2016,</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7"/>
          <w:szCs w:val="17"/>
          <w:color w:val="auto"/>
        </w:rPr>
        <w:t>Leases (Topic 842)</w:t>
      </w:r>
    </w:p>
    <w:p>
      <w:pPr>
        <w:spacing w:after="0" w:line="196" w:lineRule="exact"/>
        <w:rPr>
          <w:sz w:val="20"/>
          <w:szCs w:val="20"/>
          <w:color w:val="auto"/>
        </w:rPr>
      </w:pPr>
    </w:p>
    <w:p>
      <w:pPr>
        <w:ind w:left="40" w:right="780"/>
        <w:spacing w:after="0" w:line="302" w:lineRule="auto"/>
        <w:rPr>
          <w:sz w:val="20"/>
          <w:szCs w:val="20"/>
          <w:color w:val="auto"/>
        </w:rPr>
      </w:pPr>
      <w:r>
        <w:rPr>
          <w:rFonts w:ascii="Arial" w:cs="Arial" w:eastAsia="Arial" w:hAnsi="Arial"/>
          <w:sz w:val="15"/>
          <w:szCs w:val="15"/>
          <w:color w:val="auto"/>
        </w:rPr>
        <w:t>ASU 2018-10, July 2018, Codification improvements to Topic 842, Leases</w:t>
      </w:r>
    </w:p>
    <w:p>
      <w:pPr>
        <w:spacing w:after="0" w:line="145" w:lineRule="exact"/>
        <w:rPr>
          <w:sz w:val="20"/>
          <w:szCs w:val="20"/>
          <w:color w:val="auto"/>
        </w:rPr>
      </w:pPr>
    </w:p>
    <w:p>
      <w:pPr>
        <w:jc w:val="both"/>
        <w:ind w:left="40" w:right="720"/>
        <w:spacing w:after="0" w:line="261" w:lineRule="auto"/>
        <w:rPr>
          <w:sz w:val="20"/>
          <w:szCs w:val="20"/>
          <w:color w:val="auto"/>
        </w:rPr>
      </w:pPr>
      <w:r>
        <w:rPr>
          <w:rFonts w:ascii="Arial" w:cs="Arial" w:eastAsia="Arial" w:hAnsi="Arial"/>
          <w:sz w:val="17"/>
          <w:szCs w:val="17"/>
          <w:color w:val="auto"/>
        </w:rPr>
        <w:t>ASU 2018-11, July 2018, Leases (Topic 842)</w:t>
      </w:r>
    </w:p>
    <w:p>
      <w:pPr>
        <w:spacing w:after="0" w:line="173" w:lineRule="exact"/>
        <w:rPr>
          <w:sz w:val="20"/>
          <w:szCs w:val="20"/>
          <w:color w:val="auto"/>
        </w:rPr>
      </w:pPr>
    </w:p>
    <w:p>
      <w:pPr>
        <w:ind w:left="120" w:right="540" w:hanging="9"/>
        <w:spacing w:after="0" w:line="302" w:lineRule="auto"/>
        <w:rPr>
          <w:sz w:val="20"/>
          <w:szCs w:val="20"/>
          <w:color w:val="auto"/>
        </w:rPr>
      </w:pPr>
      <w:r>
        <w:rPr>
          <w:rFonts w:ascii="Arial" w:cs="Arial" w:eastAsia="Arial" w:hAnsi="Arial"/>
          <w:sz w:val="15"/>
          <w:szCs w:val="15"/>
          <w:color w:val="auto"/>
        </w:rPr>
        <w:t>ASU 2019-01, March 2019, Leases (Topic 842), Codification Improvements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22466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ASC 842 significantly changes the accounting for leases by requiring lessees to recognize assets and liabilities for leases greater than 12 months on their balance sheet. The larger changes to the lessor model include: a change in the definition of initial direct costs of leases (resulting in the upfront expensing of more leasing related costs), the requirement to make an upfront and ongoing assessment of whether collection of substantially all of the lease payments required for the term of each lease is probable (if not probable, lease revenue is effectively recognized when cash is collected), certain presentation changes, and the elimination of real estate specific guidance.</w:t>
      </w:r>
    </w:p>
    <w:p>
      <w:pPr>
        <w:spacing w:after="0" w:line="377"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auto"/>
        </w:rPr>
        <w:t>ASU 2018-10 and ASU 2019-01 provide narrow amendments that clarify how to apply certain aspects of the guidance in ASU 2016-02. ASU 2018-11 provides the option of an additional transition method, by allowing entities to initially apply the new leases standard at the adoption date and recognize a cumulative-effect adjustment to the opening balance of retained earnings in the period of adoption. It also provides lessors an option to not separate lease and non-lease components when certain criteria are met.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the financial statements or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34290</wp:posOffset>
            </wp:positionV>
            <wp:extent cx="34734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We have elected to apply the transition provisions of ASC Topic 842 at the beginning of the period of adoption (i.e., January 1, 2019), and therefore, did not retrospectively adjust prior periods presented. We have also elected to apply certain adoption related practical expedients for all leases that commenced prior to the effective date. These practical expedients include not reassessing whether any expired or existing contracts are or contain leases; not reassessing the lease classification for any expired or existing leases; and not reassessing initial direct costs for any existing leases. We have also elected the practical expedient allowing lessors to combine non-lease and lease components (primarily impacts common area maintenance recoveries).</w:t>
      </w:r>
    </w:p>
    <w:p>
      <w:pPr>
        <w:spacing w:after="0" w:line="159"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auto"/>
        </w:rPr>
        <w:t>From a lessee perspective, the primary impact of adoption on January 1, 2019 was to record a lease obligation liability and right of use asset for operating leases where we are the lessee. The most significant of these operating leases are ground leases at 14 properties. The operating lease right of use assets and related liabilities are shown separately on the face of our consolidated balance sheet. Additionally, amounts previously recorded as capital lease assets and included in real estate have been reclassified in the September 30, 2019 balance sheet as finance lease right of use assets and the related capital lease obligations have been reclassified in the September 30, 2019 balance sheet as finance lease liabilities. Income statement presentation is not impacted for our existing operating and finance leases.</w:t>
      </w:r>
    </w:p>
    <w:p>
      <w:pPr>
        <w:spacing w:after="0" w:line="162"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From a lessor perspective, adoption of ASC 842 results in a charge to opening accumulated dividends in excess of net income of $7.1 million. This charge is attributable to the write off of certain direct leasing costs recorded as of December 31, 2018 under the previous lease accounting rules for leases which had not commenced and the write off of December 31, 2018 unreserved receivables (including straight-line receivables) for leases where we have determined that the collection of substantially all of the lease payments required for the term of the lease is not probable. Income statement presentation changes incorporated into our September 30, 2019 financial statements include: no longer recording a gross up of revenue and expense for costs (such as real estate taxes) paid directly by lessees on our behalf and recording collectability adjustments against revenue rather than as bad debt within rental expenses.</w:t>
      </w:r>
    </w:p>
    <w:p>
      <w:pPr>
        <w:spacing w:after="0" w:line="175" w:lineRule="exact"/>
        <w:rPr>
          <w:sz w:val="20"/>
          <w:szCs w:val="20"/>
          <w:color w:val="auto"/>
        </w:rPr>
      </w:pPr>
    </w:p>
    <w:p>
      <w:pPr>
        <w:ind w:right="180"/>
        <w:spacing w:after="0" w:line="274" w:lineRule="auto"/>
        <w:rPr>
          <w:sz w:val="20"/>
          <w:szCs w:val="20"/>
          <w:color w:val="auto"/>
        </w:rPr>
      </w:pPr>
      <w:r>
        <w:rPr>
          <w:rFonts w:ascii="Arial" w:cs="Arial" w:eastAsia="Arial" w:hAnsi="Arial"/>
          <w:sz w:val="16"/>
          <w:szCs w:val="16"/>
          <w:color w:val="auto"/>
        </w:rPr>
        <w:t>As a result of the change in the definition of initial direct costs of leases, capitalized leasing costs excluding external commissions decreased to $0.7 million and $1.7 million for the three and nine months ended September 30, 2019, respectively, from $1.7 million and $5.3 million for the three and nine months ended September 30, 2018, respectively.</w:t>
      </w:r>
    </w:p>
    <w:p>
      <w:pPr>
        <w:spacing w:after="0" w:line="200" w:lineRule="exact"/>
        <w:rPr>
          <w:sz w:val="20"/>
          <w:szCs w:val="20"/>
          <w:color w:val="auto"/>
        </w:rPr>
      </w:pPr>
    </w:p>
    <w:p>
      <w:pPr>
        <w:sectPr>
          <w:pgSz w:w="11900" w:h="16838" w:orient="portrait"/>
          <w:cols w:equalWidth="0" w:num="3">
            <w:col w:w="2140" w:space="200"/>
            <w:col w:w="3420" w:space="220"/>
            <w:col w:w="5380"/>
          </w:cols>
          <w:pgMar w:left="240" w:top="126"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60"/>
          </w:cols>
          <w:pgMar w:left="240" w:top="126" w:right="2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on our operating and finance leases where we are the lessee: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00" w:type="dxa"/>
            <w:vAlign w:val="bottom"/>
          </w:tcPr>
          <w:p>
            <w:pPr>
              <w:spacing w:after="0"/>
              <w:rPr>
                <w:sz w:val="16"/>
                <w:szCs w:val="16"/>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250"/>
        </w:trPr>
        <w:tc>
          <w:tcPr>
            <w:tcW w:w="85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September 30, 2019</w:t>
            </w:r>
          </w:p>
        </w:tc>
      </w:tr>
      <w:tr>
        <w:trPr>
          <w:trHeight w:val="250"/>
        </w:trPr>
        <w:tc>
          <w:tcPr>
            <w:tcW w:w="8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40" w:type="dxa"/>
            <w:vAlign w:val="bottom"/>
            <w:gridSpan w:val="4"/>
          </w:tcPr>
          <w:p>
            <w:pPr>
              <w:jc w:val="right"/>
              <w:ind w:right="91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COST:</w:t>
            </w: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Finance lease cost:</w:t>
            </w: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right-of-use assets</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963</w:t>
            </w:r>
          </w:p>
        </w:tc>
      </w:tr>
      <w:tr>
        <w:trPr>
          <w:trHeight w:val="243"/>
        </w:trPr>
        <w:tc>
          <w:tcPr>
            <w:tcW w:w="8500" w:type="dxa"/>
            <w:vAlign w:val="bottom"/>
          </w:tcPr>
          <w:p>
            <w:pPr>
              <w:ind w:left="260"/>
              <w:spacing w:after="0"/>
              <w:rPr>
                <w:sz w:val="20"/>
                <w:szCs w:val="20"/>
                <w:color w:val="auto"/>
              </w:rPr>
            </w:pPr>
            <w:r>
              <w:rPr>
                <w:rFonts w:ascii="Arial" w:cs="Arial" w:eastAsia="Arial" w:hAnsi="Arial"/>
                <w:sz w:val="18"/>
                <w:szCs w:val="18"/>
                <w:color w:val="auto"/>
              </w:rPr>
              <w:t>Interest on lease liabilities</w:t>
            </w:r>
          </w:p>
        </w:tc>
        <w:tc>
          <w:tcPr>
            <w:tcW w:w="4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4,366</w:t>
            </w:r>
          </w:p>
        </w:tc>
      </w:tr>
      <w:tr>
        <w:trPr>
          <w:trHeight w:val="27"/>
        </w:trPr>
        <w:tc>
          <w:tcPr>
            <w:tcW w:w="8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4,521</w:t>
            </w: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Variable lease cost</w:t>
            </w:r>
          </w:p>
        </w:tc>
        <w:tc>
          <w:tcPr>
            <w:tcW w:w="4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351</w:t>
            </w:r>
          </w:p>
        </w:tc>
      </w:tr>
      <w:tr>
        <w:trPr>
          <w:trHeight w:val="27"/>
        </w:trPr>
        <w:tc>
          <w:tcPr>
            <w:tcW w:w="85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cost</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3,431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10,201</w:t>
            </w:r>
          </w:p>
        </w:tc>
      </w:tr>
      <w:tr>
        <w:trPr>
          <w:trHeight w:val="20"/>
        </w:trPr>
        <w:tc>
          <w:tcPr>
            <w:tcW w:w="8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7"/>
        </w:trPr>
        <w:tc>
          <w:tcPr>
            <w:tcW w:w="8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INFORMATION:</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cash flows for finance leases</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4,325</w:t>
            </w:r>
          </w:p>
        </w:tc>
      </w:tr>
      <w:tr>
        <w:trPr>
          <w:trHeight w:val="243"/>
        </w:trPr>
        <w:tc>
          <w:tcPr>
            <w:tcW w:w="8500" w:type="dxa"/>
            <w:vAlign w:val="bottom"/>
          </w:tcPr>
          <w:p>
            <w:pPr>
              <w:ind w:left="260"/>
              <w:spacing w:after="0"/>
              <w:rPr>
                <w:sz w:val="20"/>
                <w:szCs w:val="20"/>
                <w:color w:val="auto"/>
              </w:rPr>
            </w:pPr>
            <w:r>
              <w:rPr>
                <w:rFonts w:ascii="Arial" w:cs="Arial" w:eastAsia="Arial" w:hAnsi="Arial"/>
                <w:sz w:val="18"/>
                <w:szCs w:val="18"/>
                <w:color w:val="auto"/>
              </w:rPr>
              <w:t>Operating cash flows for operating leases</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4,279</w:t>
            </w:r>
          </w:p>
        </w:tc>
      </w:tr>
      <w:tr>
        <w:trPr>
          <w:trHeight w:val="27"/>
        </w:trPr>
        <w:tc>
          <w:tcPr>
            <w:tcW w:w="8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Financing cash flows for finance leases</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w:t>
            </w:r>
          </w:p>
        </w:tc>
      </w:tr>
      <w:tr>
        <w:trPr>
          <w:trHeight w:val="270"/>
        </w:trPr>
        <w:tc>
          <w:tcPr>
            <w:tcW w:w="8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85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center"/>
              <w:ind w:right="113"/>
              <w:spacing w:after="0"/>
              <w:rPr>
                <w:sz w:val="20"/>
                <w:szCs w:val="20"/>
                <w:color w:val="auto"/>
              </w:rPr>
            </w:pPr>
            <w:r>
              <w:rPr>
                <w:rFonts w:ascii="Arial" w:cs="Arial" w:eastAsia="Arial" w:hAnsi="Arial"/>
                <w:sz w:val="14"/>
                <w:szCs w:val="14"/>
                <w:b w:val="1"/>
                <w:bCs w:val="1"/>
                <w:color w:val="auto"/>
                <w:w w:val="91"/>
              </w:rPr>
              <w:t>September 30,</w:t>
            </w:r>
          </w:p>
        </w:tc>
      </w:tr>
      <w:tr>
        <w:trPr>
          <w:trHeight w:val="264"/>
        </w:trPr>
        <w:tc>
          <w:tcPr>
            <w:tcW w:w="850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2019</w:t>
            </w: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 finance leases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18.4 years</w:t>
            </w: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Weighted-average remaining lease term - operating leases</w:t>
            </w: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53.7 years</w:t>
            </w:r>
          </w:p>
        </w:tc>
      </w:tr>
      <w:tr>
        <w:trPr>
          <w:trHeight w:val="27"/>
        </w:trPr>
        <w:tc>
          <w:tcPr>
            <w:tcW w:w="8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discount rate - finance leases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Weighted-average discount rate - operating leases</w:t>
            </w: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supplemental disclosures related to the Consolidated Statements of Cash Flows:</w:t>
      </w:r>
    </w:p>
    <w:p>
      <w:pPr>
        <w:spacing w:after="0" w:line="230"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Nine Months Ended</w:t>
      </w:r>
    </w:p>
    <w:p>
      <w:pPr>
        <w:spacing w:after="0" w:line="4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SUPPLEMENTAL DISCLOSURES: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interest costs incurred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97,074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96,903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capitalized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(14,507)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(14,787)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82,567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82,116</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Cash paid for interest, net of amounts capitalized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82,118</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85,614</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Cash paid for income taxes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NON-CASH INVESTING AND FINANCING TRANSACTIONS: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loans assumed with acquisition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DownREIT operating partnership units redeemed for common shares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11,935</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Shares issued under dividend reinvestment plan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1,337</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220"/>
        <w:spacing w:after="0" w:line="261" w:lineRule="auto"/>
        <w:rPr>
          <w:sz w:val="20"/>
          <w:szCs w:val="20"/>
          <w:color w:val="auto"/>
        </w:rPr>
      </w:pPr>
      <w:r>
        <w:rPr>
          <w:rFonts w:ascii="Arial" w:cs="Arial" w:eastAsia="Arial" w:hAnsi="Arial"/>
          <w:sz w:val="18"/>
          <w:szCs w:val="18"/>
          <w:color w:val="auto"/>
        </w:rPr>
        <w:t>See additional disclosures in the "Recently Adopted Accounting Pronouncements" section of this footnote relating to operating lease right of use assets and lease liabilities recorded in connection with our adoption of ASC Topic 842.</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18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gridSpan w:val="4"/>
          </w:tcPr>
          <w:p>
            <w:pPr>
              <w:jc w:val="right"/>
              <w:ind w:right="877"/>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CASH, CASH EQUIVALENTS, AND RESTRICTED CASH:</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162,543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64,087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 (1)</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44,373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44,245</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cash, cash equivalents, and restricted cash</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206,916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108,332</w:t>
            </w:r>
          </w:p>
        </w:tc>
        <w:tc>
          <w:tcPr>
            <w:tcW w:w="0" w:type="dxa"/>
            <w:vAlign w:val="bottom"/>
          </w:tcPr>
          <w:p>
            <w:pPr>
              <w:spacing w:after="0"/>
              <w:rPr>
                <w:sz w:val="1"/>
                <w:szCs w:val="1"/>
                <w:color w:val="auto"/>
              </w:rPr>
            </w:pPr>
          </w:p>
        </w:tc>
      </w:tr>
      <w:tr>
        <w:trPr>
          <w:trHeight w:val="27"/>
        </w:trPr>
        <w:tc>
          <w:tcPr>
            <w:tcW w:w="8580" w:type="dxa"/>
            <w:vAlign w:val="bottom"/>
            <w:vMerge w:val="restart"/>
          </w:tcPr>
          <w:p>
            <w:pPr>
              <w:spacing w:after="0"/>
              <w:rPr>
                <w:sz w:val="20"/>
                <w:szCs w:val="20"/>
                <w:color w:val="auto"/>
              </w:rPr>
            </w:pPr>
            <w:r>
              <w:rPr>
                <w:rFonts w:ascii="Arial" w:cs="Arial" w:eastAsia="Arial" w:hAnsi="Arial"/>
                <w:sz w:val="18"/>
                <w:szCs w:val="18"/>
                <w:color w:val="auto"/>
                <w:w w:val="90"/>
              </w:rPr>
              <w:t>(1) Restricted cash balances are included in "prepaid expenses and other assets" on our consolidated balance sheets.</w:t>
            </w: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771"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6" w:right="239" w:bottom="771"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17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February 8, 2019, we acquired the fee interest in Fairfax Junction, a 75,000 square foot shopping center in Fairfax, Virginia for $22.5 million. Approximately $0.6 million and $0.4 million of net assets acquired were allocated to other assets for "above market leases," and other liabilities for "below market leases,"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On September 13, 2019, we acquired a 6,000 square foot retail building adjacent to San Antonio Center in Mountain View, California for $6.5 million.</w:t>
      </w:r>
    </w:p>
    <w:p>
      <w:pPr>
        <w:spacing w:after="0" w:line="183"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On September 18, 2019, we acquired a 42,000 square foot retail building in Hoboken, New Jersey for $30.9 million, including the assumption of $17.0 million of mortgage debt. The acquisition was completed through a newly formed joint venture, for which we own a 90% interest. Approximately $0.7 million and $4.7 million of net assets acquired were allocated to other assets for "above market leases," and other liabilities for "below market leases," respectively.</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September 30, 2019, we sold one property for a sales price of $18.0 million, which resulted in a gain of $14.1 million. During the nine months ended September 30, 2019, we sold two properties and one parcel of land for a net sales price of $97.7 million, which resulted in a net gain of $29.3 million.</w:t>
      </w:r>
    </w:p>
    <w:p>
      <w:pPr>
        <w:spacing w:after="0" w:line="127" w:lineRule="exact"/>
        <w:rPr>
          <w:sz w:val="20"/>
          <w:szCs w:val="20"/>
          <w:color w:val="auto"/>
        </w:rPr>
      </w:pPr>
    </w:p>
    <w:p>
      <w:pPr>
        <w:jc w:val="both"/>
        <w:ind w:right="620"/>
        <w:spacing w:after="0" w:line="312" w:lineRule="auto"/>
        <w:rPr>
          <w:sz w:val="20"/>
          <w:szCs w:val="20"/>
          <w:color w:val="auto"/>
        </w:rPr>
      </w:pPr>
      <w:r>
        <w:rPr>
          <w:rFonts w:ascii="Arial" w:cs="Arial" w:eastAsia="Arial" w:hAnsi="Arial"/>
          <w:sz w:val="16"/>
          <w:szCs w:val="16"/>
          <w:color w:val="auto"/>
        </w:rPr>
        <w:t>During the nine months ended September 30, 2019, we closed on the sale of 41 condominium units at our Assembly Row and Pike &amp; Rose properties (combined), received proceeds net of closing costs of $18.8 million, and recognized a gain of $1.8 million, net of income taxes. The cost basis for the remaining condominium units as of September 30, 2019 is $1.7 million, and is included in "assets held for sale" on our consolidated balance sheet.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4—DEBT</w:t>
      </w:r>
    </w:p>
    <w:p>
      <w:pPr>
        <w:spacing w:after="0" w:line="229" w:lineRule="exact"/>
        <w:rPr>
          <w:sz w:val="20"/>
          <w:szCs w:val="20"/>
          <w:color w:val="auto"/>
        </w:rPr>
      </w:pPr>
    </w:p>
    <w:p>
      <w:pPr>
        <w:ind w:right="2740"/>
        <w:spacing w:after="0" w:line="277" w:lineRule="auto"/>
        <w:rPr>
          <w:sz w:val="20"/>
          <w:szCs w:val="20"/>
          <w:color w:val="auto"/>
        </w:rPr>
      </w:pPr>
      <w:r>
        <w:rPr>
          <w:rFonts w:ascii="Arial" w:cs="Arial" w:eastAsia="Arial" w:hAnsi="Arial"/>
          <w:sz w:val="18"/>
          <w:szCs w:val="18"/>
          <w:color w:val="auto"/>
        </w:rPr>
        <w:t>On January 31, 2019, we repaid the $20.3 million mortgage loan on Rollingwood Apartments, at par, prior to its original maturity date.</w:t>
      </w:r>
    </w:p>
    <w:p>
      <w:pPr>
        <w:spacing w:after="0" w:line="35"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On June 7, 2019, we issued $300.0 million of fixed rate senior unsecured notes that mature on June 15, 2029 and bear interest at 3.20%. The notes were offered at 99.838% of the principal amount with a yield to maturity of 3.219%. On August 21, 2019, we issued an additional $100.0 million senior notes of the same series and with the same terms. The August notes were offered at 103.813% of the principal amount, with a yield to maturity of 2.744%. The combined net proceeds from the note offerings after a net issuance premium, underwriting fees, and other costs were $399.9 million, which were primarily used to repay our $275.0 million unsecured term loan, at par, on June 7, 2019 and for general corporate purposes.</w:t>
      </w:r>
    </w:p>
    <w:p>
      <w:pPr>
        <w:spacing w:after="0" w:line="10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On July 25, 2019, we amended our revolving credit facility to increase our borrowing capacity to $1.0 billion and extend the maturity date to January 19, 2024, plus two six-month extensions at our option. Under the amended facility, the spread over LIBOR is 77.5 basis points based on our current credit rating. In addition, we have an option (subject to bank approval) to increase the credit facility through an accordion feature to $1.5 billion.</w:t>
      </w:r>
    </w:p>
    <w:p>
      <w:pPr>
        <w:spacing w:after="0" w:line="1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connection with our Hoboken, New Jersey acquisition on September 18, 2019, we assumed a mortgage loan with a face amount of $17.0 million and a fair value of $17.5 million. The mortgage loan bears interest at 3.75% and matures on July 1, 2042.</w:t>
      </w:r>
    </w:p>
    <w:p>
      <w:pPr>
        <w:spacing w:after="0" w:line="11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the three and nine months ended September 30, 2019, the maximum amount of borrowings outstanding under our revolving credit facility was $47.0 million and $116.5 million, respectively, and the weighted average interest rate, before amortization of debt fees, was 3.0% and 3.2%, respectively. During the three and nine months ended September 30, 2019, the weighted average borrowings outstanding were $14.0 million and $34.7 million, respectively. At September 30, 2019, our revolving credit facility had no balance outstanding. Our revolving credit facility and certain notes require us to comply with various financial covenants, including the maintenance of minimum shareholders' equity and debt coverage ratios and a maximum ratio of debt to net worth. As of September 30, 2019, we were in compliance with all default related debt covenants.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5—FAIR VALUE OF FINANCIAL INSTRUMENTS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470,489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482,345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753,406</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751,361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2,806,422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3,022,615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2,404,279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2,371,392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One of our equity method investees has two interest rate swaps which qualify for cash flow hedge accounting. For the three and nine months ended September 30, 2019, our share of the change in fair value of the related swaps included in "accumulated other comprehensive loss" was $0.1 million, and $0.7 million, respectively.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9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Under the terms of certain partnership agreements, the partners have the right to exchange their operating partnership units for cash or common shares, at our option. A total of 626,619 downREIT operating partnership units are outstanding which have a total fair value of approximately $85.3 million, which is calculated by multiplying the outstanding number of downREIT partnership units by our closing stock price on September 30, 2019.</w:t>
      </w:r>
    </w:p>
    <w:p>
      <w:pPr>
        <w:spacing w:after="0" w:line="1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August 2, 2019, we acquired the 10.1% redeemable noncontrolling interest in the partnership that owns our Montrose Crossing Shopping Center for $10.0 million, bringing our ownership interest to 100%.</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6"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10"/>
          </w:tcPr>
          <w:p>
            <w:pPr>
              <w:jc w:val="right"/>
              <w:ind w:right="200"/>
              <w:spacing w:after="0"/>
              <w:rPr>
                <w:sz w:val="20"/>
                <w:szCs w:val="20"/>
                <w:color w:val="auto"/>
              </w:rPr>
            </w:pPr>
            <w:r>
              <w:rPr>
                <w:rFonts w:ascii="Arial" w:cs="Arial" w:eastAsia="Arial" w:hAnsi="Arial"/>
                <w:sz w:val="14"/>
                <w:szCs w:val="14"/>
                <w:b w:val="1"/>
                <w:bCs w:val="1"/>
                <w:color w:val="auto"/>
                <w:w w:val="96"/>
              </w:rPr>
              <w:t>Nine Months Ended September 30,</w:t>
            </w:r>
          </w:p>
        </w:tc>
        <w:tc>
          <w:tcPr>
            <w:tcW w:w="7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2019</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2018</w:t>
            </w:r>
          </w:p>
        </w:tc>
        <w:tc>
          <w:tcPr>
            <w:tcW w:w="700" w:type="dxa"/>
            <w:vAlign w:val="bottom"/>
            <w:tcBorders>
              <w:bottom w:val="single" w:sz="8" w:color="auto"/>
            </w:tcBorders>
          </w:tcPr>
          <w:p>
            <w:pPr>
              <w:spacing w:after="0"/>
              <w:rPr>
                <w:sz w:val="22"/>
                <w:szCs w:val="22"/>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4"/>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Paid</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1.016</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1.016</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1.016</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 Series C Cumulative Redeemable Preferred shares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0.938</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0.938</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0.993</w:t>
            </w:r>
          </w:p>
        </w:tc>
      </w:tr>
      <w:tr>
        <w:trPr>
          <w:trHeight w:val="20"/>
        </w:trPr>
        <w:tc>
          <w:tcPr>
            <w:tcW w:w="7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Amount represents dividends per depository share, each representing 1/1000th of a share.</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an at-the-market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 general corporate purposes. For the three months ended September 30, 2019, we sold 557,761 common shares (of which, 24,261 settled on October 1, 2019) at a weighted average price per share of $134.48 for net cash proceeds of $74.5 million and paid $0.5 million in commissions and less than $0.1 million in additional offering expenses related to the sales of these common shares. For the nine months ended September 30, 2019, we sold 1,069,699 common shares at a weighted average price per share of $134.71 for net cash proceeds of $142.8 million and paid $1.2 million in commissions and $0.1 million in additional offering expenses related to the sales of these common shares. As of September 30, 2019, we had the capacity to issue up to $128.3 million in common shares under our ATM equity program.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8—SHARE-BASED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34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8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196"/>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Grants of common shares and options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3,151</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4"/>
              </w:rPr>
              <w:t>2,494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10,143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9,638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Capitalized share-based compensation</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4"/>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2,877</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4"/>
              </w:rPr>
              <w:t>2,651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9,397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8,869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9—EARNINGS PER SHARE</w:t>
      </w:r>
    </w:p>
    <w:p>
      <w:pPr>
        <w:spacing w:after="0" w:line="94"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and nine months ended September 30, 2019 and 2018, we had 0.2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04"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In the dilutive EPS calculation, dilutive stock options were calculated using the treasury stock method consistent with prior periods. There were 682 anti-dilutive stock options for the three and nine months ended September 30, 2019 and 2018. The conversions of downREIT operating partnership units and</w:t>
      </w:r>
    </w:p>
    <w:p>
      <w:pPr>
        <w:ind w:right="180"/>
        <w:spacing w:after="0" w:line="261" w:lineRule="auto"/>
        <w:rPr>
          <w:sz w:val="20"/>
          <w:szCs w:val="20"/>
          <w:color w:val="auto"/>
        </w:rPr>
      </w:pPr>
      <w:r>
        <w:rPr>
          <w:rFonts w:ascii="Arial" w:cs="Arial" w:eastAsia="Arial" w:hAnsi="Arial"/>
          <w:sz w:val="18"/>
          <w:szCs w:val="18"/>
          <w:color w:val="auto"/>
        </w:rPr>
        <w:t>5.417% Series 1 Cumulative Convertible Preferred Shares are anti-dilutive for all periods presented and accordingly, have been excluded from the weighted average common shares used to compute diluted EPS.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6"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6"/>
                <w:szCs w:val="16"/>
                <w:color w:val="auto"/>
              </w:rPr>
            </w:pPr>
          </w:p>
        </w:tc>
        <w:tc>
          <w:tcPr>
            <w:tcW w:w="21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left="394"/>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(In thousands, except per share data)</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67,106</w:t>
            </w:r>
          </w:p>
        </w:tc>
        <w:tc>
          <w:tcPr>
            <w:tcW w:w="10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64,180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211,576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192,644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Preferred share dividends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Less: Income from operations attributable to noncontrolling interests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63,223</w:t>
            </w:r>
          </w:p>
        </w:tc>
        <w:tc>
          <w:tcPr>
            <w:tcW w:w="100" w:type="dxa"/>
            <w:vAlign w:val="bottom"/>
          </w:tcPr>
          <w:p>
            <w:pPr>
              <w:spacing w:after="0"/>
              <w:rPr>
                <w:sz w:val="20"/>
                <w:szCs w:val="20"/>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60,337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199,809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2"/>
              </w:rPr>
              <w:t>180,650</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74,832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73,400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74,584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73,100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74,832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73,408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74,584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73,136</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5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EARNINGS PER COMMON SHARE, BASIC:</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available for common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available for common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10—SUBSEQUENT EVENT</w:t>
      </w:r>
    </w:p>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October 11, 2019, we sold a shopping center in Pacoima, California for $51.3 million, which is included in "assets held for sale" on our consolidated balance sheet at September 30, 2019.</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2018 filed with the Securities and Exchange Commission (the “SEC”) on February 13, 2019.</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3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2018 and under Part II, Item 1A in this Quarterly Report on Form 10-Q, before making any investments in us.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right="140"/>
        <w:spacing w:after="0" w:line="276"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September 30, 2019, we owned or had a majority interest in community and neighborhood shopping centers and mixed-use properties which are operated as 104 predominantly retail real estate projects comprising approximately 23.9 million square feet. In total, the real estate projects were 94.2% leased and 92.8% occupied at September 30, 2019.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6"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Property Acquisition and Dispositions</w:t>
      </w:r>
    </w:p>
    <w:p>
      <w:pPr>
        <w:spacing w:after="0" w:line="17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February 8, 2019, we acquired the fee interest in Fairfax Junction, a 75,000 square foot shopping center in Fairfax, Virginia for $22.5 million. Approximately $0.6 million and $0.4 million of net assets acquired were allocated to other assets for "above market leases," and other liabilities for "below market leases,"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On September 13, 2019, we acquired a 6,000 square foot retail building adjacent to San Antonio Center in Mountain View, California for $6.5 million.</w:t>
      </w:r>
    </w:p>
    <w:p>
      <w:pPr>
        <w:spacing w:after="0" w:line="183"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On September 18, 2019, we acquired a 42,000 square foot retail building in Hoboken, New Jersey for $30.9 million, including the assumption of $17.0 million of mortgage debt. The acquisition was completed through a newly formed joint venture, for which we own a 90% interest. Approximately $0.7 million and $4.7 million of net assets acquired were allocated to other assets for "above market leases," and other liabilities for "below market leases," respectively.</w:t>
      </w:r>
    </w:p>
    <w:p>
      <w:pPr>
        <w:spacing w:after="0" w:line="13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three months ended September 30, 2019, we sold one property for a sales price of $18.0 million, which resulted in a gain of $14.1 million. During the nine months ended September 30, 2019, we sold two properties and one land parcel for a net sales price of $97.7 million, which resulted in a net gain of $29.3 million.</w:t>
      </w:r>
    </w:p>
    <w:p>
      <w:pPr>
        <w:spacing w:after="0" w:line="127" w:lineRule="exact"/>
        <w:rPr>
          <w:sz w:val="20"/>
          <w:szCs w:val="20"/>
          <w:color w:val="auto"/>
        </w:rPr>
      </w:pPr>
    </w:p>
    <w:p>
      <w:pPr>
        <w:jc w:val="both"/>
        <w:ind w:right="620"/>
        <w:spacing w:after="0" w:line="312" w:lineRule="auto"/>
        <w:rPr>
          <w:sz w:val="20"/>
          <w:szCs w:val="20"/>
          <w:color w:val="auto"/>
        </w:rPr>
      </w:pPr>
      <w:r>
        <w:rPr>
          <w:rFonts w:ascii="Arial" w:cs="Arial" w:eastAsia="Arial" w:hAnsi="Arial"/>
          <w:sz w:val="16"/>
          <w:szCs w:val="16"/>
          <w:color w:val="auto"/>
        </w:rPr>
        <w:t>During the nine months ended September 30, 2019, we closed on the sale of 41 condominium units at our Assembly Row and Pike &amp; Rose properties (combined), received proceeds net of closing costs of $18.8 million, and recognized a gain of $1.8 million, net of income taxes. The cost basis for the remaining condominium units as of September 30, 2019 is $1.7 million, and is included in "assets held for sale" on our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Debt and Equity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January 31, 2019, we repaid the $20.3 million mortgage loan on Rollingwood Apartments, at par, prior to its original maturity date.</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June 7, 2019, we issued $300.0 million of fixed rate senior unsecured notes that mature on June 15, 2029 and bear interest at 3.20%. The notes were offered at 99.838% of the principal amount with a yield to maturity of 3.219%. On August 21, 2019, we issued an additional $100.0 million senior notes of the same series and with the same terms. The August notes were offered at 103.813% of the principal amount, with a yield to maturity of 2.744%. The combined net proceeds from the note offerings after net issuance premium, underwriting fees, and other costs were $399.9 million, which were primarily used to repay our $275.0 million unsecured term loan, at par, on June 7, 2019 and for general corporate purposes.</w:t>
      </w:r>
    </w:p>
    <w:p>
      <w:pPr>
        <w:spacing w:after="0" w:line="11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On July 25, 2019, we amended our revolving credit facility to increase our borrowing capacity to $1.0 billion and extend the maturity date to January 19, 2024, plus two six-month extensions at our option. Under the amended facility, the spread over LIBOR is 77.5 basis points based on our current credit rating. In addition, we have an option (subject to bank approval) to increase the credit facility through an accordion feature to $1.5 billion.</w:t>
      </w:r>
    </w:p>
    <w:p>
      <w:pPr>
        <w:spacing w:after="0" w:line="1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connection with our Hoboken, New Jersey acquisition on September 18, 2019, we assumed a mortgage loan with a face amount of $17.0 million and a fair value of $17.5 million. The mortgage loan bears interest at 3.75% and matures on July 1, 2042.</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August 2, 2019, we acquired the 10.1% redeemable noncontrolling interest in the partnership that owns our Montrose Crossing Shopping Center for $10.0 million, bringing our ownership interest to 100%.</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an at-the-market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 general corporate purposes. For the three months ended September 30, 2019, we sold 557,761 common shares (of which, 24,261 settled on October 1, 2019) at a weighted average price per share of $134.48 for net cash proceeds of $74.5 million and paid $0.5 million in commissions and less than $0.1 million in additional offering expenses related to the sales of these common shares. For the nine months ended September 30, 2019, we sold 1,069,699 common shares at a weighted average price per share of $134.71 for net cash proceeds of $142.8 million and paid $1.2 million in commissions and $0.1 million in additional offering expenses related to the sales of these common shares. As of September 30, 2019, we had the capacity to issue up to $128.3 million in common shares under our ATM equity program.</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9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$266 million and $6 million, respectively, for the nine months ended September 30, 2019, and $203 million and $6 million, respectively, for the nine months ended September 30, 2018. We capitalized external and internal costs related to other property improvements of $49 million and $2 million, respectively, for the nine months ended September 30, 2019, and $43 million and $2 million for the nine months ended September 30, 2018. We capitalized external and internal costs related to leasing activities of $17 million and $2 million, respectively, for the nine months ended September 30, 2019, and $16 million and $5 million, respectively, for the nine months ended September 30, 2018. The amount of capitalized internal costs for salaries and related benefits for development and redevelopment activities, other property improvements, and leasing activities were $6 million, $2 million, and $2 million, respectively, for the nine months ended September 30, 2019 and $6 million, $2 million, and $4 million, respectively for the nine months ended September 30, 2018. Total capitalized costs were $342 million and $275 million for the nine months ended September 30, 2019 and 2018,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comparable property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8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comparable property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generally increase rental rates. We continue to see relatively strong levels of interest from prospective tenants for our retail spaces; however, the time it takes to complete new lease deals is longer, as tenants have become more selective and more deliberate in their decision-making process. We have also experienced extended periods of time for some government agencies to process permits and inspections further delaying rent commencement on newly leased spaces. Additionally, we have seen an overall decrease in the number of tenants available to fill anchor spaces, and have seen an uptick in the number of retail tenants vacating prior to the end of their lease term and/or filing for bankruptcy. We believe the locations and nature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September 30, 2019, no single tenant accounted for more than 2.6% of annualized base rent.</w:t>
      </w:r>
    </w:p>
    <w:p>
      <w:pPr>
        <w:spacing w:after="0" w:line="9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properties are located primarily in densely populated and/or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We currently have redevelopment projects underway with a projected total cost of approximately $352 million that we expect to stabilize in the next several years.</w:t>
      </w:r>
    </w:p>
    <w:p>
      <w:pPr>
        <w:spacing w:after="0" w:line="13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continue our ongoing redevelopment efforts at Santana Row and are under construction on an eight story 301,000 square foot office building which will include an additional 18,000 square feet of retail space and 1,300 parking spaces. The project is expected to cost between $210 million and $220 million, to be delivered in 2020, and the office portion is 100% leased. After current phases, we have approximately 4 acres remaining for further redevelopment and entitlements in place for an additional 395 residential units and 321,000 square feet of commercial space.</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Additionally, we control 12 acres of land across from Santana Row, which has approximately 1 million square feet of commercial space entitlements. We are proceeding with the first phase of construction on this land, which includes an eight story 360,000 square foot office building, with over 1,700 parking spaces. The building is expected to cost between $250 million and $270 million, with deliveries beginning in 2021.</w:t>
      </w:r>
    </w:p>
    <w:p>
      <w:pPr>
        <w:spacing w:after="0" w:line="11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Phase II of Assembly Row includes approximately 161,000 square feet of retail space, 447 residential units, and a 158 room boutique hotel (owned and operated by a joint venture in which we are a partner). Total expected costs range from $290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6"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to $305 million and delivery is expected to be substantially complete in 2019. As of September 30, 2019, approximately 132,000 square feet of retail space and the 158 room hotel have opened, and all of the residential units have been completed. Phase II also includes 122 for-sale condominium units, which have all closed as of September 30, 2019. The condominium units had a total cost of $81 million.</w:t>
      </w:r>
    </w:p>
    <w:p>
      <w:pPr>
        <w:spacing w:after="0" w:line="12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Additionally, we commenced construction on Phase III of Assembly Row, which will include 277,000 square feet of office space (of which, 150,000 square feet is pre-leased), 56,000 square feet of retail space, 500 residential units, and over 800 additional parking spaces. The expected costs for Phase III are between $465 million and $485 million and is projected to open beginning in 2022.</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Phase II of Pike &amp; Rose includes approximately 216,000 square feet of retail space, 272 residential units, and a 177 room boutique hotel (owned and operated by a joint venture in which we are a partner). As of September 30, 2019, approximately 196,000 square feet of retail space and the 177 room hotel have opened, and all of the residential units have been completed. Total expected costs range from $200 million to $207 million and remaining delivery is expected to be substantially complete in 2019. As of September 30, 2019, we closed on the sale of 95 of the 99 for-sale condominium units in Phase II. The condominium units have an expected total cost of $62 million.</w:t>
      </w:r>
    </w:p>
    <w:p>
      <w:pPr>
        <w:spacing w:after="0" w:line="13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Additionally, at Pike &amp; Rose, we have commenced construction on a 212,000 square foot office building (which includes 4,000 square feet of ground floor retail space), and will include over 600 additional parking spaces. The building is expected to cost between $128 million and $135 million and is projected to open beginning in 2021.</w:t>
      </w:r>
    </w:p>
    <w:p>
      <w:pPr>
        <w:spacing w:after="0" w:line="12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Including costs incurred in the first nine months of 2019, we expect to invest between $230 million and $250 million at Assembly Row, Pike &amp; Rose, and Santana Row in 2019.</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1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continue to review acquisition opportunities in our primary markets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downREIT units as well as through new or assumed mortgages and property sales.</w:t>
      </w:r>
    </w:p>
    <w:p>
      <w:pPr>
        <w:spacing w:after="0" w:line="1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September 30, 2019, the leasable square feet in our properties was 94.2% leased and 92.8%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the third quarter of 2019, we signed leases for a total of 491,000 square feet of retail space including 469,000 square feet of comparable space leases (leases for which there was a prior tenant) at an average rental increase of 7% on a cash basis. New leases for comparable spaces were signed for 317,000 square feet at an average rental increase of 6% on a cash basis. Renewals for comparable spaces were signed for 152,000 square feet at an average rental increase of 9% on a cash basis. Tenant improvements and incentives for comparable spaces were $46.20 per square foot, of which, $66.79 per square foot was for new leases and $3.18 per square foot was for renewals for the three months ended September 30, 2019.</w:t>
      </w:r>
    </w:p>
    <w:p>
      <w:pPr>
        <w:spacing w:after="0" w:line="119"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For the nine months ended September 30, 2019, we signed leases for a total of 1,180,000 square feet of retail space including 1,095,000 square feet of comparable space leases (leases for which there was a prior tenant) at an average rental increase of 8% on a cash basis. New leases for comparable spaces were signed for 581,000 square feet at an average rental increase of 12% on a cash basis. Renewals for comparable spaces were signed for 514,000 square feet at an average rental increase of 4% on a cash basis. Tenant improvements and incentives for comparable spaces were $43.66 per square foot, of which, $80.32 per square foot was for new leases and $2.18 per square foot was for renewals for the nine months ended September 30, 2019.</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6" w:right="25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rental increases associated with comparable spaces generally include all leases signed for retail space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and, except for redevelopments, may also include base building costs (i.e. expansion, escalators or new entrances) which are required to make the space leasable. Incentives include amounts paid to tenants as inducement to sign a lease that do not represent building improvements. Costs related to redevelopments requires judgment by management in determining what reflects base building costs and thus, is not included in the "tenant improvements and incentives" amount.</w:t>
      </w:r>
    </w:p>
    <w:p>
      <w:pPr>
        <w:spacing w:after="0" w:line="1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leases signed in 2019 generally become effective over the following two years though some may not become effective until 2022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3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Historically, we have executed comparable space leases for 1.2 to 1.7 million square feet of retail space each year, and expect that volume for 2019 will be in line with our historical averages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Properties</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and nine months ended September 30, 2019, all or a portion of 96 properties were considered comparable properties and nine and eight properties, respectively, were considered non-comparable properties. For the three months ended September 30, 2019, one property was moved from acquisitions to non-comparable properties and one property was removed from comparable properties, as it was sold, compared to the designations for the three months ended June 30, 2019, which were 97 properties or portions of properties considered comparable and eight considered non-comparable. For the nine months ended September 30, 2019, eight properties were moved from acquisitions to comparable properties, one property was moved from acquisitions to non-comparable properties, one portion of a property was moved from non-comparable properties to comparable properties, and two properties were removed from comparable properties, as they were sold, compared to the designations for the year ended December 31, 2018, which were 90 properties or portions of properties considered comparable and eight considered non-comparable.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to property operating income within the calendar year. Acquisitions are moved to comparable properties once we have owned the property for the entirety of comparable periods and the property is not under development or being repositioned for significant redevelopment and investment.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6"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THREE MONTHS ENDED SEPTEMBER 30, 2019 AND 2018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6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233,212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228,960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4,252</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233,947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229,753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4,194</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54,484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41,909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12,575</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83,514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70,995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12,519</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operating income (1)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150,433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158,758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(8,325)</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(3,422)</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1,130</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Gain on sale of real estate,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14,293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11,168</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357.4 %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94,018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93,467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551</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1,114</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Loss from partnerships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1,191</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2,375</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67,106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64,180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2,926</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65,465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62,558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2,907</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32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Total property revenue increased $4.2 million, or 1.8%, to $233.9 million in the three months ended September 30, 2019 compared to $229.8 million in the three months ended September 30, 2018. The percentage occupied at our shopping centers was 92.8% at September 30, 2019 compared to 93.7% at September 30, 2018. Changes in the components of property revenue are discussed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$4.3 million, or 1.9%, to $233.2 million in the three months ended September 30, 2019 compared to $229.0 million in the three months ended September 30, 2018 due primarily to the following:</w:t>
      </w:r>
    </w:p>
    <w:p>
      <w:pPr>
        <w:spacing w:after="0" w:line="19" w:lineRule="exact"/>
        <w:rPr>
          <w:sz w:val="20"/>
          <w:szCs w:val="20"/>
          <w:color w:val="auto"/>
        </w:rPr>
      </w:pPr>
    </w:p>
    <w:p>
      <w:pPr>
        <w:ind w:left="1140" w:right="140" w:hanging="241"/>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$3.9 million from comparable properties due primarily to higher rental rates of approximately $3.1 million and higher average occupancy of approximately $1.1 million,</w:t>
      </w:r>
    </w:p>
    <w:p>
      <w:pPr>
        <w:spacing w:after="0" w:line="8" w:lineRule="exact"/>
        <w:rPr>
          <w:rFonts w:ascii="Arial" w:cs="Arial" w:eastAsia="Arial" w:hAnsi="Arial"/>
          <w:sz w:val="18"/>
          <w:szCs w:val="18"/>
          <w:color w:val="auto"/>
        </w:rPr>
      </w:pPr>
    </w:p>
    <w:p>
      <w:pPr>
        <w:ind w:left="1140" w:right="680" w:hanging="241"/>
        <w:spacing w:after="0" w:line="264"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$2.1 million from non-comparable properties due primarily to the retail openings and residential lease-up at Phase II at Assembly Row and Pike &amp; Rose and and the lease-up of one of our other redevelopments, partially offset by redevelopment related occupancy decreases at one Virginia property, and</w:t>
      </w:r>
    </w:p>
    <w:p>
      <w:pPr>
        <w:spacing w:after="0" w:line="19" w:lineRule="exact"/>
        <w:rPr>
          <w:rFonts w:ascii="Arial" w:cs="Arial" w:eastAsia="Arial" w:hAnsi="Arial"/>
          <w:sz w:val="18"/>
          <w:szCs w:val="18"/>
          <w:color w:val="auto"/>
        </w:rPr>
      </w:pPr>
    </w:p>
    <w:p>
      <w:pPr>
        <w:ind w:left="1140" w:hanging="241"/>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$0.6 million from the acquisition of Fairfax Junction in February 2019,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$2.3 million from our 2018 and 2019 property sales.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Total property expenses increased $12.5 million, or 17.6%, to $83.5 million in the three months ended September 30, 2019 compared to $71.0 million in the three months ended September 30, 2018. Changes in the components of property expenses are discussed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6"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Rental expenses increased $12.6 million, or 30.0%, to $54.5 million in the three months ended September 30, 2019 compared to $41.9 million in the three months ended September 30, 2018. This increase is due primarily to the following:</w:t>
      </w:r>
    </w:p>
    <w:p>
      <w:pPr>
        <w:spacing w:after="0" w:line="35" w:lineRule="exact"/>
        <w:rPr>
          <w:sz w:val="20"/>
          <w:szCs w:val="20"/>
          <w:color w:val="auto"/>
        </w:rPr>
      </w:pPr>
    </w:p>
    <w:p>
      <w:pPr>
        <w:ind w:left="1140" w:hanging="241"/>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$11.9 million charge in 2019 related to the buyout of a lease at Assembly Square Marketplace, and</w:t>
      </w:r>
    </w:p>
    <w:p>
      <w:pPr>
        <w:spacing w:after="0" w:line="90" w:lineRule="exact"/>
        <w:rPr>
          <w:rFonts w:ascii="Arial" w:cs="Arial" w:eastAsia="Arial" w:hAnsi="Arial"/>
          <w:sz w:val="18"/>
          <w:szCs w:val="18"/>
          <w:color w:val="auto"/>
        </w:rPr>
      </w:pPr>
    </w:p>
    <w:p>
      <w:pPr>
        <w:jc w:val="both"/>
        <w:ind w:left="1140" w:hanging="241"/>
        <w:spacing w:after="0" w:line="264"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$0.7 million from comparable properties due primarily to higher repairs and maintenance costs partially offset by a $1.2 million decrease due to the new lease accounting standard requirement to record collectibility adjustments as a reduction to revenue rather than rental expense effective at adoption on January 1, 2019.</w:t>
      </w:r>
    </w:p>
    <w:p>
      <w:pPr>
        <w:spacing w:after="0" w:line="1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a result of the changes in rental income and rental expenses as discussed above, rental expenses as a percentage of rental income increased to 23.4% in the three months ended September 30, 2019 from 18.3% in the three months ended September 30,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Property operating income decreased $8.3 million, or 5.2%, to $150.4 million in the three months ended September 30, 2019 compared to $158.8 million in the three months ended September 30, 2018. This decrease is due primarily to the charge related to the buyout of a lease at Assembly Square Marketplace and property sales, partially offset by growth in earnings at comparable properties, Assembly Row and Pike &amp; Rose, and one of our retail redevelopments.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General and administrative expense increased $3.4 million, or 44.8%, to $11.1 million in the three months ended September 30, 2019 from $7.6 million in the three months ended September 30, 2018. This increase is due primarily to higher leasing related costs as certain costs can no longer be capitalized as a result of the new lease accounting standard (see Note 2 for additional disclosure) and higher personnel related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$14.3 million gain on sale of real estate, net for the three months ended September 30, 2019 is due primarily to the sale of one property.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$3.1 million net gain for the three months ended September 30, 2018 is due to the sale of a residential building in August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Operating income increased $0.6 million, or 0.6%, to $94.0 million in the three months ended September 30, 2019 compared to $93.5 million in the three months ended September 30, 2018. This increase is due primarily to the net gain on the sale of one property and growth in earnings at our comparable properties, partially offset by the charge related to the buyout of a lease at Assembly Square Marketplace, higher leasing and personnel related costs, and property sales.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Interest expense decreased $1.1 million, or 4.0%, to $27.1 million in the three months ended September 30, 2019 compared to $28.2 million in the three months ended September 30, 2018. This decrease is due primarily to an increase of $1.2 million in capitalized interest, primarily attributable to the development of Phase III of Assembly Row and Pike &amp; Rose, and Santana Row.</w:t>
      </w:r>
    </w:p>
    <w:p>
      <w:pPr>
        <w:spacing w:after="0" w:line="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Gross interest costs were $32.3 million and $32.2 million in the three months ended September 30, 2019 and 2018, respectively. Capitalized interest was $5.3 million and $4.1 million for the three months ended September 30, 2019 and 2018,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Partnerships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Loss from partnerships decreased $1.2 million, or 82.7%, to $0.2 million in the three months ended September 30, 2019 compared to a loss of $1.4 million in the three months ended September 30, 2018. This decrease is due primarily to improved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6" w:right="25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at our Assembly Row and Pike &amp; Rose hotel joint ventures, which opened in August 2018 and March 2018, respectively.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NINE MONTHS ENDED SEPTEMBER 30, 2019 AND 2018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6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694,435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677,776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16,659</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696,639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680,060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16,579</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140,182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126,587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13,595</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85,841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222,065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212,428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9,637</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operating income (1)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474,574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467,632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6,942</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(8,067)</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Gain on sale of real estate,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30,490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10,413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20,077</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192.8 %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294,690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276,796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17,894</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Loss from partnerships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1,391</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1,038</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211,576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192,644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18,932</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206,511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187,400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19,111</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320" w:hanging="332"/>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Total property revenue increased $16.6 million, or 2.4%, to $696.6 million in the nine months ended September 30, 2019 compared to $680.1 million in the nine months ended September 30, 2018. The percentage occupied at our shopping centers was 92.8% at September 30, 2019 compared to 93.7% at September 30, 2018. Changes in the components of property revenue are discussed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$16.7 million, or 2.5%, to $694.4 million in the nine months ended September 30, 2019 compared to $677.8 million in the nine months ended September 30, 2018 due primarily to the following:</w:t>
      </w:r>
    </w:p>
    <w:p>
      <w:pPr>
        <w:spacing w:after="0" w:line="19" w:lineRule="exact"/>
        <w:rPr>
          <w:sz w:val="20"/>
          <w:szCs w:val="20"/>
          <w:color w:val="auto"/>
        </w:rPr>
      </w:pPr>
    </w:p>
    <w:p>
      <w:pPr>
        <w:ind w:left="1140" w:right="40" w:hanging="241"/>
        <w:spacing w:after="0" w:line="276" w:lineRule="auto"/>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increase of $10.0 million from comparable properties due primarily to higher rental rates of approximately $8.8 million, higher lease termination fees and legal fee income of $5.3 million, and higher average occupancy of approximately $2.3 million, partially offset by a $4.4 million decrease in real estate tax recoveries primarily due to the requirements of the new lease accounting standard and lower multi-year tax reassessments for two of our properties, and $1.9 million related to collectibility adjustments, which are now being presented as a reduction of rental income rather than rental expense (see Note 2 for additional disclosure),</w:t>
      </w:r>
    </w:p>
    <w:p>
      <w:pPr>
        <w:spacing w:after="0" w:line="10" w:lineRule="exact"/>
        <w:rPr>
          <w:rFonts w:ascii="Arial" w:cs="Arial" w:eastAsia="Arial" w:hAnsi="Arial"/>
          <w:sz w:val="17"/>
          <w:szCs w:val="17"/>
          <w:color w:val="auto"/>
        </w:rPr>
      </w:pPr>
    </w:p>
    <w:p>
      <w:pPr>
        <w:jc w:val="both"/>
        <w:ind w:left="1140" w:right="160" w:hanging="241"/>
        <w:spacing w:after="0" w:line="264"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$9.2 million from non-comparable properties due primarily to the opening of Phase II at Assembly Row and Pike &amp; Rose and the lease-up of one of our other redevelopments, partially offset by redevelopment related occupancy decreases at one Virginia property and two of our Florida properties, and</w:t>
      </w:r>
    </w:p>
    <w:p>
      <w:pPr>
        <w:spacing w:after="0" w:line="19" w:lineRule="exact"/>
        <w:rPr>
          <w:rFonts w:ascii="Arial" w:cs="Arial" w:eastAsia="Arial" w:hAnsi="Arial"/>
          <w:sz w:val="18"/>
          <w:szCs w:val="18"/>
          <w:color w:val="auto"/>
        </w:rPr>
      </w:pPr>
    </w:p>
    <w:p>
      <w:pPr>
        <w:ind w:left="1140" w:hanging="241"/>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$1.3 million from the acquisition of Fairfax Junction in February 2019,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6"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$4.6 million from property sales.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Total property expenses increased $9.6 million, or 4.5%, to $222.1 million in the nine months ended September 30, 2019 compared to $212.4 million in the nine months ended September 30, 2018.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Rental expenses increased $13.6 million, or 10.7%, to $140.2 million in the nine months ended September 30, 2019 compared to $126.6 million in the nine months ended September 30, 2018. This increase is due primarily to the following:</w:t>
      </w:r>
    </w:p>
    <w:p>
      <w:pPr>
        <w:spacing w:after="0" w:line="8" w:lineRule="exact"/>
        <w:rPr>
          <w:sz w:val="20"/>
          <w:szCs w:val="20"/>
          <w:color w:val="auto"/>
        </w:rPr>
      </w:pPr>
    </w:p>
    <w:p>
      <w:pPr>
        <w:ind w:left="1140" w:hanging="241"/>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$11.9 million charge in 2019 related to the buyout of a lease at Assembly Square Marketplace,</w:t>
      </w:r>
    </w:p>
    <w:p>
      <w:pPr>
        <w:spacing w:after="0" w:line="63" w:lineRule="exact"/>
        <w:rPr>
          <w:rFonts w:ascii="Arial" w:cs="Arial" w:eastAsia="Arial" w:hAnsi="Arial"/>
          <w:sz w:val="18"/>
          <w:szCs w:val="18"/>
          <w:color w:val="auto"/>
        </w:rPr>
      </w:pPr>
    </w:p>
    <w:p>
      <w:pPr>
        <w:jc w:val="both"/>
        <w:ind w:left="1140" w:right="20" w:hanging="241"/>
        <w:spacing w:after="0" w:line="264"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$1.2 million from comparable properties due primarily to higher repairs and maintenance costs partially offset by a $3.0 million decrease due to the new lease accounting standard requirement to record collectibility adjustments as a reduction to revenue rather than rental expense effective at adoption on January 1, 2019,</w:t>
      </w:r>
    </w:p>
    <w:p>
      <w:pPr>
        <w:spacing w:after="0" w:line="19" w:lineRule="exact"/>
        <w:rPr>
          <w:rFonts w:ascii="Arial" w:cs="Arial" w:eastAsia="Arial" w:hAnsi="Arial"/>
          <w:sz w:val="18"/>
          <w:szCs w:val="18"/>
          <w:color w:val="auto"/>
        </w:rPr>
      </w:pPr>
    </w:p>
    <w:p>
      <w:pPr>
        <w:ind w:left="1140" w:right="420" w:hanging="241"/>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$0.6 million from non-comparable properties due primarily to the opening of Phase II at Assembly Row and Pike &amp; Rose, partially offset by lower expenses at two of our Florida properties,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$0.4 million from acquisitions,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$0.9 million from property sales.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a result of the changes in rental income and rental expenses as discussed above, rental expenses as a percentage of rental income increased to 20.2% in the nine months ended September 30, 2019 from 18.7% the nine months ended September 30,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Real estate tax expense decreased $4.0 million, or 4.6%, to $81.9 million in the nine months ended September 30, 2019 compared to $85.8 million in the nine months ended September 30, 2018 due primarily to:</w:t>
      </w:r>
    </w:p>
    <w:p>
      <w:pPr>
        <w:spacing w:after="0" w:line="35" w:lineRule="exact"/>
        <w:rPr>
          <w:sz w:val="20"/>
          <w:szCs w:val="20"/>
          <w:color w:val="auto"/>
        </w:rPr>
      </w:pPr>
    </w:p>
    <w:p>
      <w:pPr>
        <w:ind w:left="1140" w:hanging="322"/>
        <w:spacing w:after="0" w:line="259"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$4.1 million from comparable properties due primarily to a tax refund from a multi-year appeal and reassessment for three of our properties and $4.0 million due to the new lease accounting standard requirement, which no longer permits the gross up of real estate tax revenue and expense for real estate taxes that our tenants pay directly to the taxing authority (see Note 2 for additional disclosure), partially offset by higher assessments, and</w:t>
      </w:r>
    </w:p>
    <w:p>
      <w:pPr>
        <w:spacing w:after="0" w:line="51" w:lineRule="exact"/>
        <w:rPr>
          <w:rFonts w:ascii="Arial" w:cs="Arial" w:eastAsia="Arial" w:hAnsi="Arial"/>
          <w:sz w:val="18"/>
          <w:szCs w:val="18"/>
          <w:color w:val="auto"/>
        </w:rPr>
      </w:pP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$0.6 million from property sales,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1140" w:right="620" w:hanging="322"/>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$0.5 million from non-comparable properties due primarily to increases in assessments as a result of our redevelopment activities, and</w:t>
      </w:r>
    </w:p>
    <w:p>
      <w:pPr>
        <w:spacing w:after="0" w:line="35" w:lineRule="exact"/>
        <w:rPr>
          <w:rFonts w:ascii="Arial" w:cs="Arial" w:eastAsia="Arial" w:hAnsi="Arial"/>
          <w:sz w:val="18"/>
          <w:szCs w:val="18"/>
          <w:color w:val="auto"/>
        </w:rPr>
      </w:pPr>
    </w:p>
    <w:p>
      <w:pPr>
        <w:ind w:left="1140" w:hanging="322"/>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$0.2 million from acquisitions.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Property operating income increased $6.9 million, or 1.5%, to $474.6 million in the nine months ended September 30, 2019 compared to $467.6 million in the nine months ended September 30, 2018. This increase is due primarily to growth in earnings at comparable properties, the opening of Phase II at Assembly Row and Pike &amp; Rose, and our acquisition of Fairfax Junction in February 2019, partially offset by the charge related to the buyout of a lease at Assembly Square Marketplace, and property sales.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General and administrative expense increased $8.1 million, or 33.6%, to $32.0 million in the nine months ended September 30, 2019 from $24.0 million in the nine months ended September 30, 2018. This increase is due primarily to higher leasing related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6"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costs as certain costs can no longer be capitalized as a result of the new lease accounting standard (see Note 2 for additional disclosure) and higher personnel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Net</w:t>
      </w:r>
    </w:p>
    <w:p>
      <w:pPr>
        <w:spacing w:after="0" w:line="9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$30.5 million gain on sale of real estate, net for the nine months ended September 30, 2019 is due primarily to the sale of two properties and one land parcel.</w:t>
      </w: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$10.4 million net gain for the nine months ended September 30, 2018 is related to condominium unit sales that closed at our Assembly Row and Pike and Rose properties, and the sale of a residential building in August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Operating income increased $17.9 million, or 6.5%, to $294.7 million in the nine months ended September 30, 2019 compared to $276.8 million in the nine months ended September 30, 2018. This increase is due primarily to the net gain on the sale of two properties and one land parcel, growth in earnings at our comparable properties, and the opening of Phase II of Assembly Row and Pike &amp; Rose, partially offset by the charge related to the buyout of a lease at Assembly Square Marketplace, higher leasing and personnel related costs, and property sales.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increased $0.5 million, or 0.5%, to $82.6 million in the nine months ended September 30, 2019 compared to $82.1 million in the nine months ended September 30, 2018. This increase is due primarily to the following:</w:t>
      </w:r>
    </w:p>
    <w:p>
      <w:pPr>
        <w:spacing w:after="0" w:line="8" w:lineRule="exact"/>
        <w:rPr>
          <w:sz w:val="20"/>
          <w:szCs w:val="20"/>
          <w:color w:val="auto"/>
        </w:rPr>
      </w:pPr>
    </w:p>
    <w:p>
      <w:pPr>
        <w:ind w:left="1140" w:hanging="241"/>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$1.6 million due to a higher overall weighted average borrowing rate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of $0.3 million in capitalized interest,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$1.5 million due to lower weighted average borrowings.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interest costs were $97.1 million and $96.9 million in the nine months ended September 30, 2019 and 2018, respectively. Capitalized interest was $14.5 million and $14.8 million in the nine months ended September 30, 2019 and 2018,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Partnerships</w:t>
      </w:r>
    </w:p>
    <w:p>
      <w:pPr>
        <w:spacing w:after="0" w:line="9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Loss from partnerships decreased $1.4 million, or 51.7% , to $1.3 million in the nine months ended September 30, 2019 compared to $2.7 million in the nine months ended September 30, 2018. This decrease is due primarily to improved operating results at our Assembly Row and Pike &amp; Rose hotel joint ventures, which opened in August 2018 and March 2018,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largely paid to our common and preferred shareholders in the form of dividends. As a REIT, we must generally make annual distributions to shareholders of at least 90% of our taxable income.</w:t>
      </w:r>
    </w:p>
    <w:p>
      <w:pPr>
        <w:spacing w:after="0" w:line="12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0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September 30, 2019, we had cash and cash equivalents of $162.5 million and no outstanding balance on our revolving credit facility. For the nine months ended September 30, 2019, the maximum amount of borrowings outstanding under our revolving credit facility was $116.5 million, the weighted average amount of borrowings outstanding was $34.7 million and the weighted average interest rate, before amortization of debt fees, was 3.2%. On July 25, 2019, we amended our revolving credit facility to</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6" w:right="25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increase our borrowing capacity from $800.0 million to $1.0 billion, lower our spread over LIBOR from 82.5 basis points to 77.5 basis points, and extend the maturity date to January 19, 2024, plus two six-month extensions at our option. In addition, we have an option (subject to bank approval) to increase the credit facility through an accordion feature to $1.5 billion.</w:t>
      </w:r>
    </w:p>
    <w:p>
      <w:pPr>
        <w:spacing w:after="0" w:line="1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June 7, 2019, we issued $300.0 million of fixed rate senior unsecured notes that mature on June 15, 2029 and bear interest at 3.20%. On August 21, 2019, we issued an additional $100.0 million senior notes of the same series and with the same terms. The combined net proceeds of $399.9 million were primarily used to repay our $275.0 million unsecured term loan, which was to mature in November 2019, resulting in no remaining debt maturing in 2019. During the nine months ended September 30, 2019, we raised $142.8 million, after fees and other costs, under our ATM equity program, which as of September 30, 2019, had the capacity to issue up to $128.3 million in common shares. We currently believe that cash flows from operations, cash on hand, our ATM program, our revolving credit facility and our general ability to access the capital markets will be sufficient to finance our operations and fund our debt service requirements and capital expenditures.</w:t>
      </w:r>
    </w:p>
    <w:p>
      <w:pPr>
        <w:spacing w:after="0" w:line="13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overall capital requirements for the remainder of 2019 will depend upon acquisition opportunities, the level of improvements and redevelopments on existing properties and the timing and cost of development of Assembly Row, Pike &amp; Rose and Santana Row. While the amount of future expenditures will depend on numerous factors, we expect to see higher levels of capital investments in our properties under development and redevelopment compared to 2018, as we invest in the next phase of these projects.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delay the timing of certain development and redevelopment projects as well as limit future acquisitions, reduce our operating expenditures, or re-evaluate our dividend policy.</w:t>
      </w:r>
    </w:p>
    <w:p>
      <w:pPr>
        <w:spacing w:after="0" w:line="11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700" w:right="40" w:hanging="801"/>
        <w:spacing w:after="0" w:line="250" w:lineRule="auto"/>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ind w:left="1700" w:hanging="801"/>
        <w:spacing w:after="0"/>
        <w:tabs>
          <w:tab w:leader="none" w:pos="1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8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196"/>
        </w:trPr>
        <w:tc>
          <w:tcPr>
            <w:tcW w:w="8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344,306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364,716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(227,266)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(111,773)</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(18,456)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(183,342)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Increase in cash, cash equivalents and restricted cash</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98,584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69,601</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108,332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25,200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206,916</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94,801</w:t>
            </w:r>
          </w:p>
        </w:tc>
      </w:tr>
      <w:tr>
        <w:trPr>
          <w:trHeight w:val="27"/>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Net cash provided by operating activities decreased $20.4 million to $344.3 million during the nine months ended September 30, 2019 from $364.7 million during the nine months ended September 30, 2018. The decrease was primarily attributable to the $14.5 million lease buyout payment at Assembly Square Marketplace in August 2019, $12.4 million in net proceeds from the Jordan Downs Plaza new market tax credit transaction in June 2018, and the timing of cash receipts.</w:t>
      </w:r>
    </w:p>
    <w:p>
      <w:pPr>
        <w:spacing w:after="0" w:line="1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Net cash used in investing activities increased $115.5 million to $227.3 million during the nine months ended September 30, 2019 from $111.8 million during the nine months ended September 30, 2018. The increase was primarily attributable to:</w:t>
      </w:r>
    </w:p>
    <w:p>
      <w:pPr>
        <w:spacing w:after="0" w:line="8" w:lineRule="exact"/>
        <w:rPr>
          <w:sz w:val="20"/>
          <w:szCs w:val="20"/>
          <w:color w:val="auto"/>
        </w:rPr>
      </w:pPr>
    </w:p>
    <w:p>
      <w:pPr>
        <w:ind w:left="1140" w:right="600" w:hanging="241"/>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$41.5 million increase in acquisition of real estate, primarily due to the acquisitions of Fairfax Junction in February 2019 and a retail building in Hoboken, New Jersey in September 2019,</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$38.0 million in proceeds from our Assembly Row hotel joint venture formation in August 2018,</w:t>
      </w:r>
    </w:p>
    <w:p>
      <w:pPr>
        <w:spacing w:after="0" w:line="63" w:lineRule="exact"/>
        <w:rPr>
          <w:rFonts w:ascii="Arial" w:cs="Arial" w:eastAsia="Arial" w:hAnsi="Arial"/>
          <w:sz w:val="18"/>
          <w:szCs w:val="18"/>
          <w:color w:val="auto"/>
        </w:rPr>
      </w:pPr>
    </w:p>
    <w:p>
      <w:pPr>
        <w:ind w:left="1140" w:right="300" w:hanging="241"/>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$26.9 million decrease in proceeds from sales of real estate, resulting from a decrease in the sale of condominiums at our Assembly Row and Pike &amp; Rose properties, partially offset by the sale of two properties in 2019,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6" w:right="2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left="1140" w:right="880" w:hanging="241"/>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$11.9 million increase in capital expenditures as we continue to invest in Pike &amp; Rose, Assembly Row, Santana Row and other redevelopments.</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cash used in financing activities decreased $164.9 million to $18.5 million during the nine months ended September 30, 2019 from $183.3 million during the nine months ended September 30, 2018. The decrease was primarily attributable to:</w:t>
      </w:r>
    </w:p>
    <w:p>
      <w:pPr>
        <w:spacing w:after="0" w:line="8" w:lineRule="exact"/>
        <w:rPr>
          <w:sz w:val="20"/>
          <w:szCs w:val="20"/>
          <w:color w:val="auto"/>
        </w:rPr>
      </w:pPr>
    </w:p>
    <w:p>
      <w:pPr>
        <w:ind w:left="1140" w:right="240" w:hanging="241"/>
        <w:spacing w:after="0" w:line="277"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$400.1 million in net proceeds from the issuance of $300.0 million of 3.20% senior unsecured notes in June 2019 and an additional $100.0 million of the same series in August 2019,</w:t>
      </w:r>
    </w:p>
    <w:p>
      <w:pPr>
        <w:spacing w:after="0" w:line="8" w:lineRule="exact"/>
        <w:rPr>
          <w:rFonts w:ascii="Arial" w:cs="Arial" w:eastAsia="Arial" w:hAnsi="Arial"/>
          <w:sz w:val="18"/>
          <w:szCs w:val="18"/>
          <w:color w:val="auto"/>
        </w:rPr>
      </w:pPr>
    </w:p>
    <w:p>
      <w:pPr>
        <w:ind w:left="1140" w:right="20" w:hanging="241"/>
        <w:spacing w:after="0" w:line="264"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$58.1 million increase in net proceeds from the issuance of 1.0 million common shares under our ATM program at a weighted average price of $134.68 during the nine months ended September 30, 2019, as compared to 0.6 million common shares at a weighted average price of $127.86 in 2018, and</w:t>
      </w:r>
    </w:p>
    <w:p>
      <w:pPr>
        <w:spacing w:after="0" w:line="19" w:lineRule="exact"/>
        <w:rPr>
          <w:rFonts w:ascii="Arial" w:cs="Arial" w:eastAsia="Arial" w:hAnsi="Arial"/>
          <w:sz w:val="18"/>
          <w:szCs w:val="18"/>
          <w:color w:val="auto"/>
        </w:rPr>
      </w:pPr>
    </w:p>
    <w:p>
      <w:pPr>
        <w:ind w:left="1140" w:right="720" w:hanging="241"/>
        <w:spacing w:after="0" w:line="277"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$14.5 million of repayments on our revolving credit facility in 2018, partially offset by $4.0 million of costs related to the July 2019 amendment,</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400" w:hanging="241"/>
        <w:spacing w:after="0" w:line="286" w:lineRule="auto"/>
        <w:tabs>
          <w:tab w:leader="none" w:pos="1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$284.3 million increase in repayment of mortgages, finance leases, and notes payable primarily due to the payoff of our $275.0 million unsecured term loan in June 2019 and the $20.3 million payoff of the mortgage loan on Rollingwood Apartments in January 2019, as compared to the $10.5 million payoff of the mortgage loan on the Grove at Shrewsbury (West) in March 2018, and</w:t>
      </w:r>
    </w:p>
    <w:p>
      <w:pPr>
        <w:spacing w:after="0" w:line="3" w:lineRule="exact"/>
        <w:rPr>
          <w:rFonts w:ascii="Arial" w:cs="Arial" w:eastAsia="Arial" w:hAnsi="Arial"/>
          <w:sz w:val="17"/>
          <w:szCs w:val="17"/>
          <w:color w:val="auto"/>
        </w:rPr>
      </w:pPr>
    </w:p>
    <w:p>
      <w:pPr>
        <w:ind w:left="1140" w:hanging="241"/>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$8.7 million increase in dividends paid to shareholders due to an increase in the common share dividend rate and an increase in the number of common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6" w:right="27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September 30,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140" w:type="dxa"/>
            <w:vAlign w:val="bottom"/>
          </w:tcPr>
          <w:p>
            <w:pPr>
              <w:jc w:val="right"/>
              <w:ind w:right="280"/>
              <w:spacing w:after="0"/>
              <w:rPr>
                <w:sz w:val="20"/>
                <w:szCs w:val="20"/>
                <w:color w:val="auto"/>
              </w:rPr>
            </w:pPr>
            <w:r>
              <w:rPr>
                <w:rFonts w:ascii="Arial" w:cs="Arial" w:eastAsia="Arial" w:hAnsi="Arial"/>
                <w:sz w:val="14"/>
                <w:szCs w:val="14"/>
                <w:b w:val="1"/>
                <w:bCs w:val="1"/>
                <w:color w:val="auto"/>
              </w:rPr>
              <w:t>Original</w:t>
            </w: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Principal Balance as</w:t>
            </w:r>
          </w:p>
        </w:tc>
        <w:tc>
          <w:tcPr>
            <w:tcW w:w="120" w:type="dxa"/>
            <w:vAlign w:val="bottom"/>
          </w:tcPr>
          <w:p>
            <w:pPr>
              <w:spacing w:after="0"/>
              <w:rPr>
                <w:sz w:val="14"/>
                <w:szCs w:val="14"/>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Stated Interest Rate as of</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140" w:type="dxa"/>
            <w:vAlign w:val="bottom"/>
          </w:tcPr>
          <w:p>
            <w:pPr>
              <w:jc w:val="right"/>
              <w:ind w:right="400"/>
              <w:spacing w:after="0" w:line="149" w:lineRule="exact"/>
              <w:rPr>
                <w:sz w:val="20"/>
                <w:szCs w:val="20"/>
                <w:color w:val="auto"/>
              </w:rPr>
            </w:pPr>
            <w:r>
              <w:rPr>
                <w:rFonts w:ascii="Arial" w:cs="Arial" w:eastAsia="Arial" w:hAnsi="Arial"/>
                <w:sz w:val="14"/>
                <w:szCs w:val="14"/>
                <w:b w:val="1"/>
                <w:bCs w:val="1"/>
                <w:color w:val="auto"/>
              </w:rPr>
              <w:t>Debt</w:t>
            </w:r>
          </w:p>
        </w:tc>
        <w:tc>
          <w:tcPr>
            <w:tcW w:w="120" w:type="dxa"/>
            <w:vAlign w:val="bottom"/>
          </w:tcPr>
          <w:p>
            <w:pPr>
              <w:spacing w:after="0"/>
              <w:rPr>
                <w:sz w:val="12"/>
                <w:szCs w:val="12"/>
                <w:color w:val="auto"/>
              </w:rPr>
            </w:pPr>
          </w:p>
        </w:tc>
        <w:tc>
          <w:tcPr>
            <w:tcW w:w="122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w w:val="92"/>
              </w:rPr>
              <w:t>of September 30,</w:t>
            </w: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2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5260" w:type="dxa"/>
            <w:vAlign w:val="bottom"/>
            <w:vMerge w:val="continue"/>
          </w:tcPr>
          <w:p>
            <w:pPr>
              <w:spacing w:after="0"/>
              <w:rPr>
                <w:sz w:val="16"/>
                <w:szCs w:val="16"/>
                <w:color w:val="auto"/>
              </w:rPr>
            </w:pPr>
          </w:p>
        </w:tc>
        <w:tc>
          <w:tcPr>
            <w:tcW w:w="1140" w:type="dxa"/>
            <w:vAlign w:val="bottom"/>
          </w:tcPr>
          <w:p>
            <w:pPr>
              <w:ind w:left="320"/>
              <w:spacing w:after="0"/>
              <w:rPr>
                <w:sz w:val="20"/>
                <w:szCs w:val="20"/>
                <w:color w:val="auto"/>
              </w:rPr>
            </w:pPr>
            <w:r>
              <w:rPr>
                <w:rFonts w:ascii="Arial" w:cs="Arial" w:eastAsia="Arial" w:hAnsi="Arial"/>
                <w:sz w:val="14"/>
                <w:szCs w:val="14"/>
                <w:b w:val="1"/>
                <w:bCs w:val="1"/>
                <w:color w:val="auto"/>
              </w:rPr>
              <w:t>Issued</w:t>
            </w:r>
          </w:p>
        </w:tc>
        <w:tc>
          <w:tcPr>
            <w:tcW w:w="120" w:type="dxa"/>
            <w:vAlign w:val="bottom"/>
          </w:tcPr>
          <w:p>
            <w:pPr>
              <w:spacing w:after="0"/>
              <w:rPr>
                <w:sz w:val="16"/>
                <w:szCs w:val="16"/>
                <w:color w:val="auto"/>
              </w:rPr>
            </w:pPr>
          </w:p>
        </w:tc>
        <w:tc>
          <w:tcPr>
            <w:tcW w:w="1220" w:type="dxa"/>
            <w:vAlign w:val="bottom"/>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 2019</w:t>
            </w: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2480" w:type="dxa"/>
            <w:vAlign w:val="bottom"/>
            <w:tcBorders>
              <w:top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(Dollar amounts in thousands)</w:t>
            </w:r>
          </w:p>
        </w:tc>
        <w:tc>
          <w:tcPr>
            <w:tcW w:w="12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w:t>
            </w: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180"/>
              <w:spacing w:after="0"/>
              <w:rPr>
                <w:sz w:val="20"/>
                <w:szCs w:val="20"/>
                <w:color w:val="auto"/>
              </w:rPr>
            </w:pPr>
            <w:r>
              <w:rPr>
                <w:rFonts w:ascii="Arial" w:cs="Arial" w:eastAsia="Arial" w:hAnsi="Arial"/>
                <w:sz w:val="16"/>
                <w:szCs w:val="16"/>
                <w:i w:val="1"/>
                <w:iCs w:val="1"/>
                <w:color w:val="auto"/>
              </w:rPr>
              <w:t>Secured fixed rate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Shops at Sunset Place</w:t>
            </w:r>
          </w:p>
        </w:tc>
        <w:tc>
          <w:tcPr>
            <w:tcW w:w="1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62,761</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1, 2020</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29th Place</w:t>
            </w:r>
          </w:p>
        </w:tc>
        <w:tc>
          <w:tcPr>
            <w:tcW w:w="1140" w:type="dxa"/>
            <w:vAlign w:val="bottom"/>
          </w:tcPr>
          <w:p>
            <w:pPr>
              <w:ind w:left="32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3,939</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Sylmar Towne Center</w:t>
            </w:r>
          </w:p>
        </w:tc>
        <w:tc>
          <w:tcPr>
            <w:tcW w:w="1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16,727</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6, 2021</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Plaza Del Sol</w:t>
            </w:r>
          </w:p>
        </w:tc>
        <w:tc>
          <w:tcPr>
            <w:tcW w:w="1140" w:type="dxa"/>
            <w:vAlign w:val="bottom"/>
          </w:tcPr>
          <w:p>
            <w:pPr>
              <w:ind w:left="32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8,275</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December 1, 2021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AVENUE at White Marsh</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52,705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52,705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2022</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Montrose Crossing</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80,000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67,954</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Azalea</w:t>
            </w:r>
          </w:p>
        </w:tc>
        <w:tc>
          <w:tcPr>
            <w:tcW w:w="1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2025</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Bell Gardens</w:t>
            </w:r>
          </w:p>
        </w:tc>
        <w:tc>
          <w:tcPr>
            <w:tcW w:w="1140" w:type="dxa"/>
            <w:vAlign w:val="bottom"/>
          </w:tcPr>
          <w:p>
            <w:pPr>
              <w:ind w:left="32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12,743</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August 1, 2026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Plaza El Segundo</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5, 2027</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The Grove at Shrewsbury (East)</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43,600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43,600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September 1, 2027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Brook 35</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11,500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Chelsea</w:t>
            </w:r>
          </w:p>
        </w:tc>
        <w:tc>
          <w:tcPr>
            <w:tcW w:w="1140" w:type="dxa"/>
            <w:vAlign w:val="bottom"/>
          </w:tcPr>
          <w:p>
            <w:pPr>
              <w:ind w:left="32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5,684</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Hoboken (1)</w:t>
            </w:r>
          </w:p>
        </w:tc>
        <w:tc>
          <w:tcPr>
            <w:tcW w:w="1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16,951</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2042</w:t>
            </w: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467,839</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premium and debt issuance costs</w:t>
            </w: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Total mortgages payable, net</w:t>
            </w: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466,600</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Notes payable</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Revolving credit facility (2)</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1,000,000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6"/>
                <w:szCs w:val="16"/>
                <w:color w:val="auto"/>
              </w:rPr>
              <w:t>LIBOR + 0.775%</w:t>
            </w:r>
          </w:p>
        </w:tc>
        <w:tc>
          <w:tcPr>
            <w:tcW w:w="1820" w:type="dxa"/>
            <w:vAlign w:val="bottom"/>
          </w:tcPr>
          <w:p>
            <w:pPr>
              <w:jc w:val="right"/>
              <w:spacing w:after="0"/>
              <w:rPr>
                <w:sz w:val="20"/>
                <w:szCs w:val="20"/>
                <w:color w:val="auto"/>
              </w:rPr>
            </w:pPr>
            <w:r>
              <w:rPr>
                <w:rFonts w:ascii="Arial" w:cs="Arial" w:eastAsia="Arial" w:hAnsi="Arial"/>
                <w:sz w:val="16"/>
                <w:szCs w:val="16"/>
                <w:color w:val="auto"/>
              </w:rPr>
              <w:t>January 19, 2024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Various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7,239</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3,953</w:t>
            </w:r>
          </w:p>
        </w:tc>
        <w:tc>
          <w:tcPr>
            <w:tcW w:w="174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11.31%</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3,953</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debt issuance costs</w:t>
            </w: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Total notes payable, net</w:t>
            </w: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3,889</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2.55% notes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January 15, 2021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3.00%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2.75% notes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3.95%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7.48% debentures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29,200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3.25%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475,000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15, 2027</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6.82% medium term notes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3.20%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15, 2029</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4.50% notes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550,000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3.625%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2046</w:t>
            </w: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2,819,200</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discount and debt issuance costs</w:t>
            </w: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(12,778)</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Total senior notes and debentures, net</w:t>
            </w: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2,806,422</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Total debt, net</w:t>
            </w:r>
          </w:p>
        </w:tc>
        <w:tc>
          <w:tcPr>
            <w:tcW w:w="114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3,276,911</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6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36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mortgage loan has a fixed interest rate, however, the rate resets every five years until maturity. The current interest rate is fixed until July 1, 2022, and the loan is prepayable at par anytime after this date.</w:t>
      </w:r>
    </w:p>
    <w:p>
      <w:pPr>
        <w:spacing w:after="0" w:line="8" w:lineRule="exact"/>
        <w:rPr>
          <w:rFonts w:ascii="Arial" w:cs="Arial" w:eastAsia="Arial" w:hAnsi="Arial"/>
          <w:sz w:val="18"/>
          <w:szCs w:val="18"/>
          <w:color w:val="auto"/>
        </w:rPr>
      </w:pPr>
    </w:p>
    <w:p>
      <w:pPr>
        <w:ind w:left="660" w:right="30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the nine months ended September 30, 2019 was $116.5 million, and the weighted average interest rate on borrowings under our revolving credit facility, before amortization of debt fees, was 3.2%. Our revolving credit facility matures on January 19, 2024, and has two six month extensions at our option.</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revolving credit facility and other debt agreements include financial and other covenants that may limit our operating activities in the future. As of September 30, 2019, we were in compliance with all financial and other covenants related to our revolving credit facility and senior notes. Additionally, as of September 30, 2019, we were in compliance with all of the financial and other covenants that could trigger loan default on our mortgage loans. If we were to breach any of these financial</w:t>
      </w:r>
    </w:p>
    <w:p>
      <w:pPr>
        <w:sectPr>
          <w:pgSz w:w="11900" w:h="16838" w:orient="portrait"/>
          <w:cols w:equalWidth="0" w:num="1">
            <w:col w:w="11420"/>
          </w:cols>
          <w:pgMar w:left="240" w:top="126" w:right="239" w:bottom="82"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6" w:right="239" w:bottom="82" w:gutter="0" w:footer="0" w:header="0"/>
          <w:type w:val="continuous"/>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September 30, 2019:</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Unsecured</w:t>
            </w:r>
          </w:p>
        </w:tc>
        <w:tc>
          <w:tcPr>
            <w:tcW w:w="180" w:type="dxa"/>
            <w:vAlign w:val="bottom"/>
          </w:tcPr>
          <w:p>
            <w:pPr>
              <w:spacing w:after="0"/>
              <w:rPr>
                <w:sz w:val="16"/>
                <w:szCs w:val="16"/>
                <w:color w:val="auto"/>
              </w:rPr>
            </w:pPr>
          </w:p>
        </w:tc>
        <w:tc>
          <w:tcPr>
            <w:tcW w:w="16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6"/>
              </w:rPr>
              <w:t>Secured</w:t>
            </w:r>
          </w:p>
        </w:tc>
        <w:tc>
          <w:tcPr>
            <w:tcW w:w="320" w:type="dxa"/>
            <w:vAlign w:val="bottom"/>
          </w:tcPr>
          <w:p>
            <w:pPr>
              <w:spacing w:after="0"/>
              <w:rPr>
                <w:sz w:val="16"/>
                <w:szCs w:val="16"/>
                <w:color w:val="auto"/>
              </w:rPr>
            </w:pPr>
          </w:p>
        </w:tc>
        <w:tc>
          <w:tcPr>
            <w:tcW w:w="148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2019</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w:t>
            </w:r>
          </w:p>
        </w:tc>
        <w:tc>
          <w:tcPr>
            <w:tcW w:w="4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1,452</w:t>
            </w:r>
          </w:p>
        </w:tc>
        <w:tc>
          <w:tcPr>
            <w:tcW w:w="4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1,564</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613</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65,853</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66,466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250,682</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30,868</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281,550</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250,758</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117,358</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368,116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275,787</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1,083</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276,870</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2,045,201</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251,225</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2,296,426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2,823,153</w:t>
            </w:r>
          </w:p>
        </w:tc>
        <w:tc>
          <w:tcPr>
            <w:tcW w:w="4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467,839</w:t>
            </w:r>
          </w:p>
        </w:tc>
        <w:tc>
          <w:tcPr>
            <w:tcW w:w="46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3,290,992  (1)</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820" w:right="280" w:hanging="812"/>
        <w:spacing w:after="0" w:line="277" w:lineRule="auto"/>
        <w:tabs>
          <w:tab w:leader="none" w:pos="17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total debt maturities differ from the total reported on the consolidated balance sheet due to the unamortized net premium/discount and debt issuance costs on mortgage loans, notes payable, and senior notes as of September 30,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income/loss which is included in accumulated other comprehensive loss on our consolidated balance sheet and our consolidated statement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12"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color w:val="auto"/>
        </w:rPr>
        <w:t>As of September 30, 2019, our Assembly Row hotel joint venture is party to two interest rate swap agreements that effectively fix their debt at 5.206%. Both swaps were designated and qualify for cash flow hedge accounting. Hedge ineffectiveness has not impacted earnings as of September 30,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17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6"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spacing w:after="0" w:line="16" w:lineRule="exact"/>
        <w:rPr>
          <w:sz w:val="20"/>
          <w:szCs w:val="20"/>
          <w:color w:val="auto"/>
        </w:rPr>
      </w:pPr>
    </w:p>
    <w:p>
      <w:pPr>
        <w:ind w:left="1700" w:right="460" w:hanging="801"/>
        <w:spacing w:after="0" w:line="277" w:lineRule="auto"/>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(In thousands, except per share data)</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67,106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64,180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211,576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192,644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(10,413)</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53,441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54,132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160,253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157,494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5,232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14,534</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Funds from operations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109,491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118,797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350,439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349,015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Funds from operations available for common shareholders (1)</w:t>
            </w: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107,960</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117,334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345,858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344,550</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common shares, diluted (2)</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75,554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74,254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75,342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73,992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per diluted share (1)</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4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Funds from operations available for common shareholders includes an $11.9 million charge relating to the buyout of a lease at Assembly Square Marketplace. If this charge was excluded, funds from operations available for common shareholders, per diluted share would have been $1.59 and $4.75 for the three and nine months ended September 30, 2019, respectively.</w:t>
      </w:r>
    </w:p>
    <w:p>
      <w:pPr>
        <w:spacing w:after="0" w:line="19" w:lineRule="exact"/>
        <w:rPr>
          <w:rFonts w:ascii="Arial" w:cs="Arial" w:eastAsia="Arial" w:hAnsi="Arial"/>
          <w:sz w:val="18"/>
          <w:szCs w:val="18"/>
          <w:color w:val="auto"/>
        </w:rPr>
      </w:pPr>
    </w:p>
    <w:p>
      <w:pPr>
        <w:ind w:left="660" w:righ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and our Series 1 preferred shares that were excluded from the computation of diluted EPS. Conversion of these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6"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left="660" w:right="800"/>
        <w:spacing w:after="0" w:line="324" w:lineRule="auto"/>
        <w:rPr>
          <w:sz w:val="20"/>
          <w:szCs w:val="20"/>
          <w:color w:val="auto"/>
        </w:rPr>
      </w:pPr>
      <w:r>
        <w:rPr>
          <w:rFonts w:ascii="Arial" w:cs="Arial" w:eastAsia="Arial" w:hAnsi="Arial"/>
          <w:sz w:val="18"/>
          <w:szCs w:val="18"/>
          <w:color w:val="auto"/>
        </w:rPr>
        <w:t>operating partnership units and preferred shares is dilutive in the computation of FFO per diluted common share but is anti-dilutive for the computation of diluted EPS for the periods presented.</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majority of our outstanding debt obligations (maturing at various times through 2046) have fixed interest rates which limit the risk of fluctuating interest rates. However, interest rate fluctuations may affect the fair value of our fixed rate debt instruments. At September 30, 2019, we had $3.3 million of fixed-rate debt outstanding. If market interest rates used to calculate the fair value on our fixed-rate debt instruments at September 30, 2019 had been 1.0% higher, the fair value of those debt instruments on that date would have decreased by approximately $254.8 million. If market interest rates used to calculate the fair value on our fixed-rate debt instruments at September 30, 2019 had been 1.0% lower, the fair value of those debt instruments on that date would have increased by approximately $293.7 million.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Generally, we believe that our primary interest rate risk is due to fluctuations in interest rates on our outstanding variable rate debt. At September 30, 2019, our only variable rate debt was our revolving credit facility, which had no outstanding balance.</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September 30, 2019. Based on this evaluation, our management, including our Chief Executive Officer and Chief Financial Officer, concluded that our disclosure controls and procedures were effective as of September 30, 2019 to provide reasonable assurance that information required to be disclosed in our reports filed or submitted under the Securities Exchange Act of 1934 is (i) recorded, processed, summarized and reported within the time periods specified in the rules and forms of the SEC and</w:t>
      </w:r>
    </w:p>
    <w:p>
      <w:pPr>
        <w:spacing w:after="0" w:line="2" w:lineRule="exact"/>
        <w:rPr>
          <w:sz w:val="20"/>
          <w:szCs w:val="20"/>
          <w:color w:val="auto"/>
        </w:rPr>
      </w:pPr>
    </w:p>
    <w:p>
      <w:pPr>
        <w:ind w:right="140" w:firstLine="8"/>
        <w:spacing w:after="0" w:line="261" w:lineRule="auto"/>
        <w:tabs>
          <w:tab w:leader="none" w:pos="2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accumulated and communicated to the Trust’s management including its principal executive and principal financial officer as appropriate to allow timely decisions regarding required disclosure.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quarterly period covered by this report that materially affected, or is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6"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have been no material developments in any of our legal proceedings since the disclosure contained in our Annual Report to Form 10-K for the fiscal year ended December 31, 2018.</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2018 filed with the SEC on February 13, 2019. These factors include, but are not limited to, the following:</w:t>
      </w:r>
    </w:p>
    <w:p>
      <w:pPr>
        <w:spacing w:after="0" w:line="8" w:lineRule="exact"/>
        <w:rPr>
          <w:sz w:val="20"/>
          <w:szCs w:val="20"/>
          <w:color w:val="auto"/>
        </w:rPr>
      </w:pPr>
    </w:p>
    <w:p>
      <w:pPr>
        <w:ind w:left="1700" w:right="60" w:hanging="801"/>
        <w:spacing w:after="0" w:line="277" w:lineRule="auto"/>
        <w:tabs>
          <w:tab w:leader="none" w:pos="1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8" w:lineRule="exact"/>
        <w:rPr>
          <w:rFonts w:ascii="Arial" w:cs="Arial" w:eastAsia="Arial" w:hAnsi="Arial"/>
          <w:sz w:val="18"/>
          <w:szCs w:val="18"/>
          <w:color w:val="auto"/>
        </w:rPr>
      </w:pPr>
    </w:p>
    <w:p>
      <w:pPr>
        <w:ind w:left="1700" w:right="20" w:hanging="801"/>
        <w:spacing w:after="0" w:line="264" w:lineRule="auto"/>
        <w:tabs>
          <w:tab w:leader="none" w:pos="1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9" w:lineRule="exact"/>
        <w:rPr>
          <w:rFonts w:ascii="Arial" w:cs="Arial" w:eastAsia="Arial" w:hAnsi="Arial"/>
          <w:sz w:val="18"/>
          <w:szCs w:val="18"/>
          <w:color w:val="auto"/>
        </w:rPr>
      </w:pPr>
    </w:p>
    <w:p>
      <w:pPr>
        <w:ind w:left="1700" w:hanging="801"/>
        <w:spacing w:after="0" w:line="264" w:lineRule="auto"/>
        <w:tabs>
          <w:tab w:leader="none" w:pos="1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not perform as planned, may be dependent on third parties to deliver critical aspects of certain projects, requires spending a substantial amount upfront in infrastructure, and assumes receipt of public funding which has been committed but not entirely funded;</w:t>
      </w:r>
    </w:p>
    <w:p>
      <w:pPr>
        <w:spacing w:after="0" w:line="19" w:lineRule="exact"/>
        <w:rPr>
          <w:rFonts w:ascii="Arial" w:cs="Arial" w:eastAsia="Arial" w:hAnsi="Arial"/>
          <w:sz w:val="18"/>
          <w:szCs w:val="18"/>
          <w:color w:val="auto"/>
        </w:rPr>
      </w:pPr>
    </w:p>
    <w:p>
      <w:pPr>
        <w:ind w:left="1700" w:hanging="801"/>
        <w:spacing w:after="0"/>
        <w:tabs>
          <w:tab w:leader="none" w:pos="1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63" w:lineRule="exact"/>
        <w:rPr>
          <w:rFonts w:ascii="Arial" w:cs="Arial" w:eastAsia="Arial" w:hAnsi="Arial"/>
          <w:sz w:val="18"/>
          <w:szCs w:val="18"/>
          <w:color w:val="auto"/>
        </w:rPr>
      </w:pPr>
    </w:p>
    <w:p>
      <w:pPr>
        <w:ind w:left="2760" w:right="520" w:hanging="807"/>
        <w:spacing w:after="0" w:line="277" w:lineRule="auto"/>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63" w:lineRule="exact"/>
        <w:rPr>
          <w:rFonts w:ascii="Arial" w:cs="Arial" w:eastAsia="Arial" w:hAnsi="Arial"/>
          <w:sz w:val="18"/>
          <w:szCs w:val="18"/>
          <w:color w:val="auto"/>
        </w:rPr>
      </w:pPr>
    </w:p>
    <w:p>
      <w:pPr>
        <w:ind w:left="2760" w:right="220" w:hanging="807"/>
        <w:spacing w:after="0" w:line="277" w:lineRule="auto"/>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that costs associated with the periodic maintenance and repair or renovation of space, insurance and other operations may increase,</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63" w:lineRule="exact"/>
        <w:rPr>
          <w:rFonts w:ascii="Arial" w:cs="Arial" w:eastAsia="Arial" w:hAnsi="Arial"/>
          <w:sz w:val="18"/>
          <w:szCs w:val="18"/>
          <w:color w:val="auto"/>
        </w:rPr>
      </w:pPr>
    </w:p>
    <w:p>
      <w:pPr>
        <w:ind w:left="1700" w:right="240" w:hanging="801"/>
        <w:spacing w:after="0" w:line="286" w:lineRule="auto"/>
        <w:tabs>
          <w:tab w:leader="none" w:pos="1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 w:lineRule="exact"/>
        <w:rPr>
          <w:rFonts w:ascii="Arial" w:cs="Arial" w:eastAsia="Arial" w:hAnsi="Arial"/>
          <w:sz w:val="17"/>
          <w:szCs w:val="17"/>
          <w:color w:val="auto"/>
        </w:rPr>
      </w:pPr>
    </w:p>
    <w:p>
      <w:pPr>
        <w:ind w:left="1700" w:right="60" w:hanging="801"/>
        <w:spacing w:after="0" w:line="264" w:lineRule="auto"/>
        <w:tabs>
          <w:tab w:leader="none" w:pos="1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3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terms of various partnership agreements of certain of our affiliated limited partnerships, the interest of limited partners in those limited partnerships may be redeemed, subject to certain conditions, for cash or common shares, at our option. During the three months ended September 30, 2019, we redeemed 552 downREIT operating partnership units for cash.</w:t>
      </w:r>
    </w:p>
    <w:p>
      <w:pPr>
        <w:spacing w:after="0" w:line="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From time to time, we could be deemed to have repurchased shares as a result of shares withheld for tax purposes upon a stock compensation related vesting event.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6" w:right="27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ectPr>
          <w:pgSz w:w="11900" w:h="16838" w:orient="portrait"/>
          <w:cols w:equalWidth="0" w:num="1">
            <w:col w:w="11200"/>
          </w:cols>
          <w:pgMar w:left="240" w:top="126" w:right="45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60" w:type="dxa"/>
            <w:vAlign w:val="bottom"/>
          </w:tcPr>
          <w:p>
            <w:pPr>
              <w:ind w:left="2860"/>
              <w:spacing w:after="0"/>
              <w:rPr>
                <w:sz w:val="20"/>
                <w:szCs w:val="20"/>
                <w:color w:val="auto"/>
              </w:rPr>
            </w:pPr>
            <w:r>
              <w:rPr>
                <w:rFonts w:ascii="Arial" w:cs="Arial" w:eastAsia="Arial" w:hAnsi="Arial"/>
                <w:sz w:val="18"/>
                <w:szCs w:val="18"/>
                <w:b w:val="1"/>
                <w:bCs w:val="1"/>
                <w:color w:val="auto"/>
              </w:rPr>
              <w:t>EXHIBIT INDEX</w:t>
            </w:r>
          </w:p>
        </w:tc>
      </w:tr>
      <w:tr>
        <w:trPr>
          <w:trHeight w:val="480"/>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00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c>
          <w:tcPr>
            <w:tcW w:w="9260" w:type="dxa"/>
            <w:vAlign w:val="bottom"/>
          </w:tcPr>
          <w:p>
            <w:pPr>
              <w:spacing w:after="0"/>
              <w:rPr>
                <w:sz w:val="24"/>
                <w:szCs w:val="24"/>
                <w:color w:val="auto"/>
              </w:rPr>
            </w:pPr>
          </w:p>
        </w:tc>
      </w:tr>
      <w:tr>
        <w:trPr>
          <w:trHeight w:val="324"/>
        </w:trPr>
        <w:tc>
          <w:tcPr>
            <w:tcW w:w="360" w:type="dxa"/>
            <w:vAlign w:val="bottom"/>
            <w:tcBorders>
              <w:top w:val="single" w:sz="8" w:color="auto"/>
            </w:tcBorders>
            <w:gridSpan w:val="2"/>
          </w:tcPr>
          <w:p>
            <w:pPr>
              <w:ind w:left="40"/>
              <w:spacing w:after="0"/>
              <w:rPr>
                <w:rFonts w:ascii="Arial" w:cs="Arial" w:eastAsia="Arial" w:hAnsi="Arial"/>
                <w:sz w:val="18"/>
                <w:szCs w:val="18"/>
                <w:color w:val="0000FF"/>
                <w:w w:val="79"/>
              </w:rPr>
            </w:pPr>
            <w:hyperlink r:id="rId39">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1</w:t>
              </w:r>
            </w:hyperlink>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w w:val="92"/>
              </w:rPr>
              <w:t>Amended and Restated Credit Agreement, dated as of July 25, 2019, by and among Federal Realty Investment Trust, each of the Lenders</w:t>
            </w:r>
          </w:p>
        </w:tc>
      </w:tr>
      <w:tr>
        <w:trPr>
          <w:trHeight w:val="222"/>
        </w:trPr>
        <w:tc>
          <w:tcPr>
            <w:tcW w:w="4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60" w:type="dxa"/>
            <w:vAlign w:val="bottom"/>
            <w:gridSpan w:val="2"/>
          </w:tcPr>
          <w:p>
            <w:pPr>
              <w:ind w:left="40"/>
              <w:spacing w:after="0"/>
              <w:rPr>
                <w:sz w:val="20"/>
                <w:szCs w:val="20"/>
                <w:color w:val="auto"/>
              </w:rPr>
            </w:pPr>
            <w:r>
              <w:rPr>
                <w:rFonts w:ascii="Arial" w:cs="Arial" w:eastAsia="Arial" w:hAnsi="Arial"/>
                <w:sz w:val="18"/>
                <w:szCs w:val="18"/>
                <w:color w:val="auto"/>
                <w:w w:val="93"/>
              </w:rPr>
              <w:t>party thereto, and PNC Bank, National Association, as Administrative Agent (previously filed as Exhibit 10.1 to the Trust's Current Report</w:t>
            </w:r>
          </w:p>
        </w:tc>
      </w:tr>
      <w:tr>
        <w:trPr>
          <w:trHeight w:val="230"/>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gridSpan w:val="2"/>
          </w:tcPr>
          <w:p>
            <w:pPr>
              <w:ind w:left="40"/>
              <w:spacing w:after="0"/>
              <w:rPr>
                <w:sz w:val="20"/>
                <w:szCs w:val="20"/>
                <w:color w:val="auto"/>
              </w:rPr>
            </w:pPr>
            <w:r>
              <w:rPr>
                <w:rFonts w:ascii="Arial" w:cs="Arial" w:eastAsia="Arial" w:hAnsi="Arial"/>
                <w:sz w:val="18"/>
                <w:szCs w:val="18"/>
                <w:color w:val="auto"/>
              </w:rPr>
              <w:t>on Form 8-K (File No. 1-07533), filed on July 29, 2019 and incorporated herin by reference)</w:t>
            </w:r>
          </w:p>
        </w:tc>
      </w:tr>
      <w:tr>
        <w:trPr>
          <w:trHeight w:val="351"/>
        </w:trPr>
        <w:tc>
          <w:tcPr>
            <w:tcW w:w="360" w:type="dxa"/>
            <w:vAlign w:val="bottom"/>
            <w:gridSpan w:val="2"/>
          </w:tcPr>
          <w:p>
            <w:pPr>
              <w:ind w:left="40"/>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2"/>
          </w:tcPr>
          <w:p>
            <w:pPr>
              <w:ind w:left="40"/>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60" w:type="dxa"/>
            <w:vAlign w:val="bottom"/>
            <w:gridSpan w:val="2"/>
          </w:tcPr>
          <w:p>
            <w:pPr>
              <w:spacing w:after="0" w:line="20" w:lineRule="exact"/>
              <w:rPr>
                <w:sz w:val="1"/>
                <w:szCs w:val="1"/>
                <w:color w:val="auto"/>
              </w:rPr>
            </w:pPr>
          </w:p>
        </w:tc>
      </w:tr>
      <w:tr>
        <w:trPr>
          <w:trHeight w:val="372"/>
        </w:trPr>
        <w:tc>
          <w:tcPr>
            <w:tcW w:w="360" w:type="dxa"/>
            <w:vAlign w:val="bottom"/>
            <w:gridSpan w:val="2"/>
          </w:tcPr>
          <w:p>
            <w:pPr>
              <w:ind w:left="40"/>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2"/>
          </w:tcPr>
          <w:p>
            <w:pPr>
              <w:ind w:left="40"/>
              <w:spacing w:after="0"/>
              <w:rPr>
                <w:sz w:val="20"/>
                <w:szCs w:val="20"/>
                <w:color w:val="auto"/>
              </w:rPr>
            </w:pPr>
            <w:r>
              <w:rPr>
                <w:rFonts w:ascii="Arial" w:cs="Arial" w:eastAsia="Arial" w:hAnsi="Arial"/>
                <w:sz w:val="18"/>
                <w:szCs w:val="18"/>
                <w:color w:val="auto"/>
              </w:rPr>
              <w:t>Rule 13a-14(a) Certification of Principal Financial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372"/>
        </w:trPr>
        <w:tc>
          <w:tcPr>
            <w:tcW w:w="360" w:type="dxa"/>
            <w:vAlign w:val="bottom"/>
            <w:gridSpan w:val="2"/>
          </w:tcPr>
          <w:p>
            <w:pPr>
              <w:ind w:left="40"/>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1</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w w:val="89"/>
              </w:rPr>
              <w:t>Section 1350</w:t>
            </w:r>
          </w:p>
        </w:tc>
        <w:tc>
          <w:tcPr>
            <w:tcW w:w="926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372"/>
        </w:trPr>
        <w:tc>
          <w:tcPr>
            <w:tcW w:w="360" w:type="dxa"/>
            <w:vAlign w:val="bottom"/>
            <w:gridSpan w:val="2"/>
          </w:tcPr>
          <w:p>
            <w:pPr>
              <w:ind w:left="4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2</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w w:val="89"/>
              </w:rPr>
              <w:t>Section 1350</w:t>
            </w:r>
          </w:p>
        </w:tc>
        <w:tc>
          <w:tcPr>
            <w:tcW w:w="926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bl>
    <w:p>
      <w:pPr>
        <w:spacing w:after="0" w:line="188" w:lineRule="exact"/>
        <w:rPr>
          <w:sz w:val="20"/>
          <w:szCs w:val="20"/>
          <w:color w:val="auto"/>
        </w:rPr>
      </w:pPr>
    </w:p>
    <w:p>
      <w:pPr>
        <w:ind w:left="1200" w:right="180" w:hanging="1165"/>
        <w:spacing w:after="0" w:line="259"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Quarterly Report on Form 10-Q for the quarter ended September 30, 2019,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146" w:lineRule="exact"/>
        <w:rPr>
          <w:sz w:val="20"/>
          <w:szCs w:val="20"/>
          <w:color w:val="auto"/>
        </w:rPr>
      </w:pPr>
    </w:p>
    <w:p>
      <w:pPr>
        <w:ind w:left="5620" w:right="3700" w:hanging="5585"/>
        <w:spacing w:after="0" w:line="590" w:lineRule="auto"/>
        <w:tabs>
          <w:tab w:leader="none" w:pos="11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 32</w:t>
      </w:r>
    </w:p>
    <w:p>
      <w:pPr>
        <w:sectPr>
          <w:pgSz w:w="11900" w:h="16838" w:orient="portrait"/>
          <w:cols w:equalWidth="0" w:num="1">
            <w:col w:w="11420"/>
          </w:cols>
          <w:pgMar w:left="240" w:top="126"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640" w:val="left"/>
          <w:tab w:leader="none" w:pos="8000" w:val="left"/>
        </w:tabs>
        <w:rPr>
          <w:sz w:val="20"/>
          <w:szCs w:val="20"/>
          <w:color w:val="auto"/>
        </w:rPr>
      </w:pPr>
      <w:r>
        <w:rPr>
          <w:rFonts w:ascii="Arial" w:cs="Arial" w:eastAsia="Arial" w:hAnsi="Arial"/>
          <w:sz w:val="18"/>
          <w:szCs w:val="18"/>
          <w:color w:val="auto"/>
        </w:rPr>
        <w:t>October 30, 2019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Executive Officer)</w:t>
      </w:r>
    </w:p>
    <w:p>
      <w:pPr>
        <w:spacing w:after="0" w:line="200" w:lineRule="exact"/>
        <w:rPr>
          <w:sz w:val="20"/>
          <w:szCs w:val="20"/>
          <w:color w:val="auto"/>
        </w:rPr>
      </w:pPr>
    </w:p>
    <w:p>
      <w:pPr>
        <w:spacing w:after="0" w:line="336"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60"/>
        <w:spacing w:after="0"/>
        <w:tabs>
          <w:tab w:leader="none" w:pos="7600" w:val="left"/>
          <w:tab w:leader="none" w:pos="7940" w:val="left"/>
        </w:tabs>
        <w:rPr>
          <w:sz w:val="20"/>
          <w:szCs w:val="20"/>
          <w:color w:val="auto"/>
        </w:rPr>
      </w:pPr>
      <w:r>
        <w:rPr>
          <w:rFonts w:ascii="Arial" w:cs="Arial" w:eastAsia="Arial" w:hAnsi="Arial"/>
          <w:sz w:val="18"/>
          <w:szCs w:val="18"/>
          <w:color w:val="auto"/>
        </w:rPr>
        <w:t>October 30, 2019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331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Executive Vice President</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80"/>
          </w:cols>
          <w:pgMar w:left="240" w:top="126" w:right="3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October 30, 2019</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Daniel Guglielmone</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October 30, 2019</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September 30, 2019 (the “Report”). The undersigned hereby certifies, to the best of his knowledge, that:</w:t>
      </w:r>
    </w:p>
    <w:p>
      <w:pPr>
        <w:spacing w:after="0" w:line="73" w:lineRule="exact"/>
        <w:rPr>
          <w:sz w:val="20"/>
          <w:szCs w:val="20"/>
          <w:color w:val="auto"/>
        </w:rPr>
      </w:pPr>
    </w:p>
    <w:p>
      <w:pPr>
        <w:ind w:left="1300" w:hanging="887"/>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October 30, 2019</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September 30, 2019 (the “Report”). The undersigned hereby certifies, to the best of his knowledge, that:</w:t>
      </w:r>
    </w:p>
    <w:p>
      <w:pPr>
        <w:spacing w:after="0" w:line="39" w:lineRule="exact"/>
        <w:rPr>
          <w:sz w:val="20"/>
          <w:szCs w:val="20"/>
          <w:color w:val="auto"/>
        </w:rPr>
      </w:pPr>
    </w:p>
    <w:p>
      <w:pPr>
        <w:ind w:left="1300" w:hanging="887"/>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October 30, 2019</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lowerRoman"/>
      <w:start w:val="2"/>
    </w:lvl>
  </w:abstractNum>
  <w:abstractNum w:abstractNumId="22">
    <w:nsid w:val="B03E0C6"/>
    <w:multiLevelType w:val="hybridMultilevel"/>
    <w:lvl w:ilvl="0">
      <w:lvlJc w:val="left"/>
      <w:lvlText w:val="•"/>
      <w:numFmt w:val="bullet"/>
      <w:start w:val="1"/>
    </w:lvl>
    <w:lvl w:ilvl="1">
      <w:lvlJc w:val="left"/>
      <w:lvlText w:val="•"/>
      <w:numFmt w:val="bullet"/>
      <w:start w:val="1"/>
    </w:lvl>
  </w:abstractNum>
  <w:abstractNum w:abstractNumId="23">
    <w:nsid w:val="189A769B"/>
    <w:multiLevelType w:val="hybridMultilevel"/>
    <w:lvl w:ilvl="0">
      <w:lvlJc w:val="left"/>
      <w:lvlText w:val="%1"/>
      <w:numFmt w:val="decimal"/>
      <w:start w:val="101"/>
    </w:lvl>
  </w:abstractNum>
  <w:abstractNum w:abstractNumId="24">
    <w:nsid w:val="54E49EB4"/>
    <w:multiLevelType w:val="hybridMultilevel"/>
    <w:lvl w:ilvl="0">
      <w:lvlJc w:val="left"/>
      <w:lvlText w:val="%1"/>
      <w:numFmt w:val="decimal"/>
      <w:start w:val="104"/>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39" Type="http://schemas.openxmlformats.org/officeDocument/2006/relationships/hyperlink" Target="http://www.sec.gov/Archives/edgar/data/34903/000119312519205407/d78328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2019-12-28T04:11:58Z</dcterms:created>
  <dcterms:modified xsi:type="dcterms:W3CDTF">2019-12-28T04:11:58Z</dcterms:modified>
</cp:coreProperties>
</file>