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540"/>
        <w:spacing w:after="0"/>
        <w:rPr>
          <w:sz w:val="20"/>
          <w:szCs w:val="20"/>
          <w:color w:val="auto"/>
        </w:rPr>
      </w:pPr>
      <w:r>
        <w:rPr>
          <w:rFonts w:ascii="Courier New" w:cs="Courier New" w:eastAsia="Courier New" w:hAnsi="Courier New"/>
          <w:sz w:val="18"/>
          <w:szCs w:val="18"/>
          <w:color w:val="auto"/>
        </w:rPr>
        <w:t>Rule No. 424(b)(2)</w:t>
      </w:r>
    </w:p>
    <w:p>
      <w:pPr>
        <w:ind w:left="5800"/>
        <w:spacing w:after="0" w:line="238" w:lineRule="auto"/>
        <w:rPr>
          <w:sz w:val="20"/>
          <w:szCs w:val="20"/>
          <w:color w:val="auto"/>
        </w:rPr>
      </w:pPr>
      <w:r>
        <w:rPr>
          <w:rFonts w:ascii="Courier New" w:cs="Courier New" w:eastAsia="Courier New" w:hAnsi="Courier New"/>
          <w:sz w:val="18"/>
          <w:szCs w:val="18"/>
          <w:color w:val="auto"/>
        </w:rPr>
        <w:t>Registration No. 33-63687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7, 1995)</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$40,000,000</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6 5/8% NOTES DUE 2005</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mature on December 1, 2005. Interest on the Notes is payable on June 1 and December 1 of each year, commencing June 1, 1996. The Notes are not redeemable prior to maturity. The Notes are unsecured obligations of the Trust and will rank equally with all unsecured and unsubordinated indebtedness of the Trust. The Notes will contain certain restrictions on the Trust's ability to incur additional indebtedness. See "Description of Notes-- Covenants."</w:t>
      </w:r>
    </w:p>
    <w:p>
      <w:pPr>
        <w:spacing w:after="0" w:line="211" w:lineRule="exact"/>
        <w:rPr>
          <w:sz w:val="24"/>
          <w:szCs w:val="24"/>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Notes will be represented by a single Global Security (as defined herein) registered in the name of The Depository Trust Company ("DTC") or its nominee. Interests in the Global Security will be shown on, and transfers thereof will be effected only through, records maintained by DTC and its participants. Except as described in "Description of Notes--Book-Entry System," Notes in definitive form will not be issued. The Notes will trade in DTC's Same-Day Funds Settlement System until maturity, and secondary market trading activity in the Notes will therefore settle in immediately available funds. All payments of principal and interest will be made by the Trust in immediately available funds. See "Description of Notes--Same-Day Settlement and Payment."</w:t>
      </w:r>
    </w:p>
    <w:p>
      <w:pPr>
        <w:spacing w:after="0" w:line="18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PROSPECTUS TO WHICH IT RELATES. ANY REPRESENTATION TO THE CONTRARY IS A CRIMINAL OFFENSE.</w:t>
      </w:r>
    </w:p>
    <w:p>
      <w:pPr>
        <w:spacing w:after="0" w:line="17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420" w:right="1879" w:hanging="419"/>
        <w:spacing w:after="0" w:line="290" w:lineRule="auto"/>
        <w:tabs>
          <w:tab w:leader="none" w:pos="400" w:val="left"/>
        </w:tabs>
        <w:rPr>
          <w:sz w:val="20"/>
          <w:szCs w:val="20"/>
          <w:color w:val="auto"/>
        </w:rPr>
      </w:pPr>
      <w:r>
        <w:rPr>
          <w:rFonts w:ascii="Courier New" w:cs="Courier New" w:eastAsia="Courier New" w:hAnsi="Courier New"/>
          <w:sz w:val="16"/>
          <w:szCs w:val="16"/>
          <w:color w:val="auto"/>
        </w:rPr>
        <w:t>THE</w:t>
        <w:tab/>
        <w:t>ATTORNEY GENERAL OF THE STATE OF NEW YORK HAS NOT PASSED ON OR ENDORSED THE MERITS OF THIS OFFERING. ANY REPRESENTATION TO THE CONTRARY IS UNLAWFUL.</w:t>
      </w:r>
    </w:p>
    <w:p>
      <w:pPr>
        <w:spacing w:after="0" w:line="17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4740"/>
        <w:spacing w:after="0"/>
        <w:tabs>
          <w:tab w:leader="none" w:pos="5780" w:val="left"/>
        </w:tabs>
        <w:rPr>
          <w:sz w:val="20"/>
          <w:szCs w:val="20"/>
          <w:color w:val="auto"/>
        </w:rPr>
      </w:pP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8"/>
          <w:szCs w:val="18"/>
          <w:color w:val="auto"/>
        </w:rPr>
        <w:t>UNDERWRITING</w:t>
      </w:r>
    </w:p>
    <w:p>
      <w:pPr>
        <w:ind w:left="4860"/>
        <w:spacing w:after="0"/>
        <w:tabs>
          <w:tab w:leader="none" w:pos="5680" w:val="left"/>
          <w:tab w:leader="none" w:pos="726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DISCOUNTS AND</w:t>
      </w:r>
      <w:r>
        <w:rPr>
          <w:sz w:val="20"/>
          <w:szCs w:val="20"/>
          <w:color w:val="auto"/>
        </w:rPr>
        <w:tab/>
      </w:r>
      <w:r>
        <w:rPr>
          <w:rFonts w:ascii="Courier New" w:cs="Courier New" w:eastAsia="Courier New" w:hAnsi="Courier New"/>
          <w:sz w:val="16"/>
          <w:szCs w:val="16"/>
          <w:color w:val="auto"/>
        </w:rPr>
        <w:t>PROCEEDS TO</w:t>
      </w:r>
    </w:p>
    <w:p>
      <w:pPr>
        <w:spacing w:after="0" w:line="5" w:lineRule="exact"/>
        <w:rPr>
          <w:sz w:val="24"/>
          <w:szCs w:val="24"/>
          <w:color w:val="auto"/>
        </w:rPr>
      </w:pPr>
    </w:p>
    <w:p>
      <w:pPr>
        <w:ind w:left="4540"/>
        <w:spacing w:after="0"/>
        <w:tabs>
          <w:tab w:leader="none" w:pos="5680" w:val="left"/>
        </w:tabs>
        <w:rPr>
          <w:sz w:val="20"/>
          <w:szCs w:val="20"/>
          <w:color w:val="auto"/>
        </w:rPr>
      </w:pPr>
      <w:r>
        <w:rPr>
          <w:rFonts w:ascii="Courier New" w:cs="Courier New" w:eastAsia="Courier New" w:hAnsi="Courier New"/>
          <w:sz w:val="18"/>
          <w:szCs w:val="18"/>
          <w:color w:val="auto"/>
        </w:rPr>
        <w:t>PUBLIC(1)</w:t>
      </w:r>
      <w:r>
        <w:rPr>
          <w:sz w:val="20"/>
          <w:szCs w:val="20"/>
          <w:color w:val="auto"/>
        </w:rPr>
        <w:tab/>
      </w:r>
      <w:r>
        <w:rPr>
          <w:rFonts w:ascii="Courier New" w:cs="Courier New" w:eastAsia="Courier New" w:hAnsi="Courier New"/>
          <w:sz w:val="16"/>
          <w:szCs w:val="16"/>
          <w:color w:val="auto"/>
        </w:rPr>
        <w:t>COMMISSIONS(2) TRUST(1)(3)</w:t>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4720" w:val="left"/>
          <w:tab w:leader="none" w:pos="6200" w:val="left"/>
          <w:tab w:leader="none" w:pos="7460" w:val="left"/>
        </w:tabs>
        <w:rPr>
          <w:sz w:val="20"/>
          <w:szCs w:val="20"/>
          <w:color w:val="auto"/>
        </w:rPr>
      </w:pPr>
      <w:r>
        <w:rPr>
          <w:rFonts w:ascii="Courier New" w:cs="Courier New" w:eastAsia="Courier New" w:hAnsi="Courier New"/>
          <w:sz w:val="18"/>
          <w:szCs w:val="18"/>
          <w:color w:val="auto"/>
        </w:rPr>
        <w:t>Per Note.................................</w:t>
      </w:r>
      <w:r>
        <w:rPr>
          <w:sz w:val="20"/>
          <w:szCs w:val="20"/>
          <w:color w:val="auto"/>
        </w:rPr>
        <w:tab/>
      </w:r>
      <w:r>
        <w:rPr>
          <w:rFonts w:ascii="Courier New" w:cs="Courier New" w:eastAsia="Courier New" w:hAnsi="Courier New"/>
          <w:sz w:val="18"/>
          <w:szCs w:val="18"/>
          <w:color w:val="auto"/>
        </w:rPr>
        <w:t>100%</w:t>
      </w:r>
      <w:r>
        <w:rPr>
          <w:sz w:val="20"/>
          <w:szCs w:val="20"/>
          <w:color w:val="auto"/>
        </w:rPr>
        <w:tab/>
      </w:r>
      <w:r>
        <w:rPr>
          <w:rFonts w:ascii="Courier New" w:cs="Courier New" w:eastAsia="Courier New" w:hAnsi="Courier New"/>
          <w:sz w:val="18"/>
          <w:szCs w:val="18"/>
          <w:color w:val="auto"/>
        </w:rPr>
        <w:t>.70%</w:t>
      </w:r>
      <w:r>
        <w:rPr>
          <w:sz w:val="20"/>
          <w:szCs w:val="20"/>
          <w:color w:val="auto"/>
        </w:rPr>
        <w:tab/>
      </w:r>
      <w:r>
        <w:rPr>
          <w:rFonts w:ascii="Courier New" w:cs="Courier New" w:eastAsia="Courier New" w:hAnsi="Courier New"/>
          <w:sz w:val="16"/>
          <w:szCs w:val="16"/>
          <w:color w:val="auto"/>
        </w:rPr>
        <w:t>99.30%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000" w:val="left"/>
          <w:tab w:leader="none" w:pos="7260" w:val="left"/>
        </w:tabs>
        <w:rPr>
          <w:sz w:val="20"/>
          <w:szCs w:val="20"/>
          <w:color w:val="auto"/>
        </w:rPr>
      </w:pPr>
      <w:r>
        <w:rPr>
          <w:rFonts w:ascii="Courier New" w:cs="Courier New" w:eastAsia="Courier New" w:hAnsi="Courier New"/>
          <w:sz w:val="18"/>
          <w:szCs w:val="18"/>
          <w:color w:val="auto"/>
        </w:rPr>
        <w:t>Total.................................... $40,000,000</w:t>
      </w:r>
      <w:r>
        <w:rPr>
          <w:sz w:val="20"/>
          <w:szCs w:val="20"/>
          <w:color w:val="auto"/>
        </w:rPr>
        <w:tab/>
      </w:r>
      <w:r>
        <w:rPr>
          <w:rFonts w:ascii="Courier New" w:cs="Courier New" w:eastAsia="Courier New" w:hAnsi="Courier New"/>
          <w:sz w:val="18"/>
          <w:szCs w:val="18"/>
          <w:color w:val="auto"/>
        </w:rPr>
        <w:t>$280,000</w:t>
      </w:r>
      <w:r>
        <w:rPr>
          <w:sz w:val="20"/>
          <w:szCs w:val="20"/>
          <w:color w:val="auto"/>
        </w:rPr>
        <w:tab/>
      </w:r>
      <w:r>
        <w:rPr>
          <w:rFonts w:ascii="Courier New" w:cs="Courier New" w:eastAsia="Courier New" w:hAnsi="Courier New"/>
          <w:sz w:val="16"/>
          <w:szCs w:val="16"/>
          <w:color w:val="auto"/>
        </w:rPr>
        <w:t>$39,720,000</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Plus accrued interest, if any, from December 8, 1995.</w:t>
      </w:r>
    </w:p>
    <w:p>
      <w:pPr>
        <w:spacing w:after="0" w:line="4" w:lineRule="exact"/>
        <w:rPr>
          <w:rFonts w:ascii="Courier New" w:cs="Courier New" w:eastAsia="Courier New" w:hAnsi="Courier New"/>
          <w:sz w:val="16"/>
          <w:szCs w:val="16"/>
          <w:color w:val="auto"/>
        </w:rPr>
      </w:pPr>
    </w:p>
    <w:p>
      <w:pPr>
        <w:ind w:left="420" w:right="2319" w:hanging="421"/>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The Trust has agreed to indemnify the Underwriter against certain liabilities, including liabilities under the Securities Act of 1933, as amended.</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Before deducting estimated expenses of $60,000 payable by the Trust.</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Notes are offered by the Underwriter, subject to prior sale, when, as and if delivered to and accepted by the Underwriter, and subject to its right to reject any order in whole or in part. It is expected that delivery of the Notes will be made on or about December 8, 1995 through the book-entry facilities of DTC against payment therefor in immediately available funds.</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Alex. Brown &amp; Sons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SUPPLEMENT IS DECEMBER 4, 1995.</w:t>
      </w:r>
    </w:p>
    <w:p>
      <w:pPr>
        <w:sectPr>
          <w:pgSz w:w="11900" w:h="16838" w:orient="portrait"/>
          <w:cols w:equalWidth="0" w:num="1">
            <w:col w:w="10219"/>
          </w:cols>
          <w:pgMar w:left="240" w:top="447" w:right="1440" w:bottom="0" w:gutter="0" w:footer="0" w:header="0"/>
        </w:sectPr>
      </w:pPr>
    </w:p>
    <w:bookmarkStart w:id="1" w:name="page2"/>
    <w:bookmarkEnd w:id="1"/>
    <w:p>
      <w:pPr>
        <w:ind w:right="1879" w:firstLine="211"/>
        <w:spacing w:after="0" w:line="270" w:lineRule="auto"/>
        <w:rPr>
          <w:sz w:val="20"/>
          <w:szCs w:val="20"/>
          <w:color w:val="auto"/>
        </w:rPr>
      </w:pPr>
      <w:r>
        <w:rPr>
          <w:rFonts w:ascii="Courier New" w:cs="Courier New" w:eastAsia="Courier New" w:hAnsi="Courier New"/>
          <w:sz w:val="16"/>
          <w:szCs w:val="16"/>
          <w:color w:val="auto"/>
        </w:rPr>
        <w:t>NO PERSON HAS BEEN AUTHORIZED IN CONNECTION WITH THE OFFERING MADE HEREBY TO GIVE ANY INFORMATION OR TO MAKE ANY REPRESENTATION NOT CONTAINED IN THIS PROSPECTUS SUPPLEMENT OR THE PROSPECTUS AND, IF GIVEN OR MADE, SUCH INFORMATION OR REPRESENTATION MUST NOT BE RELIED UPON AS HAVING BEEN AUTHORIZED BY THE TRUST OR THE UNDERWRITER. THIS PROSPECTUS SUPPLEMENT AND THE PROSPECTUS DO NOT CONSTITUTE AN OFFER TO SELL OR A SOLICITATION OF AN OFFER TO BUY ANY OF THE NOTES OFFERED HEREBY TO ANY PERSON OR BY ANYONE IN ANY JURISDICTION IN WHICH IT IS UNLAWFUL TO MAKE SUCH OFFER OR SOLICITATION. NEITHER THE DELIVERY OF THIS PROSPECTUS SUPPLEMENT AND PROSPECTUS NOR ANY SALE MADE HEREUNDER SHALL, UNDER ANY CIRCUMSTANCES, CREATE ANY IMPLICATION THAT THE INFORMATION CONTAINED HEREIN IS CORRECT AS OF ANY DATE SUBSEQUENT TO THE DATE HEREOF.</w:t>
      </w:r>
    </w:p>
    <w:p>
      <w:pPr>
        <w:spacing w:after="0" w:line="39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CONNECTION WITH THIS OFFERING, THE UNDERWRITER MAY OVER-ALLOT OR EFFECT TRANSACTIONS WHICH STABILIZE OR MAINTAIN THE MARKET PRICE OF THE NOTES AT A LEVEL ABOVE THAT WHICH MIGHT OTHERWISE PREVAIL IN THE OPEN MARKET. SUCH STABILIZING, IF COMMENCED, MAY BE DISCONTINUED AT ANY TIME.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20" w:type="dxa"/>
            <w:vAlign w:val="bottom"/>
          </w:tcPr>
          <w:p>
            <w:pPr>
              <w:ind w:left="3280"/>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r>
      <w:tr>
        <w:trPr>
          <w:trHeight w:val="405"/>
        </w:trPr>
        <w:tc>
          <w:tcPr>
            <w:tcW w:w="80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6"/>
              </w:rPr>
              <w:t>TABLE OF CONTENTS</w:t>
            </w:r>
          </w:p>
        </w:tc>
        <w:tc>
          <w:tcPr>
            <w:tcW w:w="420" w:type="dxa"/>
            <w:vAlign w:val="bottom"/>
          </w:tcPr>
          <w:p>
            <w:pPr>
              <w:spacing w:after="0"/>
              <w:rPr>
                <w:sz w:val="24"/>
                <w:szCs w:val="24"/>
                <w:color w:val="auto"/>
              </w:rPr>
            </w:pPr>
          </w:p>
        </w:tc>
      </w:tr>
      <w:tr>
        <w:trPr>
          <w:trHeight w:val="405"/>
        </w:trPr>
        <w:tc>
          <w:tcPr>
            <w:tcW w:w="80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PROSPECTUS SUPPLEMENT</w:t>
            </w:r>
          </w:p>
        </w:tc>
        <w:tc>
          <w:tcPr>
            <w:tcW w:w="420" w:type="dxa"/>
            <w:vAlign w:val="bottom"/>
          </w:tcPr>
          <w:p>
            <w:pPr>
              <w:spacing w:after="0"/>
              <w:rPr>
                <w:sz w:val="24"/>
                <w:szCs w:val="24"/>
                <w:color w:val="auto"/>
              </w:rPr>
            </w:pPr>
          </w:p>
        </w:tc>
      </w:tr>
      <w:tr>
        <w:trPr>
          <w:trHeight w:val="608"/>
        </w:trPr>
        <w:tc>
          <w:tcPr>
            <w:tcW w:w="80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80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8"/>
              </w:rPr>
              <w:t>The Trust..................................................................</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S-3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Recent Developments........................................................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Notes.......................................................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S-9</w:t>
            </w:r>
          </w:p>
        </w:tc>
      </w:tr>
      <w:tr>
        <w:trPr>
          <w:trHeight w:val="608"/>
        </w:trPr>
        <w:tc>
          <w:tcPr>
            <w:tcW w:w="8020" w:type="dxa"/>
            <w:vAlign w:val="bottom"/>
          </w:tcPr>
          <w:p>
            <w:pPr>
              <w:ind w:left="3700"/>
              <w:spacing w:after="0"/>
              <w:rPr>
                <w:sz w:val="20"/>
                <w:szCs w:val="20"/>
                <w:color w:val="auto"/>
              </w:rPr>
            </w:pPr>
            <w:r>
              <w:rPr>
                <w:rFonts w:ascii="Courier New" w:cs="Courier New" w:eastAsia="Courier New" w:hAnsi="Courier New"/>
                <w:sz w:val="18"/>
                <w:szCs w:val="18"/>
                <w:color w:val="auto"/>
              </w:rPr>
              <w:t>PROSPECTUS</w:t>
            </w:r>
          </w:p>
        </w:tc>
        <w:tc>
          <w:tcPr>
            <w:tcW w:w="420" w:type="dxa"/>
            <w:vAlign w:val="bottom"/>
          </w:tcPr>
          <w:p>
            <w:pPr>
              <w:spacing w:after="0"/>
              <w:rPr>
                <w:sz w:val="24"/>
                <w:szCs w:val="24"/>
                <w:color w:val="auto"/>
              </w:rPr>
            </w:pPr>
          </w:p>
        </w:tc>
      </w:tr>
      <w:tr>
        <w:trPr>
          <w:trHeight w:val="810"/>
        </w:trPr>
        <w:tc>
          <w:tcPr>
            <w:tcW w:w="8020" w:type="dxa"/>
            <w:vAlign w:val="bottom"/>
          </w:tcPr>
          <w:p>
            <w:pPr>
              <w:spacing w:after="0"/>
              <w:rPr>
                <w:sz w:val="20"/>
                <w:szCs w:val="20"/>
                <w:color w:val="auto"/>
              </w:rPr>
            </w:pPr>
            <w:r>
              <w:rPr>
                <w:rFonts w:ascii="Courier New" w:cs="Courier New" w:eastAsia="Courier New" w:hAnsi="Courier New"/>
                <w:sz w:val="18"/>
                <w:szCs w:val="18"/>
                <w:color w:val="auto"/>
                <w:w w:val="97"/>
              </w:rPr>
              <w:t>Available Information.......................................................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Incorporation of Certain Documents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 Trust...................................................................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Ratios of Earnings to Fixed Charges.........................................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Debt Securities..............................................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Preferred Shares.............................................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Common Shares................................................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Plan of Distribution........................................................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Legal Opinions..............................................................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Experts.....................................................................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608"/>
        </w:trPr>
        <w:tc>
          <w:tcPr>
            <w:tcW w:w="80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2"/>
              </w:rPr>
              <w:t>S-2</w:t>
            </w:r>
          </w:p>
        </w:tc>
        <w:tc>
          <w:tcPr>
            <w:tcW w:w="42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that manages, leases and supervises renovation of its properties. At September 30, 1995, the Trust owned 67 retail properties, primarily community and neighborhood shopping centers. At September 30, 1995, the occupancy rate of the core shopping center portfolio (which excludes centers acquired in the previous twelve months and centers under redevelopment) was 95%. Including all shopping centers owned at September 30, 1995, the occupancy rate was 95%.</w:t>
      </w:r>
    </w:p>
    <w:p>
      <w:pPr>
        <w:spacing w:after="0" w:line="215"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November 30, 1995, the Trust acquired the 47,000 square foot Park &amp; Shop retail center located in Washington, D.C. for $11.0 million in cash. On December 1, 1995, the Trust purchased a retail building in Evanston, Illinois for $2.6 million in cash. The Trust intends to continue its acquisition of retail properties, both shopping center and main street retail buildings, and redevelopment activities in 1995 and 1996. Acquisitions are targeted for the Trust's core major metropolitan markets of New York/New Jersey, Philadelphia, Baltimore/Washington, D.C. as well as the Chicago, Illinois and Boston, Massachusetts markets. In addition, the Trust is also pursuing site acquisitions in its core markets to permit the Trust to develop new shopping centers.</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net proceeds to the Trust from the sale of the Notes offered hereby, are estimated to be $39,660,000. The Trust intends to use the majority of the proceeds to repay debt, principally the Trust's revolving credit facilities.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3" w:name="page4"/>
    <w:bookmarkEnd w:id="3"/>
    <w:p>
      <w:pPr>
        <w:ind w:left="30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following description of the particular terms of the Notes offered hereby (referred to in the accompanying Prospectus as the "Debt Securities") supplements, and to the extent inconsistent therewith replaces, the description of the general terms and provisions of Debt Securities set forth in the Prospectus, to which description reference is hereby made. The following statements relating to the Notes and the Senior Indenture are summaries of provisions contained therein and do not purport to be complete. Such statements are qualified by reference to the provisions of the Notes and the Senior Indenture, including the definitions therein of certain terms. The Senior Indenture is an exhibit to the registration statement of which the Prospectus accompanying this Prospectus Supplement is a part. Capitalized terms not otherwise defined herein shall have the meanings given to them in the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6 5/8% Notes Due 2005 (the "Notes") will be limited to $40,000,000 aggregate principal amount and will mature on December 1, 2005. The Notes will not be redeemable prior to maturity. The Notes will be unsecured and unsubordinated obligations of the Trust and will rank equally with other unsecured and unsubordinated indebtedness of the Trust.</w:t>
      </w:r>
    </w:p>
    <w:p>
      <w:pPr>
        <w:spacing w:after="0" w:line="209"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The Notes will only be issued in fully registered book-entry form without coupons in denominations of $1,000 and integral multiples thereof, except under the limited circumstances described below under "--Book-Entry System."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bear interest at the rate set forth on the cover page of this Prospectus Supplement from December 8, 1995, or the most recent Interest Payment Date (as defined below) to which interest has been paid or provided for, payable semi-annually on June 1 and December 1 of each year, beginning June 1, 1996 (each, an "Interest Payment Date"), to the person in whose name a Note (or any predecessor Note) is registered at the close of business on the May 15 or November 15, as the case may be, next preceding such Interest Payment 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Limitations on Incurrence of Debt. The Notes will provide that the Trust will not, and will not permit any Subsidiary to, incur any Debt (as defined below) if, immediately after giving effect to the incurrence of such Debt and the application of the proceeds thereof, the aggregate principal amount of all outstanding Debt of the Trust and its Subsidiaries on a consolidated basis determined in accordance with generally accepted accounting principles is greater than 65% of the sum of (without duplication) (i) the Trust's Total Assets as of the end of the calendar quarter covered in the Trust's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Trust or any Subsidiary since the end of such calendar quarter, including those proceeds obtained in connection with the incurrence of such additional Debt.</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addition to the foregoing limitation on the incurrence of Debt, the Notes will provide that the Trust will not, and will not permit any Subsidiary to, incur any Debt secured by any mortgage, lien, charge, pledge, encumbrance or security interest of any kind upon any of the property of the Trust or any Subsidiary if, immediately after giving effect to the incurrence of such Debt and the application of the proceeds thereof, the aggregate principal amount of all outstanding Debt of the Trust and its Subsidiaries on a consolidated basis which is secured by any mortgage, lien, charge, pledge,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717" w:right="1440" w:bottom="144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encumbrance or security interest on property of the Trust or any Subsidiary is greater than 40% of the Trust's Total Assets; provided that for purposes of this limitation, the amount of obligations under capital leases shown as a liability on the Trust's consolidated balance sheet shall be deducted from Debt and from Total Assets.</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In addition to the foregoing limitations on the incurrence of Debt, the Notes will provide that the Trust will not and will not permit any Subsidiary to, incur any Senior Debt if the ratio of Consolidated Income Available for Senior Debt Service (as defined below) to the Annual Senior Debt Service Charge (as defined below) for the four consecutive fiscal quarters most recently ended prior to the date on which such Senior Debt is to be incurred shall have been less than 1.5, on an unaudited pro forma basis after giving effect thereto and to the application of the proceeds therefrom, and calculated on the assumption that (i) such Senior Debt and any other Senior Debt incurred by the Trust and its Subsidiaries since the first day of such four-quarter period and the application of the proceeds therefrom, including to refinance other Senior Debt, had occurred at the beginning of such period;</w:t>
      </w:r>
    </w:p>
    <w:p>
      <w:pPr>
        <w:spacing w:after="0" w:line="188" w:lineRule="exact"/>
        <w:rPr>
          <w:sz w:val="20"/>
          <w:szCs w:val="20"/>
          <w:color w:val="auto"/>
        </w:rPr>
      </w:pPr>
    </w:p>
    <w:p>
      <w:pPr>
        <w:ind w:right="1999" w:firstLine="8"/>
        <w:spacing w:after="0" w:line="238"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repayment or retirement of any other Senior Debt by the Trust and its Subsidiaries since the first day of such four-quarter period had been incurred, repaid or retired at the beginning of such period (except that, in making such computation, the amount of Senior Debt under any revolving credit facility shall be computed based upon the average daily balance of such Senior Debt during such period); (iii) in the case of Acquired Debt (as defined below) or Senior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Senior Debt had occurred as of the first day of such period with the appropriate adjustments with respect to such acquisition or disposition being included in such unaudited pro forma calculation.</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Furthermore, the Notes also will provide that the Trust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1.3, on an unaudited pro forma basis after giving effect thereto and to the application of the proceeds therefrom, and calculated on the assumption that (i) such Debt and any other Debt incurred by the Trust and its Subsidiaries since the first day of such four-quarter period and the application of the proceeds therefrom, including to refinance other Debt, had occurred at the beginning of such period; (ii) the repayment or retirement of any other Debt by the Trust and its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used herein,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"Acquired Debt" means Debt (or Senior Debt, as the case may be) of a Person</w:t>
      </w:r>
    </w:p>
    <w:p>
      <w:pPr>
        <w:spacing w:after="0" w:line="21" w:lineRule="exact"/>
        <w:rPr>
          <w:sz w:val="20"/>
          <w:szCs w:val="20"/>
          <w:color w:val="auto"/>
        </w:rPr>
      </w:pPr>
    </w:p>
    <w:p>
      <w:pPr>
        <w:ind w:right="219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at the time such Person becomes a Subsidiary or (ii) assumed in connection with the acquisition of assets from</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723" w:right="1440" w:bottom="144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such Person, in each case, other than Debt (or Senior Debt, as the case may be)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"Annual Debt Service Charge" as of any date means the maximum amount which is payable in any period for interest on, and original issue discount of, Debt of the Trust and its Subsidiaries and the amount of dividends which are payable in respect of any Disqualified Stock (as defined below).</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"Annual Senior Debt Service Charge" as of any date means the maximum amount which is payable in any period for interest on, and original issue discount of, Senior Debt of the Trust and its Subsidiaries.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"Consolidated Income Available for Debt Service" and "Consolidated Income Available for Senior Debt Service" for any period means Funds from Operations (as defined below) of the Trust and its Subsidiaries plus amounts which have been deducted for interest on Debt of the Trust and its Subsidiaries.</w:t>
      </w:r>
    </w:p>
    <w:p>
      <w:pPr>
        <w:spacing w:after="0" w:line="18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"Debt" means any indebtedness of the Trust, or any Subsidiary, whether or not contingent, in respect of (without duplication) (i) borrowed money or evidenced by bonds, notes, debentures or similar instruments, (ii) indebtedness secured by any mortgage, pledge, lien, charge, encumbrance or any security interest existing on property owned by the Trust or any Subsidiary,</w:t>
      </w:r>
    </w:p>
    <w:p>
      <w:pPr>
        <w:spacing w:after="0" w:line="1" w:lineRule="exact"/>
        <w:rPr>
          <w:sz w:val="20"/>
          <w:szCs w:val="20"/>
          <w:color w:val="auto"/>
        </w:rPr>
      </w:pPr>
    </w:p>
    <w:p>
      <w:pPr>
        <w:ind w:right="1999" w:firstLine="8"/>
        <w:spacing w:after="0" w:line="269" w:lineRule="auto"/>
        <w:tabs>
          <w:tab w:leader="none" w:pos="63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Trust or any Subsidiary with respect to redemption, repayment or other repurchase of any Disqualified Stock or (v) any lease of property by the Trust or any Subsidiary as lessee which is reflected on the Trust's consolidated balance sheet as a capitalized lease in accordance with generally accepted accounting principles to the extent, in the case of items of indebtedness under (i) through (iii) above, that any such items (other than letters of credit) would appear as a liability on the Trust's consolidated balance sheet in accordance with generally accepted accounting principles, and also includes, to the extent not otherwise included, any obligation of the Trust or any Subsidiary to be liable for, or to pay, as obligor, guarantor or otherwise (other than for purposes of collection in the ordinary course of business or for the purposes of guaranteeing the payment of all amounts due and owing pursuant to leases to which the Trust is a party and has assigned its interest, provided that such assignee of the Trust is not in default of any amounts due and owing under such leases), Debt of another Person (other than the Trust or any Subsidiary) (it being understood that Debt shall be deemed to be incurred by the Trust or any Subsidiary whenever the Trust or such Subsidiary shall create, assume, guarantee or otherwise become liable in respect thereof).</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w:t>
      </w:r>
    </w:p>
    <w:p>
      <w:pPr>
        <w:spacing w:after="0" w:line="6" w:lineRule="exact"/>
        <w:rPr>
          <w:sz w:val="20"/>
          <w:szCs w:val="20"/>
          <w:color w:val="auto"/>
        </w:rPr>
      </w:pPr>
    </w:p>
    <w:p>
      <w:pPr>
        <w:ind w:right="1999" w:firstLine="8"/>
        <w:spacing w:after="0" w:line="23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convertible into or exchangeable or exercisable for Debt or Disqualified Stock or (iii) is redeemable at the option of the holder thereof, in whole or in part, in each case on or prior to the Stated Maturity of the Notes.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219"/>
          </w:cols>
          <w:pgMar w:left="240" w:top="723" w:right="1440" w:bottom="1440" w:gutter="0" w:footer="0" w:header="0"/>
        </w:sectPr>
      </w:pPr>
    </w:p>
    <w:bookmarkStart w:id="6" w:name="page7"/>
    <w:bookmarkEnd w:id="6"/>
    <w:p>
      <w:pPr>
        <w:ind w:right="2099" w:firstLine="211"/>
        <w:spacing w:after="0" w:line="235" w:lineRule="auto"/>
        <w:rPr>
          <w:sz w:val="20"/>
          <w:szCs w:val="20"/>
          <w:color w:val="auto"/>
        </w:rPr>
      </w:pPr>
      <w:r>
        <w:rPr>
          <w:rFonts w:ascii="Courier New" w:cs="Courier New" w:eastAsia="Courier New" w:hAnsi="Courier New"/>
          <w:sz w:val="18"/>
          <w:szCs w:val="18"/>
          <w:color w:val="auto"/>
        </w:rPr>
        <w:t>"Funds from Operations" for any period means income before depreciation and amortization and extraordinary items less gain on sale of real estate.</w:t>
      </w:r>
    </w:p>
    <w:p>
      <w:pPr>
        <w:spacing w:after="0" w:line="208"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"Senior Debt" means Debt other than subordinated Debt and payments under Disqualified Stock of the Trust.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"Total Assets" as of any date means the sum of (i) the Trust's Undepreciated Real Estate Assets and (ii) all other assets of the Trust determined in accordance with generally accepted accounting principles (but excluding goodwill).</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"Undepreciated Real Estate Assets" as of any date means the cost (original cost plus capital improvements) of real estate assets of the Trust and its Subsidiaries on such date, before depreciation and amortization determined on a consolidated basis in accordance with generally accepted accounting principles.</w:t>
      </w:r>
    </w:p>
    <w:p>
      <w:pPr>
        <w:spacing w:after="0" w:line="209"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See "Description of Debt Securities--Certain Covenants" in the Prospectus for a description of additional covenants applicable to the Trust.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provisions of Article 14 of the Senior Indenture relating to defeasance and covenant defeasance, which are described in the accompanying Prospectus, will apply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Notes will be represented by a single global security (the "Global Security") and registered in the name of DTC or its nominee. Upon the issuance of the Global Security, DTC or its nominee will credit, on its book-entry registration and transfer system, the respective principal amounts of the Notes represented by the Global Security to the accounts designated by the Underwriter. Ownership of beneficial interests in the Global Security will be limited to institutions that have accounts with DTC or its nominee ("Participants") and to persons that may hold interests through Participants. Ownership of beneficial interests in the Global Security will be shown only on, and the transfer of those ownership interests will be effected only through, records maintained by such Participants. The laws of some jurisdictions may require that certain purchasers of securities take physical delivery of such securities in definitive form. Such limits and laws may impair the ability to transfer beneficial interests in the Global Security.</w:t>
      </w:r>
    </w:p>
    <w:p>
      <w:pPr>
        <w:spacing w:after="0" w:line="3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any provision of the Senior Indenture or the Notes, the Global Security may not be exchanged in whole or in part for Notes registered, and no transfer of the Global Security in whole or in part may be registered, in the name of any Person other than DTC or any nominee of DTC unless (i) DTC has notified the Trust that it is unwilling or unable to continue as depositary for the Global Security or has ceased to be qualified to act as such as required by the Senior Indenture or (ii) there shall have occurred and be continuing an Event of Default with respect to the Notes. All Notes issued in exchange for the Global Security or any portion thereof will be registered in such names as DTC may direct.</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long as DTC or its nominee is the registered holder and owner of the Global Security, DTC or such nominee, as the case may be, will be considered the sole owner and holder of the Notes for all purposes of such Notes and for all purposes under the Senior Indenture. Except in the limited circumstances referred to above, owners of beneficial interests in the Global Security will not be entitled to have the Notes registered in their names, will not receive or be entitled to receive physical delivery of certificated Notes in definitive form and will not be considered to be the owners or holders of any Notes under the Senior Indenture or the Notes. Payment of principal of, and interest and premium, if any, on the Notes will be made to DTC or its nominee, as the case may be, as the registered owner or holder of the Global Security.</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723" w:right="1440" w:bottom="1440" w:gutter="0" w:footer="0" w:header="0"/>
        </w:sectPr>
      </w:pPr>
    </w:p>
    <w:bookmarkStart w:id="7" w:name="page8"/>
    <w:bookmarkEnd w:id="7"/>
    <w:p>
      <w:pPr>
        <w:ind w:right="1879" w:firstLine="211"/>
        <w:spacing w:after="0" w:line="237" w:lineRule="auto"/>
        <w:rPr>
          <w:sz w:val="20"/>
          <w:szCs w:val="20"/>
          <w:color w:val="auto"/>
        </w:rPr>
      </w:pPr>
      <w:r>
        <w:rPr>
          <w:rFonts w:ascii="Courier New" w:cs="Courier New" w:eastAsia="Courier New" w:hAnsi="Courier New"/>
          <w:sz w:val="18"/>
          <w:szCs w:val="18"/>
          <w:color w:val="auto"/>
        </w:rPr>
        <w:t>Payments, transfers, exchanges and other matters relating to beneficial interests in the Global Security may be subject to various policies and procedures adopted by DTC from time to time. Neither the Trust nor the Trustee will have any responsibility or liability for any aspect of the records relating to, or payments made on account of, beneficial ownership interests in the Global Security for any Notes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Security owning through such Participants.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is based on information furnished by DTC:</w:t>
      </w:r>
    </w:p>
    <w:p>
      <w:pPr>
        <w:spacing w:after="0" w:line="207" w:lineRule="exact"/>
        <w:rPr>
          <w:sz w:val="20"/>
          <w:szCs w:val="20"/>
          <w:color w:val="auto"/>
        </w:rPr>
      </w:pPr>
    </w:p>
    <w:p>
      <w:pPr>
        <w:ind w:left="220" w:right="2099" w:firstLine="211"/>
        <w:spacing w:after="0" w:line="238" w:lineRule="auto"/>
        <w:rPr>
          <w:sz w:val="20"/>
          <w:szCs w:val="20"/>
          <w:color w:val="auto"/>
        </w:rPr>
      </w:pPr>
      <w:r>
        <w:rPr>
          <w:rFonts w:ascii="Courier New" w:cs="Courier New" w:eastAsia="Courier New" w:hAnsi="Courier New"/>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 DTC holds securities that its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(including the Underwriter), banks, trust companies, clearing corporations, and certain other organizations ("Direct Participants"). DTC is owned by a number of its Direct Participants and by the New York Stock Exchange, Inc., the American Stock Exchange, Inc. and the National Association of Securities Dealers, Inc. Access to the DTC system is also available to others such as securities brokers and dealers, banks and trust companies that clear through or maintain a custodial relationship with a Direct Participant, either directly or indirectly. The rules applicable to DTC and its Participants are on file with the Securities and Exchange Commission.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SAME-DAY SETTLEMENT AND PAYMENT</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Settlement for the Notes will be made by the Underwriter in immediately available funds. All payments of principal and interest will be made by the Trust in immediately available funds, so long as DTC continues to make its Same-Day Funds Settlement System available to 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Secondary trading in long-term notes and debentures of corporate issuers is generally settled in clearinghouse or next-day funds. In contrast, the Notes will trade in DTC's Same-Day Funds Settlement System, and secondary market trading activity in the Notes will therefore be required by DTC to settle in immediately available funds. No assurance can be given as to the effect, if any, of settlement in immediately available funds on trading activity in the Notes.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723"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terms and conditions of the Underwriting Agreement, the Underwriter, Alex. Brown &amp; Sons Incorporated, has agreed to purchase from the Trust the entire aggregate principal amount of the Notes. The Underwriting Agreement provides that the obligations of the Underwriter are subject to certain conditions precedent, and that the Underwriter will purchase all Notes offered hereby if any of such Notes are purchased.</w:t>
      </w: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 has been advised that the Underwriter proposes to offer the Notes to the public at the initial public offering price set forth on the cover page of this Prospectus Supplement and to certain dealers at such price less a concession not in excess of .45% of the principal amount of the Notes. The Underwriter may allow, and such dealers may re-allow, a concession not in excess of .25% of the principal amount of the Notes to certain other dealers. After the initial offering of the Notes, the offering price and other selling terms may from time to time be varied by the Underwriter.</w:t>
      </w:r>
    </w:p>
    <w:p>
      <w:pPr>
        <w:spacing w:after="0" w:line="186"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The Notes are a new issue of securities with no established trading market. The Trust has been advised by the Underwriter that the Underwriter intends to make a market in the Notes but is not obligated to do so and may discontinue market making at any time without notice. No assurance can be given as to the liquidity of the trading market for the Notes.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has agreed to indemnify the Underwriter against certain civil liabilities, including liabilities under the Securities Act of 1933, as amended, or to contribute to payments the Underwriter may be required to make in respect thereof.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219"/>
          </w:cols>
          <w:pgMar w:left="240" w:top="717" w:right="1440" w:bottom="1440" w:gutter="0" w:footer="0" w:header="0"/>
        </w:sectPr>
      </w:pPr>
    </w:p>
    <w:bookmarkStart w:id="9" w:name="page10"/>
    <w:bookmarkEnd w:id="9"/>
    <w:p>
      <w:pPr>
        <w:jc w:val="center"/>
        <w:ind w:right="199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$480,000,000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left="540" w:hanging="532"/>
        <w:spacing w:after="0" w:line="233"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w:t>
      </w:r>
    </w:p>
    <w:p>
      <w:pPr>
        <w:spacing w:after="0" w:line="4" w:lineRule="exact"/>
        <w:rPr>
          <w:rFonts w:ascii="Courier New" w:cs="Courier New" w:eastAsia="Courier New" w:hAnsi="Courier New"/>
          <w:sz w:val="18"/>
          <w:szCs w:val="18"/>
          <w:color w:val="auto"/>
        </w:rPr>
      </w:pPr>
    </w:p>
    <w:p>
      <w:pPr>
        <w:ind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shares, no par value (the "Common Shares"), with an aggregate public offering price of up to $480,000,000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ATTORNEY GENERAL OF THE STATE OF NEW YORK HAS NOT PASSED ON OR ENDORSED THE MERITS OF THIS OFFERING. ANY REPRESENTATION TO THE CONTRARY IS UNLAWFUL.</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November 7, 1995.</w:t>
      </w:r>
    </w:p>
    <w:p>
      <w:pPr>
        <w:sectPr>
          <w:pgSz w:w="11900" w:h="16838" w:orient="portrait"/>
          <w:cols w:equalWidth="0" w:num="1">
            <w:col w:w="10219"/>
          </w:cols>
          <w:pgMar w:left="240" w:top="717" w:right="1440" w:bottom="767" w:gutter="0" w:footer="0" w:header="0"/>
        </w:sectPr>
      </w:pPr>
    </w:p>
    <w:bookmarkStart w:id="10" w:name="page11"/>
    <w:bookmarkEnd w:id="10"/>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1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4800 Hampden Lane, Bethesda, Maryland 20814 (telephone 301/652-3360).</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70" w:lineRule="exact"/>
        <w:rPr>
          <w:sz w:val="20"/>
          <w:szCs w:val="20"/>
          <w:color w:val="auto"/>
        </w:rPr>
      </w:pPr>
    </w:p>
    <w:p>
      <w:pPr>
        <w:ind w:left="220" w:right="2519" w:firstLine="209"/>
        <w:spacing w:after="0" w:line="235" w:lineRule="auto"/>
        <w:tabs>
          <w:tab w:leader="none" w:pos="7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as amended,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90" w:lineRule="auto"/>
        <w:tabs>
          <w:tab w:leader="none" w:pos="74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March 31, 1995, May 26, 1995, August 16, 1995 and September 22, 1995.</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("REIT") that manages, leases and supervises renovation of its properties. At October 6, 1995, the Trust owned 53 community and neighborhood shopping centers, one apartment complex and 14 retail buildings. The shopping center portfolio has approximately 11.7 million rentable square feet and 1,600 tenants. At June 30, 1995, the occupancy rate of the shopping center portfolio was 94%.</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properties are located in thirteen states with approximately 72% of the Trust's rental income for the six months ended June 30, 1995 generated by the properties located in three major metropolitan areas: New York/New Jersey, Philadelphia and Baltimore/Washington, D.C. The Trust's properties are located in well established, densely populated communities with attractive retailing demographics and limited opportunities for new competing developments. The typical Trust property is located on a major traffic artery, with good visibility and access.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Trust's strategy is to acquire older, well-located properties and to enhance their operating performance through a program of renovation, expansion, re-configuration, re-leasing and re-merchandising. The Trust's core focus is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Beginning in late 1994, the Trust expanded its focus to include retail buildings in densely developed urban and suburban areas ("main street retail"), in order to capitalize on the demand by retailers for space in these areas. To date, the Trust has purchased fourteen such main street retail properties, for a total price of $46.7 million.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acquisition of the main street retail properties, since the beginning of 1993, the Trust has purchased 13 shopping centers and two properties abutting properties it already owned for a total initial investment of $210.9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intends to continue its acquisition and redevelopment activities. Acquisitions are being considered primarily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132 consecutive quarterly distributions and has increased its distribution rate for each of the last 28 years. This is the longest record of annual distribution increases in the REIT industry. The current annual indicated distribution rate is $1.64 per share.</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SIX MONTHS</w:t>
            </w:r>
          </w:p>
        </w:tc>
        <w:tc>
          <w:tcPr>
            <w:tcW w:w="7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YEARS ENDED DECEMBER 31,</w:t>
            </w:r>
          </w:p>
        </w:tc>
        <w:tc>
          <w:tcPr>
            <w:tcW w:w="1480" w:type="dxa"/>
            <w:vAlign w:val="bottom"/>
          </w:tcPr>
          <w:p>
            <w:pPr>
              <w:spacing w:after="0"/>
              <w:rPr>
                <w:sz w:val="17"/>
                <w:szCs w:val="17"/>
                <w:color w:val="auto"/>
              </w:rPr>
            </w:pPr>
          </w:p>
        </w:tc>
        <w:tc>
          <w:tcPr>
            <w:tcW w:w="2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ENDED JUNE 30,</w:t>
            </w:r>
          </w:p>
        </w:tc>
      </w:tr>
      <w:tr>
        <w:trPr>
          <w:trHeight w:val="203"/>
        </w:trPr>
        <w:tc>
          <w:tcPr>
            <w:tcW w:w="1740" w:type="dxa"/>
            <w:vAlign w:val="bottom"/>
            <w:gridSpan w:val="2"/>
          </w:tcPr>
          <w:p>
            <w:pPr>
              <w:spacing w:after="0"/>
              <w:rPr>
                <w:sz w:val="20"/>
                <w:szCs w:val="20"/>
                <w:color w:val="auto"/>
              </w:rPr>
            </w:pPr>
            <w:r>
              <w:rPr>
                <w:rFonts w:ascii="Courier New" w:cs="Courier New" w:eastAsia="Courier New" w:hAnsi="Courier New"/>
                <w:sz w:val="5"/>
                <w:szCs w:val="5"/>
                <w:color w:val="auto"/>
                <w:w w:val="97"/>
              </w:rPr>
              <w:t>-----------------------------------------------------------</w:t>
            </w: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1990</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188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1992</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1993</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2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1994</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1.06X</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1.09X</w:t>
            </w:r>
          </w:p>
        </w:tc>
        <w:tc>
          <w:tcPr>
            <w:tcW w:w="1880" w:type="dxa"/>
            <w:vAlign w:val="bottom"/>
          </w:tcPr>
          <w:p>
            <w:pPr>
              <w:ind w:left="880"/>
              <w:spacing w:after="0"/>
              <w:rPr>
                <w:sz w:val="20"/>
                <w:szCs w:val="20"/>
                <w:color w:val="auto"/>
              </w:rPr>
            </w:pPr>
            <w:r>
              <w:rPr>
                <w:rFonts w:ascii="Courier New" w:cs="Courier New" w:eastAsia="Courier New" w:hAnsi="Courier New"/>
                <w:sz w:val="18"/>
                <w:szCs w:val="18"/>
                <w:color w:val="auto"/>
              </w:rPr>
              <w:t>1.19X</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1.50X</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1.61X</w:t>
            </w:r>
          </w:p>
        </w:tc>
        <w:tc>
          <w:tcPr>
            <w:tcW w:w="21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1.56X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1.61X</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3" w:name="page14"/>
    <w:bookmarkEnd w:id="13"/>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238" w:lineRule="auto"/>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207" w:lineRule="exact"/>
        <w:rPr>
          <w:sz w:val="20"/>
          <w:szCs w:val="20"/>
          <w:color w:val="auto"/>
        </w:rPr>
      </w:pPr>
    </w:p>
    <w:p>
      <w:pPr>
        <w:ind w:left="220" w:right="2319" w:firstLine="315"/>
        <w:spacing w:after="0" w:line="235"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11"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jc w:val="both"/>
        <w:ind w:left="220" w:right="2099" w:firstLine="315"/>
        <w:spacing w:after="0" w:line="236"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14" w:name="page15"/>
    <w:bookmarkEnd w:id="14"/>
    <w:p>
      <w:pPr>
        <w:ind w:left="220" w:right="20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7" w:name="page18"/>
    <w:bookmarkEnd w:id="17"/>
    <w:p>
      <w:pPr>
        <w:ind w:right="2099"/>
        <w:spacing w:after="0" w:line="273" w:lineRule="auto"/>
        <w:rPr>
          <w:sz w:val="20"/>
          <w:szCs w:val="20"/>
          <w:color w:val="auto"/>
        </w:rPr>
      </w:pPr>
      <w:r>
        <w:rPr>
          <w:rFonts w:ascii="Courier New" w:cs="Courier New" w:eastAsia="Courier New" w:hAnsi="Courier New"/>
          <w:sz w:val="16"/>
          <w:szCs w:val="16"/>
          <w:color w:val="auto"/>
        </w:rPr>
        <w:t>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185"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8" w:name="page19"/>
    <w:bookmarkEnd w:id="18"/>
    <w:p>
      <w:pPr>
        <w:ind w:right="1999"/>
        <w:spacing w:after="0" w:line="238" w:lineRule="auto"/>
        <w:rPr>
          <w:sz w:val="20"/>
          <w:szCs w:val="20"/>
          <w:color w:val="auto"/>
        </w:rPr>
      </w:pPr>
      <w:r>
        <w:rPr>
          <w:rFonts w:ascii="Courier New" w:cs="Courier New" w:eastAsia="Courier New" w:hAnsi="Courier New"/>
          <w:sz w:val="18"/>
          <w:szCs w:val="18"/>
          <w:color w:val="auto"/>
        </w:rPr>
        <w:t>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9" w:name="page20"/>
    <w:bookmarkEnd w:id="19"/>
    <w:p>
      <w:pPr>
        <w:ind w:right="1999"/>
        <w:spacing w:after="0" w:line="269" w:lineRule="auto"/>
        <w:rPr>
          <w:sz w:val="20"/>
          <w:szCs w:val="20"/>
          <w:color w:val="auto"/>
        </w:rPr>
      </w:pPr>
      <w:r>
        <w:rPr>
          <w:rFonts w:ascii="Courier New" w:cs="Courier New" w:eastAsia="Courier New" w:hAnsi="Courier New"/>
          <w:sz w:val="16"/>
          <w:szCs w:val="16"/>
          <w:color w:val="auto"/>
        </w:rPr>
        <w:t>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1" w:lineRule="exact"/>
        <w:rPr>
          <w:sz w:val="20"/>
          <w:szCs w:val="20"/>
          <w:color w:val="auto"/>
        </w:rPr>
      </w:pPr>
    </w:p>
    <w:p>
      <w:pPr>
        <w:ind w:right="1999" w:firstLine="8"/>
        <w:spacing w:after="0" w:line="269" w:lineRule="auto"/>
        <w:tabs>
          <w:tab w:leader="none" w:pos="5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9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0" w:name="page21"/>
    <w:bookmarkEnd w:id="20"/>
    <w:p>
      <w:pPr>
        <w:ind w:right="1999"/>
        <w:spacing w:after="0" w:line="237" w:lineRule="auto"/>
        <w:rPr>
          <w:sz w:val="20"/>
          <w:szCs w:val="20"/>
          <w:color w:val="auto"/>
        </w:rPr>
      </w:pPr>
      <w:r>
        <w:rPr>
          <w:rFonts w:ascii="Courier New" w:cs="Courier New" w:eastAsia="Courier New" w:hAnsi="Courier New"/>
          <w:sz w:val="18"/>
          <w:szCs w:val="18"/>
          <w:color w:val="auto"/>
        </w:rPr>
        <w:t>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0" w:lineRule="exact"/>
        <w:rPr>
          <w:sz w:val="20"/>
          <w:szCs w:val="20"/>
          <w:color w:val="auto"/>
        </w:rPr>
      </w:pPr>
    </w:p>
    <w:p>
      <w:pPr>
        <w:spacing w:after="0" w:line="39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5" w:lineRule="exact"/>
        <w:rPr>
          <w:sz w:val="20"/>
          <w:szCs w:val="20"/>
          <w:color w:val="auto"/>
        </w:rPr>
      </w:pPr>
    </w:p>
    <w:p>
      <w:pPr>
        <w:ind w:right="199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7"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1999" w:firstLine="8"/>
        <w:spacing w:after="0" w:line="238"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1995, Senior Debt aggregated approximately $365 million. There are no restrictions in the Subordinated Indenture upon the creation of additional Senior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2" w:name="page23"/>
    <w:bookmarkEnd w:id="22"/>
    <w:p>
      <w:pPr>
        <w:ind w:right="1999"/>
        <w:spacing w:after="0" w:line="269" w:lineRule="auto"/>
        <w:rPr>
          <w:sz w:val="20"/>
          <w:szCs w:val="20"/>
          <w:color w:val="auto"/>
        </w:rPr>
      </w:pPr>
      <w:r>
        <w:rPr>
          <w:rFonts w:ascii="Courier New" w:cs="Courier New" w:eastAsia="Courier New" w:hAnsi="Courier New"/>
          <w:sz w:val="16"/>
          <w:szCs w:val="16"/>
          <w:color w:val="auto"/>
        </w:rPr>
        <w:t>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39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10"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w:t>
      </w: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2" w:right="1440" w:bottom="1440" w:gutter="0" w:footer="0" w:header="0"/>
        </w:sectPr>
      </w:pPr>
    </w:p>
    <w:bookmarkStart w:id="23" w:name="page24"/>
    <w:bookmarkEnd w:id="23"/>
    <w:p>
      <w:pPr>
        <w:ind w:right="1999"/>
        <w:spacing w:after="0" w:line="238" w:lineRule="auto"/>
        <w:rPr>
          <w:sz w:val="20"/>
          <w:szCs w:val="20"/>
          <w:color w:val="auto"/>
        </w:rPr>
      </w:pPr>
      <w:r>
        <w:rPr>
          <w:rFonts w:ascii="Courier New" w:cs="Courier New" w:eastAsia="Courier New" w:hAnsi="Courier New"/>
          <w:sz w:val="18"/>
          <w:szCs w:val="18"/>
          <w:color w:val="auto"/>
        </w:rPr>
        <w:t>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1" w:lineRule="exact"/>
        <w:rPr>
          <w:sz w:val="20"/>
          <w:szCs w:val="20"/>
          <w:color w:val="auto"/>
        </w:rPr>
      </w:pPr>
    </w:p>
    <w:p>
      <w:pPr>
        <w:ind w:right="199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4" w:name="page25"/>
    <w:bookmarkEnd w:id="24"/>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of which no Preferred Shares are outstanding.</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16"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220" w:right="2739" w:firstLine="209"/>
        <w:spacing w:after="0" w:line="290" w:lineRule="auto"/>
        <w:tabs>
          <w:tab w:leader="none" w:pos="85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220" w:right="231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8" w:lineRule="exact"/>
        <w:rPr>
          <w:rFonts w:ascii="Courier New" w:cs="Courier New" w:eastAsia="Courier New" w:hAnsi="Courier New"/>
          <w:sz w:val="18"/>
          <w:szCs w:val="18"/>
          <w:color w:val="auto"/>
        </w:rPr>
      </w:pPr>
    </w:p>
    <w:p>
      <w:pPr>
        <w:ind w:left="220" w:right="2839" w:firstLine="209"/>
        <w:spacing w:after="0" w:line="235"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767" w:gutter="0" w:footer="0" w:header="0"/>
        </w:sectPr>
      </w:pPr>
    </w:p>
    <w:bookmarkStart w:id="25" w:name="page26"/>
    <w:bookmarkEnd w:id="25"/>
    <w:p>
      <w:pPr>
        <w:jc w:val="both"/>
        <w:ind w:left="220" w:right="2319" w:firstLine="209"/>
        <w:spacing w:after="0" w:line="236"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Each such dividend shall be payable to holders of record as they appear on the share transfer books of the Trust on such record dates as shall be fixed by the Board of Trustees of the Trust.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6" w:name="page27"/>
    <w:bookmarkEnd w:id="26"/>
    <w:p>
      <w:pPr>
        <w:ind w:right="1999" w:firstLine="211"/>
        <w:spacing w:after="0" w:line="238"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11"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 a</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7" w:name="page28"/>
    <w:bookmarkEnd w:id="27"/>
    <w:p>
      <w:pPr>
        <w:ind w:right="1999"/>
        <w:spacing w:after="0" w:line="238" w:lineRule="auto"/>
        <w:rPr>
          <w:sz w:val="20"/>
          <w:szCs w:val="20"/>
          <w:color w:val="auto"/>
        </w:rPr>
      </w:pPr>
      <w:r>
        <w:rPr>
          <w:rFonts w:ascii="Courier New" w:cs="Courier New" w:eastAsia="Courier New" w:hAnsi="Courier New"/>
          <w:sz w:val="18"/>
          <w:szCs w:val="18"/>
          <w:color w:val="auto"/>
        </w:rPr>
        <w:t>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10"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10"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1" w:lineRule="exact"/>
        <w:rPr>
          <w:sz w:val="20"/>
          <w:szCs w:val="20"/>
          <w:color w:val="auto"/>
        </w:rPr>
      </w:pPr>
    </w:p>
    <w:p>
      <w:pPr>
        <w:ind w:right="1999" w:firstLine="8"/>
        <w:spacing w:after="0" w:line="270"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8" w:name="page29"/>
    <w:bookmarkEnd w:id="28"/>
    <w:p>
      <w:pPr>
        <w:ind w:right="1999"/>
        <w:spacing w:after="0" w:line="237" w:lineRule="auto"/>
        <w:rPr>
          <w:sz w:val="20"/>
          <w:szCs w:val="20"/>
          <w:color w:val="auto"/>
        </w:rPr>
      </w:pPr>
      <w:r>
        <w:rPr>
          <w:rFonts w:ascii="Courier New" w:cs="Courier New" w:eastAsia="Courier New" w:hAnsi="Courier New"/>
          <w:sz w:val="18"/>
          <w:szCs w:val="18"/>
          <w:color w:val="auto"/>
        </w:rPr>
        <w:t>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393" w:lineRule="exact"/>
        <w:rPr>
          <w:sz w:val="20"/>
          <w:szCs w:val="20"/>
          <w:color w:val="auto"/>
        </w:rPr>
      </w:pPr>
    </w:p>
    <w:p>
      <w:pPr>
        <w:ind w:right="199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9" w:name="page30"/>
    <w:bookmarkEnd w:id="29"/>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30" w:name="page31"/>
    <w:bookmarkEnd w:id="30"/>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operates in a manner intended to qualify for treatment as a real estate investment trust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31" w:name="page32"/>
    <w:bookmarkEnd w:id="31"/>
    <w:p>
      <w:pPr>
        <w:ind w:right="1999"/>
        <w:spacing w:after="0" w:line="237" w:lineRule="auto"/>
        <w:rPr>
          <w:sz w:val="20"/>
          <w:szCs w:val="20"/>
          <w:color w:val="auto"/>
        </w:rPr>
      </w:pPr>
      <w:r>
        <w:rPr>
          <w:rFonts w:ascii="Courier New" w:cs="Courier New" w:eastAsia="Courier New" w:hAnsi="Courier New"/>
          <w:sz w:val="18"/>
          <w:szCs w:val="18"/>
          <w:color w:val="auto"/>
        </w:rPr>
        <w:t>Trust fails to qualify as a REIT in any taxable year, it will be taxed as a corporation for that year on all its income, regardless of whether that income is distributed to shareholders, and its shareholders will be separately taxed on the amount of any such distributions. 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1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any year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Common Shares with respect to which the distribution is paid or, to the extent that they exceed such basis, will be taxed in the same manner as gain from the sale of those Common Shares.</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Common Shares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2" w:name="page33"/>
    <w:bookmarkEnd w:id="32"/>
    <w:p>
      <w:pPr>
        <w:ind w:right="1999"/>
        <w:spacing w:after="0" w:line="235" w:lineRule="auto"/>
        <w:rPr>
          <w:sz w:val="20"/>
          <w:szCs w:val="20"/>
          <w:color w:val="auto"/>
        </w:rPr>
      </w:pPr>
      <w:r>
        <w:rPr>
          <w:rFonts w:ascii="Courier New" w:cs="Courier New" w:eastAsia="Courier New" w:hAnsi="Courier New"/>
          <w:sz w:val="18"/>
          <w:szCs w:val="18"/>
          <w:color w:val="auto"/>
        </w:rPr>
        <w:t>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Trust in the ordinary course of business.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3" w:name="page34"/>
    <w:bookmarkEnd w:id="33"/>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LLP,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4" w:name="page35"/>
    <w:bookmarkEnd w:id="34"/>
    <w:p>
      <w:pPr>
        <w:ind w:left="80"/>
        <w:spacing w:after="0"/>
        <w:rPr>
          <w:sz w:val="20"/>
          <w:szCs w:val="20"/>
          <w:color w:val="auto"/>
        </w:rPr>
      </w:pPr>
      <w:r>
        <w:rPr>
          <w:rFonts w:ascii="Courier New" w:cs="Courier New" w:eastAsia="Courier New" w:hAnsi="Courier New"/>
          <w:sz w:val="16"/>
          <w:szCs w:val="16"/>
          <w:color w:val="auto"/>
        </w:rPr>
        <w:t>[LOGO OF FEDERAL REALTY INVESTMENT TRUST APPEARS HERE]</w:t>
      </w:r>
    </w:p>
    <w:sectPr>
      <w:pgSz w:w="11900" w:h="16838" w:orient="portrait"/>
      <w:cols w:equalWidth="0" w:num="1">
        <w:col w:w="9019"/>
      </w:cols>
      <w:pgMar w:left="14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2"/>
    </w:lvl>
  </w:abstractNum>
  <w:abstractNum w:abstractNumId="3">
    <w:nsid w:val="66EF438D"/>
    <w:multiLevelType w:val="hybridMultilevel"/>
    <w:lvl w:ilvl="0">
      <w:lvlJc w:val="left"/>
      <w:lvlText w:val="(%1)"/>
      <w:numFmt w:val="lowerRoman"/>
      <w:start w:val="1"/>
    </w:lvl>
  </w:abstractNum>
  <w:abstractNum w:abstractNumId="4">
    <w:nsid w:val="140E0F76"/>
    <w:multiLevelType w:val="hybridMultilevel"/>
    <w:lvl w:ilvl="0">
      <w:lvlJc w:val="left"/>
      <w:lvlText w:val="(%1)"/>
      <w:numFmt w:val="lowerRoman"/>
      <w:start w:val="3"/>
    </w:lvl>
  </w:abstractNum>
  <w:abstractNum w:abstractNumId="5">
    <w:nsid w:val="3352255A"/>
    <w:multiLevelType w:val="hybridMultilevel"/>
    <w:lvl w:ilvl="0">
      <w:lvlJc w:val="left"/>
      <w:lvlText w:val="(%1)"/>
      <w:numFmt w:val="lowerRoman"/>
      <w:start w:val="2"/>
    </w:lvl>
  </w:abstractNum>
  <w:abstractNum w:abstractNumId="6">
    <w:nsid w:val="109CF92E"/>
    <w:multiLevelType w:val="hybridMultilevel"/>
    <w:lvl w:ilvl="0">
      <w:lvlJc w:val="left"/>
      <w:lvlText w:val="(%1)"/>
      <w:numFmt w:val="lowerRoman"/>
      <w:start w:val="2"/>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lowerRoman"/>
      <w:start w:val="2"/>
    </w:lvl>
  </w:abstractNum>
  <w:abstractNum w:abstractNumId="11">
    <w:nsid w:val="6B68079A"/>
    <w:multiLevelType w:val="hybridMultilevel"/>
    <w:lvl w:ilvl="0">
      <w:lvlJc w:val="left"/>
      <w:lvlText w:val="(%1)"/>
      <w:numFmt w:val="lowerRoman"/>
      <w:start w:val="10"/>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4"/>
    </w:lvl>
  </w:abstractNum>
  <w:abstractNum w:abstractNumId="14">
    <w:nsid w:val="519B500D"/>
    <w:multiLevelType w:val="hybridMultilevel"/>
    <w:lvl w:ilvl="0">
      <w:lvlJc w:val="left"/>
      <w:lvlText w:val="(%1)"/>
      <w:numFmt w:val="lowerLetter"/>
      <w:start w:val="6"/>
    </w:lvl>
  </w:abstractNum>
  <w:abstractNum w:abstractNumId="15">
    <w:nsid w:val="431BD7B7"/>
    <w:multiLevelType w:val="hybridMultilevel"/>
    <w:lvl w:ilvl="0">
      <w:lvlJc w:val="left"/>
      <w:lvlText w:val="(%1)"/>
      <w:numFmt w:val="lowerLetter"/>
      <w:start w:val="7"/>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4"/>
    </w:lvl>
  </w:abstractNum>
  <w:abstractNum w:abstractNumId="18">
    <w:nsid w:val="257130A3"/>
    <w:multiLevelType w:val="hybridMultilevel"/>
    <w:lvl w:ilvl="0">
      <w:lvlJc w:val="left"/>
      <w:lvlText w:val="(%1)"/>
      <w:numFmt w:val="lowerRoman"/>
      <w:start w:val="5"/>
    </w:lvl>
  </w:abstractNum>
  <w:abstractNum w:abstractNumId="19">
    <w:nsid w:val="62BBD95A"/>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2019-12-13T01:01:27Z</dcterms:created>
  <dcterms:modified xsi:type="dcterms:W3CDTF">2019-12-13T01:01:27Z</dcterms:modified>
</cp:coreProperties>
</file>