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Date of Report (Date of earliest event reported): September 25,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720" w:type="dxa"/>
            <w:vAlign w:val="bottom"/>
          </w:tcPr>
          <w:p>
            <w:pPr>
              <w:jc w:val="center"/>
              <w:ind w:right="1106"/>
              <w:spacing w:after="0"/>
              <w:rPr>
                <w:sz w:val="20"/>
                <w:szCs w:val="20"/>
                <w:color w:val="auto"/>
              </w:rPr>
            </w:pPr>
            <w:r>
              <w:rPr>
                <w:rFonts w:ascii="Arial" w:cs="Arial" w:eastAsia="Arial" w:hAnsi="Arial"/>
                <w:sz w:val="18"/>
                <w:szCs w:val="18"/>
                <w:b w:val="1"/>
                <w:bCs w:val="1"/>
                <w:color w:val="auto"/>
                <w:w w:val="93"/>
              </w:rPr>
              <w:t>Maryland</w:t>
            </w:r>
          </w:p>
        </w:tc>
        <w:tc>
          <w:tcPr>
            <w:tcW w:w="3940" w:type="dxa"/>
            <w:vAlign w:val="bottom"/>
          </w:tcPr>
          <w:p>
            <w:pPr>
              <w:jc w:val="right"/>
              <w:ind w:right="1622"/>
              <w:spacing w:after="0"/>
              <w:rPr>
                <w:sz w:val="20"/>
                <w:szCs w:val="20"/>
                <w:color w:val="auto"/>
              </w:rPr>
            </w:pPr>
            <w:r>
              <w:rPr>
                <w:rFonts w:ascii="Arial" w:cs="Arial" w:eastAsia="Arial" w:hAnsi="Arial"/>
                <w:sz w:val="18"/>
                <w:szCs w:val="18"/>
                <w:b w:val="1"/>
                <w:bCs w:val="1"/>
                <w:color w:val="auto"/>
              </w:rPr>
              <w:t>1-07533</w:t>
            </w:r>
          </w:p>
        </w:tc>
        <w:tc>
          <w:tcPr>
            <w:tcW w:w="2280" w:type="dxa"/>
            <w:vAlign w:val="bottom"/>
          </w:tcPr>
          <w:p>
            <w:pPr>
              <w:jc w:val="center"/>
              <w:ind w:left="1166"/>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2720" w:type="dxa"/>
            <w:vAlign w:val="bottom"/>
          </w:tcPr>
          <w:p>
            <w:pPr>
              <w:jc w:val="center"/>
              <w:ind w:right="110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280" w:type="dxa"/>
            <w:vAlign w:val="bottom"/>
          </w:tcPr>
          <w:p>
            <w:pPr>
              <w:jc w:val="center"/>
              <w:ind w:left="11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720" w:type="dxa"/>
            <w:vAlign w:val="bottom"/>
          </w:tcPr>
          <w:p>
            <w:pPr>
              <w:jc w:val="center"/>
              <w:ind w:right="1106"/>
              <w:spacing w:after="0"/>
              <w:rPr>
                <w:sz w:val="20"/>
                <w:szCs w:val="20"/>
                <w:color w:val="auto"/>
              </w:rPr>
            </w:pPr>
            <w:r>
              <w:rPr>
                <w:rFonts w:ascii="Arial" w:cs="Arial" w:eastAsia="Arial" w:hAnsi="Arial"/>
                <w:sz w:val="14"/>
                <w:szCs w:val="14"/>
                <w:b w:val="1"/>
                <w:bCs w:val="1"/>
                <w:color w:val="auto"/>
                <w:w w:val="87"/>
              </w:rPr>
              <w:t>of incorporation)</w:t>
            </w:r>
          </w:p>
        </w:tc>
        <w:tc>
          <w:tcPr>
            <w:tcW w:w="3940" w:type="dxa"/>
            <w:vAlign w:val="bottom"/>
          </w:tcPr>
          <w:p>
            <w:pPr>
              <w:spacing w:after="0"/>
              <w:rPr>
                <w:sz w:val="15"/>
                <w:szCs w:val="15"/>
                <w:color w:val="auto"/>
              </w:rPr>
            </w:pPr>
          </w:p>
        </w:tc>
        <w:tc>
          <w:tcPr>
            <w:tcW w:w="2280" w:type="dxa"/>
            <w:vAlign w:val="bottom"/>
          </w:tcPr>
          <w:p>
            <w:pPr>
              <w:jc w:val="center"/>
              <w:ind w:left="11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(301) 998-8100</w:t>
      </w:r>
    </w:p>
    <w:p>
      <w:pPr>
        <w:spacing w:after="0" w:line="9"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34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197485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exhibits listed in the following index relate to an offering under the Registrant’s Registration Statement on Form S-3 (No. 333-135159) and each is filed herewith for incorporation by reference in such Registration Statement.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760" w:type="dxa"/>
            <w:vAlign w:val="bottom"/>
            <w:gridSpan w:val="2"/>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100" w:type="dxa"/>
            <w:vAlign w:val="bottom"/>
            <w:shd w:val="clear" w:color="auto" w:fill="000000"/>
          </w:tcPr>
          <w:p>
            <w:pPr>
              <w:spacing w:after="0" w:line="20" w:lineRule="exact"/>
              <w:rPr>
                <w:sz w:val="1"/>
                <w:szCs w:val="1"/>
                <w:color w:val="auto"/>
              </w:rPr>
            </w:pPr>
          </w:p>
        </w:tc>
      </w:tr>
      <w:tr>
        <w:trPr>
          <w:trHeight w:val="269"/>
        </w:trPr>
        <w:tc>
          <w:tcPr>
            <w:tcW w:w="660" w:type="dxa"/>
            <w:vAlign w:val="bottom"/>
          </w:tcPr>
          <w:p>
            <w:pPr>
              <w:spacing w:after="0"/>
              <w:rPr>
                <w:sz w:val="20"/>
                <w:szCs w:val="20"/>
                <w:color w:val="auto"/>
              </w:rPr>
            </w:pPr>
            <w:r>
              <w:rPr>
                <w:rFonts w:ascii="Arial" w:cs="Arial" w:eastAsia="Arial" w:hAnsi="Arial"/>
                <w:sz w:val="18"/>
                <w:szCs w:val="18"/>
                <w:color w:val="auto"/>
              </w:rPr>
              <w:t>1.1</w:t>
            </w: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w w:val="89"/>
              </w:rPr>
              <w:t>Underwriting Agreement, dated September 25, 2006, by and among the Registrant and Wachovia Capital Markets, LLC, Bear, Stearns &amp; Co.</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rPr>
              <w:t>Inc., Citigroup Global Markets Inc., Merrill Lynch, Pierce, Fenner &amp; Smith Incorporated and RBC Capital Markets Corporation</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1.2</w:t>
            </w: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rPr>
              <w:t>Pricing Agreement, dated September 25, 2006, by and between the Registrant and certain underwriters named therein</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rPr>
              <w:t>Form of 6.00% Note due 2012</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4.2</w:t>
            </w: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rPr>
              <w:t>Form of 6.20% Note due 2017</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5.1</w:t>
            </w: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rPr>
              <w:t>Opinion of Pillsbury Winthrop Shaw Pittman LLP relating to legality of 6.00% Notes due 2012 and 6.20% Notes due 2017</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8.1</w:t>
            </w: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rPr>
              <w:t>Opinion of Pillsbury Winthrop Shaw Pittman LLP relating to material tax matters relating to the Registrant</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12.1</w:t>
            </w: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560" w:val="left"/>
          <w:tab w:leader="none" w:pos="6040" w:val="left"/>
        </w:tabs>
        <w:rPr>
          <w:sz w:val="20"/>
          <w:szCs w:val="20"/>
          <w:color w:val="auto"/>
        </w:rPr>
      </w:pPr>
      <w:r>
        <w:rPr>
          <w:rFonts w:ascii="Arial" w:cs="Arial" w:eastAsia="Arial" w:hAnsi="Arial"/>
          <w:sz w:val="18"/>
          <w:szCs w:val="18"/>
          <w:color w:val="auto"/>
        </w:rPr>
        <w:t>Date: September 27,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80" w:right="259" w:bottom="1440" w:gutter="0" w:footer="0" w:header="0"/>
        </w:sectPr>
      </w:pPr>
    </w:p>
    <w:bookmarkStart w:id="3" w:name="page4"/>
    <w:bookmarkEnd w:id="3"/>
    <w:p>
      <w:pPr>
        <w:ind w:left="10400"/>
        <w:spacing w:after="0"/>
        <w:rPr>
          <w:sz w:val="20"/>
          <w:szCs w:val="20"/>
          <w:color w:val="auto"/>
        </w:rPr>
      </w:pPr>
      <w:r>
        <w:rPr>
          <w:rFonts w:ascii="Arial" w:cs="Arial" w:eastAsia="Arial" w:hAnsi="Arial"/>
          <w:sz w:val="18"/>
          <w:szCs w:val="18"/>
          <w:b w:val="1"/>
          <w:bCs w:val="1"/>
          <w:color w:val="auto"/>
        </w:rPr>
        <w:t>EXHIBIT 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208280</wp:posOffset>
            </wp:positionV>
            <wp:extent cx="1243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25,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ERRILL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YNCH</w:t>
      </w:r>
      <w:r>
        <w:rPr>
          <w:rFonts w:ascii="Arial" w:cs="Arial" w:eastAsia="Arial" w:hAnsi="Arial"/>
          <w:sz w:val="18"/>
          <w:szCs w:val="18"/>
          <w:b w:val="1"/>
          <w:bCs w:val="1"/>
          <w:color w:val="auto"/>
        </w:rPr>
        <w:t>, P</w:t>
      </w:r>
      <w:r>
        <w:rPr>
          <w:rFonts w:ascii="Arial" w:cs="Arial" w:eastAsia="Arial" w:hAnsi="Arial"/>
          <w:sz w:val="14"/>
          <w:szCs w:val="14"/>
          <w:b w:val="1"/>
          <w:bCs w:val="1"/>
          <w:color w:val="auto"/>
        </w:rPr>
        <w:t>IERCE</w:t>
      </w:r>
      <w:r>
        <w:rPr>
          <w:rFonts w:ascii="Arial" w:cs="Arial" w:eastAsia="Arial" w:hAnsi="Arial"/>
          <w:sz w:val="18"/>
          <w:szCs w:val="18"/>
          <w:b w:val="1"/>
          <w:bCs w:val="1"/>
          <w:color w:val="auto"/>
        </w:rPr>
        <w:t>, F</w:t>
      </w:r>
      <w:r>
        <w:rPr>
          <w:rFonts w:ascii="Arial" w:cs="Arial" w:eastAsia="Arial" w:hAnsi="Arial"/>
          <w:sz w:val="14"/>
          <w:szCs w:val="14"/>
          <w:b w:val="1"/>
          <w:bCs w:val="1"/>
          <w:color w:val="auto"/>
        </w:rPr>
        <w:t>ENNER</w:t>
      </w:r>
      <w:r>
        <w:rPr>
          <w:rFonts w:ascii="Arial" w:cs="Arial" w:eastAsia="Arial" w:hAnsi="Arial"/>
          <w:sz w:val="18"/>
          <w:szCs w:val="18"/>
          <w:b w:val="1"/>
          <w:bCs w:val="1"/>
          <w:color w:val="auto"/>
        </w:rPr>
        <w:t xml:space="preserve"> &amp; S</w:t>
      </w:r>
      <w:r>
        <w:rPr>
          <w:rFonts w:ascii="Arial" w:cs="Arial" w:eastAsia="Arial" w:hAnsi="Arial"/>
          <w:sz w:val="14"/>
          <w:szCs w:val="14"/>
          <w:b w:val="1"/>
          <w:bCs w:val="1"/>
          <w:color w:val="auto"/>
        </w:rPr>
        <w:t>MITH</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Wachovia Capital Markets,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S. College 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NC0602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NC 28288</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 securities specified therein) certain of its debt securities (the “Securities”) specified in Schedule II to such Pricing Agreement (with respect to such Pricing Agreement, the “Designated Securities”).</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terms and rights of any particular issuance of Designated Securities shall be as specified in the Pricing Agreement relating thereto and in or pursuant to the indenture (the “Indenture”) identified in such Pricing Agreement and resolutions of the board of trustees of the Company or a duly appointed committee thereof.</w:t>
      </w:r>
    </w:p>
    <w:p>
      <w:pPr>
        <w:spacing w:after="0" w:line="140" w:lineRule="exact"/>
        <w:rPr>
          <w:sz w:val="20"/>
          <w:szCs w:val="20"/>
          <w:color w:val="auto"/>
        </w:rPr>
      </w:pPr>
    </w:p>
    <w:p>
      <w:pPr>
        <w:ind w:right="460" w:firstLine="464"/>
        <w:spacing w:after="0" w:line="259" w:lineRule="auto"/>
        <w:tabs>
          <w:tab w:leader="none" w:pos="632"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Particular sales of Designated Securities may be made from time to time to the Underwriters of such Securities, for whom the firms designated as representatives of the Underwriters of such Securities in the Pricing Agreement relating thereto will act as representatives (the “Representatives”). The term “Representatives” also refers to a</w:t>
      </w:r>
    </w:p>
    <w:p>
      <w:pPr>
        <w:sectPr>
          <w:pgSz w:w="11900" w:h="16838" w:orient="portrait"/>
          <w:cols w:equalWidth="0" w:num="1">
            <w:col w:w="11420"/>
          </w:cols>
          <w:pgMar w:left="240" w:top="125" w:right="239" w:bottom="1440" w:gutter="0" w:footer="0" w:header="0"/>
        </w:sectPr>
      </w:pPr>
    </w:p>
    <w:bookmarkStart w:id="4" w:name="page5"/>
    <w:bookmarkEnd w:id="4"/>
    <w:p>
      <w:pPr>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single firm acting as sole representative of the Underwriters and to Underwriters who act without any firm being designated as their representative. This Underwriting Agreement shall not be construed as an obligation of the Company to sell any of the Securities or as an obligation of any of the Underwriters to purchase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112" w:lineRule="exact"/>
        <w:rPr>
          <w:sz w:val="20"/>
          <w:szCs w:val="20"/>
          <w:color w:val="auto"/>
        </w:rPr>
      </w:pPr>
    </w:p>
    <w:p>
      <w:pPr>
        <w:ind w:firstLine="464"/>
        <w:spacing w:after="0" w:line="268" w:lineRule="auto"/>
        <w:tabs>
          <w:tab w:leader="none" w:pos="6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as of the date hereof, the Applicable Time referred to in Section 2(c) hereof and the Time of Delivery referred to in Section 4 hereof that:</w:t>
      </w:r>
    </w:p>
    <w:p>
      <w:pPr>
        <w:spacing w:after="0" w:line="50" w:lineRule="exact"/>
        <w:rPr>
          <w:rFonts w:ascii="Arial" w:cs="Arial" w:eastAsia="Arial" w:hAnsi="Arial"/>
          <w:sz w:val="18"/>
          <w:szCs w:val="18"/>
          <w:color w:val="auto"/>
        </w:rPr>
      </w:pPr>
    </w:p>
    <w:p>
      <w:pPr>
        <w:ind w:left="460" w:firstLine="443"/>
        <w:spacing w:after="0" w:line="286" w:lineRule="auto"/>
        <w:tabs>
          <w:tab w:leader="none" w:pos="1137"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 has filed with the Securities and Exchange Commission (the “Commission”) an automatic shelf registration statement on Form S-3 (No. 333-135159), including the related preliminary prospectus, which registration statement became effective upon filing under Rule 462(e) of the rules and regulations of the Commission under the Securities Act of 1933, as amended (the “Act”). Such registration statement covers the registration of the Securities under the Act. Promptly after execution and delivery of a Pricing Agreement with respect to the Designated Securities specified therein, the Company will prepare and file a prospectus in accordance with the provisions of Rule 430B under the Act (“Rule 430B”) and paragraph (b) of Rule 424 under the Act (“Rule 424(b)”) (without reliance on Rule 424(b)(8)). Any information included in such prospectus that was omitted from such registration statement at the time it became effective but that is deemed to be part of and included in such registration statement pursuant to Rule 430B is referred to herein as “Rule 430B Information.” Each prospectus used in connection with the offering of Designated Securities that omitted Rule 430B Information is herein called a “preliminary prospectus.” Such registration statement, at any given time, including the amendments thereto at such time, the exhibits and any schedules thereto at such time, the documents incorporated by reference therein pursuant to Item 12 of Form S-3 under the Act at such time and the documents otherwise deemed to be a part thereof or included therein by the rules and regulations under the Act at such time, is herein called the “Registration Statement.” The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5" w:name="page6"/>
    <w:bookmarkEnd w:id="5"/>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Statement at the time it originally became effective is herein called the “Original Registration Statement.” The final prospectus in the form first furnished to the Underwriters for use in connection with an offering of Designated Securities,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63"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37" w:lineRule="exact"/>
        <w:rPr>
          <w:sz w:val="20"/>
          <w:szCs w:val="20"/>
          <w:color w:val="auto"/>
        </w:rPr>
      </w:pPr>
    </w:p>
    <w:p>
      <w:pPr>
        <w:ind w:right="80" w:firstLine="443"/>
        <w:spacing w:after="0" w:line="308" w:lineRule="auto"/>
        <w:tabs>
          <w:tab w:leader="none" w:pos="687" w:val="left"/>
        </w:tabs>
        <w:numPr>
          <w:ilvl w:val="0"/>
          <w:numId w:val="4"/>
        </w:numPr>
        <w:rPr>
          <w:rFonts w:ascii="Arial" w:cs="Arial" w:eastAsia="Arial" w:hAnsi="Arial"/>
          <w:sz w:val="15"/>
          <w:szCs w:val="15"/>
          <w:color w:val="auto"/>
        </w:rPr>
      </w:pPr>
      <w:r>
        <w:rPr>
          <w:rFonts w:ascii="Arial" w:cs="Arial" w:eastAsia="Arial" w:hAnsi="Arial"/>
          <w:sz w:val="15"/>
          <w:szCs w:val="15"/>
          <w:color w:val="auto"/>
        </w:rPr>
        <w:t>(A)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Securities in reliance on the exemption of Rule 163 under the Act (“Rule 163”), (D) at the earliest time that the Company or another offering participant made a bona fide offer (within the meaning of Rule 164(h)(2) under the Act) of the Designated Securities, (E) at the date hereof and (F) at the date of each Pricing Agreement the Company was, is and will be a “well-known seasoned issuer” as defined in Rule 405 under the Act (“Rule 405”),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Act objecting to the use of the automatic shelf registration statement form.</w:t>
      </w:r>
    </w:p>
    <w:p>
      <w:pPr>
        <w:spacing w:after="0" w:line="9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6" w:name="page7"/>
    <w:bookmarkEnd w:id="6"/>
    <w:p>
      <w:pPr>
        <w:ind w:right="80" w:firstLine="443"/>
        <w:spacing w:after="0" w:line="298" w:lineRule="auto"/>
        <w:tabs>
          <w:tab w:leader="none" w:pos="677"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Original Registration Statement became effective upon filing under Rule 462(e) under the Act (“Rule 462(e)”) on June 20, 2006,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32"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Any offer that is a written communication relating to the Securities made prior to the filing of the Original Registration Statement by the Company or any person acting on its behalf (within the meaning, for this paragraph only, of Rule 163(c)) has been filed (unless exempt from filing pursuant to Rule</w:t>
      </w:r>
    </w:p>
    <w:p>
      <w:pPr>
        <w:ind w:right="160" w:firstLine="4"/>
        <w:spacing w:after="0" w:line="323" w:lineRule="auto"/>
        <w:tabs>
          <w:tab w:leader="none" w:pos="366"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11" w:lineRule="exact"/>
        <w:rPr>
          <w:rFonts w:ascii="Arial" w:cs="Arial" w:eastAsia="Arial" w:hAnsi="Arial"/>
          <w:sz w:val="16"/>
          <w:szCs w:val="16"/>
          <w:color w:val="auto"/>
        </w:rPr>
      </w:pPr>
    </w:p>
    <w:p>
      <w:pPr>
        <w:ind w:right="160" w:firstLine="443"/>
        <w:spacing w:after="0" w:line="294" w:lineRule="auto"/>
        <w:tabs>
          <w:tab w:leader="none" w:pos="726" w:val="left"/>
        </w:tabs>
        <w:numPr>
          <w:ilvl w:val="1"/>
          <w:numId w:val="6"/>
        </w:numPr>
        <w:rPr>
          <w:rFonts w:ascii="Arial" w:cs="Arial" w:eastAsia="Arial" w:hAnsi="Arial"/>
          <w:sz w:val="16"/>
          <w:szCs w:val="16"/>
          <w:color w:val="auto"/>
        </w:rPr>
      </w:pPr>
      <w:r>
        <w:rPr>
          <w:rFonts w:ascii="Arial" w:cs="Arial" w:eastAsia="Arial" w:hAnsi="Arial"/>
          <w:sz w:val="16"/>
          <w:szCs w:val="16"/>
          <w:color w:val="auto"/>
        </w:rPr>
        <w:t>At the respective times the Original Registration Statement and each amendment thereto became effective, (B) at each deemed effective date with respect to the Underwriters pursuant to Rule 430B(f)(2) under the Act and (C) at the Time of Delivery, the Registration Statement complied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35" w:lineRule="exact"/>
        <w:rPr>
          <w:sz w:val="20"/>
          <w:szCs w:val="20"/>
          <w:color w:val="auto"/>
        </w:rPr>
      </w:pPr>
    </w:p>
    <w:p>
      <w:pPr>
        <w:ind w:firstLine="438"/>
        <w:spacing w:after="0" w:line="306" w:lineRule="auto"/>
        <w:rPr>
          <w:sz w:val="20"/>
          <w:szCs w:val="20"/>
          <w:color w:val="auto"/>
        </w:rPr>
      </w:pPr>
      <w:r>
        <w:rPr>
          <w:rFonts w:ascii="Arial" w:cs="Arial" w:eastAsia="Arial" w:hAnsi="Arial"/>
          <w:sz w:val="16"/>
          <w:szCs w:val="16"/>
          <w:color w:val="auto"/>
        </w:rPr>
        <w:t>Neither the Prospectus nor any amendments or supplements thereto, at the time the Prospectus or any such amendment or supplement was issued and at the Time of Delivery, included or will include an untrue statement of a material fact or omitted or will omit to state a material fact necessary in order to make the statements therein, in the light of the circumstances under which they were made, not misleading.</w:t>
      </w:r>
    </w:p>
    <w:p>
      <w:pPr>
        <w:spacing w:after="0" w:line="26"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 Statutory Prospectus and the Prospectus delivered to the Underwriters for use in connection with each offering of Designated Securities will be identical to the electronically transmitted copies thereof filed with the Commission pursuant to EDGAR, except to the extent permitted by Regulation S-T.</w:t>
      </w:r>
    </w:p>
    <w:p>
      <w:pPr>
        <w:spacing w:after="0" w:line="62" w:lineRule="exact"/>
        <w:rPr>
          <w:sz w:val="20"/>
          <w:szCs w:val="20"/>
          <w:color w:val="auto"/>
        </w:rPr>
      </w:pPr>
    </w:p>
    <w:p>
      <w:pPr>
        <w:ind w:right="260" w:firstLine="438"/>
        <w:spacing w:after="0" w:line="268" w:lineRule="auto"/>
        <w:rPr>
          <w:sz w:val="20"/>
          <w:szCs w:val="20"/>
          <w:color w:val="auto"/>
        </w:rPr>
      </w:pPr>
      <w:r>
        <w:rPr>
          <w:rFonts w:ascii="Arial" w:cs="Arial" w:eastAsia="Arial" w:hAnsi="Arial"/>
          <w:sz w:val="18"/>
          <w:szCs w:val="18"/>
          <w:color w:val="auto"/>
        </w:rPr>
        <w:t>As of the Applicable Time (as defined below), the Statutory Prospectus, when considered together with the Issuer Free Writing Prospectus(es) (as defined below) issued at or prior to the Applicable Time, will not include any untrue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7" w:name="page8"/>
    <w:bookmarkEnd w:id="7"/>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 of a material fact or omit to state any material fact necessary in order to make the statements therein, in the light of the circumstances under which they were made, not misleading. The Statutory Prospectus and the Issuer Free Writing Prospectus(es) are collectively referred to herein as the “General Disclosure Package.”</w:t>
      </w:r>
    </w:p>
    <w:p>
      <w:pPr>
        <w:spacing w:after="0" w:line="59"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 furnished to the Company in writing by the Underwriters expressly for use in the Registration Statement or any post-effective amendment thereto, or the Prospectus or any amendments or supplements thereto, or the General Disclosure Package.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subsection and elsewhere in this Underwriting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“Applicable Time” shall have the meaning set forth in the Pricing Agreement with respect to the Designated Securities specified therein.</w:t>
      </w:r>
    </w:p>
    <w:p>
      <w:pPr>
        <w:spacing w:after="0" w:line="113" w:lineRule="exact"/>
        <w:rPr>
          <w:sz w:val="20"/>
          <w:szCs w:val="20"/>
          <w:color w:val="auto"/>
        </w:rPr>
      </w:pPr>
    </w:p>
    <w:p>
      <w:pPr>
        <w:ind w:right="60" w:firstLine="438"/>
        <w:spacing w:after="0" w:line="291" w:lineRule="auto"/>
        <w:rPr>
          <w:sz w:val="20"/>
          <w:szCs w:val="20"/>
          <w:color w:val="auto"/>
        </w:rPr>
      </w:pPr>
      <w:r>
        <w:rPr>
          <w:rFonts w:ascii="Arial" w:cs="Arial" w:eastAsia="Arial" w:hAnsi="Arial"/>
          <w:sz w:val="16"/>
          <w:szCs w:val="16"/>
          <w:color w:val="auto"/>
        </w:rPr>
        <w:t>“Issuer Free Writing Prospectus” means any “issuer free writing prospectus,” as defined in Rule 433 under the Act (“Rule 433”), relating to any particular issuance of Designated Securities (including any identified on Exhibit B hereto)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a particular issuance of Designated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39" w:lineRule="exact"/>
        <w:rPr>
          <w:sz w:val="20"/>
          <w:szCs w:val="20"/>
          <w:color w:val="auto"/>
        </w:rPr>
      </w:pPr>
    </w:p>
    <w:p>
      <w:pPr>
        <w:ind w:right="140" w:firstLine="438"/>
        <w:spacing w:after="0" w:line="306" w:lineRule="auto"/>
        <w:rPr>
          <w:sz w:val="20"/>
          <w:szCs w:val="20"/>
          <w:color w:val="auto"/>
        </w:rPr>
      </w:pPr>
      <w:r>
        <w:rPr>
          <w:rFonts w:ascii="Arial" w:cs="Arial" w:eastAsia="Arial" w:hAnsi="Arial"/>
          <w:sz w:val="16"/>
          <w:szCs w:val="16"/>
          <w:color w:val="auto"/>
        </w:rPr>
        <w:t>“Statutory Prospectus” as of any time means the prospectus that is included in the Registration Statement immediately prior to that time and the preliminary prospectus supplement relating to a particular issuance of Designated Securities set forth in the Pricing Agreement, including the documents incorporated by reference therein and any other preliminary or other prospectus deemed to be a part thereof.</w:t>
      </w:r>
    </w:p>
    <w:p>
      <w:pPr>
        <w:spacing w:after="0" w:line="26" w:lineRule="exact"/>
        <w:rPr>
          <w:sz w:val="20"/>
          <w:szCs w:val="20"/>
          <w:color w:val="auto"/>
        </w:rPr>
      </w:pPr>
    </w:p>
    <w:p>
      <w:pPr>
        <w:jc w:val="both"/>
        <w:ind w:right="60" w:firstLine="443"/>
        <w:spacing w:after="0" w:line="306" w:lineRule="auto"/>
        <w:tabs>
          <w:tab w:leader="none" w:pos="68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9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700" w:top="280" w:right="339" w:bottom="1440" w:gutter="0" w:footer="0" w:header="0"/>
        </w:sectPr>
      </w:pPr>
    </w:p>
    <w:bookmarkStart w:id="8" w:name="page9"/>
    <w:bookmarkEnd w:id="8"/>
    <w:p>
      <w:pPr>
        <w:ind w:right="100" w:firstLine="443"/>
        <w:spacing w:after="0" w:line="314" w:lineRule="auto"/>
        <w:tabs>
          <w:tab w:leader="none" w:pos="677" w:val="left"/>
        </w:tabs>
        <w:numPr>
          <w:ilvl w:val="0"/>
          <w:numId w:val="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Issuer Free Writing Prospectus identified on Exhibit B hereto, as of its issue date and at all subsequent times through the completion of the public offer and sale of the Designated Securities or until any earlier date that the Company notified or notifies the Underwriters as described in Section 5(g) hereof,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23" w:lineRule="exact"/>
        <w:rPr>
          <w:rFonts w:ascii="Arial" w:cs="Arial" w:eastAsia="Arial" w:hAnsi="Arial"/>
          <w:sz w:val="15"/>
          <w:szCs w:val="15"/>
          <w:color w:val="auto"/>
        </w:rPr>
      </w:pPr>
    </w:p>
    <w:p>
      <w:pPr>
        <w:ind w:firstLine="443"/>
        <w:spacing w:after="0" w:line="286" w:lineRule="auto"/>
        <w:tabs>
          <w:tab w:leader="none" w:pos="65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and in good standing as a real estate investment trust under the laws of the State of Maryland, with full power and authority to own, lease and operate its properties and conduct its business as described in the Registration Statement, the General Disclosure Package and the Prospectus; the Company has interests in a number of entities (collectively, the “Entities”), identified on Exhibit D, which have been duly organized and are validly existing as corporations, partnerships, limited liability companies or joint ventures, as the case may be, in good standing under the laws of the jurisdiction of their organization (except for joint ventures, which have no good standing certificate requirements), with full power and authority to own, lease and operate their properties and conduct their business as described in the Registration Statement, the General Disclosure Package and the Prospectus; except as otherwise denoted in Exhibit D hereto, all of the equity interests in the Entities are owned by the Company free and clear of all pledges, liens, encumbrances, claims, security interests and defects; all of the issued and outstanding stock of each Entity that is a corporation has been duly authorized and validly issued and is fully paid and non-assessable; no options, warrants or other rights to convert any obligations into partnership or other ownership interests in the Entities are outstanding; and the Company and the Entities are duly qualified to transact business in all jurisdictions in which the Company and the Entities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the Entities considered as one enterprise.</w:t>
      </w:r>
    </w:p>
    <w:p>
      <w:pPr>
        <w:spacing w:after="0" w:line="39" w:lineRule="exact"/>
        <w:rPr>
          <w:rFonts w:ascii="Arial" w:cs="Arial" w:eastAsia="Arial" w:hAnsi="Arial"/>
          <w:sz w:val="16"/>
          <w:szCs w:val="16"/>
          <w:color w:val="auto"/>
        </w:rPr>
      </w:pPr>
    </w:p>
    <w:p>
      <w:pPr>
        <w:ind w:right="300" w:firstLine="443"/>
        <w:spacing w:after="0" w:line="255" w:lineRule="auto"/>
        <w:tabs>
          <w:tab w:leader="none" w:pos="687" w:val="left"/>
        </w:tabs>
        <w:numPr>
          <w:ilvl w:val="0"/>
          <w:numId w:val="8"/>
        </w:numPr>
        <w:rPr>
          <w:rFonts w:ascii="Arial" w:cs="Arial" w:eastAsia="Arial" w:hAnsi="Arial"/>
          <w:sz w:val="18"/>
          <w:szCs w:val="18"/>
          <w:color w:val="auto"/>
        </w:rPr>
      </w:pPr>
      <w:r>
        <w:rPr>
          <w:rFonts w:ascii="Arial" w:cs="Arial" w:eastAsia="Arial" w:hAnsi="Arial"/>
          <w:sz w:val="18"/>
          <w:szCs w:val="18"/>
          <w:color w:val="auto"/>
        </w:rPr>
        <w:t>Neither the Company nor any of the Entities has sustained since the date of the latest audited financial statements included or incorporated by reference in the Registration Statement, the General Disclosure Package and the Prospectus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9" w:name="page10"/>
    <w:bookmarkEnd w:id="9"/>
    <w:p>
      <w:pPr>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General Disclosure Package and the Prospectus, there has not been any change in the authorized, issued or outstanding capital shares of the Company (except for subsequent issuances, if any, of common shares of beneficial interest (“Common Shares”) pursuant to (x) the Company’s Dividend Reinvestment and Share Purchase Plan as in effect on the date of the applicable Pricing Agreement, (y) any of the Company’s employee or trustee benefits plans, including upon exercise of share options granted pursuant thereto, as such plans are in effect on the date of the applicable Pricing Agreement or</w:t>
      </w:r>
    </w:p>
    <w:p>
      <w:pPr>
        <w:spacing w:after="0" w:line="3" w:lineRule="exact"/>
        <w:rPr>
          <w:sz w:val="20"/>
          <w:szCs w:val="20"/>
          <w:color w:val="auto"/>
        </w:rPr>
      </w:pPr>
    </w:p>
    <w:p>
      <w:pPr>
        <w:ind w:right="140" w:firstLine="4"/>
        <w:spacing w:after="0" w:line="292" w:lineRule="auto"/>
        <w:tabs>
          <w:tab w:leader="none" w:pos="23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exercise of contractual rights existing on the date of the applicable Pricing Agreement by the current and former holders of partnership or other interests in certain of the “DownREIT” and other Entities listed in Exhibit D hereto which may result in the issuance of Common Shares of the Company) or any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the Entities taken as a whole, otherwise than as set forth or contemplated in the General Disclosure Package and the Prospectus.</w:t>
      </w:r>
    </w:p>
    <w:p>
      <w:pPr>
        <w:spacing w:after="0" w:line="35" w:lineRule="exact"/>
        <w:rPr>
          <w:rFonts w:ascii="Arial" w:cs="Arial" w:eastAsia="Arial" w:hAnsi="Arial"/>
          <w:sz w:val="16"/>
          <w:szCs w:val="16"/>
          <w:color w:val="auto"/>
        </w:rPr>
      </w:pPr>
    </w:p>
    <w:p>
      <w:pPr>
        <w:ind w:right="80" w:firstLine="443"/>
        <w:spacing w:after="0" w:line="256" w:lineRule="auto"/>
        <w:tabs>
          <w:tab w:leader="none" w:pos="687"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Company’s consolidated balance sheet as of June 30, 2006 set forth in the Company’s Quarterly Report on Form 10-Q for the quarterly period ended June 30, 2006, all of the issued capital shares of the Company have been duly and validly authorized and issued and are fully paid and non-assessable, and none of the outstanding capital shares of the Company was issued in violation of any preemptive or other similar rights of any securityholder of the Company.</w:t>
      </w:r>
    </w:p>
    <w:p>
      <w:pPr>
        <w:spacing w:after="0" w:line="62" w:lineRule="exact"/>
        <w:rPr>
          <w:rFonts w:ascii="Arial" w:cs="Arial" w:eastAsia="Arial" w:hAnsi="Arial"/>
          <w:sz w:val="18"/>
          <w:szCs w:val="18"/>
          <w:color w:val="auto"/>
        </w:rPr>
      </w:pPr>
    </w:p>
    <w:p>
      <w:pPr>
        <w:ind w:right="80" w:firstLine="443"/>
        <w:spacing w:after="0" w:line="288" w:lineRule="auto"/>
        <w:tabs>
          <w:tab w:leader="none" w:pos="648"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Securities have been duly and validly authorized, and, when the Designated Securities are issued and delivered pursuant to this Underwriting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Registration Statement, the General Disclosure Package and the Prospectus as amended or supplemented with respect to such Designated Securities.</w:t>
      </w:r>
    </w:p>
    <w:p>
      <w:pPr>
        <w:spacing w:after="0" w:line="38" w:lineRule="exact"/>
        <w:rPr>
          <w:rFonts w:ascii="Arial" w:cs="Arial" w:eastAsia="Arial" w:hAnsi="Arial"/>
          <w:sz w:val="16"/>
          <w:szCs w:val="16"/>
          <w:color w:val="auto"/>
        </w:rPr>
      </w:pPr>
    </w:p>
    <w:p>
      <w:pPr>
        <w:ind w:right="240" w:firstLine="443"/>
        <w:spacing w:after="0" w:line="370" w:lineRule="auto"/>
        <w:tabs>
          <w:tab w:leader="none" w:pos="648" w:val="left"/>
        </w:tabs>
        <w:numPr>
          <w:ilvl w:val="1"/>
          <w:numId w:val="9"/>
        </w:numPr>
        <w:rPr>
          <w:rFonts w:ascii="Arial" w:cs="Arial" w:eastAsia="Arial" w:hAnsi="Arial"/>
          <w:sz w:val="15"/>
          <w:szCs w:val="15"/>
          <w:color w:val="auto"/>
        </w:rPr>
      </w:pPr>
      <w:r>
        <w:rPr>
          <w:rFonts w:ascii="Arial" w:cs="Arial" w:eastAsia="Arial" w:hAnsi="Arial"/>
          <w:sz w:val="15"/>
          <w:szCs w:val="15"/>
          <w:color w:val="auto"/>
        </w:rPr>
        <w:t>The issue and sale of the Designated Securities and the compliance by the Company with all of the provisions of the Designated Securities, this Underwriting Agreement and the Pricing Agreement with respect to such Designated Securities, and the consummation of the transactions herein and</w:t>
      </w:r>
    </w:p>
    <w:p>
      <w:pPr>
        <w:spacing w:after="0" w:line="4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10" w:name="page11"/>
    <w:bookmarkEnd w:id="1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therein contemplated, will not conflict with or result in a breach or violation of any of the terms or provisions of, or constitute a default under, any indenture, mortgage, deed of trust, loan agreement or other agreement or instrument to which the Company or any of the Entities is a party or by which the Company or any of the Entities is bound or to which any of the property or assets of the Company or any of the Entities is subject, nor will such action result in any violation of the provisions of the declaration of trust (“Declaration of Trust”) or bylaws (“Bylaws”) of the Company or any statute or any order, rule or regulation of any court or governmental agency or body having jurisdiction over the Company or any of the Entities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Underwriting Agreement or any Pricing Agreement or the Indenture, except such as have been, or will have been prior to the Time of Delivery, obtained under the Act, the Exchange Act and the Trust Indenture Act and except for the rules of the New York Stock Exchange, Inc. (the “NYSE”) and such consents, approvals, authorizations, registrations or qualifications as may be required under state securities or “Blue Sky” laws in connection with the purchase and distribution of the Designated Securities by the Underwriters.</w:t>
      </w:r>
    </w:p>
    <w:p>
      <w:pPr>
        <w:spacing w:after="0" w:line="46" w:lineRule="exact"/>
        <w:rPr>
          <w:sz w:val="20"/>
          <w:szCs w:val="20"/>
          <w:color w:val="auto"/>
        </w:rPr>
      </w:pPr>
    </w:p>
    <w:p>
      <w:pPr>
        <w:ind w:firstLine="443"/>
        <w:spacing w:after="0" w:line="294" w:lineRule="auto"/>
        <w:tabs>
          <w:tab w:leader="none" w:pos="687"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than as set forth in the Registration Statement, the General Disclosure Package and the Prospectus, there are no legal or governmental proceedings pending to which the Company or any of the Entities is a party or of which any property of the Company or any of the Entities is the subject which, if determined adversely to the Company or any of the Entities, would individually or in the aggregate have a material adverse effect on the consolidated financial position, shareholders’ equity or results of operations of the Company and the Entities; and, to the best of the Company’s knowledge, no such proceedings are threatened or contemplated by governmental authorities or threatened by others.</w:t>
      </w:r>
    </w:p>
    <w:p>
      <w:pPr>
        <w:spacing w:after="0" w:line="34" w:lineRule="exact"/>
        <w:rPr>
          <w:rFonts w:ascii="Arial" w:cs="Arial" w:eastAsia="Arial" w:hAnsi="Arial"/>
          <w:sz w:val="16"/>
          <w:szCs w:val="16"/>
          <w:color w:val="auto"/>
        </w:rPr>
      </w:pPr>
    </w:p>
    <w:p>
      <w:pPr>
        <w:ind w:firstLine="443"/>
        <w:spacing w:after="0" w:line="291" w:lineRule="auto"/>
        <w:tabs>
          <w:tab w:leader="none" w:pos="64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and the Entities, together with related notes and schedules as set forth or incorporated by reference in the Registration Statement, the General Disclosure Package and the Prospectus present fairly the financial position and the results of operations of the Company and the Entities at the indicated dates and for the indicated periods. Such consolidated financial statements have been prepared in accordance with generally accepted accounting principles, consistently applied throughout the periods involved, and all adjustments necessary for a fair presentation of results for such periods have been made. The summary financial and statistical data contained in the Prospectus present fairly the information shown therein and have been compiled on a basis consistent with the consolidated financial statements incorporated by reference therein.</w:t>
      </w:r>
    </w:p>
    <w:p>
      <w:pPr>
        <w:spacing w:after="0" w:line="39" w:lineRule="exact"/>
        <w:rPr>
          <w:rFonts w:ascii="Arial" w:cs="Arial" w:eastAsia="Arial" w:hAnsi="Arial"/>
          <w:sz w:val="16"/>
          <w:szCs w:val="16"/>
          <w:color w:val="auto"/>
        </w:rPr>
      </w:pPr>
    </w:p>
    <w:p>
      <w:pPr>
        <w:ind w:right="380" w:firstLine="443"/>
        <w:spacing w:after="0" w:line="268" w:lineRule="auto"/>
        <w:tabs>
          <w:tab w:leader="none" w:pos="7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and the Entities have good and marketable title to, or valid and enforceable leasehold estates in, all items of real and personal property referred to in the Registration Statement, the General Disclosure Package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1" w:name="page12"/>
    <w:bookmarkEnd w:id="11"/>
    <w:p>
      <w:pPr>
        <w:ind w:right="5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 Prospectus as owned or leased by the Company or any of the Entities, in each case free and clear of all pledges, liens, encumbrances, claims, security interests and defects, other than those referred to in the Prospectus or which are not material in amount.</w:t>
      </w:r>
    </w:p>
    <w:p>
      <w:pPr>
        <w:spacing w:after="0" w:line="4" w:lineRule="exact"/>
        <w:rPr>
          <w:sz w:val="20"/>
          <w:szCs w:val="20"/>
          <w:color w:val="auto"/>
        </w:rPr>
      </w:pPr>
    </w:p>
    <w:p>
      <w:pPr>
        <w:ind w:left="700" w:hanging="257"/>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and the Entities have filed all federal, state, local and foreign income tax returns which have been required to be filed, or</w:t>
      </w:r>
    </w:p>
    <w:p>
      <w:pPr>
        <w:spacing w:after="0" w:line="38"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appropriate extensions for such filings have been obtained as required by law, and all federal, state, local and foreign taxes of the Company and the Entities have been paid except such taxes as are not yet due or are being contested in good faith.</w:t>
      </w:r>
    </w:p>
    <w:p>
      <w:pPr>
        <w:spacing w:after="0" w:line="56" w:lineRule="exact"/>
        <w:rPr>
          <w:rFonts w:ascii="Arial" w:cs="Arial" w:eastAsia="Arial" w:hAnsi="Arial"/>
          <w:sz w:val="16"/>
          <w:szCs w:val="16"/>
          <w:color w:val="auto"/>
        </w:rPr>
      </w:pPr>
    </w:p>
    <w:p>
      <w:pPr>
        <w:ind w:firstLine="443"/>
        <w:spacing w:after="0" w:line="259" w:lineRule="auto"/>
        <w:tabs>
          <w:tab w:leader="none" w:pos="6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each of the Entities hold all material licenses, certificates and permits from governmental authorities which are necessary to the conduct of their respective businesses; and neither the Company nor any of the Entities has infringed any patents, patent rights, trade names, trademarks or copyrights, which infringement is material to the business of the Company.</w:t>
      </w:r>
    </w:p>
    <w:p>
      <w:pPr>
        <w:spacing w:after="0" w:line="59" w:lineRule="exact"/>
        <w:rPr>
          <w:rFonts w:ascii="Arial" w:cs="Arial" w:eastAsia="Arial" w:hAnsi="Arial"/>
          <w:sz w:val="18"/>
          <w:szCs w:val="18"/>
          <w:color w:val="auto"/>
        </w:rPr>
      </w:pPr>
    </w:p>
    <w:p>
      <w:pPr>
        <w:ind w:right="60" w:firstLine="443"/>
        <w:spacing w:after="0" w:line="255" w:lineRule="auto"/>
        <w:tabs>
          <w:tab w:leader="none" w:pos="6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Grant Thornton LLP, which audited the consolidated balance sheets of the Company and subsidiaries as of December 31, 2005 and the consolidated statements of operations, consolidated statements of common shareholders’ equity and consolidated statements of cash flows for the year ended December 31, 2005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61" w:lineRule="exact"/>
        <w:rPr>
          <w:rFonts w:ascii="Arial" w:cs="Arial" w:eastAsia="Arial" w:hAnsi="Arial"/>
          <w:sz w:val="18"/>
          <w:szCs w:val="18"/>
          <w:color w:val="auto"/>
        </w:rPr>
      </w:pPr>
    </w:p>
    <w:p>
      <w:pPr>
        <w:ind w:right="520" w:firstLine="443"/>
        <w:spacing w:after="0" w:line="332" w:lineRule="auto"/>
        <w:tabs>
          <w:tab w:leader="none" w:pos="68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4" w:lineRule="exact"/>
        <w:rPr>
          <w:rFonts w:ascii="Arial" w:cs="Arial" w:eastAsia="Arial" w:hAnsi="Arial"/>
          <w:sz w:val="16"/>
          <w:szCs w:val="16"/>
          <w:color w:val="auto"/>
        </w:rPr>
      </w:pPr>
    </w:p>
    <w:p>
      <w:pPr>
        <w:ind w:firstLine="443"/>
        <w:spacing w:after="0" w:line="290" w:lineRule="auto"/>
        <w:tabs>
          <w:tab w:leader="none" w:pos="657"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the Entities, the Company represents that, as of the date of this Underwriting Agreement, it has no knowledge of any material failure by the Company or the Entities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12" w:name="page13"/>
    <w:bookmarkEnd w:id="12"/>
    <w:p>
      <w:pPr>
        <w:ind w:left="440" w:firstLine="443"/>
        <w:spacing w:after="0" w:line="323" w:lineRule="auto"/>
        <w:tabs>
          <w:tab w:leader="none" w:pos="1107" w:val="left"/>
        </w:tabs>
        <w:numPr>
          <w:ilvl w:val="1"/>
          <w:numId w:val="1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respect to all tax periods regarding which the Internal Revenue Service is or will be entitled to assert any claim, the Company has met the requirements for qualification as a real estate investment trust under Sections 856 through 860 of the Internal Revenue Code of 1986, as amended (the “Code”), and the Company’s present and contemplated operations, assets and income continue to meet such requirements; and the Company is neither an “investment company” nor a company “controlled” by an “investment company” within the meaning of the Investment Company Act of 1940, as amended.</w:t>
      </w:r>
    </w:p>
    <w:p>
      <w:pPr>
        <w:spacing w:after="0" w:line="97" w:lineRule="exact"/>
        <w:rPr>
          <w:rFonts w:ascii="Arial" w:cs="Arial" w:eastAsia="Arial" w:hAnsi="Arial"/>
          <w:sz w:val="15"/>
          <w:szCs w:val="15"/>
          <w:color w:val="auto"/>
        </w:rPr>
      </w:pPr>
    </w:p>
    <w:p>
      <w:pPr>
        <w:ind w:left="-20" w:right="180" w:firstLine="464"/>
        <w:spacing w:after="0" w:line="259" w:lineRule="auto"/>
        <w:tabs>
          <w:tab w:leader="none" w:pos="6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40" w:lineRule="exact"/>
        <w:rPr>
          <w:rFonts w:ascii="Arial" w:cs="Arial" w:eastAsia="Arial" w:hAnsi="Arial"/>
          <w:sz w:val="18"/>
          <w:szCs w:val="18"/>
          <w:color w:val="auto"/>
        </w:rPr>
      </w:pPr>
    </w:p>
    <w:p>
      <w:pPr>
        <w:ind w:left="-20" w:right="20" w:firstLine="464"/>
        <w:spacing w:after="0" w:line="290" w:lineRule="auto"/>
        <w:tabs>
          <w:tab w:leader="none" w:pos="61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Designated Securities to be purchased by each Underwriter shall be delivered to the Representatives for the account of such Underwriter in the form of one or more global certificates in aggregate denomination equal to the aggregate principal amount of the Designated Securities upon original issuance and registered in the name of Cede &amp; Co., as nominee for The Depository Trust Company,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18" w:lineRule="exact"/>
        <w:rPr>
          <w:rFonts w:ascii="Arial" w:cs="Arial" w:eastAsia="Arial" w:hAnsi="Arial"/>
          <w:sz w:val="16"/>
          <w:szCs w:val="16"/>
          <w:color w:val="auto"/>
        </w:rPr>
      </w:pPr>
    </w:p>
    <w:p>
      <w:pPr>
        <w:ind w:left="620" w:hanging="176"/>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agrees with each of the Underwriters of any Designated Securities that:</w:t>
      </w:r>
    </w:p>
    <w:p>
      <w:pPr>
        <w:spacing w:after="0" w:line="90" w:lineRule="exact"/>
        <w:rPr>
          <w:rFonts w:ascii="Arial" w:cs="Arial" w:eastAsia="Arial" w:hAnsi="Arial"/>
          <w:sz w:val="18"/>
          <w:szCs w:val="18"/>
          <w:color w:val="auto"/>
        </w:rPr>
      </w:pPr>
    </w:p>
    <w:p>
      <w:pPr>
        <w:ind w:left="440" w:firstLine="443"/>
        <w:spacing w:after="0" w:line="289" w:lineRule="auto"/>
        <w:tabs>
          <w:tab w:leader="none" w:pos="1117"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Securities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Designated Securities for offering or sale in any jurisdiction, or of the initiation or threatening of any proceedings for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80" w:right="259" w:bottom="1440" w:gutter="0" w:footer="0" w:header="0"/>
        </w:sectPr>
      </w:pPr>
    </w:p>
    <w:bookmarkStart w:id="13" w:name="page14"/>
    <w:bookmarkEnd w:id="13"/>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of such purposes or of any examination pursuant to Section 8(e) of the Act concerning the Registration Statement and (v) if the Company becomes the subject of a proceeding under Section 8A of the Act in connection with the offering of the Designated Securities. The Company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Securities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42" w:lineRule="exact"/>
        <w:rPr>
          <w:sz w:val="20"/>
          <w:szCs w:val="20"/>
          <w:color w:val="auto"/>
        </w:rPr>
      </w:pPr>
    </w:p>
    <w:p>
      <w:pPr>
        <w:ind w:firstLine="443"/>
        <w:spacing w:after="0" w:line="286" w:lineRule="auto"/>
        <w:tabs>
          <w:tab w:leader="none" w:pos="687" w:val="left"/>
        </w:tabs>
        <w:numPr>
          <w:ilvl w:val="0"/>
          <w:numId w:val="14"/>
        </w:numPr>
        <w:rPr>
          <w:rFonts w:ascii="Arial" w:cs="Arial" w:eastAsia="Arial" w:hAnsi="Arial"/>
          <w:sz w:val="16"/>
          <w:szCs w:val="16"/>
          <w:color w:val="auto"/>
        </w:rPr>
      </w:pPr>
      <w:r>
        <w:rPr>
          <w:rFonts w:ascii="Arial" w:cs="Arial" w:eastAsia="Arial" w:hAnsi="Arial"/>
          <w:sz w:val="16"/>
          <w:szCs w:val="16"/>
          <w:color w:val="auto"/>
        </w:rPr>
        <w:t>From the Applicable Time to the Time of Delivery, the Company will give the Representatives notice of its intention to file or prepare any amendment to the Registration Statement or new registration statement relating to the Designated Securities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Company has given the Representatives notice of any filings made pursuant to the Exchange Act or the Commission’s regulations thereunder within forty-eight hours prior to the Applicable Time. The Company will prepare a final term sheet (the “Final Term Sheet”) reflecting the final terms of the Designated Securities, substantially in the form set forth on Schedule I of Exhibit B hereto, and shall file such Final Term Sheet as an “issuer free writing prospectus” pursuant to Rule 433 prior to the close of business two business days after the date hereof; provided that the Company shall furnish the Representatives with copies of such Final Term Sheet a reasonable amount of time prior to such proposed filing and will not use or file any such document to which the Representatives or counsel to the Underwriters shall reasonably object;</w:t>
      </w:r>
    </w:p>
    <w:p>
      <w:pPr>
        <w:spacing w:after="0" w:line="262" w:lineRule="exact"/>
        <w:rPr>
          <w:rFonts w:ascii="Arial" w:cs="Arial" w:eastAsia="Arial" w:hAnsi="Arial"/>
          <w:sz w:val="16"/>
          <w:szCs w:val="16"/>
          <w:color w:val="auto"/>
        </w:rPr>
      </w:pPr>
    </w:p>
    <w:p>
      <w:pPr>
        <w:ind w:right="180" w:firstLine="443"/>
        <w:spacing w:after="0" w:line="259" w:lineRule="auto"/>
        <w:tabs>
          <w:tab w:leader="none" w:pos="6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represents and agrees that, unless it obtains the prior written consent of the Underwriters, and each Underwriter represents and agrees that, unless it obtains the prior written consent of the Company and the other Underwriters, it has not made and will not make any offer relating to the Designated Securities that would constitute an “issuer free writing prospectus,” as</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14" w:name="page15"/>
    <w:bookmarkEnd w:id="1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defined in Rule 433, or that would otherwise constitute a “free writing prospectus,” as defined in Rule 405, in each case required to be filed with the Commission;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the preparation of the Final Term Sheet in accordance with Section 5(b) hereof, the Underwriters are authorized to use the information with respect to the final terms of the Designated Securities in communications conveying 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37" w:lineRule="exact"/>
        <w:rPr>
          <w:sz w:val="20"/>
          <w:szCs w:val="20"/>
          <w:color w:val="auto"/>
        </w:rPr>
      </w:pPr>
    </w:p>
    <w:p>
      <w:pPr>
        <w:ind w:firstLine="443"/>
        <w:spacing w:after="0" w:line="255" w:lineRule="auto"/>
        <w:tabs>
          <w:tab w:leader="none" w:pos="6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promptly from time to time will take such action as the Representatives may reasonably request to qualify such Designated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61" w:lineRule="exact"/>
        <w:rPr>
          <w:rFonts w:ascii="Arial" w:cs="Arial" w:eastAsia="Arial" w:hAnsi="Arial"/>
          <w:sz w:val="18"/>
          <w:szCs w:val="18"/>
          <w:color w:val="auto"/>
        </w:rPr>
      </w:pPr>
    </w:p>
    <w:p>
      <w:pPr>
        <w:ind w:right="60" w:firstLine="443"/>
        <w:spacing w:after="0" w:line="290" w:lineRule="auto"/>
        <w:tabs>
          <w:tab w:leader="none" w:pos="677"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37" w:lineRule="exact"/>
        <w:rPr>
          <w:rFonts w:ascii="Arial" w:cs="Arial" w:eastAsia="Arial" w:hAnsi="Arial"/>
          <w:sz w:val="16"/>
          <w:szCs w:val="16"/>
          <w:color w:val="auto"/>
        </w:rPr>
      </w:pPr>
    </w:p>
    <w:p>
      <w:pPr>
        <w:ind w:right="40" w:firstLine="443"/>
        <w:spacing w:after="0" w:line="254" w:lineRule="auto"/>
        <w:tabs>
          <w:tab w:leader="none" w:pos="6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delivered to each Underwriter, without charge, as many copies of each preliminary prospectus as such Underwriter reasonably requested, and the Company has delivered to each Underwriter, without charge, as many copies of each Issuer Free Writing Prospectus, if any, as such Underwriter reasonably requested, and the Company hereby consents to the use of such copies of each preliminary prospectus and each Issuer Free Writing Prospectus, if any, for purposes permitted by the Act. The Company will furnish to each Underwriter, without charge, during the period when the Prospectus is required to be delivered under the Act in connection with sales of the Designated Securities, such number of copies of the Prospectus (as amended or supplemented) as such</w:t>
      </w:r>
    </w:p>
    <w:p>
      <w:pPr>
        <w:spacing w:after="0" w:line="13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15" w:name="page16"/>
    <w:bookmarkEnd w:id="15"/>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Company, during 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32" w:lineRule="exact"/>
        <w:rPr>
          <w:sz w:val="20"/>
          <w:szCs w:val="20"/>
          <w:color w:val="auto"/>
        </w:rPr>
      </w:pPr>
    </w:p>
    <w:p>
      <w:pPr>
        <w:ind w:firstLine="443"/>
        <w:spacing w:after="0" w:line="304" w:lineRule="auto"/>
        <w:tabs>
          <w:tab w:leader="none" w:pos="687"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Company will comply with the Act and the rules and regulations of the Commission thereunder, the Exchange Act and the rules and regulations of the Commission thereunder and the Trust Indenture Act and the rules and regulations of the Commission thereunder so as to permit the completion of the distribution of the Designated Securities as contemplated in this Underwriting Agreement, a related Pricing Agreement and in the Prospectus. If at any time when a prospectus is required by the Act to be delivered in connection with sales of the Designated Securities,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Securities)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Designated Securities)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3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80" w:right="279" w:bottom="1440" w:gutter="0" w:footer="0" w:header="0"/>
        </w:sectPr>
      </w:pPr>
    </w:p>
    <w:bookmarkStart w:id="16" w:name="page17"/>
    <w:bookmarkEnd w:id="16"/>
    <w:p>
      <w:pPr>
        <w:ind w:left="360" w:right="140" w:firstLine="443"/>
        <w:spacing w:after="0" w:line="259" w:lineRule="auto"/>
        <w:tabs>
          <w:tab w:leader="none" w:pos="1047" w:val="left"/>
        </w:tabs>
        <w:numPr>
          <w:ilvl w:val="1"/>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59" w:lineRule="exact"/>
        <w:rPr>
          <w:rFonts w:ascii="Arial" w:cs="Arial" w:eastAsia="Arial" w:hAnsi="Arial"/>
          <w:sz w:val="18"/>
          <w:szCs w:val="18"/>
          <w:color w:val="auto"/>
        </w:rPr>
      </w:pPr>
    </w:p>
    <w:p>
      <w:pPr>
        <w:ind w:left="360" w:right="280" w:firstLine="443"/>
        <w:spacing w:after="0" w:line="286" w:lineRule="auto"/>
        <w:tabs>
          <w:tab w:leader="none" w:pos="100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During the period beginning on and including the date of the Pricing Agreement for such Designated Securities and continuing through and including the earlier of (i) the termination of trading restrictions for such Designated Securities, as notified to the Company by the Representatives and</w:t>
      </w:r>
    </w:p>
    <w:p>
      <w:pPr>
        <w:ind w:left="360" w:right="20" w:firstLine="4"/>
        <w:spacing w:after="0" w:line="302" w:lineRule="auto"/>
        <w:tabs>
          <w:tab w:leader="none" w:pos="61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Time of Delivery for such Designated Securities, but in no event later than 90 days from the date of the Pricing Agreement, the Company will not offer, sell, contract to sell, pledge or otherwise issue any debt securities of the Company which mature more than one year after such Time of Delivery and which are substantially similar to such Designated Securities, without the prior written consent of the Representatives;</w:t>
      </w:r>
    </w:p>
    <w:p>
      <w:pPr>
        <w:spacing w:after="0" w:line="28" w:lineRule="exact"/>
        <w:rPr>
          <w:rFonts w:ascii="Arial" w:cs="Arial" w:eastAsia="Arial" w:hAnsi="Arial"/>
          <w:sz w:val="16"/>
          <w:szCs w:val="16"/>
          <w:color w:val="auto"/>
        </w:rPr>
      </w:pPr>
    </w:p>
    <w:p>
      <w:pPr>
        <w:ind w:left="360" w:right="100" w:firstLine="443"/>
        <w:spacing w:after="0" w:line="268" w:lineRule="auto"/>
        <w:tabs>
          <w:tab w:leader="none" w:pos="1008"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 will use the net proceeds received by it from the sale of the Designated Securities in the manner specified in the Prospectus under the caption “Use of Proceeds”;</w:t>
      </w:r>
    </w:p>
    <w:p>
      <w:pPr>
        <w:spacing w:after="0" w:line="50" w:lineRule="exact"/>
        <w:rPr>
          <w:rFonts w:ascii="Arial" w:cs="Arial" w:eastAsia="Arial" w:hAnsi="Arial"/>
          <w:sz w:val="18"/>
          <w:szCs w:val="18"/>
          <w:color w:val="auto"/>
        </w:rPr>
      </w:pPr>
    </w:p>
    <w:p>
      <w:pPr>
        <w:ind w:left="360" w:right="200" w:firstLine="443"/>
        <w:spacing w:after="0" w:line="268" w:lineRule="auto"/>
        <w:tabs>
          <w:tab w:leader="none" w:pos="1047"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 will qualify as a “real estate investment trust” under the Code, and to use its best efforts to continue to meet the requirements to qualify as a “real estate investment trust”; and</w:t>
      </w:r>
    </w:p>
    <w:p>
      <w:pPr>
        <w:spacing w:after="0" w:line="50" w:lineRule="exact"/>
        <w:rPr>
          <w:rFonts w:ascii="Arial" w:cs="Arial" w:eastAsia="Arial" w:hAnsi="Arial"/>
          <w:sz w:val="18"/>
          <w:szCs w:val="18"/>
          <w:color w:val="auto"/>
        </w:rPr>
      </w:pPr>
    </w:p>
    <w:p>
      <w:pPr>
        <w:ind w:left="360" w:firstLine="443"/>
        <w:spacing w:after="0" w:line="310" w:lineRule="auto"/>
        <w:tabs>
          <w:tab w:leader="none" w:pos="1008" w:val="left"/>
        </w:tabs>
        <w:numPr>
          <w:ilvl w:val="1"/>
          <w:numId w:val="18"/>
        </w:numPr>
        <w:rPr>
          <w:rFonts w:ascii="Arial" w:cs="Arial" w:eastAsia="Arial" w:hAnsi="Arial"/>
          <w:sz w:val="15"/>
          <w:szCs w:val="15"/>
          <w:color w:val="auto"/>
        </w:rPr>
      </w:pPr>
      <w:r>
        <w:rPr>
          <w:rFonts w:ascii="Arial" w:cs="Arial" w:eastAsia="Arial" w:hAnsi="Arial"/>
          <w:sz w:val="15"/>
          <w:szCs w:val="15"/>
          <w:color w:val="auto"/>
        </w:rPr>
        <w:t>The Company acknowledges and agrees that the Underwriters of such Designated Securities are acting solely in the capacity of an arm’s length contractual counterparty to the Company with respect to the offering of such Designated Securities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108" w:lineRule="exact"/>
        <w:rPr>
          <w:sz w:val="20"/>
          <w:szCs w:val="20"/>
          <w:color w:val="auto"/>
        </w:rPr>
      </w:pPr>
    </w:p>
    <w:p>
      <w:pPr>
        <w:ind w:left="-100" w:right="80" w:firstLine="464"/>
        <w:spacing w:after="0" w:line="306" w:lineRule="auto"/>
        <w:tabs>
          <w:tab w:leader="none" w:pos="5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Permitted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40" w:top="280" w:right="319" w:bottom="1440" w:gutter="0" w:footer="0" w:header="0"/>
        </w:sectPr>
      </w:pPr>
    </w:p>
    <w:bookmarkStart w:id="17" w:name="page18"/>
    <w:bookmarkEnd w:id="17"/>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Free Writing Prospectus and the Prospectus and amendments and supplements thereto and the mailing and delivering of copies thereof to the Underwriters and dealers; (ii) the cost of printing or producing any Agreement Among Underwriters, this Underwriting Agreement, any Pricing Agreement, any Indenture, any Blue Sky and legal investment surveys and any other documents in connection with the offering, purchase, sale and delivery of the Securities; (iii) all expenses in connection with the qualification of the Securities for offering and sale under state securities laws as provided in Section 5(d) hereof, including the fees and disbursements of counsel for the Underwriters in connection with such qualification and in connection with the Blue Sky and legal investment surveys; (iv) any fees charged by securities rating services for rating the Securities; (v) any filing fees incident to any required review by the National Association of Securities Dealers, Inc. of the terms of the sale of the Securities; (vi) the fees and expenses of any Trustee and any agent of any Trustee and the fees and disbursements of counsel for any Trustee in connection with any Indenture and the Securities; (vii) all other costs and expenses incident to the performance of its obligations hereunder which are not otherwise specifically provided for in this Section; and (viii) the costs and expenses (including without limitation any damages or other amounts payable in connection with legal or contractual liability) associated with the reforming of any contracts for sale of the Designated Securities made by the Underwriters caused by a breach of the representation contained in the sixth paragraph of Section 2(c) hereof. It is understood, however, that, except as provided in this Section,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121" w:lineRule="exact"/>
        <w:rPr>
          <w:sz w:val="20"/>
          <w:szCs w:val="20"/>
          <w:color w:val="auto"/>
        </w:rPr>
      </w:pPr>
    </w:p>
    <w:p>
      <w:pPr>
        <w:ind w:firstLine="464"/>
        <w:spacing w:after="0" w:line="255"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Underwriting Agreement into,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61" w:lineRule="exact"/>
        <w:rPr>
          <w:rFonts w:ascii="Arial" w:cs="Arial" w:eastAsia="Arial" w:hAnsi="Arial"/>
          <w:sz w:val="18"/>
          <w:szCs w:val="18"/>
          <w:color w:val="auto"/>
        </w:rPr>
      </w:pPr>
    </w:p>
    <w:p>
      <w:pPr>
        <w:ind w:left="460" w:right="40" w:firstLine="443"/>
        <w:spacing w:after="0" w:line="290" w:lineRule="auto"/>
        <w:tabs>
          <w:tab w:leader="none" w:pos="1137"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Prospectus containing the 430B Information as amended or supplemented in relation to the applicable Designated Securities shall have been filed with the Commission in the manner and within the time period required by Rule 424(b) without reliance on Rule 424(b)(8)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 the Company shall have paid the required Commission filing fees relating to the Designated Securities within the time period required by Rule 456(b)(1)(i) under the Act without regard to the proviso therein and otherwise in accordance with Rules 456(b) and 457(r) under the Act and, if applicable, shall have updated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8" w:name="page19"/>
    <w:bookmarkEnd w:id="18"/>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“Calculation of Registration Fee” table in accordance with Rule 456(b)(i)(ii) either in a post-effective amendment to the Registration Statement or on the cover page of a prospectus filed pursuant to Rule 424(b);</w:t>
      </w:r>
    </w:p>
    <w:p>
      <w:pPr>
        <w:spacing w:after="0" w:line="51" w:lineRule="exact"/>
        <w:rPr>
          <w:sz w:val="20"/>
          <w:szCs w:val="20"/>
          <w:color w:val="auto"/>
        </w:rPr>
      </w:pPr>
    </w:p>
    <w:p>
      <w:pPr>
        <w:ind w:right="40" w:firstLine="443"/>
        <w:spacing w:after="0" w:line="294" w:lineRule="auto"/>
        <w:tabs>
          <w:tab w:leader="none" w:pos="687"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Sidley Austin </w:t>
      </w:r>
      <w:r>
        <w:rPr>
          <w:rFonts w:ascii="Arial" w:cs="Arial" w:eastAsia="Arial" w:hAnsi="Arial"/>
          <w:sz w:val="13"/>
          <w:szCs w:val="13"/>
          <w:color w:val="auto"/>
        </w:rPr>
        <w:t>LLP</w:t>
      </w:r>
      <w:r>
        <w:rPr>
          <w:rFonts w:ascii="Arial" w:cs="Arial" w:eastAsia="Arial" w:hAnsi="Arial"/>
          <w:sz w:val="16"/>
          <w:szCs w:val="16"/>
          <w:color w:val="auto"/>
        </w:rPr>
        <w:t xml:space="preserve">, counsel for the Underwriters, shall have furnished to the Representatives such opinion or opinions, dated the Time of Delivery for such Designated Securities, with respect to the organization of the Company, the validity of the Indenture,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w:t>
      </w:r>
      <w:r>
        <w:rPr>
          <w:rFonts w:ascii="Arial" w:cs="Arial" w:eastAsia="Arial" w:hAnsi="Arial"/>
          <w:sz w:val="13"/>
          <w:szCs w:val="13"/>
          <w:color w:val="auto"/>
        </w:rPr>
        <w:t>LLP</w:t>
      </w:r>
      <w:r>
        <w:rPr>
          <w:rFonts w:ascii="Arial" w:cs="Arial" w:eastAsia="Arial" w:hAnsi="Arial"/>
          <w:sz w:val="16"/>
          <w:szCs w:val="16"/>
          <w:color w:val="auto"/>
        </w:rPr>
        <w:t xml:space="preserve"> may rely, as to all matters arising under or governed by the laws of the State of Maryland, on the opinion of Pillsbury Winthrop Shaw Pittman LLP);</w:t>
      </w:r>
    </w:p>
    <w:p>
      <w:pPr>
        <w:spacing w:after="0" w:line="34" w:lineRule="exact"/>
        <w:rPr>
          <w:rFonts w:ascii="Arial" w:cs="Arial" w:eastAsia="Arial" w:hAnsi="Arial"/>
          <w:sz w:val="16"/>
          <w:szCs w:val="16"/>
          <w:color w:val="auto"/>
        </w:rPr>
      </w:pPr>
    </w:p>
    <w:p>
      <w:pPr>
        <w:ind w:firstLine="443"/>
        <w:spacing w:after="0" w:line="332" w:lineRule="auto"/>
        <w:tabs>
          <w:tab w:leader="none" w:pos="677" w:val="left"/>
        </w:tabs>
        <w:numPr>
          <w:ilvl w:val="0"/>
          <w:numId w:val="21"/>
        </w:numPr>
        <w:rPr>
          <w:rFonts w:ascii="Arial" w:cs="Arial" w:eastAsia="Arial" w:hAnsi="Arial"/>
          <w:sz w:val="16"/>
          <w:szCs w:val="16"/>
          <w:color w:val="auto"/>
        </w:rPr>
      </w:pPr>
      <w:r>
        <w:rPr>
          <w:rFonts w:ascii="Arial" w:cs="Arial" w:eastAsia="Arial" w:hAnsi="Arial"/>
          <w:sz w:val="16"/>
          <w:szCs w:val="16"/>
          <w:color w:val="auto"/>
        </w:rPr>
        <w:t>Pillsbury Winthrop Shaw Pittman LLP, counsel for the Company, shall have furnished to the Representatives their written opinion, dated the Time of Delivery for such Designated Securities, in form and substance satisfactory to the Representatives, to the effect set forth in Exhibit C hereto;</w:t>
      </w:r>
    </w:p>
    <w:p>
      <w:pPr>
        <w:spacing w:after="0" w:line="4" w:lineRule="exact"/>
        <w:rPr>
          <w:rFonts w:ascii="Arial" w:cs="Arial" w:eastAsia="Arial" w:hAnsi="Arial"/>
          <w:sz w:val="16"/>
          <w:szCs w:val="16"/>
          <w:color w:val="auto"/>
        </w:rPr>
      </w:pPr>
    </w:p>
    <w:p>
      <w:pPr>
        <w:ind w:right="20" w:firstLine="443"/>
        <w:spacing w:after="0" w:line="286" w:lineRule="auto"/>
        <w:tabs>
          <w:tab w:leader="none" w:pos="687"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addition to the above opinion, the Representatives shall have received the opinion or opinions of Pillsbury Winthrop Shaw Pittman LLP, Tax Counsel to the Company, dated the Time of Delivery for such Designated Securities, in form and substance satisfactory to the Representatives, to the effect that, subject to customary representations, qualifications and exclusions, (1) the Company qualified as a real estate investment trust (“REIT”) under the Code for its taxable years ending through December 31, 2005, (2) the Company is organized in conformity with the requirements for qualification as a REIT under the Code, and its current method of operation will enable it to meet the requirements for qualification as a REIT for the current taxable year and for future taxable years; and (3) the discussion in (x) the Prospectus under the captions “Certain Federal Income Tax Considerations” and “Federal Income Tax Consequences,” and (y) the Company’s Annual Report on Form 10-K for the year ended December 31, 2005 under the captions “Risk Factors– 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Prospectus, to the extent that it discusses matters of law or legal conclusions or purports to describe certain provisions of the federal tax laws, is a correct summary of the matters discussed therein, and the opinions of such counsel appearing in the Prospectus under “Certain Federal Income Tax Considerations” and “Federal Income Tax Consequences” are hereby confirmed;</w:t>
      </w:r>
    </w:p>
    <w:p>
      <w:pPr>
        <w:spacing w:after="0" w:line="39" w:lineRule="exact"/>
        <w:rPr>
          <w:rFonts w:ascii="Arial" w:cs="Arial" w:eastAsia="Arial" w:hAnsi="Arial"/>
          <w:sz w:val="16"/>
          <w:szCs w:val="16"/>
          <w:color w:val="auto"/>
        </w:rPr>
      </w:pPr>
    </w:p>
    <w:p>
      <w:pPr>
        <w:ind w:left="680" w:hanging="237"/>
        <w:spacing w:after="0"/>
        <w:tabs>
          <w:tab w:leader="none" w:pos="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the date of the Pricing Agreement for such Designated Securities and at the Time of Delivery for such Designated Securities, Grant</w:t>
      </w:r>
    </w:p>
    <w:p>
      <w:pPr>
        <w:spacing w:after="0" w:line="18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80" w:right="239" w:bottom="1440" w:gutter="0" w:footer="0" w:header="0"/>
        </w:sectPr>
      </w:pPr>
    </w:p>
    <w:bookmarkStart w:id="19" w:name="page20"/>
    <w:bookmarkEnd w:id="19"/>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Thornton LLP, the independent accountants of the Company, shall have furnished to the Underwriters a “comfort letter” in form and substance satisfactory to the Representatives;</w:t>
      </w:r>
    </w:p>
    <w:p>
      <w:pPr>
        <w:spacing w:after="0" w:line="51" w:lineRule="exact"/>
        <w:rPr>
          <w:sz w:val="20"/>
          <w:szCs w:val="20"/>
          <w:color w:val="auto"/>
        </w:rPr>
      </w:pPr>
    </w:p>
    <w:p>
      <w:pPr>
        <w:ind w:right="100" w:firstLine="443"/>
        <w:spacing w:after="0" w:line="256" w:lineRule="auto"/>
        <w:tabs>
          <w:tab w:leader="none" w:pos="65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the Time of Delivery for such Designated Securities, the Designated Securities shall be rated at least Baa2 by Moody’s Investor’s Service Inc. and BBB+ by Standard &amp; Poor’s Ratings Group, a division of McGraw-Hill, Inc., and the Company shall have delivered to the Representatives a letter dated the Time of Delivery, from each such rating agency, or other evidence satisfactory to the Representatives, confirming that the Designated Securities have such ratings;</w:t>
      </w:r>
    </w:p>
    <w:p>
      <w:pPr>
        <w:spacing w:after="0" w:line="62" w:lineRule="exact"/>
        <w:rPr>
          <w:rFonts w:ascii="Arial" w:cs="Arial" w:eastAsia="Arial" w:hAnsi="Arial"/>
          <w:sz w:val="18"/>
          <w:szCs w:val="18"/>
          <w:color w:val="auto"/>
        </w:rPr>
      </w:pPr>
    </w:p>
    <w:p>
      <w:pPr>
        <w:ind w:firstLine="443"/>
        <w:spacing w:after="0" w:line="285" w:lineRule="auto"/>
        <w:tabs>
          <w:tab w:leader="none" w:pos="687"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Neither the Company nor any of the Entities shall have sustained since the date of the latest audited financial statements included or incorporated by reference in the Prospectus as amended or supplemented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(ii) since the respective dates as of which information is given in the Prospectus and the General Disclosure Package, there shall not have been any change in the authorized, issued or outstanding capital shares of the Company (except for subsequent issuances, if any, of Common Shares pursuant to (x) the Company’s Dividend Reinvestment and Share Purchase Plan as in effect on the date of the applicable Pricing Agreement, (y) any of the Company’s employee or trustee benefits plans, including upon exercise of share options granted pursuant thereto, as such plans are in effect on the date of the applicable Pricing Agreement or (z) the exercise of contractual rights existing on the date of the applicable Pricing Agreement by the current and former holders of partnership or other interests in certain of the “DownREIT” and other Entities listed in Exhibit D hereto which may require or permit (in lieu of a payment in cash) the issuance of Common Shares of the Company) or increase in long-term debt of the Company or any of the Entities or any change, or any development involving a prospective change, in or affecting the general affairs, management, financial position, shareholders’ equity or results of operations of the Company and the Entities, otherwise than as set forth or contemplated in the Prospectus and the General Disclosure Package, the effect of which, in any such case described in clause (i) or (ii), is in the judgment of the Representatives so material and adverse as to make it impracticable or inadvisable to proceed with the public offering or the delivery of the Designated Securities on the terms and in the manner contemplated in the Prospectus as amended or supplemented;</w:t>
      </w:r>
    </w:p>
    <w:p>
      <w:pPr>
        <w:spacing w:after="0" w:line="45" w:lineRule="exact"/>
        <w:rPr>
          <w:rFonts w:ascii="Arial" w:cs="Arial" w:eastAsia="Arial" w:hAnsi="Arial"/>
          <w:sz w:val="16"/>
          <w:szCs w:val="16"/>
          <w:color w:val="auto"/>
        </w:rPr>
      </w:pPr>
    </w:p>
    <w:p>
      <w:pPr>
        <w:jc w:val="both"/>
        <w:ind w:right="100" w:firstLine="443"/>
        <w:spacing w:after="0" w:line="259" w:lineRule="auto"/>
        <w:tabs>
          <w:tab w:leader="none" w:pos="687"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Rule 436(g)(2) under the Act and (ii) no such</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80" w:right="259" w:bottom="1440" w:gutter="0" w:footer="0" w:header="0"/>
        </w:sectPr>
      </w:pPr>
    </w:p>
    <w:bookmarkStart w:id="20" w:name="page21"/>
    <w:bookmarkEnd w:id="20"/>
    <w:p>
      <w:pPr>
        <w:ind w:left="440"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organization shall have publicly announced that it has under surveillance or review, with possible negative implications, its rating of any of the Company’s debt securities or preferred shares;</w:t>
      </w:r>
    </w:p>
    <w:p>
      <w:pPr>
        <w:spacing w:after="0" w:line="51" w:lineRule="exact"/>
        <w:rPr>
          <w:sz w:val="20"/>
          <w:szCs w:val="20"/>
          <w:color w:val="auto"/>
        </w:rPr>
      </w:pPr>
    </w:p>
    <w:p>
      <w:pPr>
        <w:ind w:left="440" w:right="100" w:firstLine="443"/>
        <w:spacing w:after="0" w:line="290" w:lineRule="auto"/>
        <w:tabs>
          <w:tab w:leader="none" w:pos="1088" w:val="left"/>
        </w:tabs>
        <w:numPr>
          <w:ilvl w:val="1"/>
          <w:numId w:val="23"/>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Securities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or the delivery of the Designated Securities on the terms and in the manner contemplated in the Prospectus as amended or supplemented;</w:t>
      </w:r>
    </w:p>
    <w:p>
      <w:pPr>
        <w:spacing w:after="0" w:line="37" w:lineRule="exact"/>
        <w:rPr>
          <w:rFonts w:ascii="Arial" w:cs="Arial" w:eastAsia="Arial" w:hAnsi="Arial"/>
          <w:sz w:val="16"/>
          <w:szCs w:val="16"/>
          <w:color w:val="auto"/>
        </w:rPr>
      </w:pPr>
    </w:p>
    <w:p>
      <w:pPr>
        <w:ind w:left="440" w:right="580" w:firstLine="443"/>
        <w:spacing w:after="0" w:line="268" w:lineRule="auto"/>
        <w:tabs>
          <w:tab w:leader="none" w:pos="108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5(f) hereof with respect to the furnishing of Prospectuses as amended or supplemented; and</w:t>
      </w:r>
    </w:p>
    <w:p>
      <w:pPr>
        <w:spacing w:after="0" w:line="50" w:lineRule="exact"/>
        <w:rPr>
          <w:rFonts w:ascii="Arial" w:cs="Arial" w:eastAsia="Arial" w:hAnsi="Arial"/>
          <w:sz w:val="18"/>
          <w:szCs w:val="18"/>
          <w:color w:val="auto"/>
        </w:rPr>
      </w:pPr>
    </w:p>
    <w:p>
      <w:pPr>
        <w:ind w:left="440" w:right="20" w:firstLine="443"/>
        <w:spacing w:after="0" w:line="255" w:lineRule="auto"/>
        <w:tabs>
          <w:tab w:leader="none" w:pos="1127"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Representatives at the Time of Delivery for the Designated Securities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(g) of this Section and as to such other matters as the Representatives may reasonably request.</w:t>
      </w:r>
    </w:p>
    <w:p>
      <w:pPr>
        <w:spacing w:after="0" w:line="142" w:lineRule="exact"/>
        <w:rPr>
          <w:rFonts w:ascii="Arial" w:cs="Arial" w:eastAsia="Arial" w:hAnsi="Arial"/>
          <w:sz w:val="18"/>
          <w:szCs w:val="18"/>
          <w:color w:val="auto"/>
        </w:rPr>
      </w:pPr>
    </w:p>
    <w:p>
      <w:pPr>
        <w:ind w:left="-20" w:firstLine="464"/>
        <w:spacing w:after="0" w:line="289" w:lineRule="auto"/>
        <w:tabs>
          <w:tab w:leader="none" w:pos="612"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The Company will indemnify and hold harmless each Underwriter, severally and not jointly,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80" w:right="259" w:bottom="1440" w:gutter="0" w:footer="0" w:header="0"/>
        </w:sectPr>
      </w:pPr>
    </w:p>
    <w:bookmarkStart w:id="21" w:name="page22"/>
    <w:bookmarkEnd w:id="21"/>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such case to the extent that any such loss, claim, damage or liability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and any other prospectus relating to the Securities, or any such amendment or supplement in reliance upon and in conformity with written information furnished to the Company by any Underwriter of Designated Securities through the Representatives expressly for use in the Prospectus as amended or supplemented relating to such Securities.</w:t>
      </w:r>
    </w:p>
    <w:p>
      <w:pPr>
        <w:spacing w:after="0" w:line="116" w:lineRule="exact"/>
        <w:rPr>
          <w:sz w:val="20"/>
          <w:szCs w:val="20"/>
          <w:color w:val="auto"/>
        </w:rPr>
      </w:pPr>
    </w:p>
    <w:p>
      <w:pPr>
        <w:ind w:firstLine="464"/>
        <w:spacing w:after="0" w:line="286" w:lineRule="auto"/>
        <w:tabs>
          <w:tab w:leader="none" w:pos="7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and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and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27" w:lineRule="exact"/>
        <w:rPr>
          <w:rFonts w:ascii="Arial" w:cs="Arial" w:eastAsia="Arial" w:hAnsi="Arial"/>
          <w:sz w:val="16"/>
          <w:szCs w:val="16"/>
          <w:color w:val="auto"/>
        </w:rPr>
      </w:pPr>
    </w:p>
    <w:p>
      <w:pPr>
        <w:ind w:right="120" w:firstLine="464"/>
        <w:spacing w:after="0" w:line="288" w:lineRule="auto"/>
        <w:tabs>
          <w:tab w:leader="none" w:pos="6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2" w:name="page23"/>
    <w:bookmarkEnd w:id="22"/>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16" w:lineRule="exact"/>
        <w:rPr>
          <w:sz w:val="20"/>
          <w:szCs w:val="20"/>
          <w:color w:val="auto"/>
        </w:rPr>
      </w:pPr>
    </w:p>
    <w:p>
      <w:pPr>
        <w:ind w:left="720" w:hanging="256"/>
        <w:spacing w:after="0"/>
        <w:tabs>
          <w:tab w:leader="none" w:pos="7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 (a) or</w:t>
      </w:r>
    </w:p>
    <w:p>
      <w:pPr>
        <w:spacing w:after="0" w:line="38" w:lineRule="exact"/>
        <w:rPr>
          <w:rFonts w:ascii="Arial" w:cs="Arial" w:eastAsia="Arial" w:hAnsi="Arial"/>
          <w:sz w:val="16"/>
          <w:szCs w:val="16"/>
          <w:color w:val="auto"/>
        </w:rPr>
      </w:pPr>
    </w:p>
    <w:p>
      <w:pPr>
        <w:ind w:firstLine="8"/>
        <w:spacing w:after="0" w:line="284" w:lineRule="auto"/>
        <w:tabs>
          <w:tab w:leader="none" w:pos="2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 w:name="page24"/>
    <w:bookmarkEnd w:id="2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116" w:lineRule="exact"/>
        <w:rPr>
          <w:sz w:val="20"/>
          <w:szCs w:val="20"/>
          <w:color w:val="auto"/>
        </w:rPr>
      </w:pPr>
    </w:p>
    <w:p>
      <w:pPr>
        <w:ind w:firstLine="464"/>
        <w:spacing w:after="0" w:line="255"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trustee of the Company and to each person, if any, who controls the Company within the meaning of the Act.</w:t>
      </w:r>
    </w:p>
    <w:p>
      <w:pPr>
        <w:spacing w:after="0" w:line="143" w:lineRule="exact"/>
        <w:rPr>
          <w:sz w:val="20"/>
          <w:szCs w:val="20"/>
          <w:color w:val="auto"/>
        </w:rPr>
      </w:pPr>
    </w:p>
    <w:p>
      <w:pPr>
        <w:ind w:right="40" w:firstLine="464"/>
        <w:spacing w:after="0" w:line="286" w:lineRule="auto"/>
        <w:tabs>
          <w:tab w:leader="none" w:pos="632"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Designated Securities which it has agreed to purchase at the Time of Delivery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with like effect as if such person had originally been a party to the Pricing Agreement with respect to such Designated Securities.</w:t>
      </w:r>
    </w:p>
    <w:p>
      <w:pPr>
        <w:spacing w:after="0" w:line="124" w:lineRule="exact"/>
        <w:rPr>
          <w:sz w:val="20"/>
          <w:szCs w:val="20"/>
          <w:color w:val="auto"/>
        </w:rPr>
      </w:pPr>
    </w:p>
    <w:p>
      <w:pPr>
        <w:ind w:right="80" w:firstLine="464"/>
        <w:spacing w:after="0" w:line="306" w:lineRule="auto"/>
        <w:tabs>
          <w:tab w:leader="none" w:pos="7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to be purchased at the Time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4" w:name="page25"/>
    <w:bookmarkEnd w:id="24"/>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Delivery, then the Company shall have the right to require each non-defaulting Underwriter to purchase the principal amount of Designated Securities which such Underwriter agreed to purchase at the Time of Delivery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16" w:lineRule="exact"/>
        <w:rPr>
          <w:sz w:val="20"/>
          <w:szCs w:val="20"/>
          <w:color w:val="auto"/>
        </w:rPr>
      </w:pPr>
    </w:p>
    <w:p>
      <w:pPr>
        <w:ind w:right="40" w:firstLine="464"/>
        <w:spacing w:after="0" w:line="289" w:lineRule="auto"/>
        <w:tabs>
          <w:tab w:leader="none" w:pos="6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to be purchased at the Time of Delivery, as referred to in subsection (b) above, or if the Company shall not exercise the right described in subsection (b) above to require non-defaulting Underwriters to purchase Designated 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18" w:lineRule="exact"/>
        <w:rPr>
          <w:sz w:val="20"/>
          <w:szCs w:val="20"/>
          <w:color w:val="auto"/>
        </w:rPr>
      </w:pPr>
    </w:p>
    <w:p>
      <w:pPr>
        <w:ind w:right="60" w:firstLine="464"/>
        <w:spacing w:after="0" w:line="298" w:lineRule="auto"/>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Underwriting Agreement or made by or on behalf of them, respectively, pursuant to this 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112" w:lineRule="exact"/>
        <w:rPr>
          <w:rFonts w:ascii="Arial" w:cs="Arial" w:eastAsia="Arial" w:hAnsi="Arial"/>
          <w:sz w:val="16"/>
          <w:szCs w:val="16"/>
          <w:color w:val="auto"/>
        </w:rPr>
      </w:pPr>
    </w:p>
    <w:p>
      <w:pPr>
        <w:ind w:right="80" w:firstLine="464"/>
        <w:spacing w:after="0" w:line="290" w:lineRule="auto"/>
        <w:tabs>
          <w:tab w:leader="none" w:pos="713"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any Pricing Agreement shall be terminated pursuant to Section 9 hereof, the Company shall not then be under any liability to any Underwriter with respect to the Designated Securities covered by such Pricing Agreement except as provided in Section 6 and Section 8 hereof. If this Underwriting Agreement shall be terminated as a result of any of the conditions set forth in Section 7 (other than clause (i), (iii) or (iv) of Section 7(i)) hereof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Securities, but the Company shall then be under no further liability to any Underwriter with respect to such Designated Securities except as provided in Section 6 and Section 8 hereof.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25" w:name="page26"/>
    <w:bookmarkEnd w:id="25"/>
    <w:p>
      <w:pPr>
        <w:ind w:right="300" w:firstLine="464"/>
        <w:spacing w:after="0" w:line="306"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18" w:lineRule="exact"/>
        <w:rPr>
          <w:sz w:val="20"/>
          <w:szCs w:val="20"/>
          <w:color w:val="auto"/>
        </w:rPr>
      </w:pPr>
    </w:p>
    <w:p>
      <w:pPr>
        <w:ind w:right="40" w:firstLine="464"/>
        <w:spacing w:after="0" w:line="294"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who controls the Company or any Underwriter, and their respective heirs, executors, administrators, successors and assigns, and no other person shall acquire or have any right under or by virtue of this Underwriting Agreement or any such Pricing Agreement. No purchaser of any of the Securities from any Underwriter shall be deemed a successor or assign by reason merely of such purchase.</w:t>
      </w:r>
    </w:p>
    <w:p>
      <w:pPr>
        <w:spacing w:after="0" w:line="115" w:lineRule="exact"/>
        <w:rPr>
          <w:rFonts w:ascii="Arial" w:cs="Arial" w:eastAsia="Arial" w:hAnsi="Arial"/>
          <w:sz w:val="16"/>
          <w:szCs w:val="16"/>
          <w:color w:val="auto"/>
        </w:rPr>
      </w:pPr>
    </w:p>
    <w:p>
      <w:pPr>
        <w:ind w:right="740" w:firstLine="464"/>
        <w:spacing w:after="0" w:line="268"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Time shall be of the essence of each Pricing Agreement. As used herein, “business day” shall mean any day when the Commission’s office in Washington, D.C. is open for business.</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governed by and construed in accordance with the laws of the State of New York.</w:t>
      </w:r>
    </w:p>
    <w:p>
      <w:pPr>
        <w:spacing w:after="0" w:line="194" w:lineRule="exact"/>
        <w:rPr>
          <w:rFonts w:ascii="Arial" w:cs="Arial" w:eastAsia="Arial" w:hAnsi="Arial"/>
          <w:sz w:val="16"/>
          <w:szCs w:val="16"/>
          <w:color w:val="auto"/>
        </w:rPr>
      </w:pPr>
    </w:p>
    <w:p>
      <w:pPr>
        <w:ind w:right="360" w:firstLine="464"/>
        <w:spacing w:after="0" w:line="332"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[REMAINDER OF THIS PAGE INTENTIONALLY LEFT BLANK]</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019"/>
          </w:cols>
          <w:pgMar w:left="1440" w:top="280" w:right="1440" w:bottom="1440" w:gutter="0" w:footer="0" w:header="0"/>
          <w:type w:val="continuous"/>
        </w:sectPr>
      </w:pPr>
    </w:p>
    <w:bookmarkStart w:id="27" w:name="page28"/>
    <w:bookmarkEnd w:id="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Underwriting Agreement to us.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jc w:val="right"/>
        <w:ind w:right="16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Dawn M. Becker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Dawn M. Becker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 General Counsel and</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as of the date hereof:</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ERRILL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YNCH</w:t>
      </w:r>
      <w:r>
        <w:rPr>
          <w:rFonts w:ascii="Arial" w:cs="Arial" w:eastAsia="Arial" w:hAnsi="Arial"/>
          <w:sz w:val="18"/>
          <w:szCs w:val="18"/>
          <w:b w:val="1"/>
          <w:bCs w:val="1"/>
          <w:color w:val="auto"/>
        </w:rPr>
        <w:t>, P</w:t>
      </w:r>
      <w:r>
        <w:rPr>
          <w:rFonts w:ascii="Arial" w:cs="Arial" w:eastAsia="Arial" w:hAnsi="Arial"/>
          <w:sz w:val="14"/>
          <w:szCs w:val="14"/>
          <w:b w:val="1"/>
          <w:bCs w:val="1"/>
          <w:color w:val="auto"/>
        </w:rPr>
        <w:t>IERCE</w:t>
      </w:r>
      <w:r>
        <w:rPr>
          <w:rFonts w:ascii="Arial" w:cs="Arial" w:eastAsia="Arial" w:hAnsi="Arial"/>
          <w:sz w:val="18"/>
          <w:szCs w:val="18"/>
          <w:b w:val="1"/>
          <w:bCs w:val="1"/>
          <w:color w:val="auto"/>
        </w:rPr>
        <w:t>, F</w:t>
      </w:r>
      <w:r>
        <w:rPr>
          <w:rFonts w:ascii="Arial" w:cs="Arial" w:eastAsia="Arial" w:hAnsi="Arial"/>
          <w:sz w:val="14"/>
          <w:szCs w:val="14"/>
          <w:b w:val="1"/>
          <w:bCs w:val="1"/>
          <w:color w:val="auto"/>
        </w:rPr>
        <w:t>ENNER</w:t>
      </w:r>
      <w:r>
        <w:rPr>
          <w:rFonts w:ascii="Arial" w:cs="Arial" w:eastAsia="Arial" w:hAnsi="Arial"/>
          <w:sz w:val="18"/>
          <w:szCs w:val="18"/>
          <w:b w:val="1"/>
          <w:bCs w:val="1"/>
          <w:color w:val="auto"/>
        </w:rPr>
        <w:t xml:space="preserve"> &amp; S</w:t>
      </w:r>
      <w:r>
        <w:rPr>
          <w:rFonts w:ascii="Arial" w:cs="Arial" w:eastAsia="Arial" w:hAnsi="Arial"/>
          <w:sz w:val="14"/>
          <w:szCs w:val="14"/>
          <w:b w:val="1"/>
          <w:bCs w:val="1"/>
          <w:color w:val="auto"/>
        </w:rPr>
        <w:t>MITH</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NCORPORATED</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Pr>
          <w:p>
            <w:pPr>
              <w:spacing w:after="0"/>
              <w:rPr>
                <w:sz w:val="20"/>
                <w:szCs w:val="20"/>
                <w:color w:val="auto"/>
              </w:rPr>
            </w:pPr>
            <w:r>
              <w:rPr>
                <w:rFonts w:ascii="Arial" w:cs="Arial" w:eastAsia="Arial" w:hAnsi="Arial"/>
                <w:sz w:val="18"/>
                <w:szCs w:val="18"/>
                <w:color w:val="auto"/>
              </w:rPr>
              <w:t>Wachovia Capital Markets,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Teresa Hee</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260" w:type="dxa"/>
            <w:vAlign w:val="bottom"/>
          </w:tcPr>
          <w:p>
            <w:pPr>
              <w:spacing w:after="0"/>
              <w:rPr>
                <w:sz w:val="20"/>
                <w:szCs w:val="20"/>
                <w:color w:val="auto"/>
              </w:rPr>
            </w:pPr>
            <w:r>
              <w:rPr>
                <w:rFonts w:ascii="Arial" w:cs="Arial" w:eastAsia="Arial" w:hAnsi="Arial"/>
                <w:sz w:val="18"/>
                <w:szCs w:val="18"/>
                <w:color w:val="auto"/>
              </w:rPr>
              <w:t>Teresa Hee</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8" w:name="page29"/>
    <w:bookmarkEnd w:id="28"/>
    <w:p>
      <w:pPr>
        <w:ind w:left="10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25,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ERRILL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YNCH</w:t>
      </w:r>
      <w:r>
        <w:rPr>
          <w:rFonts w:ascii="Arial" w:cs="Arial" w:eastAsia="Arial" w:hAnsi="Arial"/>
          <w:sz w:val="18"/>
          <w:szCs w:val="18"/>
          <w:b w:val="1"/>
          <w:bCs w:val="1"/>
          <w:color w:val="auto"/>
        </w:rPr>
        <w:t>, P</w:t>
      </w:r>
      <w:r>
        <w:rPr>
          <w:rFonts w:ascii="Arial" w:cs="Arial" w:eastAsia="Arial" w:hAnsi="Arial"/>
          <w:sz w:val="14"/>
          <w:szCs w:val="14"/>
          <w:b w:val="1"/>
          <w:bCs w:val="1"/>
          <w:color w:val="auto"/>
        </w:rPr>
        <w:t>IERCE</w:t>
      </w:r>
      <w:r>
        <w:rPr>
          <w:rFonts w:ascii="Arial" w:cs="Arial" w:eastAsia="Arial" w:hAnsi="Arial"/>
          <w:sz w:val="18"/>
          <w:szCs w:val="18"/>
          <w:b w:val="1"/>
          <w:bCs w:val="1"/>
          <w:color w:val="auto"/>
        </w:rPr>
        <w:t>, F</w:t>
      </w:r>
      <w:r>
        <w:rPr>
          <w:rFonts w:ascii="Arial" w:cs="Arial" w:eastAsia="Arial" w:hAnsi="Arial"/>
          <w:sz w:val="14"/>
          <w:szCs w:val="14"/>
          <w:b w:val="1"/>
          <w:bCs w:val="1"/>
          <w:color w:val="auto"/>
        </w:rPr>
        <w:t>ENNER</w:t>
      </w:r>
      <w:r>
        <w:rPr>
          <w:rFonts w:ascii="Arial" w:cs="Arial" w:eastAsia="Arial" w:hAnsi="Arial"/>
          <w:sz w:val="18"/>
          <w:szCs w:val="18"/>
          <w:b w:val="1"/>
          <w:bCs w:val="1"/>
          <w:color w:val="auto"/>
        </w:rPr>
        <w:t xml:space="preserve"> &amp; S</w:t>
      </w:r>
      <w:r>
        <w:rPr>
          <w:rFonts w:ascii="Arial" w:cs="Arial" w:eastAsia="Arial" w:hAnsi="Arial"/>
          <w:sz w:val="14"/>
          <w:szCs w:val="14"/>
          <w:b w:val="1"/>
          <w:bCs w:val="1"/>
          <w:color w:val="auto"/>
        </w:rPr>
        <w:t>MITH</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Wachovia Capital Markets,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S. College 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NC0602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NC 28288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Underwriting Agreement, dated September 25, 2006 (the “Underwriting Agreement”), between the Company and Wachovia Capital Markets, LLC, Bear,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Stearns &amp; Co. Inc., Citigroup Global Markets Inc., Merrill Lynch, Pierce, Fenner &amp; Smith Incorporated and RBC Capital Markets Corporation, to issue and sell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named in Schedule I hereto (the “Underwriters”) (i) $55,000,000 6.00% Notes due 2012 (the “2012 Notes”) and (ii) $70,000,000 6.20%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2017 (the “2017 Notes,” and together with the 2012 Notes, the “Designated Securities”). The issue and sale of the 2012 Notes and the 2017 Notes are not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conditioned upon each other, and the issue and sale of either the 2012 Notes or the 2017 Notes may be consummated even if the issue and sale of the other series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notes is not consummated, or the issue and sale of the 2012 Notes and the 2017 Notes may be consummated at different times. The 2012 Notes will be fully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fungible with, rank equally with, and form a single issue and series with, the Company’s 6.00% Notes due 2012, originally issued on July 17, 2006 in the</w:t>
      </w:r>
    </w:p>
    <w:p>
      <w:pPr>
        <w:spacing w:after="0" w:line="32"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principal amount of $120,000,000, and the 2017 Notes will be fully fungible with, rank equally with, and form a single issue and series with, the Company’s 6.20% Notes due 2017, originally issued on July 17, 2006 in the principal amount of $130,000,000.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420"/>
          </w:cols>
          <w:pgMar w:left="240" w:top="274" w:right="239" w:bottom="1440" w:gutter="0" w:footer="0" w:header="0"/>
        </w:sectPr>
      </w:pPr>
    </w:p>
    <w:bookmarkStart w:id="29" w:name="page30"/>
    <w:bookmarkEnd w:id="29"/>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Underwriters pursuant to Section 12 of the Underwriting Agreement is Wachovia Capital Markets, LLC, and the address of the Representatives referred to in such Section 12 is set forth in Schedule II hereto.</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1400"/>
          </w:cols>
          <w:pgMar w:left="240" w:top="280" w:right="259" w:bottom="1440" w:gutter="0" w:footer="0" w:header="0"/>
        </w:sectPr>
      </w:pPr>
    </w:p>
    <w:bookmarkStart w:id="30" w:name="page31"/>
    <w:bookmarkEnd w:id="30"/>
    <w:p>
      <w:pPr>
        <w:jc w:val="both"/>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Pricing Agreement to us, and upon acceptance hereof by you, on behalf of each of the Underwriters, this Pricing Agreement and such acceptance hereof, including the provisions of the Underwriting Agreement incorporated herein by reference, shall constitute a binding agreement between each of the Underwriters and the Company.</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2540</wp:posOffset>
            </wp:positionV>
            <wp:extent cx="25730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as of the date hereof:</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ERRILL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YNCH</w:t>
      </w:r>
      <w:r>
        <w:rPr>
          <w:rFonts w:ascii="Arial" w:cs="Arial" w:eastAsia="Arial" w:hAnsi="Arial"/>
          <w:sz w:val="18"/>
          <w:szCs w:val="18"/>
          <w:b w:val="1"/>
          <w:bCs w:val="1"/>
          <w:color w:val="auto"/>
        </w:rPr>
        <w:t>, P</w:t>
      </w:r>
      <w:r>
        <w:rPr>
          <w:rFonts w:ascii="Arial" w:cs="Arial" w:eastAsia="Arial" w:hAnsi="Arial"/>
          <w:sz w:val="14"/>
          <w:szCs w:val="14"/>
          <w:b w:val="1"/>
          <w:bCs w:val="1"/>
          <w:color w:val="auto"/>
        </w:rPr>
        <w:t>IERCE</w:t>
      </w:r>
      <w:r>
        <w:rPr>
          <w:rFonts w:ascii="Arial" w:cs="Arial" w:eastAsia="Arial" w:hAnsi="Arial"/>
          <w:sz w:val="18"/>
          <w:szCs w:val="18"/>
          <w:b w:val="1"/>
          <w:bCs w:val="1"/>
          <w:color w:val="auto"/>
        </w:rPr>
        <w:t>, F</w:t>
      </w:r>
      <w:r>
        <w:rPr>
          <w:rFonts w:ascii="Arial" w:cs="Arial" w:eastAsia="Arial" w:hAnsi="Arial"/>
          <w:sz w:val="14"/>
          <w:szCs w:val="14"/>
          <w:b w:val="1"/>
          <w:bCs w:val="1"/>
          <w:color w:val="auto"/>
        </w:rPr>
        <w:t>ENNER</w:t>
      </w:r>
      <w:r>
        <w:rPr>
          <w:rFonts w:ascii="Arial" w:cs="Arial" w:eastAsia="Arial" w:hAnsi="Arial"/>
          <w:sz w:val="18"/>
          <w:szCs w:val="18"/>
          <w:b w:val="1"/>
          <w:bCs w:val="1"/>
          <w:color w:val="auto"/>
        </w:rPr>
        <w:t xml:space="preserve"> &amp; S</w:t>
      </w:r>
      <w:r>
        <w:rPr>
          <w:rFonts w:ascii="Arial" w:cs="Arial" w:eastAsia="Arial" w:hAnsi="Arial"/>
          <w:sz w:val="14"/>
          <w:szCs w:val="14"/>
          <w:b w:val="1"/>
          <w:bCs w:val="1"/>
          <w:color w:val="auto"/>
        </w:rPr>
        <w:t>MITH</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NCORPORATED</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3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Wachovia Capital Markets,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2540</wp:posOffset>
            </wp:positionV>
            <wp:extent cx="27870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Ex. A-3</w:t>
      </w:r>
    </w:p>
    <w:p>
      <w:pPr>
        <w:sectPr>
          <w:pgSz w:w="11900" w:h="16838" w:orient="portrait"/>
          <w:cols w:equalWidth="0" w:num="1">
            <w:col w:w="11080"/>
          </w:cols>
          <w:pgMar w:left="240" w:top="280" w:right="57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87"/>
              </w:rPr>
              <w:t>Principal Amount of</w:t>
            </w:r>
          </w:p>
        </w:tc>
        <w:tc>
          <w:tcPr>
            <w:tcW w:w="6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88"/>
              </w:rPr>
              <w:t>Principal Amount of</w:t>
            </w:r>
          </w:p>
        </w:tc>
        <w:tc>
          <w:tcPr>
            <w:tcW w:w="0" w:type="dxa"/>
            <w:vAlign w:val="bottom"/>
          </w:tcPr>
          <w:p>
            <w:pPr>
              <w:spacing w:after="0"/>
              <w:rPr>
                <w:sz w:val="1"/>
                <w:szCs w:val="1"/>
                <w:color w:val="auto"/>
              </w:rPr>
            </w:pPr>
          </w:p>
        </w:tc>
      </w:tr>
      <w:tr>
        <w:trPr>
          <w:trHeight w:val="161"/>
        </w:trPr>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95"/>
              <w:spacing w:after="0"/>
              <w:rPr>
                <w:sz w:val="20"/>
                <w:szCs w:val="20"/>
                <w:color w:val="auto"/>
              </w:rPr>
            </w:pPr>
            <w:r>
              <w:rPr>
                <w:rFonts w:ascii="Arial" w:cs="Arial" w:eastAsia="Arial" w:hAnsi="Arial"/>
                <w:sz w:val="14"/>
                <w:szCs w:val="14"/>
                <w:b w:val="1"/>
                <w:bCs w:val="1"/>
                <w:color w:val="auto"/>
                <w:w w:val="94"/>
              </w:rPr>
              <w:t>2012 Notes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2017 Notes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Wachovia Capital Markets, LLC</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33,000,000</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Bear, Stearns &amp; Co. Inc.</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5,500,000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Merrill Lynch, Pierce, Fenner &amp; Smith Incorporated</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5,500,000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RBC Capital Markets Corporation</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Total</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55,000,000</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I to Exhibit A</w:t>
      </w:r>
    </w:p>
    <w:p>
      <w:pPr>
        <w:sectPr>
          <w:pgSz w:w="11900" w:h="16838" w:orient="portrait"/>
          <w:cols w:equalWidth="0" w:num="1">
            <w:col w:w="11420"/>
          </w:cols>
          <w:pgMar w:left="240" w:top="280" w:right="239" w:bottom="1440" w:gutter="0" w:footer="0" w:header="0"/>
        </w:sectPr>
      </w:pPr>
    </w:p>
    <w:bookmarkStart w:id="32" w:name="page33"/>
    <w:bookmarkEnd w:id="32"/>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6.00% Notes due 2012 (the “2012 Notes”);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6.20% Notes due 2017 (the “2017 Notes,” and together with the 2012 Notes,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 in this offering: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$55,000,000 2012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$70,000,000 2017 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102.838% of the principal amount of the 2012 Notes, plus accrued interest from July 17, 2006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104.049% of the principal amount of the 2017 Notes, plus accrued interest from July 17,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102.2255% of the principal amount of the 2012 Notes, plus accrued interest from July 17, 2006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103.399% of the principal amount of the 2017 Notes, plus accrued interest from July 17,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2012 Notes: July 15,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2017 Notes: January 15, 2017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2012 Notes: 6.00%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2017 Notes: 6.20%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Sch. II to Exhibit A, Page 1</w:t>
      </w:r>
    </w:p>
    <w:p>
      <w:pPr>
        <w:sectPr>
          <w:pgSz w:w="11900" w:h="16838" w:orient="portrait"/>
          <w:cols w:equalWidth="0" w:num="1">
            <w:col w:w="11300"/>
          </w:cols>
          <w:pgMar w:left="240" w:top="280"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Payment Dates: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January 15 and July 15, commencing January 15,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Designated Securities may be redeemed at any time, in whole or in part, at a redemption price as described in the Prospectus Supplement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 p.m. (Eastern time) on September 25, 2006 or such other time as agreed by the Company and the Representatives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September 28,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Names and addresses of Representative(s):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Designated Representative(s):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Wachovia Capital Markets, LLC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 for Notices, etc.:</w:t>
      </w:r>
    </w:p>
    <w:p>
      <w:pPr>
        <w:spacing w:after="0" w:line="90"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c/o</w:t>
      </w:r>
      <w:r>
        <w:rPr>
          <w:sz w:val="20"/>
          <w:szCs w:val="20"/>
          <w:color w:val="auto"/>
        </w:rPr>
        <w:tab/>
      </w:r>
      <w:r>
        <w:rPr>
          <w:rFonts w:ascii="Arial" w:cs="Arial" w:eastAsia="Arial" w:hAnsi="Arial"/>
          <w:sz w:val="18"/>
          <w:szCs w:val="18"/>
          <w:color w:val="auto"/>
        </w:rPr>
        <w:t>Wachovia Capital Markets, LLC</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301 S. College St</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NC0602</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Charlotte, NC 28288</w:t>
      </w:r>
    </w:p>
    <w:p>
      <w:pPr>
        <w:spacing w:after="0" w:line="15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Sch. II to Exhibit A, Page 2</w:t>
      </w:r>
    </w:p>
    <w:p>
      <w:pPr>
        <w:sectPr>
          <w:pgSz w:w="11900" w:h="16838" w:orient="portrait"/>
          <w:cols w:equalWidth="0" w:num="1">
            <w:col w:w="10400"/>
          </w:cols>
          <w:pgMar w:left="240" w:top="274" w:right="12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Issuer Free Writing Prospectuses Included in the General Disclosure Package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Final Term Sheet, attached hereto as Schedule I to this Exhibit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B-1</w:t>
      </w:r>
    </w:p>
    <w:p>
      <w:pPr>
        <w:sectPr>
          <w:pgSz w:w="11900" w:h="16838" w:orient="portrait"/>
          <w:cols w:equalWidth="0" w:num="1">
            <w:col w:w="11420"/>
          </w:cols>
          <w:pgMar w:left="240" w:top="274" w:right="23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6.00% Notes due 2012</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Term sheet dated September 25,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Aggregate Principal Amount of 6.00% Notes due 2012 Outstanding (after giving effect to this Offering):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Coupon (Interest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 Yield and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Payment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Record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Aggregate Price to Public:</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Schedule I to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-215900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September 25, 2006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333-135159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Supplementing Prospectus Supplement Dated September 25, 2006 and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Prospectus dated June 20, 2006</w:t>
      </w:r>
    </w:p>
    <w:p>
      <w:pPr>
        <w:spacing w:after="0" w:line="15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$55,000,000</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$175,000,000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6.00% per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5.421%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+92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4.375% UST due August 15, 2012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4.501%; 99-11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January 15 and July 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January 15,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July 15, 2012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102.838% of principal amount, plus accrued interest from July 17,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T+3; September 28,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December 31 and June 30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$57,211,733.33 (including accrued interest from July 17, 2006)</w:t>
      </w:r>
    </w:p>
    <w:p>
      <w:pPr>
        <w:spacing w:after="0" w:line="15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 1 to Exhibit B, Page 1</w:t>
      </w:r>
    </w:p>
    <w:p>
      <w:pPr>
        <w:sectPr>
          <w:pgSz w:w="11900" w:h="16838" w:orient="portrait"/>
          <w:cols w:equalWidth="0" w:num="2">
            <w:col w:w="3180" w:space="160"/>
            <w:col w:w="8080"/>
          </w:cols>
          <w:pgMar w:left="240" w:top="274"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2"/>
        </w:trPr>
        <w:tc>
          <w:tcPr>
            <w:tcW w:w="3000" w:type="dxa"/>
            <w:vAlign w:val="bottom"/>
          </w:tcPr>
          <w:p>
            <w:pPr>
              <w:spacing w:after="0"/>
              <w:rPr>
                <w:sz w:val="20"/>
                <w:szCs w:val="20"/>
                <w:color w:val="auto"/>
              </w:rPr>
            </w:pPr>
            <w:r>
              <w:rPr>
                <w:rFonts w:ascii="Arial" w:cs="Arial" w:eastAsia="Arial" w:hAnsi="Arial"/>
                <w:sz w:val="18"/>
                <w:szCs w:val="18"/>
                <w:color w:val="auto"/>
              </w:rPr>
              <w:t>Underwriting Discount</w:t>
            </w:r>
          </w:p>
        </w:tc>
        <w:tc>
          <w:tcPr>
            <w:tcW w:w="6160" w:type="dxa"/>
            <w:vAlign w:val="bottom"/>
          </w:tcPr>
          <w:p>
            <w:pPr>
              <w:ind w:left="420"/>
              <w:spacing w:after="0"/>
              <w:rPr>
                <w:sz w:val="20"/>
                <w:szCs w:val="20"/>
                <w:color w:val="auto"/>
              </w:rPr>
            </w:pPr>
            <w:r>
              <w:rPr>
                <w:rFonts w:ascii="Arial" w:cs="Arial" w:eastAsia="Arial" w:hAnsi="Arial"/>
                <w:sz w:val="18"/>
                <w:szCs w:val="18"/>
                <w:color w:val="auto"/>
              </w:rPr>
              <w:t>0.6125%</w:t>
            </w:r>
          </w:p>
        </w:tc>
        <w:tc>
          <w:tcPr>
            <w:tcW w:w="1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18"/>
        </w:trPr>
        <w:tc>
          <w:tcPr>
            <w:tcW w:w="3000" w:type="dxa"/>
            <w:vAlign w:val="bottom"/>
          </w:tcPr>
          <w:p>
            <w:pPr>
              <w:spacing w:after="0"/>
              <w:rPr>
                <w:sz w:val="20"/>
                <w:szCs w:val="20"/>
                <w:color w:val="auto"/>
              </w:rPr>
            </w:pPr>
            <w:r>
              <w:rPr>
                <w:rFonts w:ascii="Arial" w:cs="Arial" w:eastAsia="Arial" w:hAnsi="Arial"/>
                <w:sz w:val="18"/>
                <w:szCs w:val="18"/>
                <w:color w:val="auto"/>
              </w:rPr>
              <w:t>Net Proceeds to the Company before</w:t>
            </w:r>
          </w:p>
        </w:tc>
        <w:tc>
          <w:tcPr>
            <w:tcW w:w="6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2"/>
        </w:trPr>
        <w:tc>
          <w:tcPr>
            <w:tcW w:w="3000" w:type="dxa"/>
            <w:vAlign w:val="bottom"/>
          </w:tcPr>
          <w:p>
            <w:pPr>
              <w:spacing w:after="0"/>
              <w:rPr>
                <w:sz w:val="20"/>
                <w:szCs w:val="20"/>
                <w:color w:val="auto"/>
              </w:rPr>
            </w:pPr>
            <w:r>
              <w:rPr>
                <w:rFonts w:ascii="Arial" w:cs="Arial" w:eastAsia="Arial" w:hAnsi="Arial"/>
                <w:sz w:val="18"/>
                <w:szCs w:val="18"/>
                <w:color w:val="auto"/>
              </w:rPr>
              <w:t>Expenses:</w:t>
            </w:r>
          </w:p>
        </w:tc>
        <w:tc>
          <w:tcPr>
            <w:tcW w:w="6160" w:type="dxa"/>
            <w:vAlign w:val="bottom"/>
          </w:tcPr>
          <w:p>
            <w:pPr>
              <w:ind w:left="420"/>
              <w:spacing w:after="0"/>
              <w:rPr>
                <w:sz w:val="20"/>
                <w:szCs w:val="20"/>
                <w:color w:val="auto"/>
              </w:rPr>
            </w:pPr>
            <w:r>
              <w:rPr>
                <w:rFonts w:ascii="Arial" w:cs="Arial" w:eastAsia="Arial" w:hAnsi="Arial"/>
                <w:sz w:val="18"/>
                <w:szCs w:val="18"/>
                <w:color w:val="auto"/>
              </w:rPr>
              <w:t>$56,874,858.33 (including accrued interest from July 17, 2006)</w:t>
            </w:r>
          </w:p>
        </w:tc>
        <w:tc>
          <w:tcPr>
            <w:tcW w:w="1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Dealer Concession:</w:t>
            </w:r>
          </w:p>
        </w:tc>
        <w:tc>
          <w:tcPr>
            <w:tcW w:w="6160" w:type="dxa"/>
            <w:vAlign w:val="bottom"/>
          </w:tcPr>
          <w:p>
            <w:pPr>
              <w:ind w:left="420"/>
              <w:spacing w:after="0"/>
              <w:rPr>
                <w:sz w:val="20"/>
                <w:szCs w:val="20"/>
                <w:color w:val="auto"/>
              </w:rPr>
            </w:pPr>
            <w:r>
              <w:rPr>
                <w:rFonts w:ascii="Arial" w:cs="Arial" w:eastAsia="Arial" w:hAnsi="Arial"/>
                <w:sz w:val="18"/>
                <w:szCs w:val="18"/>
                <w:color w:val="auto"/>
              </w:rPr>
              <w:t>0.350%</w:t>
            </w: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Reallowance:</w:t>
            </w:r>
          </w:p>
        </w:tc>
        <w:tc>
          <w:tcPr>
            <w:tcW w:w="6160" w:type="dxa"/>
            <w:vAlign w:val="bottom"/>
          </w:tcPr>
          <w:p>
            <w:pPr>
              <w:ind w:left="420"/>
              <w:spacing w:after="0"/>
              <w:rPr>
                <w:sz w:val="20"/>
                <w:szCs w:val="20"/>
                <w:color w:val="auto"/>
              </w:rPr>
            </w:pPr>
            <w:r>
              <w:rPr>
                <w:rFonts w:ascii="Arial" w:cs="Arial" w:eastAsia="Arial" w:hAnsi="Arial"/>
                <w:sz w:val="18"/>
                <w:szCs w:val="18"/>
                <w:color w:val="auto"/>
              </w:rPr>
              <w:t>0.250%</w:t>
            </w: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CUSIP:</w:t>
            </w:r>
          </w:p>
        </w:tc>
        <w:tc>
          <w:tcPr>
            <w:tcW w:w="6160" w:type="dxa"/>
            <w:vAlign w:val="bottom"/>
          </w:tcPr>
          <w:p>
            <w:pPr>
              <w:ind w:left="420"/>
              <w:spacing w:after="0"/>
              <w:rPr>
                <w:sz w:val="20"/>
                <w:szCs w:val="20"/>
                <w:color w:val="auto"/>
              </w:rPr>
            </w:pPr>
            <w:r>
              <w:rPr>
                <w:rFonts w:ascii="Arial" w:cs="Arial" w:eastAsia="Arial" w:hAnsi="Arial"/>
                <w:sz w:val="18"/>
                <w:szCs w:val="18"/>
                <w:color w:val="auto"/>
              </w:rPr>
              <w:t>313747AM9</w:t>
            </w: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Sole Book-Running Manager:</w:t>
            </w:r>
          </w:p>
        </w:tc>
        <w:tc>
          <w:tcPr>
            <w:tcW w:w="6160" w:type="dxa"/>
            <w:vAlign w:val="bottom"/>
          </w:tcPr>
          <w:p>
            <w:pPr>
              <w:ind w:left="420"/>
              <w:spacing w:after="0"/>
              <w:rPr>
                <w:sz w:val="20"/>
                <w:szCs w:val="20"/>
                <w:color w:val="auto"/>
              </w:rPr>
            </w:pPr>
            <w:r>
              <w:rPr>
                <w:rFonts w:ascii="Arial" w:cs="Arial" w:eastAsia="Arial" w:hAnsi="Arial"/>
                <w:sz w:val="18"/>
                <w:szCs w:val="18"/>
                <w:color w:val="auto"/>
              </w:rPr>
              <w:t>Wachovia Capital Markets, LLC</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33,000,000</w:t>
            </w:r>
          </w:p>
        </w:tc>
      </w:tr>
      <w:tr>
        <w:trPr>
          <w:trHeight w:val="318"/>
        </w:trPr>
        <w:tc>
          <w:tcPr>
            <w:tcW w:w="3000" w:type="dxa"/>
            <w:vAlign w:val="bottom"/>
          </w:tcPr>
          <w:p>
            <w:pPr>
              <w:spacing w:after="0"/>
              <w:rPr>
                <w:sz w:val="20"/>
                <w:szCs w:val="20"/>
                <w:color w:val="auto"/>
              </w:rPr>
            </w:pPr>
            <w:r>
              <w:rPr>
                <w:rFonts w:ascii="Arial" w:cs="Arial" w:eastAsia="Arial" w:hAnsi="Arial"/>
                <w:sz w:val="18"/>
                <w:szCs w:val="18"/>
                <w:color w:val="auto"/>
              </w:rPr>
              <w:t>Co-Managers:</w:t>
            </w:r>
          </w:p>
        </w:tc>
        <w:tc>
          <w:tcPr>
            <w:tcW w:w="6160" w:type="dxa"/>
            <w:vAlign w:val="bottom"/>
          </w:tcPr>
          <w:p>
            <w:pPr>
              <w:ind w:left="420"/>
              <w:spacing w:after="0"/>
              <w:rPr>
                <w:sz w:val="20"/>
                <w:szCs w:val="20"/>
                <w:color w:val="auto"/>
              </w:rPr>
            </w:pPr>
            <w:r>
              <w:rPr>
                <w:rFonts w:ascii="Arial" w:cs="Arial" w:eastAsia="Arial" w:hAnsi="Arial"/>
                <w:sz w:val="18"/>
                <w:szCs w:val="18"/>
                <w:color w:val="auto"/>
              </w:rPr>
              <w:t>Bear, Stearns &amp; Co. Inc</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5,500,000</w:t>
            </w:r>
          </w:p>
        </w:tc>
      </w:tr>
      <w:tr>
        <w:trPr>
          <w:trHeight w:val="216"/>
        </w:trPr>
        <w:tc>
          <w:tcPr>
            <w:tcW w:w="300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Citigroup Global Markets Inc.</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5,500,000</w:t>
            </w:r>
          </w:p>
        </w:tc>
      </w:tr>
      <w:tr>
        <w:trPr>
          <w:trHeight w:val="216"/>
        </w:trPr>
        <w:tc>
          <w:tcPr>
            <w:tcW w:w="300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Merrill Lynch, Pierce, Fenner &amp; Smith Incorporated</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5,500,000</w:t>
            </w:r>
          </w:p>
        </w:tc>
      </w:tr>
      <w:tr>
        <w:trPr>
          <w:trHeight w:val="222"/>
        </w:trPr>
        <w:tc>
          <w:tcPr>
            <w:tcW w:w="3000" w:type="dxa"/>
            <w:vAlign w:val="bottom"/>
          </w:tcPr>
          <w:p>
            <w:pPr>
              <w:spacing w:after="0"/>
              <w:rPr>
                <w:sz w:val="19"/>
                <w:szCs w:val="19"/>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RBC Capital Markets Corporation</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5,500,000</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380"/>
        <w:spacing w:after="0" w:line="332" w:lineRule="auto"/>
        <w:rPr>
          <w:sz w:val="20"/>
          <w:szCs w:val="20"/>
          <w:color w:val="auto"/>
        </w:rPr>
      </w:pPr>
      <w:r>
        <w:rPr>
          <w:rFonts w:ascii="Arial" w:cs="Arial" w:eastAsia="Arial" w:hAnsi="Arial"/>
          <w:sz w:val="16"/>
          <w:szCs w:val="16"/>
          <w:color w:val="auto"/>
        </w:rPr>
        <w:t>This issuance of the 6.00% Notes due 2012 constitutes a reopening of, and will be fully fungible with, will rank equally with and will form a single issue and series with, the Company’s 6.00% Notes due 2012, originally issued on July 17, 2006 in the principal amount of $120,000,000.</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1 to Exhibit B, Page 2</w:t>
      </w:r>
    </w:p>
    <w:p>
      <w:pPr>
        <w:sectPr>
          <w:pgSz w:w="11900" w:h="16838" w:orient="portrait"/>
          <w:cols w:equalWidth="0" w:num="1">
            <w:col w:w="11420"/>
          </w:cols>
          <w:pgMar w:left="240" w:top="2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6.20% Notes due 2017</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5"/>
          <w:szCs w:val="15"/>
          <w:color w:val="auto"/>
        </w:rPr>
        <w:t>Term sheet dated September 25, 2006</w:t>
      </w:r>
    </w:p>
    <w:p>
      <w:pPr>
        <w:sectPr>
          <w:pgSz w:w="11900" w:h="16838" w:orient="portrait"/>
          <w:cols w:equalWidth="0" w:num="1">
            <w:col w:w="10219"/>
          </w:cols>
          <w:pgMar w:left="240" w:top="274" w:right="1440"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$70,000,000</w:t>
      </w:r>
    </w:p>
    <w:p>
      <w:pPr>
        <w:spacing w:after="0" w:line="151" w:lineRule="exact"/>
        <w:rPr>
          <w:sz w:val="20"/>
          <w:szCs w:val="20"/>
          <w:color w:val="auto"/>
        </w:rPr>
      </w:pPr>
    </w:p>
    <w:p>
      <w:pPr>
        <w:sectPr>
          <w:pgSz w:w="11900" w:h="16838" w:orient="portrait"/>
          <w:cols w:equalWidth="0" w:num="2">
            <w:col w:w="2620" w:space="720"/>
            <w:col w:w="687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Aggregate Principal Amount of 6.20% Notes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due 2017 Outstanding (after giving effect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Offering):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Coupon (Interest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 Yield and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Payment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Record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Aggregate 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$200,000,000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6.20% per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5.674%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+112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4.875% UST due August 15,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4.554%; 102-17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January 15 and July 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January 15,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January 15, 2017</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104.049% of principal amount, plus accrued interest from July 17, 2006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T+3; September 28,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December 31 and June 30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$73,690,244.44 (including accrued interest from July 17,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0.650%</w:t>
      </w:r>
    </w:p>
    <w:p>
      <w:pPr>
        <w:spacing w:after="0" w:line="117" w:lineRule="exact"/>
        <w:rPr>
          <w:sz w:val="20"/>
          <w:szCs w:val="20"/>
          <w:color w:val="auto"/>
        </w:rPr>
      </w:pPr>
    </w:p>
    <w:p>
      <w:pPr>
        <w:sectPr>
          <w:pgSz w:w="11900" w:h="16838" w:orient="portrait"/>
          <w:cols w:equalWidth="0" w:num="2">
            <w:col w:w="3180" w:space="160"/>
            <w:col w:w="6879"/>
          </w:cols>
          <w:pgMar w:left="240" w:top="274" w:right="1440" w:bottom="1440" w:gutter="0" w:footer="0" w:header="0"/>
          <w:type w:val="continuous"/>
        </w:sectPr>
      </w:pPr>
    </w:p>
    <w:p>
      <w:pPr>
        <w:spacing w:after="0"/>
        <w:rPr>
          <w:sz w:val="20"/>
          <w:szCs w:val="20"/>
          <w:color w:val="auto"/>
        </w:rPr>
      </w:pPr>
      <w:r>
        <w:rPr>
          <w:rFonts w:ascii="Arial" w:cs="Arial" w:eastAsia="Arial" w:hAnsi="Arial"/>
          <w:sz w:val="15"/>
          <w:szCs w:val="15"/>
          <w:color w:val="auto"/>
        </w:rPr>
        <w:t>Net Proceeds to the Company before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Dealer Concession: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Reallowance: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$73,235,244.44 (including accrued interest from July 17, 2006)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0.400%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0.250%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313747AN7</w:t>
      </w:r>
    </w:p>
    <w:p>
      <w:pPr>
        <w:spacing w:after="0" w:line="158" w:lineRule="exact"/>
        <w:rPr>
          <w:sz w:val="20"/>
          <w:szCs w:val="20"/>
          <w:color w:val="auto"/>
        </w:rPr>
      </w:pPr>
    </w:p>
    <w:p>
      <w:pPr>
        <w:sectPr>
          <w:pgSz w:w="11900" w:h="16838" w:orient="portrait"/>
          <w:cols w:equalWidth="0" w:num="2">
            <w:col w:w="2620" w:space="720"/>
            <w:col w:w="6879"/>
          </w:cols>
          <w:pgMar w:left="240" w:top="274" w:right="1440" w:bottom="1440" w:gutter="0" w:footer="0" w:header="0"/>
          <w:type w:val="continuous"/>
        </w:sectPr>
      </w:pPr>
    </w:p>
    <w:p>
      <w:pPr>
        <w:ind w:left="4760"/>
        <w:spacing w:after="0"/>
        <w:rPr>
          <w:sz w:val="20"/>
          <w:szCs w:val="20"/>
          <w:color w:val="auto"/>
        </w:rPr>
      </w:pPr>
      <w:r>
        <w:rPr>
          <w:rFonts w:ascii="Arial" w:cs="Arial" w:eastAsia="Arial" w:hAnsi="Arial"/>
          <w:sz w:val="15"/>
          <w:szCs w:val="15"/>
          <w:color w:val="auto"/>
        </w:rPr>
        <w:t>Sch. 1 to Exhibit B, Page 3</w:t>
      </w:r>
    </w:p>
    <w:p>
      <w:pPr>
        <w:sectPr>
          <w:pgSz w:w="11900" w:h="16838" w:orient="portrait"/>
          <w:cols w:equalWidth="0" w:num="1">
            <w:col w:w="10219"/>
          </w:cols>
          <w:pgMar w:left="240" w:top="274" w:right="1440"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22"/>
        </w:trPr>
        <w:tc>
          <w:tcPr>
            <w:tcW w:w="3000" w:type="dxa"/>
            <w:vAlign w:val="bottom"/>
          </w:tcPr>
          <w:p>
            <w:pPr>
              <w:spacing w:after="0"/>
              <w:rPr>
                <w:sz w:val="20"/>
                <w:szCs w:val="20"/>
                <w:color w:val="auto"/>
              </w:rPr>
            </w:pPr>
            <w:r>
              <w:rPr>
                <w:rFonts w:ascii="Arial" w:cs="Arial" w:eastAsia="Arial" w:hAnsi="Arial"/>
                <w:sz w:val="18"/>
                <w:szCs w:val="18"/>
                <w:color w:val="auto"/>
              </w:rPr>
              <w:t>Sole Book-Running Manager:</w:t>
            </w:r>
          </w:p>
        </w:tc>
        <w:tc>
          <w:tcPr>
            <w:tcW w:w="5780" w:type="dxa"/>
            <w:vAlign w:val="bottom"/>
          </w:tcPr>
          <w:p>
            <w:pPr>
              <w:ind w:left="420"/>
              <w:spacing w:after="0"/>
              <w:rPr>
                <w:sz w:val="20"/>
                <w:szCs w:val="20"/>
                <w:color w:val="auto"/>
              </w:rPr>
            </w:pPr>
            <w:r>
              <w:rPr>
                <w:rFonts w:ascii="Arial" w:cs="Arial" w:eastAsia="Arial" w:hAnsi="Arial"/>
                <w:sz w:val="18"/>
                <w:szCs w:val="18"/>
                <w:color w:val="auto"/>
              </w:rPr>
              <w:t>Wachovia Capital Markets, LLC</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42,000,000</w:t>
            </w:r>
          </w:p>
        </w:tc>
      </w:tr>
      <w:tr>
        <w:trPr>
          <w:trHeight w:val="318"/>
        </w:trPr>
        <w:tc>
          <w:tcPr>
            <w:tcW w:w="3000" w:type="dxa"/>
            <w:vAlign w:val="bottom"/>
          </w:tcPr>
          <w:p>
            <w:pPr>
              <w:spacing w:after="0"/>
              <w:rPr>
                <w:sz w:val="20"/>
                <w:szCs w:val="20"/>
                <w:color w:val="auto"/>
              </w:rPr>
            </w:pPr>
            <w:r>
              <w:rPr>
                <w:rFonts w:ascii="Arial" w:cs="Arial" w:eastAsia="Arial" w:hAnsi="Arial"/>
                <w:sz w:val="18"/>
                <w:szCs w:val="18"/>
                <w:color w:val="auto"/>
              </w:rPr>
              <w:t>Co-Managers:</w:t>
            </w:r>
          </w:p>
        </w:tc>
        <w:tc>
          <w:tcPr>
            <w:tcW w:w="5780" w:type="dxa"/>
            <w:vAlign w:val="bottom"/>
          </w:tcPr>
          <w:p>
            <w:pPr>
              <w:ind w:left="420"/>
              <w:spacing w:after="0"/>
              <w:rPr>
                <w:sz w:val="20"/>
                <w:szCs w:val="20"/>
                <w:color w:val="auto"/>
              </w:rPr>
            </w:pPr>
            <w:r>
              <w:rPr>
                <w:rFonts w:ascii="Arial" w:cs="Arial" w:eastAsia="Arial" w:hAnsi="Arial"/>
                <w:sz w:val="18"/>
                <w:szCs w:val="18"/>
                <w:color w:val="auto"/>
              </w:rPr>
              <w:t>Bear, Stearns &amp; Co. Inc</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7,000,000</w:t>
            </w:r>
          </w:p>
        </w:tc>
      </w:tr>
      <w:tr>
        <w:trPr>
          <w:trHeight w:val="216"/>
        </w:trPr>
        <w:tc>
          <w:tcPr>
            <w:tcW w:w="30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Citigroup Global Markets Inc.</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7,000,000</w:t>
            </w:r>
          </w:p>
        </w:tc>
      </w:tr>
      <w:tr>
        <w:trPr>
          <w:trHeight w:val="216"/>
        </w:trPr>
        <w:tc>
          <w:tcPr>
            <w:tcW w:w="30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Merrill Lynch, Pierce, Fenner &amp; Smith Incorporated</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7,000,000</w:t>
            </w:r>
          </w:p>
        </w:tc>
      </w:tr>
      <w:tr>
        <w:trPr>
          <w:trHeight w:val="222"/>
        </w:trPr>
        <w:tc>
          <w:tcPr>
            <w:tcW w:w="3000" w:type="dxa"/>
            <w:vAlign w:val="bottom"/>
          </w:tcPr>
          <w:p>
            <w:pPr>
              <w:spacing w:after="0"/>
              <w:rPr>
                <w:sz w:val="19"/>
                <w:szCs w:val="19"/>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RBC Capital Markets Corporation</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7,000,000</w:t>
            </w:r>
          </w:p>
        </w:tc>
      </w:tr>
      <w:tr>
        <w:trPr>
          <w:trHeight w:val="318"/>
        </w:trPr>
        <w:tc>
          <w:tcPr>
            <w:tcW w:w="3000" w:type="dxa"/>
            <w:vAlign w:val="bottom"/>
          </w:tcPr>
          <w:p>
            <w:pPr>
              <w:spacing w:after="0"/>
              <w:rPr>
                <w:sz w:val="20"/>
                <w:szCs w:val="20"/>
                <w:color w:val="auto"/>
              </w:rPr>
            </w:pPr>
            <w:r>
              <w:rPr>
                <w:rFonts w:ascii="Arial" w:cs="Arial" w:eastAsia="Arial" w:hAnsi="Arial"/>
                <w:sz w:val="18"/>
                <w:szCs w:val="18"/>
                <w:color w:val="auto"/>
              </w:rPr>
              <w:t>Estimated Expenses of the Company</w:t>
            </w:r>
          </w:p>
        </w:tc>
        <w:tc>
          <w:tcPr>
            <w:tcW w:w="5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2"/>
        </w:trPr>
        <w:tc>
          <w:tcPr>
            <w:tcW w:w="3000" w:type="dxa"/>
            <w:vAlign w:val="bottom"/>
          </w:tcPr>
          <w:p>
            <w:pPr>
              <w:spacing w:after="0"/>
              <w:rPr>
                <w:sz w:val="20"/>
                <w:szCs w:val="20"/>
                <w:color w:val="auto"/>
              </w:rPr>
            </w:pPr>
            <w:r>
              <w:rPr>
                <w:rFonts w:ascii="Arial" w:cs="Arial" w:eastAsia="Arial" w:hAnsi="Arial"/>
                <w:sz w:val="18"/>
                <w:szCs w:val="18"/>
                <w:color w:val="auto"/>
              </w:rPr>
              <w:t>Excluding Underwriting Discount:</w:t>
            </w:r>
          </w:p>
        </w:tc>
        <w:tc>
          <w:tcPr>
            <w:tcW w:w="5780" w:type="dxa"/>
            <w:vAlign w:val="bottom"/>
          </w:tcPr>
          <w:p>
            <w:pPr>
              <w:ind w:left="420"/>
              <w:spacing w:after="0"/>
              <w:rPr>
                <w:sz w:val="20"/>
                <w:szCs w:val="20"/>
                <w:color w:val="auto"/>
              </w:rPr>
            </w:pPr>
            <w:r>
              <w:rPr>
                <w:rFonts w:ascii="Arial" w:cs="Arial" w:eastAsia="Arial" w:hAnsi="Arial"/>
                <w:sz w:val="18"/>
                <w:szCs w:val="18"/>
                <w:color w:val="auto"/>
              </w:rPr>
              <w:t>$250,000</w:t>
            </w:r>
          </w:p>
        </w:tc>
        <w:tc>
          <w:tcPr>
            <w:tcW w:w="182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380"/>
        <w:spacing w:after="0" w:line="332" w:lineRule="auto"/>
        <w:rPr>
          <w:sz w:val="20"/>
          <w:szCs w:val="20"/>
          <w:color w:val="auto"/>
        </w:rPr>
      </w:pPr>
      <w:r>
        <w:rPr>
          <w:rFonts w:ascii="Arial" w:cs="Arial" w:eastAsia="Arial" w:hAnsi="Arial"/>
          <w:sz w:val="16"/>
          <w:szCs w:val="16"/>
          <w:color w:val="auto"/>
        </w:rPr>
        <w:t>This issuance of the 6.20% Notes due 2017 constitutes a reopening of, and will be fully fungible with, will rank equally with and will form a single issue and series with, the Company’s 6.20% Notes due 2017, originally issued on July 17, 2006 in the principal amount of $130,000,000.</w:t>
      </w:r>
    </w:p>
    <w:p>
      <w:pPr>
        <w:spacing w:after="0" w:line="7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Wachovia Capital Markets, LLC toll-free at 1-800-326-5897.</w:t>
      </w:r>
    </w:p>
    <w:p>
      <w:pPr>
        <w:spacing w:after="0" w:line="139"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1 to Exhibit B, Page 4</w:t>
      </w:r>
    </w:p>
    <w:p>
      <w:pPr>
        <w:sectPr>
          <w:pgSz w:w="11900" w:h="16838" w:orient="portrait"/>
          <w:cols w:equalWidth="0" w:num="1">
            <w:col w:w="11420"/>
          </w:cols>
          <w:pgMar w:left="240" w:top="2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[Not filed with this Current Report]</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 C-1</w:t>
      </w:r>
    </w:p>
    <w:p>
      <w:pPr>
        <w:sectPr>
          <w:pgSz w:w="11900" w:h="16838" w:orient="portrait"/>
          <w:cols w:equalWidth="0" w:num="1">
            <w:col w:w="10220"/>
          </w:cols>
          <w:pgMar w:left="1440" w:top="274" w:right="239" w:bottom="1440" w:gutter="0" w:footer="0" w:header="0"/>
        </w:sectPr>
      </w:pPr>
    </w:p>
    <w:bookmarkStart w:id="40" w:name="page41"/>
    <w:bookmarkEnd w:id="40"/>
    <w:p>
      <w:pPr>
        <w:ind w:left="10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C-1</w:t>
      </w:r>
    </w:p>
    <w:p>
      <w:pPr>
        <w:spacing w:after="0" w:line="200"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Indenture dated December 13, 1993, related to the Company’s 7.48% Debentures due August 15, 2026; and 6.82% Medium Term Notes due August 1, 2027, filed with the Commission on December 13, 1993 as Exhibit 4(a) to the Company’s Registration Statement on Form S-3 (File No. 33-51029).</w:t>
      </w:r>
    </w:p>
    <w:p>
      <w:pPr>
        <w:spacing w:after="0" w:line="85" w:lineRule="exact"/>
        <w:rPr>
          <w:sz w:val="20"/>
          <w:szCs w:val="20"/>
          <w:color w:val="auto"/>
        </w:rPr>
      </w:pPr>
    </w:p>
    <w:p>
      <w:pPr>
        <w:jc w:val="both"/>
        <w:ind w:right="160"/>
        <w:spacing w:after="0" w:line="235" w:lineRule="auto"/>
        <w:rPr>
          <w:sz w:val="20"/>
          <w:szCs w:val="20"/>
          <w:color w:val="auto"/>
        </w:rPr>
      </w:pPr>
      <w:r>
        <w:rPr>
          <w:rFonts w:ascii="Arial" w:cs="Arial" w:eastAsia="Arial" w:hAnsi="Arial"/>
          <w:sz w:val="18"/>
          <w:szCs w:val="18"/>
          <w:color w:val="auto"/>
        </w:rPr>
        <w:t xml:space="preserve">Indenture dated September 1, 1998 related to the Company’s 6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Notes due November 15, 2007, 8.75% Notes due December 1, 2009, 4.50% Notes due 2011 and 5.65% Notes due 2016, 6.00% Notes due 2012 and 6.20% Notes due 2017 filed as Exhibit 4(a) to the Company’s Registration Statement on Form S-3 (File No. 333-63619).</w:t>
      </w:r>
    </w:p>
    <w:p>
      <w:pPr>
        <w:spacing w:after="0" w:line="15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Credit Agreement dated as of July 28, 2006, by and among the Company, as Borrower, The Financial Institutions Party Thereto and Their Assignees Under Section 12.5(d), as Lenders, Wachovia Capital Markets, LLC as sole Lead Arranger and Sole Book Manager, Wachovia Bank, National Association as Agent, Eurohypo AG, New York Branch as Syndication Agent, and each of PNC Bank, National Association, SunTrust Bank and U.S. Bank National Association as Documentation Agent.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dated as of August 24, 2006, by and between the Company and Wachovia Investment Holdings, LLC</w:t>
      </w:r>
    </w:p>
    <w:p>
      <w:pPr>
        <w:sectPr>
          <w:pgSz w:w="11900" w:h="16838" w:orient="portrait"/>
          <w:cols w:equalWidth="0" w:num="1">
            <w:col w:w="11420"/>
          </w:cols>
          <w:pgMar w:left="240" w:top="274"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8"/>
        </w:trPr>
        <w:tc>
          <w:tcPr>
            <w:tcW w:w="9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gridSpan w:val="2"/>
          </w:tcPr>
          <w:p>
            <w:pPr>
              <w:ind w:left="800"/>
              <w:spacing w:after="0"/>
              <w:rPr>
                <w:sz w:val="20"/>
                <w:szCs w:val="20"/>
                <w:color w:val="auto"/>
              </w:rPr>
            </w:pPr>
            <w:r>
              <w:rPr>
                <w:rFonts w:ascii="Arial" w:cs="Arial" w:eastAsia="Arial" w:hAnsi="Arial"/>
                <w:sz w:val="18"/>
                <w:szCs w:val="18"/>
                <w:b w:val="1"/>
                <w:bCs w:val="1"/>
                <w:color w:val="auto"/>
              </w:rPr>
              <w:t>EXHIBIT D</w:t>
            </w:r>
          </w:p>
        </w:tc>
      </w:tr>
      <w:tr>
        <w:trPr>
          <w:trHeight w:val="340"/>
        </w:trPr>
        <w:tc>
          <w:tcPr>
            <w:tcW w:w="9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Company’s Direct or</w:t>
            </w:r>
          </w:p>
        </w:tc>
      </w:tr>
      <w:tr>
        <w:trPr>
          <w:trHeight w:val="149"/>
        </w:trPr>
        <w:tc>
          <w:tcPr>
            <w:tcW w:w="9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Indirect Ownership</w:t>
            </w:r>
          </w:p>
        </w:tc>
      </w:tr>
      <w:tr>
        <w:trPr>
          <w:trHeight w:val="181"/>
        </w:trPr>
        <w:tc>
          <w:tcPr>
            <w:tcW w:w="9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FEDERAL REALTY INVESTMENT TRUST</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gridSpan w:val="2"/>
          </w:tcPr>
          <w:p>
            <w:pPr>
              <w:ind w:left="420"/>
              <w:spacing w:after="0"/>
              <w:rPr>
                <w:sz w:val="20"/>
                <w:szCs w:val="20"/>
                <w:color w:val="auto"/>
              </w:rPr>
            </w:pPr>
            <w:r>
              <w:rPr>
                <w:rFonts w:ascii="Arial" w:cs="Arial" w:eastAsia="Arial" w:hAnsi="Arial"/>
                <w:sz w:val="14"/>
                <w:szCs w:val="14"/>
                <w:b w:val="1"/>
                <w:bCs w:val="1"/>
                <w:color w:val="auto"/>
              </w:rPr>
              <w:t>Interest</w:t>
            </w:r>
          </w:p>
        </w:tc>
      </w:tr>
      <w:tr>
        <w:trPr>
          <w:trHeight w:val="195"/>
        </w:trPr>
        <w:tc>
          <w:tcPr>
            <w:tcW w:w="9020" w:type="dxa"/>
            <w:vAlign w:val="bottom"/>
          </w:tcPr>
          <w:p>
            <w:pPr>
              <w:spacing w:after="0" w:line="195" w:lineRule="exact"/>
              <w:rPr>
                <w:sz w:val="20"/>
                <w:szCs w:val="20"/>
                <w:color w:val="auto"/>
              </w:rPr>
            </w:pPr>
            <w:r>
              <w:rPr>
                <w:rFonts w:ascii="Arial" w:cs="Arial" w:eastAsia="Arial" w:hAnsi="Arial"/>
                <w:sz w:val="18"/>
                <w:szCs w:val="18"/>
                <w:color w:val="auto"/>
              </w:rPr>
              <w:t>FR Associates Limited Partnership (“FR”)</w:t>
            </w:r>
          </w:p>
        </w:tc>
        <w:tc>
          <w:tcPr>
            <w:tcW w:w="240" w:type="dxa"/>
            <w:vAlign w:val="bottom"/>
          </w:tcPr>
          <w:p>
            <w:pPr>
              <w:spacing w:after="0"/>
              <w:rPr>
                <w:sz w:val="16"/>
                <w:szCs w:val="16"/>
                <w:color w:val="auto"/>
              </w:rPr>
            </w:pPr>
          </w:p>
        </w:tc>
        <w:tc>
          <w:tcPr>
            <w:tcW w:w="21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98.97% (1.03% SRI)</w:t>
            </w:r>
          </w:p>
        </w:tc>
        <w:tc>
          <w:tcPr>
            <w:tcW w:w="20" w:type="dxa"/>
            <w:vAlign w:val="bottom"/>
          </w:tcPr>
          <w:p>
            <w:pPr>
              <w:spacing w:after="0"/>
              <w:rPr>
                <w:sz w:val="16"/>
                <w:szCs w:val="16"/>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Andorra Associates</w:t>
            </w:r>
          </w:p>
        </w:tc>
        <w:tc>
          <w:tcPr>
            <w:tcW w:w="2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99% (1% FR)</w:t>
            </w: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Governor Plaza Associates</w:t>
            </w:r>
          </w:p>
        </w:tc>
        <w:tc>
          <w:tcPr>
            <w:tcW w:w="2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99% (1% FR)</w:t>
            </w: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Shopping Center Associates</w:t>
            </w:r>
          </w:p>
        </w:tc>
        <w:tc>
          <w:tcPr>
            <w:tcW w:w="2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99% (1% FR)</w:t>
            </w: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Berman Enterprises II Limited Partnership</w:t>
            </w:r>
          </w:p>
        </w:tc>
        <w:tc>
          <w:tcPr>
            <w:tcW w:w="2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99% (1% FR)</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FRIT Escondido Promenade, LLC</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70%</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FRIT Leasing &amp; Development Services, Inc. (“FRIT L&amp;D”)</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w w:val="91"/>
              </w:rPr>
              <w:t>100%</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FRIT Santana Row TRS, Inc.</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w w:val="91"/>
              </w:rPr>
              <w:t>100%</w:t>
            </w: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(FRIT L&amp;D)</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Congressional Plaza Associates, LLC</w:t>
            </w:r>
          </w:p>
        </w:tc>
        <w:tc>
          <w:tcPr>
            <w:tcW w:w="2400" w:type="dxa"/>
            <w:vAlign w:val="bottom"/>
            <w:gridSpan w:val="3"/>
          </w:tcPr>
          <w:p>
            <w:pPr>
              <w:ind w:left="240"/>
              <w:spacing w:after="0"/>
              <w:rPr>
                <w:sz w:val="20"/>
                <w:szCs w:val="20"/>
                <w:color w:val="auto"/>
              </w:rPr>
            </w:pPr>
            <w:r>
              <w:rPr>
                <w:rFonts w:ascii="Arial" w:cs="Arial" w:eastAsia="Arial" w:hAnsi="Arial"/>
                <w:sz w:val="18"/>
                <w:szCs w:val="18"/>
                <w:color w:val="auto"/>
              </w:rPr>
              <w:t>64.1030%</w:t>
            </w:r>
          </w:p>
        </w:tc>
        <w:tc>
          <w:tcPr>
            <w:tcW w:w="20" w:type="dxa"/>
            <w:vAlign w:val="bottom"/>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FR Pike 7 Limited Partnership (DownREIT – 12,393.71 units outstanding)</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99%</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w w:val="98"/>
              </w:rPr>
              <w:t>Federal Realty Partners L. P. (Master DownREIT- 352,549 units outstanding – 508,999 units have been redeemed)</w:t>
            </w:r>
          </w:p>
        </w:tc>
        <w:tc>
          <w:tcPr>
            <w:tcW w:w="2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40 units (FedRP Inc.)</w:t>
            </w:r>
          </w:p>
        </w:tc>
      </w:tr>
      <w:tr>
        <w:trPr>
          <w:trHeight w:val="216"/>
        </w:trPr>
        <w:tc>
          <w:tcPr>
            <w:tcW w:w="9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509,039 units (FRLP Inc.)</w:t>
            </w: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Federal Realty Partners, Inc. (“FedRP Inc.”)</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w w:val="91"/>
              </w:rPr>
              <w:t>100%</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FRLP, Inc. (“FRLP Inc.”)</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w w:val="91"/>
              </w:rPr>
              <w:t>100%</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FR Leesburg Plaza, LLC (“Leesburg LLC”)</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w w:val="91"/>
              </w:rPr>
              <w:t>100%</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FR Leesburg Plaza, LP (DownREIT– 37,267 units outstanding – 100,733 units have been redeemed)</w:t>
            </w:r>
          </w:p>
        </w:tc>
        <w:tc>
          <w:tcPr>
            <w:tcW w:w="2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w w:val="90"/>
              </w:rPr>
              <w:t>315,233 units (Leesburg LLC)</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Federal Realty Management Services, Inc.</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w w:val="91"/>
              </w:rPr>
              <w:t>100%</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FR Federal Plaza, Inc. (“FedPlaza Inc.”)</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w w:val="91"/>
              </w:rPr>
              <w:t>100%</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FR Federal Plaza, LLC</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w w:val="91"/>
              </w:rPr>
              <w:t>100%</w:t>
            </w: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(FedPlaza Inc.)</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FR Mercer Mall, Inc. (“Mercer Inc.”)</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w w:val="91"/>
              </w:rPr>
              <w:t>100%</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FR Mercer Mall, LLC</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w w:val="91"/>
              </w:rPr>
              <w:t>100%</w:t>
            </w: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(Mercer Inc.)</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Federal/LPF GP, Inc. (“LPF”)</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w w:val="91"/>
              </w:rPr>
              <w:t>100%</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Federal/Lion Venture LP (“Venture”)</w:t>
            </w:r>
          </w:p>
        </w:tc>
        <w:tc>
          <w:tcPr>
            <w:tcW w:w="2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29.99% (.1% LPF)</w:t>
            </w: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FLV Plaza del Mercado, LLC (“Mercado”)</w:t>
            </w:r>
          </w:p>
        </w:tc>
        <w:tc>
          <w:tcPr>
            <w:tcW w:w="2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30% through Venture</w:t>
            </w: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FLV Plaza del Mercado, LP</w:t>
            </w:r>
          </w:p>
        </w:tc>
        <w:tc>
          <w:tcPr>
            <w:tcW w:w="2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30% through Mercado</w:t>
            </w: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FLV Campus Plaza GP, LLC (“Campus”)</w:t>
            </w:r>
          </w:p>
        </w:tc>
        <w:tc>
          <w:tcPr>
            <w:tcW w:w="2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30% through Venture</w:t>
            </w: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FLV Campus Plaza Limited Partnership</w:t>
            </w:r>
          </w:p>
        </w:tc>
        <w:tc>
          <w:tcPr>
            <w:tcW w:w="2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30% through Campus</w:t>
            </w: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FLV Pleasant Shops GP, LLC (“Pleasant”)</w:t>
            </w:r>
          </w:p>
        </w:tc>
        <w:tc>
          <w:tcPr>
            <w:tcW w:w="2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30% through Venture</w:t>
            </w: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FLV Pleasant Shops Limited Partnership</w:t>
            </w:r>
          </w:p>
        </w:tc>
        <w:tc>
          <w:tcPr>
            <w:tcW w:w="2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30% through Pleasant</w:t>
            </w: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FLV Atlantic Plaza GP, LLC (“Atlantic”)</w:t>
            </w:r>
          </w:p>
        </w:tc>
        <w:tc>
          <w:tcPr>
            <w:tcW w:w="2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30% through Venture</w:t>
            </w: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FLV Atlantic Plaza Limited Partnership</w:t>
            </w:r>
          </w:p>
        </w:tc>
        <w:tc>
          <w:tcPr>
            <w:tcW w:w="2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30% through Atlantic</w:t>
            </w: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FLV Greenlawn Plaza GP, LLC (“Greenlawn”)</w:t>
            </w:r>
          </w:p>
        </w:tc>
        <w:tc>
          <w:tcPr>
            <w:tcW w:w="2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30% through Venture</w:t>
            </w: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FLV Greenlawn Plaza, LP</w:t>
            </w:r>
          </w:p>
        </w:tc>
        <w:tc>
          <w:tcPr>
            <w:tcW w:w="2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30% through Greenlawn</w:t>
            </w: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FLV Barcroft Plaza GP, LLC (“Barcroft”)</w:t>
            </w:r>
          </w:p>
        </w:tc>
        <w:tc>
          <w:tcPr>
            <w:tcW w:w="2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30% through Venture</w:t>
            </w: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FLV Barcroft Plaza, LP</w:t>
            </w:r>
          </w:p>
        </w:tc>
        <w:tc>
          <w:tcPr>
            <w:tcW w:w="2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30% through Barcroft</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FR Westgate Mall, Inc. (“Westgate Inc.”)</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w w:val="91"/>
              </w:rPr>
              <w:t>100%</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9020" w:type="dxa"/>
            <w:vAlign w:val="bottom"/>
          </w:tcPr>
          <w:p>
            <w:pPr>
              <w:ind w:left="440"/>
              <w:spacing w:after="0"/>
              <w:rPr>
                <w:sz w:val="20"/>
                <w:szCs w:val="20"/>
                <w:color w:val="auto"/>
              </w:rPr>
            </w:pPr>
            <w:r>
              <w:rPr>
                <w:rFonts w:ascii="Arial" w:cs="Arial" w:eastAsia="Arial" w:hAnsi="Arial"/>
                <w:sz w:val="18"/>
                <w:szCs w:val="18"/>
                <w:color w:val="auto"/>
              </w:rPr>
              <w:t>FR Westgate Mall, LLC</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w w:val="91"/>
              </w:rPr>
              <w:t>100%</w:t>
            </w: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(Westgate Inc.)</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Ex. D-1</w:t>
      </w:r>
    </w:p>
    <w:p>
      <w:pPr>
        <w:sectPr>
          <w:pgSz w:w="11900" w:h="16838" w:orient="portrait"/>
          <w:cols w:equalWidth="0" w:num="1">
            <w:col w:w="11420"/>
          </w:cols>
          <w:pgMar w:left="240" w:top="274"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FR Assembly Square, LLC</w:t>
            </w:r>
          </w:p>
        </w:tc>
        <w:tc>
          <w:tcPr>
            <w:tcW w:w="640" w:type="dxa"/>
            <w:vAlign w:val="bottom"/>
          </w:tcPr>
          <w:p>
            <w:pPr>
              <w:ind w:left="200"/>
              <w:spacing w:after="0"/>
              <w:rPr>
                <w:sz w:val="20"/>
                <w:szCs w:val="20"/>
                <w:color w:val="auto"/>
              </w:rPr>
            </w:pPr>
            <w:r>
              <w:rPr>
                <w:rFonts w:ascii="Arial" w:cs="Arial" w:eastAsia="Arial" w:hAnsi="Arial"/>
                <w:sz w:val="18"/>
                <w:szCs w:val="18"/>
                <w:color w:val="auto"/>
                <w:w w:val="91"/>
              </w:rPr>
              <w:t>100%</w:t>
            </w:r>
          </w:p>
        </w:tc>
        <w:tc>
          <w:tcPr>
            <w:tcW w:w="1600" w:type="dxa"/>
            <w:vAlign w:val="bottom"/>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FR Sturtevant Street, Inc. (“Sturtevant Inc.”)</w:t>
            </w:r>
          </w:p>
        </w:tc>
        <w:tc>
          <w:tcPr>
            <w:tcW w:w="640" w:type="dxa"/>
            <w:vAlign w:val="bottom"/>
          </w:tcPr>
          <w:p>
            <w:pPr>
              <w:ind w:left="200"/>
              <w:spacing w:after="0"/>
              <w:rPr>
                <w:sz w:val="20"/>
                <w:szCs w:val="20"/>
                <w:color w:val="auto"/>
              </w:rPr>
            </w:pPr>
            <w:r>
              <w:rPr>
                <w:rFonts w:ascii="Arial" w:cs="Arial" w:eastAsia="Arial" w:hAnsi="Arial"/>
                <w:sz w:val="18"/>
                <w:szCs w:val="18"/>
                <w:color w:val="auto"/>
                <w:w w:val="91"/>
              </w:rPr>
              <w:t>100%</w:t>
            </w:r>
          </w:p>
        </w:tc>
        <w:tc>
          <w:tcPr>
            <w:tcW w:w="1600" w:type="dxa"/>
            <w:vAlign w:val="bottom"/>
          </w:tcPr>
          <w:p>
            <w:pPr>
              <w:spacing w:after="0"/>
              <w:rPr>
                <w:sz w:val="18"/>
                <w:szCs w:val="18"/>
                <w:color w:val="auto"/>
              </w:rPr>
            </w:pP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FR Sturtevant Street, LLC</w:t>
            </w:r>
          </w:p>
        </w:tc>
        <w:tc>
          <w:tcPr>
            <w:tcW w:w="640" w:type="dxa"/>
            <w:vAlign w:val="bottom"/>
          </w:tcPr>
          <w:p>
            <w:pPr>
              <w:ind w:left="200"/>
              <w:spacing w:after="0"/>
              <w:rPr>
                <w:sz w:val="20"/>
                <w:szCs w:val="20"/>
                <w:color w:val="auto"/>
              </w:rPr>
            </w:pPr>
            <w:r>
              <w:rPr>
                <w:rFonts w:ascii="Arial" w:cs="Arial" w:eastAsia="Arial" w:hAnsi="Arial"/>
                <w:sz w:val="18"/>
                <w:szCs w:val="18"/>
                <w:color w:val="auto"/>
                <w:w w:val="91"/>
              </w:rPr>
              <w:t>100%</w:t>
            </w:r>
          </w:p>
        </w:tc>
        <w:tc>
          <w:tcPr>
            <w:tcW w:w="1600" w:type="dxa"/>
            <w:vAlign w:val="bottom"/>
          </w:tcPr>
          <w:p>
            <w:pPr>
              <w:ind w:left="20"/>
              <w:spacing w:after="0"/>
              <w:rPr>
                <w:sz w:val="20"/>
                <w:szCs w:val="20"/>
                <w:color w:val="auto"/>
              </w:rPr>
            </w:pPr>
            <w:r>
              <w:rPr>
                <w:rFonts w:ascii="Arial" w:cs="Arial" w:eastAsia="Arial" w:hAnsi="Arial"/>
                <w:sz w:val="18"/>
                <w:szCs w:val="18"/>
                <w:color w:val="auto"/>
              </w:rPr>
              <w:t>(Sturtevant Inc.)</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FR Crow Canyon, Inc. (f/k/a JS&amp;DB, Inc.) (“Crow Inc.”)</w:t>
            </w:r>
          </w:p>
        </w:tc>
        <w:tc>
          <w:tcPr>
            <w:tcW w:w="640" w:type="dxa"/>
            <w:vAlign w:val="bottom"/>
          </w:tcPr>
          <w:p>
            <w:pPr>
              <w:ind w:left="200"/>
              <w:spacing w:after="0"/>
              <w:rPr>
                <w:sz w:val="20"/>
                <w:szCs w:val="20"/>
                <w:color w:val="auto"/>
              </w:rPr>
            </w:pPr>
            <w:r>
              <w:rPr>
                <w:rFonts w:ascii="Arial" w:cs="Arial" w:eastAsia="Arial" w:hAnsi="Arial"/>
                <w:sz w:val="18"/>
                <w:szCs w:val="18"/>
                <w:color w:val="auto"/>
                <w:w w:val="91"/>
              </w:rPr>
              <w:t>100%</w:t>
            </w:r>
          </w:p>
        </w:tc>
        <w:tc>
          <w:tcPr>
            <w:tcW w:w="1600" w:type="dxa"/>
            <w:vAlign w:val="bottom"/>
          </w:tcPr>
          <w:p>
            <w:pPr>
              <w:spacing w:after="0"/>
              <w:rPr>
                <w:sz w:val="18"/>
                <w:szCs w:val="18"/>
                <w:color w:val="auto"/>
              </w:rPr>
            </w:pP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FR Crow Canyon, LLC</w:t>
            </w:r>
          </w:p>
        </w:tc>
        <w:tc>
          <w:tcPr>
            <w:tcW w:w="640" w:type="dxa"/>
            <w:vAlign w:val="bottom"/>
          </w:tcPr>
          <w:p>
            <w:pPr>
              <w:ind w:left="200"/>
              <w:spacing w:after="0"/>
              <w:rPr>
                <w:sz w:val="20"/>
                <w:szCs w:val="20"/>
                <w:color w:val="auto"/>
              </w:rPr>
            </w:pPr>
            <w:r>
              <w:rPr>
                <w:rFonts w:ascii="Arial" w:cs="Arial" w:eastAsia="Arial" w:hAnsi="Arial"/>
                <w:sz w:val="18"/>
                <w:szCs w:val="18"/>
                <w:color w:val="auto"/>
                <w:w w:val="91"/>
              </w:rPr>
              <w:t>100%</w:t>
            </w:r>
          </w:p>
        </w:tc>
        <w:tc>
          <w:tcPr>
            <w:tcW w:w="1600" w:type="dxa"/>
            <w:vAlign w:val="bottom"/>
          </w:tcPr>
          <w:p>
            <w:pPr>
              <w:ind w:left="20"/>
              <w:spacing w:after="0"/>
              <w:rPr>
                <w:sz w:val="20"/>
                <w:szCs w:val="20"/>
                <w:color w:val="auto"/>
              </w:rPr>
            </w:pPr>
            <w:r>
              <w:rPr>
                <w:rFonts w:ascii="Arial" w:cs="Arial" w:eastAsia="Arial" w:hAnsi="Arial"/>
                <w:sz w:val="18"/>
                <w:szCs w:val="18"/>
                <w:color w:val="auto"/>
              </w:rPr>
              <w:t>(Crow Inc.)</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FR Key Road, Inc.</w:t>
            </w:r>
          </w:p>
        </w:tc>
        <w:tc>
          <w:tcPr>
            <w:tcW w:w="640" w:type="dxa"/>
            <w:vAlign w:val="bottom"/>
          </w:tcPr>
          <w:p>
            <w:pPr>
              <w:ind w:left="200"/>
              <w:spacing w:after="0"/>
              <w:rPr>
                <w:sz w:val="20"/>
                <w:szCs w:val="20"/>
                <w:color w:val="auto"/>
              </w:rPr>
            </w:pPr>
            <w:r>
              <w:rPr>
                <w:rFonts w:ascii="Arial" w:cs="Arial" w:eastAsia="Arial" w:hAnsi="Arial"/>
                <w:sz w:val="18"/>
                <w:szCs w:val="18"/>
                <w:color w:val="auto"/>
                <w:w w:val="91"/>
              </w:rPr>
              <w:t>100%</w:t>
            </w:r>
          </w:p>
        </w:tc>
        <w:tc>
          <w:tcPr>
            <w:tcW w:w="1600" w:type="dxa"/>
            <w:vAlign w:val="bottom"/>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FR Riverside, Inc.</w:t>
            </w:r>
          </w:p>
        </w:tc>
        <w:tc>
          <w:tcPr>
            <w:tcW w:w="640" w:type="dxa"/>
            <w:vAlign w:val="bottom"/>
          </w:tcPr>
          <w:p>
            <w:pPr>
              <w:ind w:left="200"/>
              <w:spacing w:after="0"/>
              <w:rPr>
                <w:sz w:val="20"/>
                <w:szCs w:val="20"/>
                <w:color w:val="auto"/>
              </w:rPr>
            </w:pPr>
            <w:r>
              <w:rPr>
                <w:rFonts w:ascii="Arial" w:cs="Arial" w:eastAsia="Arial" w:hAnsi="Arial"/>
                <w:sz w:val="18"/>
                <w:szCs w:val="18"/>
                <w:color w:val="auto"/>
                <w:w w:val="91"/>
              </w:rPr>
              <w:t>100%</w:t>
            </w:r>
          </w:p>
        </w:tc>
        <w:tc>
          <w:tcPr>
            <w:tcW w:w="1600" w:type="dxa"/>
            <w:vAlign w:val="bottom"/>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FR Linden Square, Inc.</w:t>
            </w:r>
          </w:p>
        </w:tc>
        <w:tc>
          <w:tcPr>
            <w:tcW w:w="640" w:type="dxa"/>
            <w:vAlign w:val="bottom"/>
          </w:tcPr>
          <w:p>
            <w:pPr>
              <w:ind w:left="200"/>
              <w:spacing w:after="0"/>
              <w:rPr>
                <w:sz w:val="20"/>
                <w:szCs w:val="20"/>
                <w:color w:val="auto"/>
              </w:rPr>
            </w:pPr>
            <w:r>
              <w:rPr>
                <w:rFonts w:ascii="Arial" w:cs="Arial" w:eastAsia="Arial" w:hAnsi="Arial"/>
                <w:sz w:val="18"/>
                <w:szCs w:val="18"/>
                <w:color w:val="auto"/>
                <w:w w:val="91"/>
              </w:rPr>
              <w:t>100%</w:t>
            </w:r>
          </w:p>
        </w:tc>
        <w:tc>
          <w:tcPr>
            <w:tcW w:w="1600" w:type="dxa"/>
            <w:vAlign w:val="bottom"/>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FR North Dartmouth, Inc. (“ND Inc.”)</w:t>
            </w:r>
          </w:p>
        </w:tc>
        <w:tc>
          <w:tcPr>
            <w:tcW w:w="640" w:type="dxa"/>
            <w:vAlign w:val="bottom"/>
          </w:tcPr>
          <w:p>
            <w:pPr>
              <w:ind w:left="200"/>
              <w:spacing w:after="0"/>
              <w:rPr>
                <w:sz w:val="20"/>
                <w:szCs w:val="20"/>
                <w:color w:val="auto"/>
              </w:rPr>
            </w:pPr>
            <w:r>
              <w:rPr>
                <w:rFonts w:ascii="Arial" w:cs="Arial" w:eastAsia="Arial" w:hAnsi="Arial"/>
                <w:sz w:val="18"/>
                <w:szCs w:val="18"/>
                <w:color w:val="auto"/>
                <w:w w:val="91"/>
              </w:rPr>
              <w:t>100%</w:t>
            </w:r>
          </w:p>
        </w:tc>
        <w:tc>
          <w:tcPr>
            <w:tcW w:w="1600" w:type="dxa"/>
            <w:vAlign w:val="bottom"/>
          </w:tcPr>
          <w:p>
            <w:pPr>
              <w:spacing w:after="0"/>
              <w:rPr>
                <w:sz w:val="18"/>
                <w:szCs w:val="18"/>
                <w:color w:val="auto"/>
              </w:rPr>
            </w:pP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FR North Dartmouth, LLC</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100% by First American</w:t>
            </w:r>
          </w:p>
        </w:tc>
      </w:tr>
      <w:tr>
        <w:trPr>
          <w:trHeight w:val="216"/>
        </w:trPr>
        <w:tc>
          <w:tcPr>
            <w:tcW w:w="9160" w:type="dxa"/>
            <w:vAlign w:val="bottom"/>
          </w:tcPr>
          <w:p>
            <w:pPr>
              <w:spacing w:after="0"/>
              <w:rPr>
                <w:sz w:val="18"/>
                <w:szCs w:val="18"/>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Title Insurance Company</w:t>
            </w:r>
          </w:p>
        </w:tc>
      </w:tr>
      <w:tr>
        <w:trPr>
          <w:trHeight w:val="216"/>
        </w:trPr>
        <w:tc>
          <w:tcPr>
            <w:tcW w:w="9160" w:type="dxa"/>
            <w:vAlign w:val="bottom"/>
          </w:tcPr>
          <w:p>
            <w:pPr>
              <w:spacing w:after="0"/>
              <w:rPr>
                <w:sz w:val="18"/>
                <w:szCs w:val="18"/>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w w:val="91"/>
              </w:rPr>
              <w:t>(“First American”) as part of</w:t>
            </w:r>
          </w:p>
        </w:tc>
      </w:tr>
      <w:tr>
        <w:trPr>
          <w:trHeight w:val="216"/>
        </w:trPr>
        <w:tc>
          <w:tcPr>
            <w:tcW w:w="9160" w:type="dxa"/>
            <w:vAlign w:val="bottom"/>
          </w:tcPr>
          <w:p>
            <w:pPr>
              <w:spacing w:after="0"/>
              <w:rPr>
                <w:sz w:val="18"/>
                <w:szCs w:val="18"/>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w w:val="97"/>
              </w:rPr>
              <w:t>a reverse 1031 exchange;</w:t>
            </w:r>
          </w:p>
        </w:tc>
      </w:tr>
      <w:tr>
        <w:trPr>
          <w:trHeight w:val="216"/>
        </w:trPr>
        <w:tc>
          <w:tcPr>
            <w:tcW w:w="9160" w:type="dxa"/>
            <w:vAlign w:val="bottom"/>
          </w:tcPr>
          <w:p>
            <w:pPr>
              <w:spacing w:after="0"/>
              <w:rPr>
                <w:sz w:val="18"/>
                <w:szCs w:val="18"/>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thereafter ND Inc.</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FR Chelsea Commons I, Inc. (“Chelsea I Inc.”)</w:t>
            </w:r>
          </w:p>
        </w:tc>
        <w:tc>
          <w:tcPr>
            <w:tcW w:w="640" w:type="dxa"/>
            <w:vAlign w:val="bottom"/>
          </w:tcPr>
          <w:p>
            <w:pPr>
              <w:ind w:left="200"/>
              <w:spacing w:after="0"/>
              <w:rPr>
                <w:sz w:val="20"/>
                <w:szCs w:val="20"/>
                <w:color w:val="auto"/>
              </w:rPr>
            </w:pPr>
            <w:r>
              <w:rPr>
                <w:rFonts w:ascii="Arial" w:cs="Arial" w:eastAsia="Arial" w:hAnsi="Arial"/>
                <w:sz w:val="18"/>
                <w:szCs w:val="18"/>
                <w:color w:val="auto"/>
                <w:w w:val="91"/>
              </w:rPr>
              <w:t>100%</w:t>
            </w:r>
          </w:p>
        </w:tc>
        <w:tc>
          <w:tcPr>
            <w:tcW w:w="1600" w:type="dxa"/>
            <w:vAlign w:val="bottom"/>
          </w:tcPr>
          <w:p>
            <w:pPr>
              <w:spacing w:after="0"/>
              <w:rPr>
                <w:sz w:val="18"/>
                <w:szCs w:val="18"/>
                <w:color w:val="auto"/>
              </w:rPr>
            </w:pP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FR Chelsea Commons I, LLC</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w w:val="93"/>
              </w:rPr>
              <w:t>100% by First American as</w:t>
            </w:r>
          </w:p>
        </w:tc>
      </w:tr>
      <w:tr>
        <w:trPr>
          <w:trHeight w:val="216"/>
        </w:trPr>
        <w:tc>
          <w:tcPr>
            <w:tcW w:w="9160" w:type="dxa"/>
            <w:vAlign w:val="bottom"/>
          </w:tcPr>
          <w:p>
            <w:pPr>
              <w:spacing w:after="0"/>
              <w:rPr>
                <w:sz w:val="18"/>
                <w:szCs w:val="18"/>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part of a reverse 1031</w:t>
            </w:r>
          </w:p>
        </w:tc>
      </w:tr>
      <w:tr>
        <w:trPr>
          <w:trHeight w:val="216"/>
        </w:trPr>
        <w:tc>
          <w:tcPr>
            <w:tcW w:w="9160" w:type="dxa"/>
            <w:vAlign w:val="bottom"/>
          </w:tcPr>
          <w:p>
            <w:pPr>
              <w:spacing w:after="0"/>
              <w:rPr>
                <w:sz w:val="18"/>
                <w:szCs w:val="18"/>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w w:val="85"/>
              </w:rPr>
              <w:t>exchange; thereafter Chelsea</w:t>
            </w:r>
          </w:p>
        </w:tc>
      </w:tr>
      <w:tr>
        <w:trPr>
          <w:trHeight w:val="216"/>
        </w:trPr>
        <w:tc>
          <w:tcPr>
            <w:tcW w:w="91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I Inc.</w:t>
            </w:r>
          </w:p>
        </w:tc>
        <w:tc>
          <w:tcPr>
            <w:tcW w:w="1600" w:type="dxa"/>
            <w:vAlign w:val="bottom"/>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FR Chelsea Commons II, Inc. (“Chelsea II Inc.”)</w:t>
            </w:r>
          </w:p>
        </w:tc>
        <w:tc>
          <w:tcPr>
            <w:tcW w:w="640" w:type="dxa"/>
            <w:vAlign w:val="bottom"/>
          </w:tcPr>
          <w:p>
            <w:pPr>
              <w:ind w:left="200"/>
              <w:spacing w:after="0"/>
              <w:rPr>
                <w:sz w:val="20"/>
                <w:szCs w:val="20"/>
                <w:color w:val="auto"/>
              </w:rPr>
            </w:pPr>
            <w:r>
              <w:rPr>
                <w:rFonts w:ascii="Arial" w:cs="Arial" w:eastAsia="Arial" w:hAnsi="Arial"/>
                <w:sz w:val="18"/>
                <w:szCs w:val="18"/>
                <w:color w:val="auto"/>
                <w:w w:val="91"/>
              </w:rPr>
              <w:t>100%</w:t>
            </w:r>
          </w:p>
        </w:tc>
        <w:tc>
          <w:tcPr>
            <w:tcW w:w="1600" w:type="dxa"/>
            <w:vAlign w:val="bottom"/>
          </w:tcPr>
          <w:p>
            <w:pPr>
              <w:spacing w:after="0"/>
              <w:rPr>
                <w:sz w:val="18"/>
                <w:szCs w:val="18"/>
                <w:color w:val="auto"/>
              </w:rPr>
            </w:pP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FR Chelsea Commons II, LLC</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w w:val="93"/>
              </w:rPr>
              <w:t>100% by First American as</w:t>
            </w:r>
          </w:p>
        </w:tc>
      </w:tr>
      <w:tr>
        <w:trPr>
          <w:trHeight w:val="216"/>
        </w:trPr>
        <w:tc>
          <w:tcPr>
            <w:tcW w:w="9160" w:type="dxa"/>
            <w:vAlign w:val="bottom"/>
          </w:tcPr>
          <w:p>
            <w:pPr>
              <w:spacing w:after="0"/>
              <w:rPr>
                <w:sz w:val="18"/>
                <w:szCs w:val="18"/>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part of a reverse 1031</w:t>
            </w:r>
          </w:p>
        </w:tc>
      </w:tr>
      <w:tr>
        <w:trPr>
          <w:trHeight w:val="216"/>
        </w:trPr>
        <w:tc>
          <w:tcPr>
            <w:tcW w:w="9160" w:type="dxa"/>
            <w:vAlign w:val="bottom"/>
          </w:tcPr>
          <w:p>
            <w:pPr>
              <w:spacing w:after="0"/>
              <w:rPr>
                <w:sz w:val="18"/>
                <w:szCs w:val="18"/>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w w:val="85"/>
              </w:rPr>
              <w:t>exchange; thereafter Chelsea</w:t>
            </w:r>
          </w:p>
        </w:tc>
      </w:tr>
      <w:tr>
        <w:trPr>
          <w:trHeight w:val="216"/>
        </w:trPr>
        <w:tc>
          <w:tcPr>
            <w:tcW w:w="91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w w:val="95"/>
              </w:rPr>
              <w:t>II Inc.</w:t>
            </w:r>
          </w:p>
        </w:tc>
        <w:tc>
          <w:tcPr>
            <w:tcW w:w="1600" w:type="dxa"/>
            <w:vAlign w:val="bottom"/>
          </w:tcPr>
          <w:p>
            <w:pPr>
              <w:spacing w:after="0"/>
              <w:rPr>
                <w:sz w:val="18"/>
                <w:szCs w:val="18"/>
                <w:color w:val="auto"/>
              </w:rPr>
            </w:pPr>
          </w:p>
        </w:tc>
      </w:tr>
      <w:tr>
        <w:trPr>
          <w:trHeight w:val="222"/>
        </w:trPr>
        <w:tc>
          <w:tcPr>
            <w:tcW w:w="9160" w:type="dxa"/>
            <w:vAlign w:val="bottom"/>
          </w:tcPr>
          <w:p>
            <w:pPr>
              <w:spacing w:after="0"/>
              <w:rPr>
                <w:sz w:val="20"/>
                <w:szCs w:val="20"/>
                <w:color w:val="auto"/>
              </w:rPr>
            </w:pPr>
            <w:r>
              <w:rPr>
                <w:rFonts w:ascii="Arial" w:cs="Arial" w:eastAsia="Arial" w:hAnsi="Arial"/>
                <w:sz w:val="18"/>
                <w:szCs w:val="18"/>
                <w:color w:val="auto"/>
              </w:rPr>
              <w:t>Street Retail, Inc.</w:t>
            </w:r>
          </w:p>
        </w:tc>
        <w:tc>
          <w:tcPr>
            <w:tcW w:w="640" w:type="dxa"/>
            <w:vAlign w:val="bottom"/>
          </w:tcPr>
          <w:p>
            <w:pPr>
              <w:ind w:left="200"/>
              <w:spacing w:after="0"/>
              <w:rPr>
                <w:sz w:val="20"/>
                <w:szCs w:val="20"/>
                <w:color w:val="auto"/>
              </w:rPr>
            </w:pPr>
            <w:r>
              <w:rPr>
                <w:rFonts w:ascii="Arial" w:cs="Arial" w:eastAsia="Arial" w:hAnsi="Arial"/>
                <w:sz w:val="18"/>
                <w:szCs w:val="18"/>
                <w:color w:val="auto"/>
                <w:w w:val="91"/>
              </w:rPr>
              <w:t>100%</w:t>
            </w:r>
          </w:p>
        </w:tc>
        <w:tc>
          <w:tcPr>
            <w:tcW w:w="1600" w:type="dxa"/>
            <w:vAlign w:val="bottom"/>
          </w:tcPr>
          <w:p>
            <w:pPr>
              <w:spacing w:after="0"/>
              <w:rPr>
                <w:sz w:val="19"/>
                <w:szCs w:val="19"/>
                <w:color w:val="auto"/>
              </w:rPr>
            </w:pPr>
          </w:p>
        </w:tc>
      </w:tr>
      <w:tr>
        <w:trPr>
          <w:trHeight w:val="367"/>
        </w:trPr>
        <w:tc>
          <w:tcPr>
            <w:tcW w:w="9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STREET RETAIL, INC. (“SRI”)</w:t>
            </w: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5"/>
        </w:trPr>
        <w:tc>
          <w:tcPr>
            <w:tcW w:w="9160" w:type="dxa"/>
            <w:vAlign w:val="bottom"/>
          </w:tcPr>
          <w:p>
            <w:pPr>
              <w:spacing w:after="0"/>
              <w:rPr>
                <w:sz w:val="20"/>
                <w:szCs w:val="20"/>
                <w:color w:val="auto"/>
              </w:rPr>
            </w:pPr>
            <w:r>
              <w:rPr>
                <w:rFonts w:ascii="Arial" w:cs="Arial" w:eastAsia="Arial" w:hAnsi="Arial"/>
                <w:sz w:val="18"/>
                <w:szCs w:val="18"/>
                <w:color w:val="auto"/>
              </w:rPr>
              <w:t>SRI Old Town, LLC</w:t>
            </w:r>
          </w:p>
        </w:tc>
        <w:tc>
          <w:tcPr>
            <w:tcW w:w="640" w:type="dxa"/>
            <w:vAlign w:val="bottom"/>
          </w:tcPr>
          <w:p>
            <w:pPr>
              <w:ind w:left="200"/>
              <w:spacing w:after="0"/>
              <w:rPr>
                <w:sz w:val="20"/>
                <w:szCs w:val="20"/>
                <w:color w:val="auto"/>
              </w:rPr>
            </w:pPr>
            <w:r>
              <w:rPr>
                <w:rFonts w:ascii="Arial" w:cs="Arial" w:eastAsia="Arial" w:hAnsi="Arial"/>
                <w:sz w:val="18"/>
                <w:szCs w:val="18"/>
                <w:color w:val="auto"/>
                <w:w w:val="91"/>
              </w:rPr>
              <w:t>100%</w:t>
            </w:r>
          </w:p>
        </w:tc>
        <w:tc>
          <w:tcPr>
            <w:tcW w:w="1600" w:type="dxa"/>
            <w:vAlign w:val="bottom"/>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Street Retail Forest Hills I, LLC</w:t>
            </w:r>
          </w:p>
        </w:tc>
        <w:tc>
          <w:tcPr>
            <w:tcW w:w="640" w:type="dxa"/>
            <w:vAlign w:val="bottom"/>
          </w:tcPr>
          <w:p>
            <w:pPr>
              <w:ind w:left="200"/>
              <w:spacing w:after="0"/>
              <w:rPr>
                <w:sz w:val="20"/>
                <w:szCs w:val="20"/>
                <w:color w:val="auto"/>
              </w:rPr>
            </w:pPr>
            <w:r>
              <w:rPr>
                <w:rFonts w:ascii="Arial" w:cs="Arial" w:eastAsia="Arial" w:hAnsi="Arial"/>
                <w:sz w:val="18"/>
                <w:szCs w:val="18"/>
                <w:color w:val="auto"/>
                <w:w w:val="91"/>
              </w:rPr>
              <w:t>100%</w:t>
            </w:r>
          </w:p>
        </w:tc>
        <w:tc>
          <w:tcPr>
            <w:tcW w:w="1600" w:type="dxa"/>
            <w:vAlign w:val="bottom"/>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Street Retail Forest Hills II, LLC</w:t>
            </w:r>
          </w:p>
        </w:tc>
        <w:tc>
          <w:tcPr>
            <w:tcW w:w="640" w:type="dxa"/>
            <w:vAlign w:val="bottom"/>
          </w:tcPr>
          <w:p>
            <w:pPr>
              <w:ind w:left="200"/>
              <w:spacing w:after="0"/>
              <w:rPr>
                <w:sz w:val="20"/>
                <w:szCs w:val="20"/>
                <w:color w:val="auto"/>
              </w:rPr>
            </w:pPr>
            <w:r>
              <w:rPr>
                <w:rFonts w:ascii="Arial" w:cs="Arial" w:eastAsia="Arial" w:hAnsi="Arial"/>
                <w:sz w:val="18"/>
                <w:szCs w:val="18"/>
                <w:color w:val="auto"/>
                <w:w w:val="91"/>
              </w:rPr>
              <w:t>100%</w:t>
            </w:r>
          </w:p>
        </w:tc>
        <w:tc>
          <w:tcPr>
            <w:tcW w:w="1600" w:type="dxa"/>
            <w:vAlign w:val="bottom"/>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Street Retail West GP, Inc. (“SRWGP”)</w:t>
            </w:r>
          </w:p>
        </w:tc>
        <w:tc>
          <w:tcPr>
            <w:tcW w:w="640" w:type="dxa"/>
            <w:vAlign w:val="bottom"/>
          </w:tcPr>
          <w:p>
            <w:pPr>
              <w:ind w:left="200"/>
              <w:spacing w:after="0"/>
              <w:rPr>
                <w:sz w:val="20"/>
                <w:szCs w:val="20"/>
                <w:color w:val="auto"/>
              </w:rPr>
            </w:pPr>
            <w:r>
              <w:rPr>
                <w:rFonts w:ascii="Arial" w:cs="Arial" w:eastAsia="Arial" w:hAnsi="Arial"/>
                <w:sz w:val="18"/>
                <w:szCs w:val="18"/>
                <w:color w:val="auto"/>
                <w:w w:val="91"/>
              </w:rPr>
              <w:t>100%</w:t>
            </w:r>
          </w:p>
        </w:tc>
        <w:tc>
          <w:tcPr>
            <w:tcW w:w="1600" w:type="dxa"/>
            <w:vAlign w:val="bottom"/>
          </w:tcPr>
          <w:p>
            <w:pPr>
              <w:spacing w:after="0"/>
              <w:rPr>
                <w:sz w:val="18"/>
                <w:szCs w:val="18"/>
                <w:color w:val="auto"/>
              </w:rPr>
            </w:pP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Street Retail West I, L.P.</w:t>
            </w:r>
          </w:p>
        </w:tc>
        <w:tc>
          <w:tcPr>
            <w:tcW w:w="640" w:type="dxa"/>
            <w:vAlign w:val="bottom"/>
          </w:tcPr>
          <w:p>
            <w:pPr>
              <w:ind w:left="200"/>
              <w:spacing w:after="0"/>
              <w:rPr>
                <w:sz w:val="20"/>
                <w:szCs w:val="20"/>
                <w:color w:val="auto"/>
              </w:rPr>
            </w:pPr>
            <w:r>
              <w:rPr>
                <w:rFonts w:ascii="Arial" w:cs="Arial" w:eastAsia="Arial" w:hAnsi="Arial"/>
                <w:sz w:val="18"/>
                <w:szCs w:val="18"/>
                <w:color w:val="auto"/>
                <w:w w:val="91"/>
              </w:rPr>
              <w:t>100%</w:t>
            </w:r>
          </w:p>
        </w:tc>
        <w:tc>
          <w:tcPr>
            <w:tcW w:w="160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Street Retail West II, L.P.</w:t>
            </w:r>
          </w:p>
        </w:tc>
        <w:tc>
          <w:tcPr>
            <w:tcW w:w="640" w:type="dxa"/>
            <w:vAlign w:val="bottom"/>
          </w:tcPr>
          <w:p>
            <w:pPr>
              <w:ind w:left="200"/>
              <w:spacing w:after="0"/>
              <w:rPr>
                <w:sz w:val="20"/>
                <w:szCs w:val="20"/>
                <w:color w:val="auto"/>
              </w:rPr>
            </w:pPr>
            <w:r>
              <w:rPr>
                <w:rFonts w:ascii="Arial" w:cs="Arial" w:eastAsia="Arial" w:hAnsi="Arial"/>
                <w:sz w:val="18"/>
                <w:szCs w:val="18"/>
                <w:color w:val="auto"/>
                <w:w w:val="91"/>
              </w:rPr>
              <w:t>100%</w:t>
            </w:r>
          </w:p>
        </w:tc>
        <w:tc>
          <w:tcPr>
            <w:tcW w:w="160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Street Retail West 3, L.P.</w:t>
            </w:r>
          </w:p>
        </w:tc>
        <w:tc>
          <w:tcPr>
            <w:tcW w:w="640" w:type="dxa"/>
            <w:vAlign w:val="bottom"/>
          </w:tcPr>
          <w:p>
            <w:pPr>
              <w:ind w:left="200"/>
              <w:spacing w:after="0"/>
              <w:rPr>
                <w:sz w:val="20"/>
                <w:szCs w:val="20"/>
                <w:color w:val="auto"/>
              </w:rPr>
            </w:pPr>
            <w:r>
              <w:rPr>
                <w:rFonts w:ascii="Arial" w:cs="Arial" w:eastAsia="Arial" w:hAnsi="Arial"/>
                <w:sz w:val="18"/>
                <w:szCs w:val="18"/>
                <w:color w:val="auto"/>
                <w:w w:val="91"/>
              </w:rPr>
              <w:t>100%</w:t>
            </w:r>
          </w:p>
        </w:tc>
        <w:tc>
          <w:tcPr>
            <w:tcW w:w="160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Street Retail West 4, L.P.</w:t>
            </w:r>
          </w:p>
        </w:tc>
        <w:tc>
          <w:tcPr>
            <w:tcW w:w="640" w:type="dxa"/>
            <w:vAlign w:val="bottom"/>
          </w:tcPr>
          <w:p>
            <w:pPr>
              <w:ind w:left="200"/>
              <w:spacing w:after="0"/>
              <w:rPr>
                <w:sz w:val="20"/>
                <w:szCs w:val="20"/>
                <w:color w:val="auto"/>
              </w:rPr>
            </w:pPr>
            <w:r>
              <w:rPr>
                <w:rFonts w:ascii="Arial" w:cs="Arial" w:eastAsia="Arial" w:hAnsi="Arial"/>
                <w:sz w:val="18"/>
                <w:szCs w:val="18"/>
                <w:color w:val="auto"/>
              </w:rPr>
              <w:t>90%</w:t>
            </w:r>
          </w:p>
        </w:tc>
        <w:tc>
          <w:tcPr>
            <w:tcW w:w="1600" w:type="dxa"/>
            <w:vAlign w:val="bottom"/>
          </w:tcPr>
          <w:p>
            <w:pPr>
              <w:spacing w:after="0"/>
              <w:rPr>
                <w:sz w:val="18"/>
                <w:szCs w:val="18"/>
                <w:color w:val="auto"/>
              </w:rPr>
            </w:pP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Street Retail West 6, L.P.</w:t>
            </w:r>
          </w:p>
        </w:tc>
        <w:tc>
          <w:tcPr>
            <w:tcW w:w="640" w:type="dxa"/>
            <w:vAlign w:val="bottom"/>
          </w:tcPr>
          <w:p>
            <w:pPr>
              <w:ind w:left="200"/>
              <w:spacing w:after="0"/>
              <w:rPr>
                <w:sz w:val="20"/>
                <w:szCs w:val="20"/>
                <w:color w:val="auto"/>
              </w:rPr>
            </w:pPr>
            <w:r>
              <w:rPr>
                <w:rFonts w:ascii="Arial" w:cs="Arial" w:eastAsia="Arial" w:hAnsi="Arial"/>
                <w:sz w:val="18"/>
                <w:szCs w:val="18"/>
                <w:color w:val="auto"/>
                <w:w w:val="91"/>
              </w:rPr>
              <w:t>100%</w:t>
            </w:r>
          </w:p>
        </w:tc>
        <w:tc>
          <w:tcPr>
            <w:tcW w:w="160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Street Retail West 7, L.P.</w:t>
            </w:r>
          </w:p>
        </w:tc>
        <w:tc>
          <w:tcPr>
            <w:tcW w:w="640" w:type="dxa"/>
            <w:vAlign w:val="bottom"/>
          </w:tcPr>
          <w:p>
            <w:pPr>
              <w:ind w:left="200"/>
              <w:spacing w:after="0"/>
              <w:rPr>
                <w:sz w:val="20"/>
                <w:szCs w:val="20"/>
                <w:color w:val="auto"/>
              </w:rPr>
            </w:pPr>
            <w:r>
              <w:rPr>
                <w:rFonts w:ascii="Arial" w:cs="Arial" w:eastAsia="Arial" w:hAnsi="Arial"/>
                <w:sz w:val="18"/>
                <w:szCs w:val="18"/>
                <w:color w:val="auto"/>
              </w:rPr>
              <w:t>90%</w:t>
            </w:r>
          </w:p>
        </w:tc>
        <w:tc>
          <w:tcPr>
            <w:tcW w:w="1600" w:type="dxa"/>
            <w:vAlign w:val="bottom"/>
          </w:tcPr>
          <w:p>
            <w:pPr>
              <w:spacing w:after="0"/>
              <w:rPr>
                <w:sz w:val="18"/>
                <w:szCs w:val="18"/>
                <w:color w:val="auto"/>
              </w:rPr>
            </w:pP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Street Retail West 10, L.P.</w:t>
            </w:r>
          </w:p>
        </w:tc>
        <w:tc>
          <w:tcPr>
            <w:tcW w:w="640" w:type="dxa"/>
            <w:vAlign w:val="bottom"/>
          </w:tcPr>
          <w:p>
            <w:pPr>
              <w:ind w:left="200"/>
              <w:spacing w:after="0"/>
              <w:rPr>
                <w:sz w:val="20"/>
                <w:szCs w:val="20"/>
                <w:color w:val="auto"/>
              </w:rPr>
            </w:pPr>
            <w:r>
              <w:rPr>
                <w:rFonts w:ascii="Arial" w:cs="Arial" w:eastAsia="Arial" w:hAnsi="Arial"/>
                <w:sz w:val="18"/>
                <w:szCs w:val="18"/>
                <w:color w:val="auto"/>
                <w:w w:val="91"/>
              </w:rPr>
              <w:t>100%</w:t>
            </w:r>
          </w:p>
        </w:tc>
        <w:tc>
          <w:tcPr>
            <w:tcW w:w="160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Street Retail San Antonio, LP</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w w:val="90"/>
              </w:rPr>
              <w:t>.1% (SRI San Anton) 99.9%</w:t>
            </w:r>
          </w:p>
        </w:tc>
      </w:tr>
      <w:tr>
        <w:trPr>
          <w:trHeight w:val="222"/>
        </w:trPr>
        <w:tc>
          <w:tcPr>
            <w:tcW w:w="9160" w:type="dxa"/>
            <w:vAlign w:val="bottom"/>
          </w:tcPr>
          <w:p>
            <w:pPr>
              <w:spacing w:after="0"/>
              <w:rPr>
                <w:sz w:val="19"/>
                <w:szCs w:val="19"/>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(SRI Texas)</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Ex. D-2</w:t>
      </w:r>
    </w:p>
    <w:p>
      <w:pPr>
        <w:sectPr>
          <w:pgSz w:w="11900" w:h="16838" w:orient="portrait"/>
          <w:cols w:equalWidth="0" w:num="1">
            <w:col w:w="11400"/>
          </w:cols>
          <w:pgMar w:left="240" w:top="280" w:right="25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SRI San Antonio, Inc. (f/k/a Dim Sum, Inc. f/k/a FR Acquisition Holding Co., Inc.) (“SRI San Anton”)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SRI Texas, Inc. (“SRI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FRIT San Jose Town and Country Village, LLC (“San Jose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 Jose Residential,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Santana Row Services,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Santana Row ROF, Inc. (“ROF”)</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 Rive Gauche San Jose,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Straits Santana Row,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Blowfish SR,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Village Café Santana Row,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Yankee Pier Santana Row,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Pizza Antica,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Sino, LLC (f/k/a Red Lantern Restaurant,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Santana Grill Partners,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100% nonvoting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Jose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37.5% (ROF)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 (ROF)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(ROF)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 (ROF)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 (ROF)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 (ROF)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 (ROF)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29.167% (ROF)</w:t>
      </w:r>
    </w:p>
    <w:p>
      <w:pPr>
        <w:spacing w:after="0" w:line="165" w:lineRule="exact"/>
        <w:rPr>
          <w:sz w:val="20"/>
          <w:szCs w:val="20"/>
          <w:color w:val="auto"/>
        </w:rPr>
      </w:pPr>
    </w:p>
    <w:p>
      <w:pPr>
        <w:sectPr>
          <w:pgSz w:w="11900" w:h="16838" w:orient="portrait"/>
          <w:cols w:equalWidth="0" w:num="2">
            <w:col w:w="8880" w:space="720"/>
            <w:col w:w="1580"/>
          </w:cols>
          <w:pgMar w:left="240" w:top="280" w:right="479" w:bottom="1440" w:gutter="0" w:footer="0" w:header="0"/>
        </w:sectPr>
      </w:pPr>
    </w:p>
    <w:p>
      <w:pPr>
        <w:ind w:left="20"/>
        <w:spacing w:after="0"/>
        <w:rPr>
          <w:sz w:val="20"/>
          <w:szCs w:val="20"/>
          <w:color w:val="auto"/>
        </w:rPr>
      </w:pPr>
      <w:r>
        <w:rPr>
          <w:rFonts w:ascii="Arial" w:cs="Arial" w:eastAsia="Arial" w:hAnsi="Arial"/>
          <w:sz w:val="18"/>
          <w:szCs w:val="18"/>
          <w:color w:val="auto"/>
        </w:rPr>
        <w:t>Santana Row Association, a California non-profit mutual benefit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Deforest Building Condominium Owners Association, a California non-profit mutual benefit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Margo Building and Villa Cornet Building Condominium Owners Association, a California non-profit mutual benefit corporation</w:t>
      </w:r>
    </w:p>
    <w:p>
      <w:pPr>
        <w:spacing w:after="0" w:line="18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Ex. D-3</w:t>
      </w:r>
    </w:p>
    <w:p>
      <w:pPr>
        <w:sectPr>
          <w:pgSz w:w="11900" w:h="16838" w:orient="portrait"/>
          <w:cols w:equalWidth="0" w:num="1">
            <w:col w:w="11180"/>
          </w:cols>
          <w:pgMar w:left="240" w:top="280" w:right="479" w:bottom="1440" w:gutter="0" w:footer="0" w:header="0"/>
          <w:type w:val="continuous"/>
        </w:sectPr>
      </w:pPr>
    </w:p>
    <w:bookmarkStart w:id="44" w:name="page45"/>
    <w:bookmarkEnd w:id="44"/>
    <w:p>
      <w:pPr>
        <w:ind w:left="10400"/>
        <w:spacing w:after="0"/>
        <w:rPr>
          <w:sz w:val="20"/>
          <w:szCs w:val="20"/>
          <w:color w:val="auto"/>
        </w:rPr>
      </w:pPr>
      <w:r>
        <w:rPr>
          <w:rFonts w:ascii="Arial" w:cs="Arial" w:eastAsia="Arial" w:hAnsi="Arial"/>
          <w:sz w:val="18"/>
          <w:szCs w:val="18"/>
          <w:b w:val="1"/>
          <w:bCs w:val="1"/>
          <w:color w:val="auto"/>
        </w:rPr>
        <w:t>EXHIBIT 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25,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ERRILL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YNCH</w:t>
      </w:r>
      <w:r>
        <w:rPr>
          <w:rFonts w:ascii="Arial" w:cs="Arial" w:eastAsia="Arial" w:hAnsi="Arial"/>
          <w:sz w:val="18"/>
          <w:szCs w:val="18"/>
          <w:b w:val="1"/>
          <w:bCs w:val="1"/>
          <w:color w:val="auto"/>
        </w:rPr>
        <w:t>, P</w:t>
      </w:r>
      <w:r>
        <w:rPr>
          <w:rFonts w:ascii="Arial" w:cs="Arial" w:eastAsia="Arial" w:hAnsi="Arial"/>
          <w:sz w:val="14"/>
          <w:szCs w:val="14"/>
          <w:b w:val="1"/>
          <w:bCs w:val="1"/>
          <w:color w:val="auto"/>
        </w:rPr>
        <w:t>IERCE</w:t>
      </w:r>
      <w:r>
        <w:rPr>
          <w:rFonts w:ascii="Arial" w:cs="Arial" w:eastAsia="Arial" w:hAnsi="Arial"/>
          <w:sz w:val="18"/>
          <w:szCs w:val="18"/>
          <w:b w:val="1"/>
          <w:bCs w:val="1"/>
          <w:color w:val="auto"/>
        </w:rPr>
        <w:t>, F</w:t>
      </w:r>
      <w:r>
        <w:rPr>
          <w:rFonts w:ascii="Arial" w:cs="Arial" w:eastAsia="Arial" w:hAnsi="Arial"/>
          <w:sz w:val="14"/>
          <w:szCs w:val="14"/>
          <w:b w:val="1"/>
          <w:bCs w:val="1"/>
          <w:color w:val="auto"/>
        </w:rPr>
        <w:t>ENNER</w:t>
      </w:r>
      <w:r>
        <w:rPr>
          <w:rFonts w:ascii="Arial" w:cs="Arial" w:eastAsia="Arial" w:hAnsi="Arial"/>
          <w:sz w:val="18"/>
          <w:szCs w:val="18"/>
          <w:b w:val="1"/>
          <w:bCs w:val="1"/>
          <w:color w:val="auto"/>
        </w:rPr>
        <w:t xml:space="preserve"> &amp; S</w:t>
      </w:r>
      <w:r>
        <w:rPr>
          <w:rFonts w:ascii="Arial" w:cs="Arial" w:eastAsia="Arial" w:hAnsi="Arial"/>
          <w:sz w:val="14"/>
          <w:szCs w:val="14"/>
          <w:b w:val="1"/>
          <w:bCs w:val="1"/>
          <w:color w:val="auto"/>
        </w:rPr>
        <w:t>MITH</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Wachovia Capital Markets,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S. College 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NC0602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NC 28288</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Underwriting Agreement, dated September 25, 2006 (the “Underwriting Agreement”), between the Company and Wachovia Capital Markets, LLC, Bear,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Stearns &amp; Co. Inc., Citigroup Global Markets Inc., Merrill Lynch, Pierce, Fenner &amp; Smith Incorporated and RBC Capital Markets Corporation, to issue and sell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named in Schedule I hereto (the “Underwriters”) (i) $55,000,000 6.00% Notes due 2012 (the “2012 Notes”) and (ii) $70,000,000 6.20%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2017 (the “2017 Notes,” and together with the 2012 Notes, the “Designated Securities”). The issue and sale of the 2012 Notes and the 2017 Notes are not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conditioned upon each other, and the issue and sale of either the 2012 Notes or the 2017 Notes may be consummated even if the issue and sale of the other series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notes is not consummated, or the issue and sale of the 2012 Notes and the 2017 Notes may be consummated at different times. The 2012 Notes will be fully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fungible with, rank equally with, and form a single issue and series with, the Company’s 6.00% Notes due 2012, originally issued on July 17, 2006 in the</w:t>
      </w:r>
    </w:p>
    <w:p>
      <w:pPr>
        <w:spacing w:after="0" w:line="3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principal amount of $120,000,000, and the 2017 Notes will be fully fungible with, rank equally with, and form a single issue and series with, the Company’s 6.20% Notes due 2017, originally issued on July 17, 2006 in the principal amount of $130,000,000.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w:t>
      </w:r>
    </w:p>
    <w:p>
      <w:pPr>
        <w:sectPr>
          <w:pgSz w:w="11900" w:h="16838" w:orient="portrait"/>
          <w:cols w:equalWidth="0" w:num="1">
            <w:col w:w="11420"/>
          </w:cols>
          <w:pgMar w:left="240" w:top="125" w:right="239" w:bottom="1440" w:gutter="0" w:footer="0" w:header="0"/>
        </w:sectPr>
      </w:pPr>
    </w:p>
    <w:bookmarkStart w:id="45" w:name="page46"/>
    <w:bookmarkEnd w:id="45"/>
    <w:p>
      <w:pPr>
        <w:ind w:right="2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Underwriters pursuant to Section 12 of the Underwriting Agreement is Wachovia Capital Markets, LLC, and the address of the Representatives referred to in such Section 12 is set forth in Schedule II hereto.</w:t>
      </w:r>
    </w:p>
    <w:p>
      <w:pPr>
        <w:spacing w:after="0" w:line="9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46" w:name="page47"/>
    <w:bookmarkEnd w:id="46"/>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Pricing Agreement to us, and upon acceptance hereof by you, on behalf of each of the Underwriters, this Pricing Agreement and such acceptance hereof, including the provisions of the Underwriting Agreement incorporated herein by reference, shall constitute a binding agreement between each of the Underwriters and the Company.</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Dawn M. Becker</w:t>
      </w:r>
    </w:p>
    <w:p>
      <w:pPr>
        <w:spacing w:after="0" w:line="15" w:lineRule="exact"/>
        <w:rPr>
          <w:sz w:val="20"/>
          <w:szCs w:val="20"/>
          <w:color w:val="auto"/>
        </w:rPr>
      </w:pPr>
    </w:p>
    <w:p>
      <w:pPr>
        <w:jc w:val="right"/>
        <w:spacing w:after="0"/>
        <w:tabs>
          <w:tab w:leader="none" w:pos="4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 General Counsel and Secretary</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as of the date hereof:</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ERRILL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YNCH</w:t>
      </w:r>
      <w:r>
        <w:rPr>
          <w:rFonts w:ascii="Arial" w:cs="Arial" w:eastAsia="Arial" w:hAnsi="Arial"/>
          <w:sz w:val="18"/>
          <w:szCs w:val="18"/>
          <w:b w:val="1"/>
          <w:bCs w:val="1"/>
          <w:color w:val="auto"/>
        </w:rPr>
        <w:t>, P</w:t>
      </w:r>
      <w:r>
        <w:rPr>
          <w:rFonts w:ascii="Arial" w:cs="Arial" w:eastAsia="Arial" w:hAnsi="Arial"/>
          <w:sz w:val="14"/>
          <w:szCs w:val="14"/>
          <w:b w:val="1"/>
          <w:bCs w:val="1"/>
          <w:color w:val="auto"/>
        </w:rPr>
        <w:t>IERCE</w:t>
      </w:r>
      <w:r>
        <w:rPr>
          <w:rFonts w:ascii="Arial" w:cs="Arial" w:eastAsia="Arial" w:hAnsi="Arial"/>
          <w:sz w:val="18"/>
          <w:szCs w:val="18"/>
          <w:b w:val="1"/>
          <w:bCs w:val="1"/>
          <w:color w:val="auto"/>
        </w:rPr>
        <w:t>, F</w:t>
      </w:r>
      <w:r>
        <w:rPr>
          <w:rFonts w:ascii="Arial" w:cs="Arial" w:eastAsia="Arial" w:hAnsi="Arial"/>
          <w:sz w:val="14"/>
          <w:szCs w:val="14"/>
          <w:b w:val="1"/>
          <w:bCs w:val="1"/>
          <w:color w:val="auto"/>
        </w:rPr>
        <w:t>ENNER</w:t>
      </w:r>
      <w:r>
        <w:rPr>
          <w:rFonts w:ascii="Arial" w:cs="Arial" w:eastAsia="Arial" w:hAnsi="Arial"/>
          <w:sz w:val="18"/>
          <w:szCs w:val="18"/>
          <w:b w:val="1"/>
          <w:bCs w:val="1"/>
          <w:color w:val="auto"/>
        </w:rPr>
        <w:t xml:space="preserve"> &amp; S</w:t>
      </w:r>
      <w:r>
        <w:rPr>
          <w:rFonts w:ascii="Arial" w:cs="Arial" w:eastAsia="Arial" w:hAnsi="Arial"/>
          <w:sz w:val="14"/>
          <w:szCs w:val="14"/>
          <w:b w:val="1"/>
          <w:bCs w:val="1"/>
          <w:color w:val="auto"/>
        </w:rPr>
        <w:t>MITH</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NCORPORATED</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3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Wachovia Capital Markets, LLC</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Teresa 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7870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Teresa Hee</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87"/>
              </w:rPr>
              <w:t>Principal Amount of</w:t>
            </w:r>
          </w:p>
        </w:tc>
        <w:tc>
          <w:tcPr>
            <w:tcW w:w="6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88"/>
              </w:rPr>
              <w:t>Principal Amount of</w:t>
            </w:r>
          </w:p>
        </w:tc>
        <w:tc>
          <w:tcPr>
            <w:tcW w:w="0" w:type="dxa"/>
            <w:vAlign w:val="bottom"/>
          </w:tcPr>
          <w:p>
            <w:pPr>
              <w:spacing w:after="0"/>
              <w:rPr>
                <w:sz w:val="1"/>
                <w:szCs w:val="1"/>
                <w:color w:val="auto"/>
              </w:rPr>
            </w:pPr>
          </w:p>
        </w:tc>
      </w:tr>
      <w:tr>
        <w:trPr>
          <w:trHeight w:val="161"/>
        </w:trPr>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95"/>
              <w:spacing w:after="0"/>
              <w:rPr>
                <w:sz w:val="20"/>
                <w:szCs w:val="20"/>
                <w:color w:val="auto"/>
              </w:rPr>
            </w:pPr>
            <w:r>
              <w:rPr>
                <w:rFonts w:ascii="Arial" w:cs="Arial" w:eastAsia="Arial" w:hAnsi="Arial"/>
                <w:sz w:val="14"/>
                <w:szCs w:val="14"/>
                <w:b w:val="1"/>
                <w:bCs w:val="1"/>
                <w:color w:val="auto"/>
                <w:w w:val="94"/>
              </w:rPr>
              <w:t>2012 Notes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2017 Notes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Wachovia Capital Markets, LLC</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33,000,000</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Bear, Stearns &amp; Co. Inc.</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5,500,000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Merrill Lynch, Pierce, Fenner &amp; Smith Incorporated</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5,500,000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RBC Capital Markets Corporation</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Total</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55,000,000</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I-1</w:t>
      </w:r>
    </w:p>
    <w:p>
      <w:pPr>
        <w:sectPr>
          <w:pgSz w:w="11900" w:h="16838" w:orient="portrait"/>
          <w:cols w:equalWidth="0" w:num="1">
            <w:col w:w="11420"/>
          </w:cols>
          <w:pgMar w:left="240" w:top="280" w:right="239" w:bottom="1440" w:gutter="0" w:footer="0" w:header="0"/>
        </w:sectPr>
      </w:pPr>
    </w:p>
    <w:bookmarkStart w:id="48" w:name="page49"/>
    <w:bookmarkEnd w:id="48"/>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6.00% Notes due 2012 (the “2012 Notes”);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6.20% Notes due 2017 (the “2017 Notes,” and together with the 2012 Notes,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 in this offering: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$55,000,000 2012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$70,000,000 2017 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102.838% of the principal amount of the 2012 Notes, plus accrued interest from July 17, 2006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104.049% of the principal amount of the 2017 Notes, plus accrued interest from July 17,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102.2255% of the principal amount of the 2012 Notes, plus accrued interest from July 17, 2006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103.399% of the principal amount of the 2017 Notes, plus accrued interest from July 17,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2012 Notes: July 15,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2017 Notes: January 15, 2017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2012 Notes: 6.00%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2017 Notes: 6.20%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Sch. II-1</w:t>
      </w:r>
    </w:p>
    <w:p>
      <w:pPr>
        <w:sectPr>
          <w:pgSz w:w="11900" w:h="16838" w:orient="portrait"/>
          <w:cols w:equalWidth="0" w:num="1">
            <w:col w:w="11300"/>
          </w:cols>
          <w:pgMar w:left="240" w:top="280"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Payment Dates: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January 15 and July 15, commencing January 15,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Designated Securities may be redeemed at any time, in whole or in part, at a redemption price as described in the Prospectus Supplement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 p.m. (Eastern time) on September 25, 2006 or such other time as agreed by the Company and the Representatives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September 28,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Names and addresses of Representative(s):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Designated Representative(s):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Wachovia Capital Markets, LLC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 for Notices, etc.:</w:t>
      </w:r>
    </w:p>
    <w:p>
      <w:pPr>
        <w:sectPr>
          <w:pgSz w:w="11900" w:h="16838" w:orient="portrait"/>
          <w:cols w:equalWidth="0" w:num="1">
            <w:col w:w="10400"/>
          </w:cols>
          <w:pgMar w:left="240" w:top="274" w:right="1259" w:bottom="1440" w:gutter="0" w:footer="0" w:header="0"/>
        </w:sectPr>
      </w:pPr>
    </w:p>
    <w:p>
      <w:pPr>
        <w:spacing w:after="0" w:line="9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c/o</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Wachovia Capital Markets, LLC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301 S. College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NC0602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28288</w:t>
      </w:r>
    </w:p>
    <w:p>
      <w:pPr>
        <w:spacing w:after="0" w:line="151" w:lineRule="exact"/>
        <w:rPr>
          <w:sz w:val="20"/>
          <w:szCs w:val="20"/>
          <w:color w:val="auto"/>
        </w:rPr>
      </w:pPr>
    </w:p>
    <w:p>
      <w:pPr>
        <w:sectPr>
          <w:pgSz w:w="11900" w:h="16838" w:orient="portrait"/>
          <w:cols w:equalWidth="0" w:num="2">
            <w:col w:w="1120" w:space="360"/>
            <w:col w:w="8920"/>
          </w:cols>
          <w:pgMar w:left="240" w:top="274" w:right="1259" w:bottom="1440" w:gutter="0" w:footer="0" w:header="0"/>
          <w:type w:val="continuous"/>
        </w:sectPr>
      </w:pPr>
    </w:p>
    <w:p>
      <w:pPr>
        <w:ind w:left="5400"/>
        <w:spacing w:after="0"/>
        <w:rPr>
          <w:sz w:val="20"/>
          <w:szCs w:val="20"/>
          <w:color w:val="auto"/>
        </w:rPr>
      </w:pPr>
      <w:r>
        <w:rPr>
          <w:rFonts w:ascii="Arial" w:cs="Arial" w:eastAsia="Arial" w:hAnsi="Arial"/>
          <w:sz w:val="16"/>
          <w:szCs w:val="16"/>
          <w:color w:val="auto"/>
        </w:rPr>
        <w:t>Sch. II-2</w:t>
      </w:r>
    </w:p>
    <w:p>
      <w:pPr>
        <w:sectPr>
          <w:pgSz w:w="11900" w:h="16838" w:orient="portrait"/>
          <w:cols w:equalWidth="0" w:num="1">
            <w:col w:w="10400"/>
          </w:cols>
          <w:pgMar w:left="240" w:top="274" w:right="125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4.1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6.00% Note due 2012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CUSIP No. 313747AM9</w:t>
            </w:r>
          </w:p>
        </w:tc>
        <w:tc>
          <w:tcPr>
            <w:tcW w:w="5280" w:type="dxa"/>
            <w:vAlign w:val="bottom"/>
          </w:tcPr>
          <w:p>
            <w:pPr>
              <w:jc w:val="right"/>
              <w:spacing w:after="0"/>
              <w:rPr>
                <w:sz w:val="20"/>
                <w:szCs w:val="20"/>
                <w:color w:val="auto"/>
              </w:rPr>
            </w:pPr>
            <w:r>
              <w:rPr>
                <w:rFonts w:ascii="Arial" w:cs="Arial" w:eastAsia="Arial" w:hAnsi="Arial"/>
                <w:sz w:val="18"/>
                <w:szCs w:val="18"/>
                <w:color w:val="auto"/>
              </w:rPr>
              <w:t>$55,000,000</w:t>
            </w:r>
          </w:p>
        </w:tc>
      </w:tr>
    </w:tbl>
    <w:p>
      <w:pPr>
        <w:spacing w:after="0" w:line="150"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3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36" w:lineRule="exact"/>
        <w:rPr>
          <w:sz w:val="20"/>
          <w:szCs w:val="20"/>
          <w:color w:val="auto"/>
        </w:rPr>
      </w:pPr>
    </w:p>
    <w:p>
      <w:pPr>
        <w:ind w:right="960"/>
        <w:spacing w:after="0" w:line="275"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$1,000 AND INTEGRAL MULTIPLES OF $1,000 IN EXCESS THEREOF.</w:t>
      </w:r>
    </w:p>
    <w:p>
      <w:pPr>
        <w:spacing w:after="0" w:line="126"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Fifty Five Million Dollars on July 15, 2012 (the “Stated Maturity Date”) or the date fixed for earlier redemption (the “Redemption Date,” and together with the Stated Maturity Date with respect to principal repayable on such date, the “Maturity Date”), and to pay interest thereon from July 17, 2006 or from the most recent interest payment date to which interest has been paid or duly provided for, semi-annually on January 15 and July 15 in each year (each, an “Interest Payment Date”), commencing January 15, 2007, at the rate of 6.00%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December 31 or June 30 (whether or not a Business Day), as the case may be, next preceding such Interest Payment Date at the office or agency of the Company maintained for such purpose; provided, however, that such interest may be paid, at the Company’s option, by mailing a check to such Holder at its registered address or by transfer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1" w:name="page52"/>
    <w:bookmarkEnd w:id="51"/>
    <w:p>
      <w:pPr>
        <w:ind w:right="4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funds to an account 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05" w:lineRule="exact"/>
        <w:rPr>
          <w:sz w:val="20"/>
          <w:szCs w:val="20"/>
          <w:color w:val="auto"/>
        </w:rPr>
      </w:pPr>
    </w:p>
    <w:p>
      <w:pPr>
        <w:ind w:right="280" w:firstLine="913"/>
        <w:spacing w:after="0" w:line="256"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4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July 17, 2006, if no interest has been paid on this Note) to but excluding such Interest Payment Date or the Maturity Date, as the case may be. If any Interest Payment Date or the Maturity Date falls on a day that is not a Business Day, as defined below,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All payments of principal, premium, if any, and interest in respect of this Note will be made by the Company in immediately available funds.</w:t>
      </w:r>
    </w:p>
    <w:p>
      <w:pPr>
        <w:spacing w:after="0" w:line="194"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32"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52" w:name="page53"/>
    <w:bookmarkEnd w:id="5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instrument to be duly executed.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28,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Executive Vice President-General Counsel and Secretary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31127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Darlene M. Hough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is the Note of the series designated therein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28,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1240"/>
          </w:cols>
          <w:pgMar w:left="240" w:top="280" w:right="419" w:bottom="1440" w:gutter="0" w:footer="0" w:header="0"/>
        </w:sectPr>
      </w:pPr>
    </w:p>
    <w:bookmarkStart w:id="53" w:name="page54"/>
    <w:bookmarkEnd w:id="53"/>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Security]</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FEDERAL REALTY INVESTMENT TRUST</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6.00% Note due 2012</w:t>
      </w:r>
    </w:p>
    <w:p>
      <w:pPr>
        <w:spacing w:after="0" w:line="171"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“6.00% Notes due 2012” (collectively, the “Notes”), of which $120,000,000 was initially issued on July 17, 2006 (the “July Notes”), and the aggregate principal amount of the Notes to be issued under such series is initially limited to $175,000,000, inclusive of the July Notes (except for Notes authenticated and delivered upon transfer of, or in exchange for, or in lieu of other Notes).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24"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Notes are subject to redemption at any time, in whole or in part, at the election of the Company, at a redemption price equal to the greater of</w:t>
      </w:r>
    </w:p>
    <w:p>
      <w:pPr>
        <w:spacing w:after="0" w:line="38" w:lineRule="exact"/>
        <w:rPr>
          <w:sz w:val="20"/>
          <w:szCs w:val="20"/>
          <w:color w:val="auto"/>
        </w:rPr>
      </w:pPr>
    </w:p>
    <w:p>
      <w:pPr>
        <w:ind w:firstLine="8"/>
        <w:spacing w:after="0" w:line="290" w:lineRule="auto"/>
        <w:tabs>
          <w:tab w:leader="none" w:pos="2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15 basis points plus, in each case, accrued interest thereon to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80" w:right="359" w:bottom="1440" w:gutter="0" w:footer="0" w:header="0"/>
        </w:sectPr>
      </w:pPr>
    </w:p>
    <w:bookmarkStart w:id="54" w:name="page55"/>
    <w:bookmarkEnd w:id="5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used herein:</w:t>
      </w:r>
    </w:p>
    <w:p>
      <w:pPr>
        <w:spacing w:after="0" w:line="90" w:lineRule="exact"/>
        <w:rPr>
          <w:sz w:val="20"/>
          <w:szCs w:val="20"/>
          <w:color w:val="auto"/>
        </w:rPr>
      </w:pPr>
    </w:p>
    <w:p>
      <w:pPr>
        <w:ind w:left="460" w:right="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59" w:lineRule="exact"/>
        <w:rPr>
          <w:sz w:val="20"/>
          <w:szCs w:val="20"/>
          <w:color w:val="auto"/>
        </w:rPr>
      </w:pPr>
    </w:p>
    <w:p>
      <w:pPr>
        <w:ind w:left="460" w:right="12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26" w:lineRule="exact"/>
        <w:rPr>
          <w:sz w:val="20"/>
          <w:szCs w:val="20"/>
          <w:color w:val="auto"/>
        </w:rPr>
      </w:pPr>
    </w:p>
    <w:p>
      <w:pPr>
        <w:jc w:val="both"/>
        <w:ind w:left="460" w:right="220" w:firstLine="438"/>
        <w:spacing w:after="0" w:line="259" w:lineRule="auto"/>
        <w:rPr>
          <w:sz w:val="20"/>
          <w:szCs w:val="20"/>
          <w:color w:val="auto"/>
        </w:rPr>
      </w:pP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after excluding the highest and lowest such Reference Treasury Dealer Quotations, or (2) if the Trustee obtains fewer than three such Reference Treasury Dealer quotations, the average of all such Quotations.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Company.</w:t>
      </w:r>
    </w:p>
    <w:p>
      <w:pPr>
        <w:spacing w:after="0" w:line="90" w:lineRule="exact"/>
        <w:rPr>
          <w:sz w:val="20"/>
          <w:szCs w:val="20"/>
          <w:color w:val="auto"/>
        </w:rPr>
      </w:pPr>
    </w:p>
    <w:p>
      <w:pPr>
        <w:ind w:left="460" w:right="38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(1) Citigroup Global Markets Inc. and other primary U.S. Government securities dealers in New York City selected by Wachovia Capital Markets, LLC, and their respective successors; provided, however, that if Citigroup Global Markets Inc. ceases to be a primary U.S. Government securities dealer (a “Primary Treasury Dealer”), the Company will substitute therefor another Primary Treasury Dealer; and (2) any other Primary Treasury Dealer selected by the Company.</w:t>
      </w:r>
    </w:p>
    <w:p>
      <w:pPr>
        <w:spacing w:after="0" w:line="62"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3"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Notice of any redemption will be given by mail to Holders of Securities, not less than 30 nor more than 60 days prior to the Redemption Date, all as provided in the Indenture.</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32"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5" w:name="page56"/>
    <w:bookmarkEnd w:id="55"/>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1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40" w:lineRule="exact"/>
        <w:rPr>
          <w:sz w:val="20"/>
          <w:szCs w:val="20"/>
          <w:color w:val="auto"/>
        </w:rPr>
      </w:pPr>
    </w:p>
    <w:p>
      <w:pPr>
        <w:ind w:firstLine="913"/>
        <w:spacing w:after="0" w:line="310" w:lineRule="auto"/>
        <w:rPr>
          <w:sz w:val="20"/>
          <w:szCs w:val="20"/>
          <w:color w:val="auto"/>
        </w:rPr>
      </w:pPr>
      <w:r>
        <w:rPr>
          <w:rFonts w:ascii="Arial" w:cs="Arial" w:eastAsia="Arial" w:hAnsi="Arial"/>
          <w:sz w:val="15"/>
          <w:szCs w:val="15"/>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08" w:lineRule="exact"/>
        <w:rPr>
          <w:sz w:val="20"/>
          <w:szCs w:val="20"/>
          <w:color w:val="auto"/>
        </w:rPr>
      </w:pPr>
    </w:p>
    <w:p>
      <w:pPr>
        <w:ind w:right="80" w:firstLine="913"/>
        <w:spacing w:after="0" w:line="283" w:lineRule="auto"/>
        <w:rPr>
          <w:sz w:val="20"/>
          <w:szCs w:val="20"/>
          <w:color w:val="auto"/>
        </w:rPr>
      </w:pPr>
      <w:r>
        <w:rPr>
          <w:rFonts w:ascii="Arial" w:cs="Arial" w:eastAsia="Arial" w:hAnsi="Arial"/>
          <w:sz w:val="16"/>
          <w:szCs w:val="16"/>
          <w:color w:val="auto"/>
        </w:rPr>
        <w:t>In addition to the foregoing limitation on the incurrence of Debt, the Company will not, and will not permit any Subsidiary to, incur any Debt secured by any mortgage, lien, charge, pledge, encumbrance or security interest of any kind upon any of the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w:t>
      </w:r>
    </w:p>
    <w:p>
      <w:pPr>
        <w:ind w:right="200" w:firstLine="8"/>
        <w:spacing w:after="0" w:line="323" w:lineRule="auto"/>
        <w:tabs>
          <w:tab w:leader="none" w:pos="2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Total Assets.</w:t>
      </w:r>
    </w:p>
    <w:p>
      <w:pPr>
        <w:spacing w:after="0" w:line="14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21" w:lineRule="exact"/>
        <w:rPr>
          <w:sz w:val="20"/>
          <w:szCs w:val="20"/>
          <w:color w:val="auto"/>
        </w:rPr>
      </w:pPr>
    </w:p>
    <w:p>
      <w:pPr>
        <w:ind w:right="140" w:firstLine="913"/>
        <w:spacing w:after="0" w:line="370" w:lineRule="auto"/>
        <w:rPr>
          <w:sz w:val="20"/>
          <w:szCs w:val="20"/>
          <w:color w:val="auto"/>
        </w:rPr>
      </w:pPr>
      <w:r>
        <w:rPr>
          <w:rFonts w:ascii="Arial" w:cs="Arial" w:eastAsia="Arial" w:hAnsi="Arial"/>
          <w:sz w:val="15"/>
          <w:szCs w:val="15"/>
          <w:color w:val="auto"/>
        </w:rPr>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color w:val="auto"/>
        </w:rPr>
        <w:t>“Acquired Debt”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62" w:lineRule="exact"/>
        <w:rPr>
          <w:sz w:val="20"/>
          <w:szCs w:val="20"/>
          <w:color w:val="auto"/>
        </w:rPr>
      </w:pPr>
    </w:p>
    <w:p>
      <w:pPr>
        <w:ind w:left="460" w:right="60" w:firstLine="438"/>
        <w:spacing w:after="0" w:line="370" w:lineRule="auto"/>
        <w:rPr>
          <w:sz w:val="20"/>
          <w:szCs w:val="20"/>
          <w:color w:val="auto"/>
        </w:rPr>
      </w:pPr>
      <w:r>
        <w:rPr>
          <w:rFonts w:ascii="Arial" w:cs="Arial" w:eastAsia="Arial" w:hAnsi="Arial"/>
          <w:sz w:val="15"/>
          <w:szCs w:val="15"/>
          <w:color w:val="auto"/>
        </w:rPr>
        <w:t>“Annual Debt Service Charge”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57" w:name="page58"/>
    <w:bookmarkEnd w:id="57"/>
    <w:p>
      <w:pPr>
        <w:jc w:val="both"/>
        <w:ind w:right="1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Stock”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59" w:lineRule="exact"/>
        <w:rPr>
          <w:sz w:val="20"/>
          <w:szCs w:val="20"/>
          <w:color w:val="auto"/>
        </w:rPr>
      </w:pPr>
    </w:p>
    <w:p>
      <w:pPr>
        <w:ind w:right="700" w:firstLine="438"/>
        <w:spacing w:after="0" w:line="332" w:lineRule="auto"/>
        <w:rPr>
          <w:sz w:val="20"/>
          <w:szCs w:val="20"/>
          <w:color w:val="auto"/>
        </w:rPr>
      </w:pPr>
      <w:r>
        <w:rPr>
          <w:rFonts w:ascii="Arial" w:cs="Arial" w:eastAsia="Arial" w:hAnsi="Arial"/>
          <w:sz w:val="16"/>
          <w:szCs w:val="16"/>
          <w:color w:val="auto"/>
        </w:rPr>
        <w:t>“Consolidated Income Available for Debt Service” for any period means Funds from Operations (as defined below) of the Company and its Subsidiaries plus amounts which have been deducted for interest on Debt of the Company and its Subsidiaries.</w:t>
      </w:r>
    </w:p>
    <w:p>
      <w:pPr>
        <w:spacing w:after="0" w:line="4" w:lineRule="exact"/>
        <w:rPr>
          <w:sz w:val="20"/>
          <w:szCs w:val="20"/>
          <w:color w:val="auto"/>
        </w:rPr>
      </w:pPr>
    </w:p>
    <w:p>
      <w:pPr>
        <w:ind w:right="60" w:firstLine="438"/>
        <w:spacing w:after="0" w:line="302" w:lineRule="auto"/>
        <w:rPr>
          <w:sz w:val="20"/>
          <w:szCs w:val="20"/>
          <w:color w:val="auto"/>
        </w:rPr>
      </w:pPr>
      <w:r>
        <w:rPr>
          <w:rFonts w:ascii="Arial" w:cs="Arial" w:eastAsia="Arial" w:hAnsi="Arial"/>
          <w:sz w:val="15"/>
          <w:szCs w:val="15"/>
          <w:color w:val="auto"/>
        </w:rPr>
        <w:t>“Debt”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w:t>
      </w:r>
    </w:p>
    <w:p>
      <w:pPr>
        <w:spacing w:after="0" w:line="2" w:lineRule="exact"/>
        <w:rPr>
          <w:sz w:val="20"/>
          <w:szCs w:val="20"/>
          <w:color w:val="auto"/>
        </w:rPr>
      </w:pPr>
    </w:p>
    <w:p>
      <w:pPr>
        <w:ind w:firstLine="4"/>
        <w:spacing w:after="0" w:line="300" w:lineRule="auto"/>
        <w:tabs>
          <w:tab w:leader="none" w:pos="297"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principal amount of all obligations of the Company or any Subsidiary with respect to redemption, repayment or other repurchase of any Disqualified Stock or (v) any lease of property by the Company or any Subsidiary as lessee which is reflected on the Company’s consolidated balance sheet as a capitalized lease in accordance with generally accepted accounting principles to the extent, in the case of items of indebtedness under (i) through</w:t>
      </w:r>
    </w:p>
    <w:p>
      <w:pPr>
        <w:spacing w:after="0" w:line="1" w:lineRule="exact"/>
        <w:rPr>
          <w:rFonts w:ascii="Arial" w:cs="Arial" w:eastAsia="Arial" w:hAnsi="Arial"/>
          <w:sz w:val="15"/>
          <w:szCs w:val="15"/>
          <w:color w:val="auto"/>
        </w:rPr>
      </w:pPr>
    </w:p>
    <w:p>
      <w:pPr>
        <w:ind w:firstLine="4"/>
        <w:spacing w:after="0" w:line="288" w:lineRule="auto"/>
        <w:tabs>
          <w:tab w:leader="none" w:pos="307" w:val="left"/>
        </w:tabs>
        <w:numPr>
          <w:ilvl w:val="0"/>
          <w:numId w:val="38"/>
        </w:numPr>
        <w:rPr>
          <w:rFonts w:ascii="Arial" w:cs="Arial" w:eastAsia="Arial" w:hAnsi="Arial"/>
          <w:sz w:val="16"/>
          <w:szCs w:val="16"/>
          <w:color w:val="auto"/>
        </w:rPr>
      </w:pPr>
      <w:r>
        <w:rPr>
          <w:rFonts w:ascii="Arial" w:cs="Arial" w:eastAsia="Arial" w:hAnsi="Arial"/>
          <w:sz w:val="16"/>
          <w:szCs w:val="16"/>
          <w:color w:val="auto"/>
        </w:rPr>
        <w:t>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provided that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42" w:lineRule="exact"/>
        <w:rPr>
          <w:sz w:val="20"/>
          <w:szCs w:val="20"/>
          <w:color w:val="auto"/>
        </w:rPr>
      </w:pPr>
    </w:p>
    <w:p>
      <w:pPr>
        <w:ind w:right="80" w:firstLine="438"/>
        <w:spacing w:after="0" w:line="298" w:lineRule="auto"/>
        <w:rPr>
          <w:sz w:val="20"/>
          <w:szCs w:val="20"/>
          <w:color w:val="auto"/>
        </w:rPr>
      </w:pPr>
      <w:r>
        <w:rPr>
          <w:rFonts w:ascii="Arial" w:cs="Arial" w:eastAsia="Arial" w:hAnsi="Arial"/>
          <w:sz w:val="16"/>
          <w:szCs w:val="16"/>
          <w:color w:val="auto"/>
        </w:rPr>
        <w:t>“Disqualified Stock” means, with respect to any Person, any Capital Stock of such Person which by the terms of such Capital Stock (or by the terms of any security into which it is convertible or for which it is exchangeable or exercisable), upon the happening of any event or otherwise (i) 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58" w:name="page59"/>
    <w:bookmarkEnd w:id="58"/>
    <w:p>
      <w:pPr>
        <w:ind w:left="460" w:right="12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“Funds from Operations” for any period means income available to common shareholders before depreciation and amortization of real estate assets and before extraordinary items less gain on sale of real estate.</w:t>
      </w:r>
    </w:p>
    <w:p>
      <w:pPr>
        <w:spacing w:after="0" w:line="51" w:lineRule="exact"/>
        <w:rPr>
          <w:sz w:val="20"/>
          <w:szCs w:val="20"/>
          <w:color w:val="auto"/>
        </w:rPr>
      </w:pPr>
    </w:p>
    <w:p>
      <w:pPr>
        <w:ind w:left="460" w:right="160" w:firstLine="438"/>
        <w:spacing w:after="0" w:line="332" w:lineRule="auto"/>
        <w:rPr>
          <w:sz w:val="20"/>
          <w:szCs w:val="20"/>
          <w:color w:val="auto"/>
        </w:rPr>
      </w:pPr>
      <w:r>
        <w:rPr>
          <w:rFonts w:ascii="Arial" w:cs="Arial" w:eastAsia="Arial" w:hAnsi="Arial"/>
          <w:sz w:val="16"/>
          <w:szCs w:val="16"/>
          <w:color w:val="auto"/>
        </w:rPr>
        <w:t>“Total Assets”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4"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color w:val="auto"/>
        </w:rPr>
        <w:t>“Undepreciated Real Estate Assets”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59" w:lineRule="exact"/>
        <w:rPr>
          <w:sz w:val="20"/>
          <w:szCs w:val="20"/>
          <w:color w:val="auto"/>
        </w:rPr>
      </w:pPr>
    </w:p>
    <w:p>
      <w:pPr>
        <w:ind w:left="460" w:right="200" w:firstLine="438"/>
        <w:spacing w:after="0" w:line="298" w:lineRule="auto"/>
        <w:rPr>
          <w:sz w:val="20"/>
          <w:szCs w:val="20"/>
          <w:color w:val="auto"/>
        </w:rPr>
      </w:pPr>
      <w:r>
        <w:rPr>
          <w:rFonts w:ascii="Arial" w:cs="Arial" w:eastAsia="Arial" w:hAnsi="Arial"/>
          <w:sz w:val="16"/>
          <w:szCs w:val="16"/>
          <w:color w:val="auto"/>
        </w:rPr>
        <w:t>“Unencumbered Total Asset Value”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w:t>
      </w:r>
    </w:p>
    <w:p>
      <w:pPr>
        <w:spacing w:after="0" w:line="113" w:lineRule="exact"/>
        <w:rPr>
          <w:sz w:val="20"/>
          <w:szCs w:val="20"/>
          <w:color w:val="auto"/>
        </w:rPr>
      </w:pPr>
    </w:p>
    <w:p>
      <w:pPr>
        <w:ind w:firstLine="913"/>
        <w:spacing w:after="0" w:line="318" w:lineRule="auto"/>
        <w:rPr>
          <w:sz w:val="20"/>
          <w:szCs w:val="20"/>
          <w:color w:val="auto"/>
        </w:rPr>
      </w:pPr>
      <w:r>
        <w:rPr>
          <w:rFonts w:ascii="Arial" w:cs="Arial" w:eastAsia="Arial" w:hAnsi="Arial"/>
          <w:sz w:val="15"/>
          <w:szCs w:val="15"/>
          <w:color w:val="auto"/>
        </w:rPr>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Agent (as such term is defined in the Credit Agreement, dated as of July 28, 2006, between the Company and the various financial institutions named therein),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00"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16"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59" w:name="page60"/>
    <w:bookmarkEnd w:id="5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Securities of this series are issuable only in registered form without coupons in denominations of $1,000 and any integral multiple thereof.</w:t>
      </w:r>
    </w:p>
    <w:p>
      <w:pPr>
        <w:spacing w:after="0" w:line="194"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32"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40"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4.2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6.20% Note due 2017</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CUSIP No. 313747AN7</w:t>
            </w:r>
          </w:p>
        </w:tc>
        <w:tc>
          <w:tcPr>
            <w:tcW w:w="5280" w:type="dxa"/>
            <w:vAlign w:val="bottom"/>
          </w:tcPr>
          <w:p>
            <w:pPr>
              <w:jc w:val="right"/>
              <w:spacing w:after="0"/>
              <w:rPr>
                <w:sz w:val="20"/>
                <w:szCs w:val="20"/>
                <w:color w:val="auto"/>
              </w:rPr>
            </w:pPr>
            <w:r>
              <w:rPr>
                <w:rFonts w:ascii="Arial" w:cs="Arial" w:eastAsia="Arial" w:hAnsi="Arial"/>
                <w:sz w:val="18"/>
                <w:szCs w:val="18"/>
                <w:color w:val="auto"/>
              </w:rPr>
              <w:t>$70,000,000</w:t>
            </w:r>
          </w:p>
        </w:tc>
      </w:tr>
    </w:tbl>
    <w:p>
      <w:pPr>
        <w:spacing w:after="0" w:line="150"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3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36" w:lineRule="exact"/>
        <w:rPr>
          <w:sz w:val="20"/>
          <w:szCs w:val="20"/>
          <w:color w:val="auto"/>
        </w:rPr>
      </w:pPr>
    </w:p>
    <w:p>
      <w:pPr>
        <w:ind w:right="960"/>
        <w:spacing w:after="0" w:line="275"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$1,000 AND INTEGRAL MULTIPLES OF $1,000 IN EXCESS THEREOF.</w:t>
      </w:r>
    </w:p>
    <w:p>
      <w:pPr>
        <w:spacing w:after="0" w:line="126"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Seventy Million Dollars on January 15, 2017 (the “Stated Maturity Date”) or the date fixed for earlier redemption (the “Redemption Date,” and together with the Stated Maturity Date with respect to principal repayable on such date, the “Maturity Date”), and to pay interest thereon from July 17, 2006 or from the most recent interest payment date to which interest has been paid or duly provided for, semi-annually on January 15 and July 15 in each year (each, an “Interest Payment Date”), commencing January 15, 2007, at the rate of 6.20%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December 31 or June 30 (whether or not a Business Day), as the case may be, next preceding such Interest Payment Date at the office or agency of the Company maintained for such purpose; provided, however, that such interest may be paid, at the Company’s option, by mailing a check to such Holder at its registered address or by transfer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61" w:name="page62"/>
    <w:bookmarkEnd w:id="61"/>
    <w:p>
      <w:pPr>
        <w:ind w:right="4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funds to an account 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05" w:lineRule="exact"/>
        <w:rPr>
          <w:sz w:val="20"/>
          <w:szCs w:val="20"/>
          <w:color w:val="auto"/>
        </w:rPr>
      </w:pPr>
    </w:p>
    <w:p>
      <w:pPr>
        <w:ind w:right="280" w:firstLine="913"/>
        <w:spacing w:after="0" w:line="256"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4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July 17, 2006, if no interest has been paid on this Note) to but excluding such Interest Payment Date or the Maturity Date, as the case may be. If any Interest Payment Date or the Maturity Date falls on a day that is not a Business Day, as defined below,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All payments of principal, premium, if any, and interest in respect of this Note will be made by the Company in immediately available funds.</w:t>
      </w:r>
    </w:p>
    <w:p>
      <w:pPr>
        <w:spacing w:after="0" w:line="194"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32"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62" w:name="page63"/>
    <w:bookmarkEnd w:id="6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instrument to be duly executed.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28,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Executive Vice President-General Counsel and Secretary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31127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Darlene M. Hough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is the Note of the series designated therein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28,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1240"/>
          </w:cols>
          <w:pgMar w:left="240" w:top="280" w:right="419" w:bottom="1440" w:gutter="0" w:footer="0" w:header="0"/>
        </w:sectPr>
      </w:pPr>
    </w:p>
    <w:bookmarkStart w:id="63" w:name="page64"/>
    <w:bookmarkEnd w:id="63"/>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Security]</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FEDERAL REALTY INVESTMENT TRUST</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6.20% Note due 2017</w:t>
      </w:r>
    </w:p>
    <w:p>
      <w:pPr>
        <w:spacing w:after="0" w:line="171"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“6.20% Notes due 2017” (collectively, the “Notes”), of which $130,000,000 was initially issued on July 17, 2006 (the “July Notes”), and the aggregate principal amount of the Notes to be issued under such series is initially limited to $200,000,000, inclusive of the July Notes (except for Notes authenticated and delivered upon transfer of, or in exchange for, or in lieu of other Notes).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24"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Notes are subject to redemption at any time, in whole or in part, at the election of the Company, at a redemption price equal to the greater of</w:t>
      </w:r>
    </w:p>
    <w:p>
      <w:pPr>
        <w:spacing w:after="0" w:line="38" w:lineRule="exact"/>
        <w:rPr>
          <w:sz w:val="20"/>
          <w:szCs w:val="20"/>
          <w:color w:val="auto"/>
        </w:rPr>
      </w:pPr>
    </w:p>
    <w:p>
      <w:pPr>
        <w:ind w:firstLine="8"/>
        <w:spacing w:after="0" w:line="290" w:lineRule="auto"/>
        <w:tabs>
          <w:tab w:leader="none" w:pos="2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20 basis points plus, in each case, accrued interest thereon to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80" w:right="359" w:bottom="1440" w:gutter="0" w:footer="0" w:header="0"/>
        </w:sectPr>
      </w:pPr>
    </w:p>
    <w:bookmarkStart w:id="64" w:name="page65"/>
    <w:bookmarkEnd w:id="6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used herein:</w:t>
      </w:r>
    </w:p>
    <w:p>
      <w:pPr>
        <w:spacing w:after="0" w:line="90" w:lineRule="exact"/>
        <w:rPr>
          <w:sz w:val="20"/>
          <w:szCs w:val="20"/>
          <w:color w:val="auto"/>
        </w:rPr>
      </w:pPr>
    </w:p>
    <w:p>
      <w:pPr>
        <w:ind w:left="460" w:right="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59" w:lineRule="exact"/>
        <w:rPr>
          <w:sz w:val="20"/>
          <w:szCs w:val="20"/>
          <w:color w:val="auto"/>
        </w:rPr>
      </w:pPr>
    </w:p>
    <w:p>
      <w:pPr>
        <w:ind w:left="460" w:right="12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26" w:lineRule="exact"/>
        <w:rPr>
          <w:sz w:val="20"/>
          <w:szCs w:val="20"/>
          <w:color w:val="auto"/>
        </w:rPr>
      </w:pPr>
    </w:p>
    <w:p>
      <w:pPr>
        <w:jc w:val="both"/>
        <w:ind w:left="460" w:right="220" w:firstLine="438"/>
        <w:spacing w:after="0" w:line="259" w:lineRule="auto"/>
        <w:rPr>
          <w:sz w:val="20"/>
          <w:szCs w:val="20"/>
          <w:color w:val="auto"/>
        </w:rPr>
      </w:pP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after excluding the highest and lowest such Reference Treasury Dealer Quotations, or (2) if the Trustee obtains fewer than three such Reference Treasury Dealer quotations, the average of all such Quotations.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Company.</w:t>
      </w:r>
    </w:p>
    <w:p>
      <w:pPr>
        <w:spacing w:after="0" w:line="90" w:lineRule="exact"/>
        <w:rPr>
          <w:sz w:val="20"/>
          <w:szCs w:val="20"/>
          <w:color w:val="auto"/>
        </w:rPr>
      </w:pPr>
    </w:p>
    <w:p>
      <w:pPr>
        <w:ind w:left="460" w:right="38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(1) Citigroup Global Markets Inc. and other primary U.S. Government securities dealers in New York City selected by Wachovia Capital Markets, LLC, and their respective successors; provided, however, that if Citigroup Global Markets Inc. ceases to be a primary U.S. Government securities dealer (a “Primary Treasury Dealer”), the Company will substitute therefor another Primary Treasury Dealer; and (2) any other Primary Treasury Dealer selected by the Company.</w:t>
      </w:r>
    </w:p>
    <w:p>
      <w:pPr>
        <w:spacing w:after="0" w:line="62"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3"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Notice of any redemption will be given by mail to Holders of Securities, not less than 30 nor more than 60 days prior to the Redemption Date, all as provided in the Indenture.</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32"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65" w:name="page66"/>
    <w:bookmarkEnd w:id="65"/>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1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40" w:lineRule="exact"/>
        <w:rPr>
          <w:sz w:val="20"/>
          <w:szCs w:val="20"/>
          <w:color w:val="auto"/>
        </w:rPr>
      </w:pPr>
    </w:p>
    <w:p>
      <w:pPr>
        <w:ind w:firstLine="913"/>
        <w:spacing w:after="0" w:line="310" w:lineRule="auto"/>
        <w:rPr>
          <w:sz w:val="20"/>
          <w:szCs w:val="20"/>
          <w:color w:val="auto"/>
        </w:rPr>
      </w:pPr>
      <w:r>
        <w:rPr>
          <w:rFonts w:ascii="Arial" w:cs="Arial" w:eastAsia="Arial" w:hAnsi="Arial"/>
          <w:sz w:val="15"/>
          <w:szCs w:val="15"/>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08" w:lineRule="exact"/>
        <w:rPr>
          <w:sz w:val="20"/>
          <w:szCs w:val="20"/>
          <w:color w:val="auto"/>
        </w:rPr>
      </w:pPr>
    </w:p>
    <w:p>
      <w:pPr>
        <w:ind w:right="80" w:firstLine="913"/>
        <w:spacing w:after="0" w:line="283" w:lineRule="auto"/>
        <w:rPr>
          <w:sz w:val="20"/>
          <w:szCs w:val="20"/>
          <w:color w:val="auto"/>
        </w:rPr>
      </w:pPr>
      <w:r>
        <w:rPr>
          <w:rFonts w:ascii="Arial" w:cs="Arial" w:eastAsia="Arial" w:hAnsi="Arial"/>
          <w:sz w:val="16"/>
          <w:szCs w:val="16"/>
          <w:color w:val="auto"/>
        </w:rPr>
        <w:t>In addition to the foregoing limitation on the incurrence of Debt, the Company will not, and will not permit any Subsidiary to, incur any Debt secured by any mortgage, lien, charge, pledge, encumbrance or security interest of any kind upon any of the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w:t>
      </w:r>
    </w:p>
    <w:p>
      <w:pPr>
        <w:ind w:right="200" w:firstLine="8"/>
        <w:spacing w:after="0" w:line="323" w:lineRule="auto"/>
        <w:tabs>
          <w:tab w:leader="none" w:pos="2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6" w:name="page67"/>
    <w:bookmarkEnd w:id="6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Total Assets.</w:t>
      </w:r>
    </w:p>
    <w:p>
      <w:pPr>
        <w:spacing w:after="0" w:line="14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21" w:lineRule="exact"/>
        <w:rPr>
          <w:sz w:val="20"/>
          <w:szCs w:val="20"/>
          <w:color w:val="auto"/>
        </w:rPr>
      </w:pPr>
    </w:p>
    <w:p>
      <w:pPr>
        <w:ind w:right="140" w:firstLine="913"/>
        <w:spacing w:after="0" w:line="370" w:lineRule="auto"/>
        <w:rPr>
          <w:sz w:val="20"/>
          <w:szCs w:val="20"/>
          <w:color w:val="auto"/>
        </w:rPr>
      </w:pPr>
      <w:r>
        <w:rPr>
          <w:rFonts w:ascii="Arial" w:cs="Arial" w:eastAsia="Arial" w:hAnsi="Arial"/>
          <w:sz w:val="15"/>
          <w:szCs w:val="15"/>
          <w:color w:val="auto"/>
        </w:rPr>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color w:val="auto"/>
        </w:rPr>
        <w:t>“Acquired Debt”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62" w:lineRule="exact"/>
        <w:rPr>
          <w:sz w:val="20"/>
          <w:szCs w:val="20"/>
          <w:color w:val="auto"/>
        </w:rPr>
      </w:pPr>
    </w:p>
    <w:p>
      <w:pPr>
        <w:ind w:left="460" w:right="60" w:firstLine="438"/>
        <w:spacing w:after="0" w:line="370" w:lineRule="auto"/>
        <w:rPr>
          <w:sz w:val="20"/>
          <w:szCs w:val="20"/>
          <w:color w:val="auto"/>
        </w:rPr>
      </w:pPr>
      <w:r>
        <w:rPr>
          <w:rFonts w:ascii="Arial" w:cs="Arial" w:eastAsia="Arial" w:hAnsi="Arial"/>
          <w:sz w:val="15"/>
          <w:szCs w:val="15"/>
          <w:color w:val="auto"/>
        </w:rPr>
        <w:t>“Annual Debt Service Charge”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67" w:name="page68"/>
    <w:bookmarkEnd w:id="67"/>
    <w:p>
      <w:pPr>
        <w:jc w:val="both"/>
        <w:ind w:right="1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Stock”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59" w:lineRule="exact"/>
        <w:rPr>
          <w:sz w:val="20"/>
          <w:szCs w:val="20"/>
          <w:color w:val="auto"/>
        </w:rPr>
      </w:pPr>
    </w:p>
    <w:p>
      <w:pPr>
        <w:ind w:right="700" w:firstLine="438"/>
        <w:spacing w:after="0" w:line="332" w:lineRule="auto"/>
        <w:rPr>
          <w:sz w:val="20"/>
          <w:szCs w:val="20"/>
          <w:color w:val="auto"/>
        </w:rPr>
      </w:pPr>
      <w:r>
        <w:rPr>
          <w:rFonts w:ascii="Arial" w:cs="Arial" w:eastAsia="Arial" w:hAnsi="Arial"/>
          <w:sz w:val="16"/>
          <w:szCs w:val="16"/>
          <w:color w:val="auto"/>
        </w:rPr>
        <w:t>“Consolidated Income Available for Debt Service” for any period means Funds from Operations (as defined below) of the Company and its Subsidiaries plus amounts which have been deducted for interest on Debt of the Company and its Subsidiaries.</w:t>
      </w:r>
    </w:p>
    <w:p>
      <w:pPr>
        <w:spacing w:after="0" w:line="4" w:lineRule="exact"/>
        <w:rPr>
          <w:sz w:val="20"/>
          <w:szCs w:val="20"/>
          <w:color w:val="auto"/>
        </w:rPr>
      </w:pPr>
    </w:p>
    <w:p>
      <w:pPr>
        <w:ind w:right="60" w:firstLine="438"/>
        <w:spacing w:after="0" w:line="302" w:lineRule="auto"/>
        <w:rPr>
          <w:sz w:val="20"/>
          <w:szCs w:val="20"/>
          <w:color w:val="auto"/>
        </w:rPr>
      </w:pPr>
      <w:r>
        <w:rPr>
          <w:rFonts w:ascii="Arial" w:cs="Arial" w:eastAsia="Arial" w:hAnsi="Arial"/>
          <w:sz w:val="15"/>
          <w:szCs w:val="15"/>
          <w:color w:val="auto"/>
        </w:rPr>
        <w:t>“Debt”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w:t>
      </w:r>
    </w:p>
    <w:p>
      <w:pPr>
        <w:spacing w:after="0" w:line="2" w:lineRule="exact"/>
        <w:rPr>
          <w:sz w:val="20"/>
          <w:szCs w:val="20"/>
          <w:color w:val="auto"/>
        </w:rPr>
      </w:pPr>
    </w:p>
    <w:p>
      <w:pPr>
        <w:ind w:firstLine="4"/>
        <w:spacing w:after="0" w:line="300" w:lineRule="auto"/>
        <w:tabs>
          <w:tab w:leader="none" w:pos="297"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principal amount of all obligations of the Company or any Subsidiary with respect to redemption, repayment or other repurchase of any Disqualified Stock or (v) any lease of property by the Company or any Subsidiary as lessee which is reflected on the Company’s consolidated balance sheet as a capitalized lease in accordance with generally accepted accounting principles to the extent, in the case of items of indebtedness under (i) through</w:t>
      </w:r>
    </w:p>
    <w:p>
      <w:pPr>
        <w:spacing w:after="0" w:line="1" w:lineRule="exact"/>
        <w:rPr>
          <w:rFonts w:ascii="Arial" w:cs="Arial" w:eastAsia="Arial" w:hAnsi="Arial"/>
          <w:sz w:val="15"/>
          <w:szCs w:val="15"/>
          <w:color w:val="auto"/>
        </w:rPr>
      </w:pPr>
    </w:p>
    <w:p>
      <w:pPr>
        <w:ind w:firstLine="4"/>
        <w:spacing w:after="0" w:line="288" w:lineRule="auto"/>
        <w:tabs>
          <w:tab w:leader="none" w:pos="307" w:val="left"/>
        </w:tabs>
        <w:numPr>
          <w:ilvl w:val="0"/>
          <w:numId w:val="42"/>
        </w:numPr>
        <w:rPr>
          <w:rFonts w:ascii="Arial" w:cs="Arial" w:eastAsia="Arial" w:hAnsi="Arial"/>
          <w:sz w:val="16"/>
          <w:szCs w:val="16"/>
          <w:color w:val="auto"/>
        </w:rPr>
      </w:pPr>
      <w:r>
        <w:rPr>
          <w:rFonts w:ascii="Arial" w:cs="Arial" w:eastAsia="Arial" w:hAnsi="Arial"/>
          <w:sz w:val="16"/>
          <w:szCs w:val="16"/>
          <w:color w:val="auto"/>
        </w:rPr>
        <w:t>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provided that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42" w:lineRule="exact"/>
        <w:rPr>
          <w:sz w:val="20"/>
          <w:szCs w:val="20"/>
          <w:color w:val="auto"/>
        </w:rPr>
      </w:pPr>
    </w:p>
    <w:p>
      <w:pPr>
        <w:ind w:right="80" w:firstLine="438"/>
        <w:spacing w:after="0" w:line="298" w:lineRule="auto"/>
        <w:rPr>
          <w:sz w:val="20"/>
          <w:szCs w:val="20"/>
          <w:color w:val="auto"/>
        </w:rPr>
      </w:pPr>
      <w:r>
        <w:rPr>
          <w:rFonts w:ascii="Arial" w:cs="Arial" w:eastAsia="Arial" w:hAnsi="Arial"/>
          <w:sz w:val="16"/>
          <w:szCs w:val="16"/>
          <w:color w:val="auto"/>
        </w:rPr>
        <w:t>“Disqualified Stock” means, with respect to any Person, any Capital Stock of such Person which by the terms of such Capital Stock (or by the terms of any security into which it is convertible or for which it is exchangeable or exercisable), upon the happening of any event or otherwise (i) 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68" w:name="page69"/>
    <w:bookmarkEnd w:id="68"/>
    <w:p>
      <w:pPr>
        <w:ind w:left="460" w:right="12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“Funds from Operations” for any period means income available to common shareholders before depreciation and amortization of real estate assets and before extraordinary items less gain on sale of real estate.</w:t>
      </w:r>
    </w:p>
    <w:p>
      <w:pPr>
        <w:spacing w:after="0" w:line="51" w:lineRule="exact"/>
        <w:rPr>
          <w:sz w:val="20"/>
          <w:szCs w:val="20"/>
          <w:color w:val="auto"/>
        </w:rPr>
      </w:pPr>
    </w:p>
    <w:p>
      <w:pPr>
        <w:ind w:left="460" w:right="160" w:firstLine="438"/>
        <w:spacing w:after="0" w:line="332" w:lineRule="auto"/>
        <w:rPr>
          <w:sz w:val="20"/>
          <w:szCs w:val="20"/>
          <w:color w:val="auto"/>
        </w:rPr>
      </w:pPr>
      <w:r>
        <w:rPr>
          <w:rFonts w:ascii="Arial" w:cs="Arial" w:eastAsia="Arial" w:hAnsi="Arial"/>
          <w:sz w:val="16"/>
          <w:szCs w:val="16"/>
          <w:color w:val="auto"/>
        </w:rPr>
        <w:t>“Total Assets”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4"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color w:val="auto"/>
        </w:rPr>
        <w:t>“Undepreciated Real Estate Assets”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59" w:lineRule="exact"/>
        <w:rPr>
          <w:sz w:val="20"/>
          <w:szCs w:val="20"/>
          <w:color w:val="auto"/>
        </w:rPr>
      </w:pPr>
    </w:p>
    <w:p>
      <w:pPr>
        <w:ind w:left="460" w:right="200" w:firstLine="438"/>
        <w:spacing w:after="0" w:line="298" w:lineRule="auto"/>
        <w:rPr>
          <w:sz w:val="20"/>
          <w:szCs w:val="20"/>
          <w:color w:val="auto"/>
        </w:rPr>
      </w:pPr>
      <w:r>
        <w:rPr>
          <w:rFonts w:ascii="Arial" w:cs="Arial" w:eastAsia="Arial" w:hAnsi="Arial"/>
          <w:sz w:val="16"/>
          <w:szCs w:val="16"/>
          <w:color w:val="auto"/>
        </w:rPr>
        <w:t>“Unencumbered Total Asset Value”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w:t>
      </w:r>
    </w:p>
    <w:p>
      <w:pPr>
        <w:spacing w:after="0" w:line="113" w:lineRule="exact"/>
        <w:rPr>
          <w:sz w:val="20"/>
          <w:szCs w:val="20"/>
          <w:color w:val="auto"/>
        </w:rPr>
      </w:pPr>
    </w:p>
    <w:p>
      <w:pPr>
        <w:ind w:firstLine="913"/>
        <w:spacing w:after="0" w:line="318" w:lineRule="auto"/>
        <w:rPr>
          <w:sz w:val="20"/>
          <w:szCs w:val="20"/>
          <w:color w:val="auto"/>
        </w:rPr>
      </w:pPr>
      <w:r>
        <w:rPr>
          <w:rFonts w:ascii="Arial" w:cs="Arial" w:eastAsia="Arial" w:hAnsi="Arial"/>
          <w:sz w:val="15"/>
          <w:szCs w:val="15"/>
          <w:color w:val="auto"/>
        </w:rPr>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Agent (as such term is defined in the Credit Agreement, dated as of July 28, 2006, between the Company and the various financial institutions named therein)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00"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16"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69" w:name="page70"/>
    <w:bookmarkEnd w:id="6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Securities of this series are issuable only in registered form without coupons in denominations of $1,000 and any integral multiple thereof.</w:t>
      </w:r>
    </w:p>
    <w:p>
      <w:pPr>
        <w:spacing w:after="0" w:line="194"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32"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40"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 LETTERHEAD]</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25, 2006</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Rockville, Maryland 20852</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Federal Realty Investment Trust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Underwritten Public Offering of $55,000,000 of its 6.00%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due 2012 and $70,000,000 of its 6.20%Notes due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84" w:lineRule="exact"/>
        <w:rPr>
          <w:sz w:val="20"/>
          <w:szCs w:val="20"/>
          <w:color w:val="auto"/>
        </w:rPr>
      </w:pPr>
    </w:p>
    <w:p>
      <w:pPr>
        <w:ind w:right="100" w:firstLine="456"/>
        <w:spacing w:after="0" w:line="307" w:lineRule="auto"/>
        <w:rPr>
          <w:sz w:val="20"/>
          <w:szCs w:val="20"/>
          <w:color w:val="auto"/>
        </w:rPr>
      </w:pPr>
      <w:r>
        <w:rPr>
          <w:rFonts w:ascii="Arial" w:cs="Arial" w:eastAsia="Arial" w:hAnsi="Arial"/>
          <w:sz w:val="15"/>
          <w:szCs w:val="15"/>
          <w:color w:val="auto"/>
        </w:rPr>
        <w:t>We have acted as counsel to Federal Realty Investment Trust, a Maryland real estate investment trust (the “</w:t>
      </w:r>
      <w:r>
        <w:rPr>
          <w:rFonts w:ascii="Arial" w:cs="Arial" w:eastAsia="Arial" w:hAnsi="Arial"/>
          <w:sz w:val="15"/>
          <w:szCs w:val="15"/>
          <w:b w:val="1"/>
          <w:bCs w:val="1"/>
          <w:color w:val="auto"/>
        </w:rPr>
        <w:t>Company</w:t>
      </w:r>
      <w:r>
        <w:rPr>
          <w:rFonts w:ascii="Arial" w:cs="Arial" w:eastAsia="Arial" w:hAnsi="Arial"/>
          <w:sz w:val="15"/>
          <w:szCs w:val="15"/>
          <w:color w:val="auto"/>
        </w:rPr>
        <w:t>”), in connection with the filing with the Securities and Exchange Commission under the Securities Act of 1933, as amended (the “</w:t>
      </w:r>
      <w:r>
        <w:rPr>
          <w:rFonts w:ascii="Arial" w:cs="Arial" w:eastAsia="Arial" w:hAnsi="Arial"/>
          <w:sz w:val="15"/>
          <w:szCs w:val="15"/>
          <w:b w:val="1"/>
          <w:bCs w:val="1"/>
          <w:color w:val="auto"/>
        </w:rPr>
        <w:t>Act</w:t>
      </w:r>
      <w:r>
        <w:rPr>
          <w:rFonts w:ascii="Arial" w:cs="Arial" w:eastAsia="Arial" w:hAnsi="Arial"/>
          <w:sz w:val="15"/>
          <w:szCs w:val="15"/>
          <w:color w:val="auto"/>
        </w:rPr>
        <w:t>”), of a prospectus supplement dated September 25, 2006 (the “</w:t>
      </w:r>
      <w:r>
        <w:rPr>
          <w:rFonts w:ascii="Arial" w:cs="Arial" w:eastAsia="Arial" w:hAnsi="Arial"/>
          <w:sz w:val="15"/>
          <w:szCs w:val="15"/>
          <w:b w:val="1"/>
          <w:bCs w:val="1"/>
          <w:color w:val="auto"/>
        </w:rPr>
        <w:t>Prospectus Supplement</w:t>
      </w:r>
      <w:r>
        <w:rPr>
          <w:rFonts w:ascii="Arial" w:cs="Arial" w:eastAsia="Arial" w:hAnsi="Arial"/>
          <w:sz w:val="15"/>
          <w:szCs w:val="15"/>
          <w:color w:val="auto"/>
        </w:rPr>
        <w:t>”) to the prospectus dated June 20, 2006 (the “</w:t>
      </w:r>
      <w:r>
        <w:rPr>
          <w:rFonts w:ascii="Arial" w:cs="Arial" w:eastAsia="Arial" w:hAnsi="Arial"/>
          <w:sz w:val="15"/>
          <w:szCs w:val="15"/>
          <w:b w:val="1"/>
          <w:bCs w:val="1"/>
          <w:color w:val="auto"/>
        </w:rPr>
        <w:t>Base Prospectus</w:t>
      </w:r>
      <w:r>
        <w:rPr>
          <w:rFonts w:ascii="Arial" w:cs="Arial" w:eastAsia="Arial" w:hAnsi="Arial"/>
          <w:sz w:val="15"/>
          <w:szCs w:val="15"/>
          <w:color w:val="auto"/>
        </w:rPr>
        <w:t>”) contained in the registration statement on Form S-3 (File No. 333-135159) (the “</w:t>
      </w:r>
      <w:r>
        <w:rPr>
          <w:rFonts w:ascii="Arial" w:cs="Arial" w:eastAsia="Arial" w:hAnsi="Arial"/>
          <w:sz w:val="15"/>
          <w:szCs w:val="15"/>
          <w:b w:val="1"/>
          <w:bCs w:val="1"/>
          <w:color w:val="auto"/>
        </w:rPr>
        <w:t>Registration Statement</w:t>
      </w:r>
      <w:r>
        <w:rPr>
          <w:rFonts w:ascii="Arial" w:cs="Arial" w:eastAsia="Arial" w:hAnsi="Arial"/>
          <w:sz w:val="15"/>
          <w:szCs w:val="15"/>
          <w:color w:val="auto"/>
        </w:rPr>
        <w:t>”), which is an “automatic shelf registration statement” as defined under Rule 405 of the Act and which was filed on June 20, 2006. The Base Prospectus and the Prospectus Supplement are together referred to herein as the “</w:t>
      </w:r>
      <w:r>
        <w:rPr>
          <w:rFonts w:ascii="Arial" w:cs="Arial" w:eastAsia="Arial" w:hAnsi="Arial"/>
          <w:sz w:val="15"/>
          <w:szCs w:val="15"/>
          <w:b w:val="1"/>
          <w:bCs w:val="1"/>
          <w:color w:val="auto"/>
        </w:rPr>
        <w:t>Prospectus</w:t>
      </w:r>
      <w:r>
        <w:rPr>
          <w:rFonts w:ascii="Arial" w:cs="Arial" w:eastAsia="Arial" w:hAnsi="Arial"/>
          <w:sz w:val="15"/>
          <w:szCs w:val="15"/>
          <w:color w:val="auto"/>
        </w:rPr>
        <w:t>.” The Prospectus relates to the issuance and sale by the Company of $55,000,000 of its 6.00% Notes due 2012 (the “</w:t>
      </w:r>
      <w:r>
        <w:rPr>
          <w:rFonts w:ascii="Arial" w:cs="Arial" w:eastAsia="Arial" w:hAnsi="Arial"/>
          <w:sz w:val="15"/>
          <w:szCs w:val="15"/>
          <w:b w:val="1"/>
          <w:bCs w:val="1"/>
          <w:color w:val="auto"/>
        </w:rPr>
        <w:t>2012 Notes</w:t>
      </w:r>
      <w:r>
        <w:rPr>
          <w:rFonts w:ascii="Arial" w:cs="Arial" w:eastAsia="Arial" w:hAnsi="Arial"/>
          <w:sz w:val="15"/>
          <w:szCs w:val="15"/>
          <w:color w:val="auto"/>
        </w:rPr>
        <w:t>”) and $70,000,000 of its 6.20% Notes due 2017 (the “</w:t>
      </w:r>
      <w:r>
        <w:rPr>
          <w:rFonts w:ascii="Arial" w:cs="Arial" w:eastAsia="Arial" w:hAnsi="Arial"/>
          <w:sz w:val="15"/>
          <w:szCs w:val="15"/>
          <w:b w:val="1"/>
          <w:bCs w:val="1"/>
          <w:color w:val="auto"/>
        </w:rPr>
        <w:t>2017 Notes</w:t>
      </w:r>
      <w:r>
        <w:rPr>
          <w:rFonts w:ascii="Arial" w:cs="Arial" w:eastAsia="Arial" w:hAnsi="Arial"/>
          <w:sz w:val="15"/>
          <w:szCs w:val="15"/>
          <w:color w:val="auto"/>
        </w:rPr>
        <w:t>” and, together with the 2012 Notes, the “</w:t>
      </w:r>
      <w:r>
        <w:rPr>
          <w:rFonts w:ascii="Arial" w:cs="Arial" w:eastAsia="Arial" w:hAnsi="Arial"/>
          <w:sz w:val="15"/>
          <w:szCs w:val="15"/>
          <w:b w:val="1"/>
          <w:bCs w:val="1"/>
          <w:color w:val="auto"/>
        </w:rPr>
        <w:t>Notes</w:t>
      </w:r>
      <w:r>
        <w:rPr>
          <w:rFonts w:ascii="Arial" w:cs="Arial" w:eastAsia="Arial" w:hAnsi="Arial"/>
          <w:sz w:val="15"/>
          <w:szCs w:val="15"/>
          <w:color w:val="auto"/>
        </w:rPr>
        <w:t>”), pursuant to the Underwriting Agreement dated September 25, 2006 between the Company and the Underwriters (as defined below) (the “</w:t>
      </w:r>
      <w:r>
        <w:rPr>
          <w:rFonts w:ascii="Arial" w:cs="Arial" w:eastAsia="Arial" w:hAnsi="Arial"/>
          <w:sz w:val="15"/>
          <w:szCs w:val="15"/>
          <w:b w:val="1"/>
          <w:bCs w:val="1"/>
          <w:color w:val="auto"/>
        </w:rPr>
        <w:t>Underwriting Agreement</w:t>
      </w:r>
      <w:r>
        <w:rPr>
          <w:rFonts w:ascii="Arial" w:cs="Arial" w:eastAsia="Arial" w:hAnsi="Arial"/>
          <w:sz w:val="15"/>
          <w:szCs w:val="15"/>
          <w:color w:val="auto"/>
        </w:rPr>
        <w:t>”) and the related Pricing Agreement dated September 25, 2006 between the Company and the Underwriters (the “</w:t>
      </w:r>
      <w:r>
        <w:rPr>
          <w:rFonts w:ascii="Arial" w:cs="Arial" w:eastAsia="Arial" w:hAnsi="Arial"/>
          <w:sz w:val="15"/>
          <w:szCs w:val="15"/>
          <w:b w:val="1"/>
          <w:bCs w:val="1"/>
          <w:color w:val="auto"/>
        </w:rPr>
        <w:t>Pricing Agreement</w:t>
      </w:r>
      <w:r>
        <w:rPr>
          <w:rFonts w:ascii="Arial" w:cs="Arial" w:eastAsia="Arial" w:hAnsi="Arial"/>
          <w:sz w:val="15"/>
          <w:szCs w:val="15"/>
          <w:color w:val="auto"/>
        </w:rPr>
        <w:t>”), to the firms named in Schedule I to the Pricing Agreement (the “</w:t>
      </w:r>
      <w:r>
        <w:rPr>
          <w:rFonts w:ascii="Arial" w:cs="Arial" w:eastAsia="Arial" w:hAnsi="Arial"/>
          <w:sz w:val="15"/>
          <w:szCs w:val="15"/>
          <w:b w:val="1"/>
          <w:bCs w:val="1"/>
          <w:color w:val="auto"/>
        </w:rPr>
        <w:t>Underwriters</w:t>
      </w:r>
      <w:r>
        <w:rPr>
          <w:rFonts w:ascii="Arial" w:cs="Arial" w:eastAsia="Arial" w:hAnsi="Arial"/>
          <w:sz w:val="15"/>
          <w:szCs w:val="15"/>
          <w:color w:val="auto"/>
        </w:rPr>
        <w:t>”). The 2012 Notes will be fully fungible with, rank equally with and form a single issue and series with the $120 million principal amount of the Company’s 6.00% Notes due 2012, which were initially issued on July 17, 2006 pursuant to a prospectus supplement dated July 12, 2006 to the Base Prospectus. The 2017 Notes will be fully fungible with, rank equally with and form a single issue and series with the $130 million principal amount of the Company’s 6.20% Notes due 2017, which were initially issued on July 17, 2006 pursuant to a prospectus supplement dated July 12, 2006 to the Base Prospectus. The Notes will be offered and sold pursuant to an Indenture (the</w:t>
      </w:r>
    </w:p>
    <w:p>
      <w:pPr>
        <w:sectPr>
          <w:pgSz w:w="11900" w:h="16838" w:orient="portrait"/>
          <w:cols w:equalWidth="0" w:num="1">
            <w:col w:w="11420"/>
          </w:cols>
          <w:pgMar w:left="240" w:top="12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dated as of September 1, 1998 between the Company and U.S. Bank National Association, successor to Wachovia Bank, National Association, successor to First Union National Bank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rendering our opinion, we have examined the following:</w:t>
      </w:r>
    </w:p>
    <w:p>
      <w:pPr>
        <w:spacing w:after="0" w:line="90"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Indenture, as certified by the Secretary of the Company on July 13, 2006;</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Declaration of Trust of the Company, as amended and corrected, as certified by the Maryland State Department of Assessments and Taxation on September 5, 2006;</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Amended and Restated Bylaws, as amended, of the Company, as certified by the Secretary of the Company on September 25, 2006;</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forms of Notes;</w:t>
      </w:r>
    </w:p>
    <w:p>
      <w:pPr>
        <w:spacing w:after="0" w:line="90" w:lineRule="exact"/>
        <w:rPr>
          <w:rFonts w:ascii="Arial" w:cs="Arial" w:eastAsia="Arial" w:hAnsi="Arial"/>
          <w:sz w:val="18"/>
          <w:szCs w:val="18"/>
          <w:color w:val="auto"/>
        </w:rPr>
      </w:pPr>
    </w:p>
    <w:p>
      <w:pPr>
        <w:ind w:left="900" w:right="360" w:hanging="446"/>
        <w:spacing w:after="0" w:line="330"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resolutions adopted by the Board of Trustees of the Company on September 2, 1998, February 13, 2004, February 17, 2006, June 30, 2006 and September 5, 2006 (the “</w:t>
      </w:r>
      <w:r>
        <w:rPr>
          <w:rFonts w:ascii="Arial" w:cs="Arial" w:eastAsia="Arial" w:hAnsi="Arial"/>
          <w:sz w:val="16"/>
          <w:szCs w:val="16"/>
          <w:b w:val="1"/>
          <w:bCs w:val="1"/>
          <w:color w:val="auto"/>
        </w:rPr>
        <w:t>Board Resolutions</w:t>
      </w:r>
      <w:r>
        <w:rPr>
          <w:rFonts w:ascii="Arial" w:cs="Arial" w:eastAsia="Arial" w:hAnsi="Arial"/>
          <w:sz w:val="16"/>
          <w:szCs w:val="16"/>
          <w:color w:val="auto"/>
        </w:rPr>
        <w:t>”), as certified by the Secretary of the Company on September 25, 2006;</w:t>
      </w:r>
    </w:p>
    <w:p>
      <w:pPr>
        <w:spacing w:after="0" w:line="1" w:lineRule="exact"/>
        <w:rPr>
          <w:rFonts w:ascii="Arial" w:cs="Arial" w:eastAsia="Arial" w:hAnsi="Arial"/>
          <w:sz w:val="16"/>
          <w:szCs w:val="16"/>
          <w:color w:val="auto"/>
        </w:rPr>
      </w:pPr>
    </w:p>
    <w:p>
      <w:pPr>
        <w:ind w:left="900" w:right="140" w:hanging="446"/>
        <w:spacing w:after="0" w:line="361" w:lineRule="auto"/>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resolutions adopted by the Pricing Committee of the Board of Trustees of the Company on September 25, 2006 (the “</w:t>
      </w:r>
      <w:r>
        <w:rPr>
          <w:rFonts w:ascii="Arial" w:cs="Arial" w:eastAsia="Arial" w:hAnsi="Arial"/>
          <w:sz w:val="15"/>
          <w:szCs w:val="15"/>
          <w:b w:val="1"/>
          <w:bCs w:val="1"/>
          <w:color w:val="auto"/>
        </w:rPr>
        <w:t>Pricing Committee</w:t>
      </w:r>
      <w:r>
        <w:rPr>
          <w:rFonts w:ascii="Arial" w:cs="Arial" w:eastAsia="Arial" w:hAnsi="Arial"/>
          <w:sz w:val="15"/>
          <w:szCs w:val="15"/>
          <w:color w:val="auto"/>
        </w:rPr>
        <w:t xml:space="preserve"> </w:t>
      </w:r>
      <w:r>
        <w:rPr>
          <w:rFonts w:ascii="Arial" w:cs="Arial" w:eastAsia="Arial" w:hAnsi="Arial"/>
          <w:sz w:val="15"/>
          <w:szCs w:val="15"/>
          <w:b w:val="1"/>
          <w:bCs w:val="1"/>
          <w:color w:val="auto"/>
        </w:rPr>
        <w:t>Resolutions</w:t>
      </w:r>
      <w:r>
        <w:rPr>
          <w:rFonts w:ascii="Arial" w:cs="Arial" w:eastAsia="Arial" w:hAnsi="Arial"/>
          <w:sz w:val="15"/>
          <w:szCs w:val="15"/>
          <w:color w:val="auto"/>
        </w:rPr>
        <w:t>” and, together with the Board Resolutions, the “</w:t>
      </w:r>
      <w:r>
        <w:rPr>
          <w:rFonts w:ascii="Arial" w:cs="Arial" w:eastAsia="Arial" w:hAnsi="Arial"/>
          <w:sz w:val="15"/>
          <w:szCs w:val="15"/>
          <w:b w:val="1"/>
          <w:bCs w:val="1"/>
          <w:color w:val="auto"/>
        </w:rPr>
        <w:t>Resolutions</w:t>
      </w:r>
      <w:r>
        <w:rPr>
          <w:rFonts w:ascii="Arial" w:cs="Arial" w:eastAsia="Arial" w:hAnsi="Arial"/>
          <w:sz w:val="15"/>
          <w:szCs w:val="15"/>
          <w:color w:val="auto"/>
        </w:rPr>
        <w:t>”), as certified by the Secretary of the Company on September 25, 2006;</w:t>
      </w: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certificate of an officer of the Company dated as of the date hereof; and</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other documents, corporate records, certificates of public officials and other instruments as we have deemed necessary for the purposes of rendering this opinion.</w:t>
      </w:r>
    </w:p>
    <w:p>
      <w:pPr>
        <w:sectPr>
          <w:pgSz w:w="11900" w:h="16838" w:orient="portrait"/>
          <w:cols w:equalWidth="0" w:num="1">
            <w:col w:w="11280"/>
          </w:cols>
          <w:pgMar w:left="240" w:top="280" w:right="37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our examination of the aforesaid documents, we have assumed the legal capacity of all natural persons, the genuineness of all signatures, the completeness and authenticity of all documents submitted to us as originals, and the conformity to original documents of all documents submitted to us as certified, telecopied, photostatic or reproduced copies. In connection with the opinions expressed below, we have assumed that, at and prior to the time of the sale and delivery of any Notes pursuant to the Registration Statement, (i) the Resolutions have not been amended, modified or rescinded, (ii) no stop order suspending the effectiveness of the Registration Statement has been issued and no proceedings with respect thereto have been commenced or threatened, and (iii) there has not occurred any change in law materially adversely affecting the power of the Company to offer and sell the Notes or the validity of the Notes.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also assumed that the offering, sale and delivery of the Notes, and compliance by the Company with the rights, powers, privileges and preferences and other terms of the Notes will not at the time of such offering, sale and delivery violate or conflict with (i) the Declaration of Trust, as then amended, restated and supplemented, and Bylaws, as then amended, restated and supplemented, of the Company, (ii) any provision of any license, indenture, instrument, mortgage, contract, document or agreement to which the Company is then a party or by which the Company is then bound, or (iii) any law or regulation or any decree, judgment or order then applicable to the Company.</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Based upon the foregoing and subject to the limitations and qualifications hereinafter set forth, we are of the opinion that the Notes will constitute legally valid and binding obligations of the Company, enforceable against the Company in accordance with their terms when duly executed and delivered by the Company against payment therefor and countersigned or authenticated by the Trustee in accordance with the Indenture and delivered to and paid for by the purchasers of the Notes in the manner contemplated by the Underwriting Agreement.</w:t>
      </w:r>
    </w:p>
    <w:p>
      <w:pPr>
        <w:spacing w:after="0" w:line="143"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opinion above with respect to the enforceability of obligations may be limited by bankruptcy, insolvency, reorganization, moratorium or other laws affecting creditors’ rights (including, without limitation, the effect of statutory and other law regarding fraudulent conveyances, fraudulent transfers and preferential transfers) and by the exercise of judicial discretion and the application of principles of equity, including, without limitation, requirements of good faith, fair dealing, conscionability and materiality (regardless of whether the Notes are considered in a proceeding in equity or at law). Such opinions shall be understood to mean only that if there is a default in performance of an obligation, (i) if a failure to pay or other damage can be shown and (ii)</w:t>
      </w:r>
    </w:p>
    <w:p>
      <w:pPr>
        <w:sectPr>
          <w:pgSz w:w="11900" w:h="16838" w:orient="portrait"/>
          <w:cols w:equalWidth="0" w:num="1">
            <w:col w:w="11380"/>
          </w:cols>
          <w:pgMar w:left="240" w:top="280" w:right="27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if the defaulting party can be brought into a court which will hear the case and apply the governing law, then, subject to the availability of defenses and to the exceptions set forth in the previous sentence, the court will provide a money damage (or perhaps injunctive or specific performance) remedy.</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opinion is limited to the laws of the United States, Maryland law and New York contract law (but not including any statutes, ordinances, administrative decisions, rules or regulations of any political subdivision of the State of New York), in each case excluding choice of law provisions thereof. We render no opinions with respect to the law of any other jurisdiction. Our opinion is rendered only with respect to the laws and the rules, regulations and orders thereunder that are currently in effect. We assume no obligation to advise you of any changes in the foregoing subsequent to the delivery of this opinion.</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in the Prospectus under the caption “Legal Matters.” The giving of this consent, however, does not constitute an admission that we are “experts” within the meaning of Section 11 of the Act, or within the category of persons whose consent is required by Section 7 of the Act.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260"/>
          </w:cols>
          <w:pgMar w:left="240" w:top="280" w:right="39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8.1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 LETTERHEAD]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25, 2006</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registration statement on Form S-3 (the “Registration Statement,” which term includes the prospectus dated June 20, 2006 (the “Base Prospectus”), the prospectus supplement relating to the Notes dated September 25, 2006 (the “Prospectus Supplement”), and all documents incorporated and deemed to be incorporated by reference therein) with the Securities and Exchange Commission, relating to the issuance and sale by the Company of $55,000,000 aggregate principal amount of its 6% notes due 2012 and $70,000,000 aggregate principal amount of its 6.2% notes due 2017 (collectively, the “Notes”).</w:t>
      </w:r>
    </w:p>
    <w:p>
      <w:pPr>
        <w:spacing w:after="0" w:line="144"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ectPr>
          <w:pgSz w:w="11900" w:h="16838" w:orient="portrait"/>
          <w:cols w:equalWidth="0" w:num="1">
            <w:col w:w="11420"/>
          </w:cols>
          <w:pgMar w:left="240" w:top="12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2006;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(2006) taxable year and for future taxable years, and (iii) the discussions in (x) the Base Prospectus under the caption “Federal Income Tax Consequences,” (y) the Prospectus Supplement under the caption “Certain Federal Income Tax Considerations,” and (z) the Company’s Annual Report on Form 10-K for the year ended December 31, 2005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Base Prospectus under “Federal Income Tax Consequences” are hereby confirmed.</w:t>
      </w:r>
    </w:p>
    <w:p>
      <w:pPr>
        <w:spacing w:after="0" w:line="12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opinions set forth in this letter are based on existing law as contained in the Code, Treasury Regulations (including any Temporary and Proposed Regulations), and interpretations of the foregoing by the Internal Revenue Service (“IRS”) and by the courts in effect (or, in case of certain Proposed Regulations, proposed) as of the date hereof, all of which are subject to change, both retroactively or prospectively, and to possibly different interpretations. Moreover, the Company’s ability to achieve and</w:t>
      </w:r>
    </w:p>
    <w:p>
      <w:pPr>
        <w:sectPr>
          <w:pgSz w:w="11900" w:h="16838" w:orient="portrait"/>
          <w:cols w:equalWidth="0" w:num="1">
            <w:col w:w="11420"/>
          </w:cols>
          <w:pgMar w:left="240" w:top="280"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400"/>
          </w:cols>
          <w:pgMar w:left="240" w:top="280" w:right="25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7"/>
              </w:rPr>
              <w:t>Six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2004</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2003</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2002</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w w:val="91"/>
              </w:rPr>
              <w:t>Income from continuing operations before minority interests and income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640"/>
              <w:spacing w:after="0"/>
              <w:rPr>
                <w:sz w:val="20"/>
                <w:szCs w:val="20"/>
                <w:color w:val="auto"/>
              </w:rPr>
            </w:pPr>
            <w:r>
              <w:rPr>
                <w:rFonts w:ascii="Arial" w:cs="Arial" w:eastAsia="Arial" w:hAnsi="Arial"/>
                <w:sz w:val="18"/>
                <w:szCs w:val="18"/>
                <w:color w:val="auto"/>
              </w:rPr>
              <w:t>or loss from equity investees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$46,846</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$43,464</w:t>
            </w:r>
          </w:p>
        </w:tc>
        <w:tc>
          <w:tcPr>
            <w:tcW w:w="12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87,883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66,897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72,358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41,281</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54,653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Distributed income of equity investees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Fixed charges (excluding capitalized interest)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50,127</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44,828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90,491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87,023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77,120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66,830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 in income of subsidiaries with no fixed charges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Total earnings (A)</w:t>
            </w: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96,593</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87,478</w:t>
            </w:r>
          </w:p>
        </w:tc>
        <w:tc>
          <w:tcPr>
            <w:tcW w:w="12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177,146</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152,687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147,227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105,774</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123,415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$49,034</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$43,890</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88,566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85,058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75,232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65,058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69,313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interest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13,459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Portion of rents representing interest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1,093</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1,925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(B)</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$51,450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$47,366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96,182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92,144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660" w:type="dxa"/>
            <w:vAlign w:val="bottom"/>
            <w:gridSpan w:val="2"/>
          </w:tcPr>
          <w:p>
            <w:pPr>
              <w:spacing w:after="0"/>
              <w:rPr>
                <w:sz w:val="20"/>
                <w:szCs w:val="20"/>
                <w:color w:val="auto"/>
              </w:rPr>
            </w:pPr>
            <w:r>
              <w:rPr>
                <w:rFonts w:ascii="Arial" w:cs="Arial" w:eastAsia="Arial" w:hAnsi="Arial"/>
                <w:sz w:val="18"/>
                <w:szCs w:val="18"/>
                <w:color w:val="auto"/>
              </w:rPr>
              <w:t>Ratio of earnings to fixed charges (A divided by B)</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2"/>
    </w:lvl>
    <w:lvl w:ilvl="1">
      <w:lvlJc w:val="left"/>
      <w:lvlText w:val="(%2)"/>
      <w:numFmt w:val="lowerLetter"/>
      <w:start w:val="1"/>
    </w:lvl>
  </w:abstractNum>
  <w:abstractNum w:abstractNumId="3">
    <w:nsid w:val="6763845E"/>
    <w:multiLevelType w:val="hybridMultilevel"/>
    <w:lvl w:ilvl="0">
      <w:lvlJc w:val="left"/>
      <w:lvlText w:val="(%1)"/>
      <w:numFmt w:val="lowerLetter"/>
      <w:start w:val="2"/>
    </w:lvl>
  </w:abstractNum>
  <w:abstractNum w:abstractNumId="4">
    <w:nsid w:val="75A2A8D4"/>
    <w:multiLevelType w:val="hybridMultilevel"/>
    <w:lvl w:ilvl="0">
      <w:lvlJc w:val="left"/>
      <w:lvlText w:val="(%1)"/>
      <w:numFmt w:val="lowerLetter"/>
      <w:start w:val="3"/>
    </w:lvl>
  </w:abstractNum>
  <w:abstractNum w:abstractNumId="5">
    <w:nsid w:val="8EDBDAB"/>
    <w:multiLevelType w:val="hybridMultilevel"/>
    <w:lvl w:ilvl="0">
      <w:lvlJc w:val="left"/>
      <w:lvlText w:val="%1)"/>
      <w:numFmt w:val="decimal"/>
      <w:start w:val="163"/>
    </w:lvl>
    <w:lvl w:ilvl="1">
      <w:lvlJc w:val="left"/>
      <w:lvlText w:val="(%2)"/>
      <w:numFmt w:val="upperLetter"/>
      <w:start w:val="1"/>
    </w:lvl>
  </w:abstractNum>
  <w:abstractNum w:abstractNumId="6">
    <w:nsid w:val="79838CB2"/>
    <w:multiLevelType w:val="hybridMultilevel"/>
    <w:lvl w:ilvl="0">
      <w:lvlJc w:val="left"/>
      <w:lvlText w:val="(%1)"/>
      <w:numFmt w:val="lowerLetter"/>
      <w:start w:val="4"/>
    </w:lvl>
  </w:abstractNum>
  <w:abstractNum w:abstractNumId="7">
    <w:nsid w:val="4353D0CD"/>
    <w:multiLevelType w:val="hybridMultilevel"/>
    <w:lvl w:ilvl="0">
      <w:lvlJc w:val="left"/>
      <w:lvlText w:val="(%1)"/>
      <w:numFmt w:val="lowerLetter"/>
      <w:start w:val="5"/>
    </w:lvl>
  </w:abstractNum>
  <w:abstractNum w:abstractNumId="8">
    <w:nsid w:val="B03E0C6"/>
    <w:multiLevelType w:val="hybridMultilevel"/>
    <w:lvl w:ilvl="0">
      <w:lvlJc w:val="left"/>
      <w:lvlText w:val="(%1)"/>
      <w:numFmt w:val="lowerLetter"/>
      <w:start w:val="26"/>
    </w:lvl>
    <w:lvl w:ilvl="1">
      <w:lvlJc w:val="left"/>
      <w:lvlText w:val="(%2)"/>
      <w:numFmt w:val="lowerLetter"/>
      <w:start w:val="8"/>
    </w:lvl>
  </w:abstractNum>
  <w:abstractNum w:abstractNumId="9">
    <w:nsid w:val="189A769B"/>
    <w:multiLevelType w:val="hybridMultilevel"/>
    <w:lvl w:ilvl="0">
      <w:lvlJc w:val="left"/>
      <w:lvlText w:val="(%1)"/>
      <w:numFmt w:val="lowerLetter"/>
      <w:start w:val="11"/>
    </w:lvl>
  </w:abstractNum>
  <w:abstractNum w:abstractNumId="10">
    <w:nsid w:val="54E49EB4"/>
    <w:multiLevelType w:val="hybridMultilevel"/>
    <w:lvl w:ilvl="0">
      <w:lvlJc w:val="left"/>
      <w:lvlText w:val="(%1)"/>
      <w:numFmt w:val="lowerLetter"/>
      <w:start w:val="14"/>
    </w:lvl>
  </w:abstractNum>
  <w:abstractNum w:abstractNumId="11">
    <w:nsid w:val="71F32454"/>
    <w:multiLevelType w:val="hybridMultilevel"/>
    <w:lvl w:ilvl="0">
      <w:lvlJc w:val="left"/>
      <w:lvlText w:val="%1"/>
      <w:numFmt w:val="decimal"/>
      <w:start w:val="1"/>
    </w:lvl>
    <w:lvl w:ilvl="1">
      <w:lvlJc w:val="left"/>
      <w:lvlText w:val="(%2)"/>
      <w:numFmt w:val="lowerLetter"/>
      <w:start w:val="19"/>
    </w:lvl>
  </w:abstractNum>
  <w:abstractNum w:abstractNumId="12">
    <w:nsid w:val="2CA88611"/>
    <w:multiLevelType w:val="hybridMultilevel"/>
    <w:lvl w:ilvl="0">
      <w:lvlJc w:val="left"/>
      <w:lvlText w:val="%1."/>
      <w:numFmt w:val="decimal"/>
      <w:start w:val="3"/>
    </w:lvl>
    <w:lvl w:ilvl="1">
      <w:lvlJc w:val="left"/>
      <w:lvlText w:val="(%2)"/>
      <w:numFmt w:val="lowerLetter"/>
      <w:start w:val="1"/>
    </w:lvl>
  </w:abstractNum>
  <w:abstractNum w:abstractNumId="13">
    <w:nsid w:val="836C40E"/>
    <w:multiLevelType w:val="hybridMultilevel"/>
    <w:lvl w:ilvl="0">
      <w:lvlJc w:val="left"/>
      <w:lvlText w:val="(%1)"/>
      <w:numFmt w:val="lowerLetter"/>
      <w:start w:val="2"/>
    </w:lvl>
  </w:abstractNum>
  <w:abstractNum w:abstractNumId="14">
    <w:nsid w:val="2901D82"/>
    <w:multiLevelType w:val="hybridMultilevel"/>
    <w:lvl w:ilvl="0">
      <w:lvlJc w:val="left"/>
      <w:lvlText w:val="(%1)"/>
      <w:numFmt w:val="lowerLetter"/>
      <w:start w:val="4"/>
    </w:lvl>
  </w:abstractNum>
  <w:abstractNum w:abstractNumId="15">
    <w:nsid w:val="3A95F874"/>
    <w:multiLevelType w:val="hybridMultilevel"/>
    <w:lvl w:ilvl="0">
      <w:lvlJc w:val="left"/>
      <w:lvlText w:val="(%1)"/>
      <w:numFmt w:val="lowerLetter"/>
      <w:start w:val="7"/>
    </w:lvl>
  </w:abstractNum>
  <w:abstractNum w:abstractNumId="16">
    <w:nsid w:val="8138641"/>
    <w:multiLevelType w:val="hybridMultilevel"/>
    <w:lvl w:ilvl="0">
      <w:lvlJc w:val="left"/>
      <w:lvlText w:val="%1"/>
      <w:numFmt w:val="lowerLetter"/>
      <w:start w:val="1"/>
    </w:lvl>
    <w:lvl w:ilvl="1">
      <w:lvlJc w:val="left"/>
      <w:lvlText w:val="(%2)"/>
      <w:numFmt w:val="lowerLetter"/>
      <w:start w:val="8"/>
    </w:lvl>
  </w:abstractNum>
  <w:abstractNum w:abstractNumId="17">
    <w:nsid w:val="1E7FF521"/>
    <w:multiLevelType w:val="hybridMultilevel"/>
    <w:lvl w:ilvl="0">
      <w:lvlJc w:val="left"/>
      <w:lvlText w:val="(%1)"/>
      <w:numFmt w:val="lowerLetter"/>
      <w:start w:val="35"/>
    </w:lvl>
    <w:lvl w:ilvl="1">
      <w:lvlJc w:val="left"/>
      <w:lvlText w:val="(%2)"/>
      <w:numFmt w:val="lowerLetter"/>
      <w:start w:val="10"/>
    </w:lvl>
  </w:abstractNum>
  <w:abstractNum w:abstractNumId="18">
    <w:nsid w:val="7C3DBD3D"/>
    <w:multiLevelType w:val="hybridMultilevel"/>
    <w:lvl w:ilvl="0">
      <w:lvlJc w:val="left"/>
      <w:lvlText w:val="%1."/>
      <w:numFmt w:val="decimal"/>
      <w:start w:val="6"/>
    </w:lvl>
  </w:abstractNum>
  <w:abstractNum w:abstractNumId="19">
    <w:nsid w:val="737B8DDC"/>
    <w:multiLevelType w:val="hybridMultilevel"/>
    <w:lvl w:ilvl="0">
      <w:lvlJc w:val="left"/>
      <w:lvlText w:val="%1."/>
      <w:numFmt w:val="decimal"/>
      <w:start w:val="7"/>
    </w:lvl>
    <w:lvl w:ilvl="1">
      <w:lvlJc w:val="left"/>
      <w:lvlText w:val="(%2)"/>
      <w:numFmt w:val="lowerLetter"/>
      <w:start w:val="1"/>
    </w:lvl>
  </w:abstractNum>
  <w:abstractNum w:abstractNumId="20">
    <w:nsid w:val="6CEAF087"/>
    <w:multiLevelType w:val="hybridMultilevel"/>
    <w:lvl w:ilvl="0">
      <w:lvlJc w:val="left"/>
      <w:lvlText w:val="(%1)"/>
      <w:numFmt w:val="lowerLetter"/>
      <w:start w:val="2"/>
    </w:lvl>
  </w:abstractNum>
  <w:abstractNum w:abstractNumId="21">
    <w:nsid w:val="22221A70"/>
    <w:multiLevelType w:val="hybridMultilevel"/>
    <w:lvl w:ilvl="0">
      <w:lvlJc w:val="left"/>
      <w:lvlText w:val="(%1)"/>
      <w:numFmt w:val="lowerLetter"/>
      <w:start w:val="6"/>
    </w:lvl>
  </w:abstractNum>
  <w:abstractNum w:abstractNumId="22">
    <w:nsid w:val="4516DDE9"/>
    <w:multiLevelType w:val="hybridMultilevel"/>
    <w:lvl w:ilvl="0">
      <w:lvlJc w:val="left"/>
      <w:lvlText w:val="%1"/>
      <w:numFmt w:val="decimal"/>
      <w:start w:val="1"/>
    </w:lvl>
    <w:lvl w:ilvl="1">
      <w:lvlJc w:val="left"/>
      <w:lvlText w:val="(%2)"/>
      <w:numFmt w:val="lowerLetter"/>
      <w:start w:val="9"/>
    </w:lvl>
  </w:abstractNum>
  <w:abstractNum w:abstractNumId="23">
    <w:nsid w:val="3006C83E"/>
    <w:multiLevelType w:val="hybridMultilevel"/>
    <w:lvl w:ilvl="0">
      <w:lvlJc w:val="left"/>
      <w:lvlText w:val="%1."/>
      <w:numFmt w:val="decimal"/>
      <w:start w:val="8"/>
    </w:lvl>
    <w:lvl w:ilvl="1">
      <w:lvlJc w:val="left"/>
      <w:lvlText w:val="%2"/>
      <w:numFmt w:val="lowerLetter"/>
      <w:start w:val="1"/>
    </w:lvl>
  </w:abstractNum>
  <w:abstractNum w:abstractNumId="24">
    <w:nsid w:val="614FD4A1"/>
    <w:multiLevelType w:val="hybridMultilevel"/>
    <w:lvl w:ilvl="0">
      <w:lvlJc w:val="left"/>
      <w:lvlText w:val="(%1)"/>
      <w:numFmt w:val="lowerLetter"/>
      <w:start w:val="2"/>
    </w:lvl>
  </w:abstractNum>
  <w:abstractNum w:abstractNumId="25">
    <w:nsid w:val="419AC241"/>
    <w:multiLevelType w:val="hybridMultilevel"/>
    <w:lvl w:ilvl="0">
      <w:lvlJc w:val="left"/>
      <w:lvlText w:val="%1"/>
      <w:numFmt w:val="lowerLetter"/>
      <w:start w:val="1"/>
    </w:lvl>
    <w:lvl w:ilvl="1">
      <w:lvlJc w:val="left"/>
      <w:lvlText w:val="(%2)"/>
      <w:numFmt w:val="lowerLetter"/>
      <w:start w:val="4"/>
    </w:lvl>
  </w:abstractNum>
  <w:abstractNum w:abstractNumId="26">
    <w:nsid w:val="5577F8E1"/>
    <w:multiLevelType w:val="hybridMultilevel"/>
    <w:lvl w:ilvl="0">
      <w:lvlJc w:val="left"/>
      <w:lvlText w:val="(%1)"/>
      <w:numFmt w:val="lowerLetter"/>
      <w:start w:val="2"/>
    </w:lvl>
    <w:lvl w:ilvl="1">
      <w:lvlJc w:val="left"/>
      <w:lvlText w:val="%2"/>
      <w:numFmt w:val="lowerLetter"/>
      <w:start w:val="1"/>
    </w:lvl>
  </w:abstractNum>
  <w:abstractNum w:abstractNumId="27">
    <w:nsid w:val="440BADFC"/>
    <w:multiLevelType w:val="hybridMultilevel"/>
    <w:lvl w:ilvl="0">
      <w:lvlJc w:val="left"/>
      <w:lvlText w:val="(%1)"/>
      <w:numFmt w:val="lowerLetter"/>
      <w:start w:val="5"/>
    </w:lvl>
  </w:abstractNum>
  <w:abstractNum w:abstractNumId="28">
    <w:nsid w:val="5072367"/>
    <w:multiLevelType w:val="hybridMultilevel"/>
    <w:lvl w:ilvl="0">
      <w:lvlJc w:val="left"/>
      <w:lvlText w:val="%1."/>
      <w:numFmt w:val="decimal"/>
      <w:start w:val="9"/>
    </w:lvl>
  </w:abstractNum>
  <w:abstractNum w:abstractNumId="29">
    <w:nsid w:val="3804823E"/>
    <w:multiLevelType w:val="hybridMultilevel"/>
    <w:lvl w:ilvl="0">
      <w:lvlJc w:val="left"/>
      <w:lvlText w:val="(%1)"/>
      <w:numFmt w:val="lowerLetter"/>
      <w:start w:val="2"/>
    </w:lvl>
  </w:abstractNum>
  <w:abstractNum w:abstractNumId="30">
    <w:nsid w:val="77465F01"/>
    <w:multiLevelType w:val="hybridMultilevel"/>
    <w:lvl w:ilvl="0">
      <w:lvlJc w:val="left"/>
      <w:lvlText w:val="(%1)"/>
      <w:numFmt w:val="lowerLetter"/>
      <w:start w:val="3"/>
    </w:lvl>
  </w:abstractNum>
  <w:abstractNum w:abstractNumId="31">
    <w:nsid w:val="7724C67E"/>
    <w:multiLevelType w:val="hybridMultilevel"/>
    <w:lvl w:ilvl="0">
      <w:lvlJc w:val="left"/>
      <w:lvlText w:val="%1."/>
      <w:numFmt w:val="decimal"/>
      <w:start w:val="10"/>
    </w:lvl>
  </w:abstractNum>
  <w:abstractNum w:abstractNumId="32">
    <w:nsid w:val="5C482A97"/>
    <w:multiLevelType w:val="hybridMultilevel"/>
    <w:lvl w:ilvl="0">
      <w:lvlJc w:val="left"/>
      <w:lvlText w:val="%1."/>
      <w:numFmt w:val="decimal"/>
      <w:start w:val="12"/>
    </w:lvl>
  </w:abstractNum>
  <w:abstractNum w:abstractNumId="33">
    <w:nsid w:val="2463B9EA"/>
    <w:multiLevelType w:val="hybridMultilevel"/>
    <w:lvl w:ilvl="0">
      <w:lvlJc w:val="left"/>
      <w:lvlText w:val="%1."/>
      <w:numFmt w:val="decimal"/>
      <w:start w:val="13"/>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2"/>
    </w:lvl>
  </w:abstractNum>
  <w:abstractNum w:abstractNumId="36">
    <w:nsid w:val="2D517796"/>
    <w:multiLevelType w:val="hybridMultilevel"/>
    <w:lvl w:ilvl="0">
      <w:lvlJc w:val="left"/>
      <w:lvlText w:val="(%1)"/>
      <w:numFmt w:val="lowerRoman"/>
      <w:start w:val="4"/>
    </w:lvl>
  </w:abstractNum>
  <w:abstractNum w:abstractNumId="37">
    <w:nsid w:val="580BD78F"/>
    <w:multiLevelType w:val="hybridMultilevel"/>
    <w:lvl w:ilvl="0">
      <w:lvlJc w:val="left"/>
      <w:lvlText w:val="(%1)"/>
      <w:numFmt w:val="lowerRoman"/>
      <w:start w:val="3"/>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2"/>
    </w:lvl>
  </w:abstractNum>
  <w:abstractNum w:abstractNumId="40">
    <w:nsid w:val="70A64E2A"/>
    <w:multiLevelType w:val="hybridMultilevel"/>
    <w:lvl w:ilvl="0">
      <w:lvlJc w:val="left"/>
      <w:lvlText w:val="(%1)"/>
      <w:numFmt w:val="lowerRoman"/>
      <w:start w:val="4"/>
    </w:lvl>
  </w:abstractNum>
  <w:abstractNum w:abstractNumId="41">
    <w:nsid w:val="6A2342EC"/>
    <w:multiLevelType w:val="hybridMultilevel"/>
    <w:lvl w:ilvl="0">
      <w:lvlJc w:val="left"/>
      <w:lvlText w:val="(%1)"/>
      <w:numFmt w:val="lowerRoman"/>
      <w:start w:val="3"/>
    </w:lvl>
  </w:abstractNum>
  <w:abstractNum w:abstractNumId="42">
    <w:nsid w:val="2A487CB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2019-12-13T00:54:55Z</dcterms:created>
  <dcterms:modified xsi:type="dcterms:W3CDTF">2019-12-13T00:54:55Z</dcterms:modified>
</cp:coreProperties>
</file>