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 / Fitch)</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December 4,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333-181236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December 4, 2013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8, 2012</w:t>
      </w:r>
    </w:p>
    <w:p>
      <w:pPr>
        <w:spacing w:after="0" w:line="159" w:lineRule="exact"/>
        <w:rPr>
          <w:sz w:val="24"/>
          <w:szCs w:val="24"/>
          <w:color w:val="auto"/>
        </w:rPr>
      </w:pPr>
    </w:p>
    <w:p>
      <w:pPr>
        <w:jc w:val="center"/>
        <w:ind w:right="4340"/>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4"/>
          <w:szCs w:val="24"/>
          <w:color w:val="auto"/>
        </w:rPr>
      </w:pPr>
    </w:p>
    <w:p>
      <w:pPr>
        <w:jc w:val="center"/>
        <w:ind w:right="4340"/>
        <w:spacing w:after="0"/>
        <w:rPr>
          <w:sz w:val="20"/>
          <w:szCs w:val="20"/>
          <w:color w:val="auto"/>
        </w:rPr>
      </w:pPr>
      <w:r>
        <w:rPr>
          <w:rFonts w:ascii="Arial" w:cs="Arial" w:eastAsia="Arial" w:hAnsi="Arial"/>
          <w:sz w:val="18"/>
          <w:szCs w:val="18"/>
          <w:b w:val="1"/>
          <w:bCs w:val="1"/>
          <w:color w:val="auto"/>
        </w:rPr>
        <w:t>3.95% Notes due 2024</w:t>
      </w:r>
    </w:p>
    <w:p>
      <w:pPr>
        <w:spacing w:after="0" w:line="165" w:lineRule="exact"/>
        <w:rPr>
          <w:sz w:val="24"/>
          <w:szCs w:val="24"/>
          <w:color w:val="auto"/>
        </w:rPr>
      </w:pPr>
    </w:p>
    <w:p>
      <w:pPr>
        <w:ind w:left="100"/>
        <w:spacing w:after="0"/>
        <w:rPr>
          <w:sz w:val="20"/>
          <w:szCs w:val="20"/>
          <w:color w:val="auto"/>
        </w:rPr>
      </w:pPr>
      <w:r>
        <w:rPr>
          <w:rFonts w:ascii="Arial" w:cs="Arial" w:eastAsia="Arial" w:hAnsi="Arial"/>
          <w:sz w:val="18"/>
          <w:szCs w:val="18"/>
          <w:color w:val="auto"/>
        </w:rPr>
        <w:t>Term sheet dated December 4, 2013</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3.95% Notes due 2024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A3/A-/A-</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$300,000,000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4,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9, 2013 (T+3)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January 15, 2024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January 15 and July 15, beginning on July 15,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2.750% due November 15,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99-07+ / 2.839%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+123 basis points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4.069%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3.95% per year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99.018% of principal amount, plus accrued interest, if any, from December 9, 2013</w:t>
      </w:r>
    </w:p>
    <w:p>
      <w:pPr>
        <w:spacing w:after="0" w:line="225"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At any time before 90 days prior to the maturity date, make-whole call based on U.S. Treasury plus 20 basis points (0.20%); if redeemed on or after 90 days prior to the maturity date, at 100% of the principal amount of the notes being redeemed, in each case plus accrued and unpaid interest thereon to, but excluding, the redemption date</w:t>
      </w:r>
    </w:p>
    <w:p>
      <w:pPr>
        <w:sectPr>
          <w:pgSz w:w="11900" w:h="16838" w:orient="portrait"/>
          <w:cols w:equalWidth="0" w:num="2">
            <w:col w:w="3620" w:space="720"/>
            <w:col w:w="708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At September 30, 2013, after giving effect to this offering and to the use of the net proceeds as described in the Preliminary Prospectus Supplement, Federal Realty Investment Trust had outstanding approximately $581 million (excluding net unamortized premium) of secured indebtedness, collateralized by all or parts of 14 properties, which ranks senior to the notes to the extent of the securing collateral (approximately $404 million of this amount, which was issued by our subsidiaries, is also structurally senior to the notes), approximately $25 million of unsecured indebtedness issued by our subsidiaries, which ranks senior to the notes, and approximately $1,644 million of unsecured indebtedness (including the notes sold in this offering, but excluding net unamortized discount), which ranks equally.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-1350010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620" w:space="720"/>
            <w:col w:w="6960"/>
          </w:cols>
          <w:pgMar w:left="240" w:top="280" w:right="359" w:bottom="1440" w:gutter="0" w:footer="0" w:header="0"/>
        </w:sectPr>
      </w:pPr>
    </w:p>
    <w:p>
      <w:pPr>
        <w:spacing w:after="0"/>
        <w:rPr>
          <w:sz w:val="20"/>
          <w:szCs w:val="20"/>
          <w:color w:val="auto"/>
        </w:rPr>
      </w:pPr>
      <w:r>
        <w:rPr>
          <w:rFonts w:ascii="Arial" w:cs="Arial" w:eastAsia="Arial" w:hAnsi="Arial"/>
          <w:sz w:val="16"/>
          <w:szCs w:val="16"/>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AU1/ US313747AU17</w:t>
      </w:r>
    </w:p>
    <w:p>
      <w:pPr>
        <w:spacing w:after="0" w:line="200" w:lineRule="exact"/>
        <w:rPr>
          <w:sz w:val="20"/>
          <w:szCs w:val="20"/>
          <w:color w:val="auto"/>
        </w:rPr>
      </w:pPr>
    </w:p>
    <w:p>
      <w:pPr>
        <w:sectPr>
          <w:pgSz w:w="11900" w:h="16838" w:orient="portrait"/>
          <w:cols w:equalWidth="0" w:num="2">
            <w:col w:w="3620" w:space="720"/>
            <w:col w:w="6960"/>
          </w:cols>
          <w:pgMar w:left="240" w:top="280"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00" w:lineRule="exact"/>
        <w:rPr>
          <w:sz w:val="20"/>
          <w:szCs w:val="20"/>
          <w:color w:val="auto"/>
        </w:rPr>
      </w:pPr>
    </w:p>
    <w:p>
      <w:pPr>
        <w:sectPr>
          <w:pgSz w:w="11900" w:h="16838" w:orient="portrait"/>
          <w:cols w:equalWidth="0" w:num="2">
            <w:col w:w="3620" w:space="720"/>
            <w:col w:w="6960"/>
          </w:cols>
          <w:pgMar w:left="240" w:top="280" w:right="35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65" w:lineRule="exact"/>
        <w:rPr>
          <w:sz w:val="20"/>
          <w:szCs w:val="20"/>
          <w:color w:val="auto"/>
        </w:rPr>
      </w:pPr>
    </w:p>
    <w:p>
      <w:pPr>
        <w:sectPr>
          <w:pgSz w:w="11900" w:h="16838" w:orient="portrait"/>
          <w:cols w:equalWidth="0" w:num="2">
            <w:col w:w="3620" w:space="720"/>
            <w:col w:w="6960"/>
          </w:cols>
          <w:pgMar w:left="240" w:top="280" w:right="35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w:t>
      </w:r>
      <w:r>
        <w:rPr>
          <w:rFonts w:ascii="Arial" w:cs="Arial" w:eastAsia="Arial" w:hAnsi="Arial"/>
          <w:sz w:val="16"/>
          <w:szCs w:val="16"/>
          <w:b w:val="1"/>
          <w:bCs w:val="1"/>
          <w:color w:val="auto"/>
        </w:rPr>
        <w:t>lternatively, the issuer, any underwriter or any dealer participating in the offering will arrange to send you the prospectus supplement and prospectus if you request it from (i) Wells Fargo Securities, LLC toll free at 1-800-326-5897, (ii) Citigroup Global Markets Inc. toll free at 1-800-831-9146, or (iii) J.P. Morgan Securities LLC by calling collect at 1-212-834-4533.</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type w:val="continuous"/>
        </w:sectPr>
      </w:pPr>
    </w:p>
    <w:bookmarkStart w:id="2" w:name="page3"/>
    <w:bookmarkEnd w:id="2"/>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2019-12-05T09:51:49Z</dcterms:created>
  <dcterms:modified xsi:type="dcterms:W3CDTF">2019-12-05T09:51:49Z</dcterms:modified>
</cp:coreProperties>
</file>