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180975</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t>UNITED STATES</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183515</wp:posOffset>
            </wp:positionV>
            <wp:extent cx="15233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400" w:lineRule="exact"/>
        <w:rPr>
          <w:sz w:val="24"/>
          <w:szCs w:val="24"/>
          <w:color w:val="auto"/>
        </w:rPr>
      </w:pPr>
    </w:p>
    <w:p>
      <w:pPr>
        <w:ind w:left="49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194310</wp:posOffset>
            </wp:positionV>
            <wp:extent cx="15233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659"/>
        <w:spacing w:after="0"/>
        <w:rPr>
          <w:sz w:val="20"/>
          <w:szCs w:val="20"/>
          <w:color w:val="auto"/>
        </w:rPr>
      </w:pPr>
      <w:r>
        <w:rPr>
          <w:rFonts w:ascii="Arial" w:cs="Arial" w:eastAsia="Arial" w:hAnsi="Arial"/>
          <w:sz w:val="21"/>
          <w:szCs w:val="21"/>
          <w:b w:val="1"/>
          <w:bCs w:val="1"/>
          <w:color w:val="auto"/>
        </w:rPr>
        <w:t>CURRENT REPORT</w:t>
      </w:r>
    </w:p>
    <w:p>
      <w:pPr>
        <w:spacing w:after="0" w:line="154" w:lineRule="exact"/>
        <w:rPr>
          <w:sz w:val="24"/>
          <w:szCs w:val="24"/>
          <w:color w:val="auto"/>
        </w:rPr>
      </w:pPr>
    </w:p>
    <w:p>
      <w:pPr>
        <w:jc w:val="center"/>
        <w:ind w:right="-65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78" w:lineRule="exact"/>
        <w:rPr>
          <w:sz w:val="24"/>
          <w:szCs w:val="24"/>
          <w:color w:val="auto"/>
        </w:rPr>
      </w:pPr>
    </w:p>
    <w:p>
      <w:pPr>
        <w:ind w:left="3280"/>
        <w:spacing w:after="0"/>
        <w:rPr>
          <w:sz w:val="20"/>
          <w:szCs w:val="20"/>
          <w:color w:val="auto"/>
        </w:rPr>
      </w:pPr>
      <w:r>
        <w:rPr>
          <w:rFonts w:ascii="Arial" w:cs="Arial" w:eastAsia="Arial" w:hAnsi="Arial"/>
          <w:sz w:val="17"/>
          <w:szCs w:val="17"/>
          <w:b w:val="1"/>
          <w:bCs w:val="1"/>
          <w:color w:val="auto"/>
        </w:rPr>
        <w:t>Date of Report (Date of earliest event reported) 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194945</wp:posOffset>
            </wp:positionV>
            <wp:extent cx="1523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659"/>
        <w:spacing w:after="0"/>
        <w:rPr>
          <w:sz w:val="20"/>
          <w:szCs w:val="20"/>
          <w:color w:val="auto"/>
        </w:rPr>
      </w:pPr>
      <w:r>
        <w:rPr>
          <w:rFonts w:ascii="Arial" w:cs="Arial" w:eastAsia="Arial" w:hAnsi="Arial"/>
          <w:sz w:val="42"/>
          <w:szCs w:val="42"/>
          <w:b w:val="1"/>
          <w:bCs w:val="1"/>
          <w:color w:val="auto"/>
        </w:rPr>
        <w:t>Federal Realty Investment Trust</w:t>
      </w:r>
    </w:p>
    <w:p>
      <w:pPr>
        <w:spacing w:after="0" w:line="48"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180340</wp:posOffset>
            </wp:positionV>
            <wp:extent cx="1523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ectPr>
          <w:pgSz w:w="11900" w:h="16838" w:orient="portrait"/>
          <w:cols w:equalWidth="0" w:num="1">
            <w:col w:w="10760"/>
          </w:cols>
          <w:pgMar w:left="240" w:top="309" w:right="899" w:bottom="1440" w:gutter="0" w:footer="0" w:header="0"/>
        </w:sectPr>
      </w:pPr>
    </w:p>
    <w:p>
      <w:pPr>
        <w:spacing w:after="0" w:line="200" w:lineRule="exact"/>
        <w:rPr>
          <w:sz w:val="24"/>
          <w:szCs w:val="24"/>
          <w:color w:val="auto"/>
        </w:rPr>
      </w:pPr>
    </w:p>
    <w:p>
      <w:pPr>
        <w:spacing w:after="0" w:line="30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jc w:val="center"/>
        <w:ind w:right="2340"/>
        <w:spacing w:after="0"/>
        <w:rPr>
          <w:sz w:val="20"/>
          <w:szCs w:val="20"/>
          <w:color w:val="auto"/>
        </w:rPr>
      </w:pPr>
      <w:r>
        <w:rPr>
          <w:rFonts w:ascii="Arial" w:cs="Arial" w:eastAsia="Arial" w:hAnsi="Arial"/>
          <w:sz w:val="15"/>
          <w:szCs w:val="15"/>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9" w:lineRule="exact"/>
        <w:rPr>
          <w:sz w:val="24"/>
          <w:szCs w:val="24"/>
          <w:color w:val="auto"/>
        </w:rPr>
      </w:pPr>
    </w:p>
    <w:p>
      <w:pPr>
        <w:sectPr>
          <w:pgSz w:w="11900" w:h="16838" w:orient="portrait"/>
          <w:cols w:equalWidth="0" w:num="3">
            <w:col w:w="4840" w:space="720"/>
            <w:col w:w="2900" w:space="720"/>
            <w:col w:w="1580"/>
          </w:cols>
          <w:pgMar w:left="240" w:top="309" w:right="899" w:bottom="1440" w:gutter="0" w:footer="0" w:header="0"/>
          <w:type w:val="continuous"/>
        </w:sectPr>
      </w:pPr>
    </w:p>
    <w:p>
      <w:pPr>
        <w:spacing w:after="0" w:line="1" w:lineRule="exact"/>
        <w:rPr>
          <w:sz w:val="24"/>
          <w:szCs w:val="24"/>
          <w:color w:val="auto"/>
        </w:rPr>
      </w:pPr>
    </w:p>
    <w:p>
      <w:pPr>
        <w:jc w:val="center"/>
        <w:ind w:right="460"/>
        <w:spacing w:after="0"/>
        <w:rPr>
          <w:sz w:val="20"/>
          <w:szCs w:val="20"/>
          <w:color w:val="auto"/>
        </w:rPr>
      </w:pPr>
      <w:r>
        <w:rPr>
          <w:rFonts w:ascii="Arial" w:cs="Arial" w:eastAsia="Arial" w:hAnsi="Arial"/>
          <w:sz w:val="11"/>
          <w:szCs w:val="11"/>
          <w:b w:val="1"/>
          <w:bCs w:val="1"/>
          <w:color w:val="auto"/>
        </w:rPr>
        <w:t>(State or other jurisdiction</w:t>
      </w:r>
    </w:p>
    <w:p>
      <w:pPr>
        <w:spacing w:after="0" w:line="22" w:lineRule="exact"/>
        <w:rPr>
          <w:sz w:val="24"/>
          <w:szCs w:val="24"/>
          <w:color w:val="auto"/>
        </w:rPr>
      </w:pPr>
    </w:p>
    <w:p>
      <w:pPr>
        <w:jc w:val="center"/>
        <w:ind w:right="46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3"/>
          <w:szCs w:val="13"/>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202" w:lineRule="exact"/>
        <w:rPr>
          <w:sz w:val="24"/>
          <w:szCs w:val="24"/>
          <w:color w:val="auto"/>
        </w:rPr>
      </w:pPr>
    </w:p>
    <w:p>
      <w:pPr>
        <w:sectPr>
          <w:pgSz w:w="11900" w:h="16838" w:orient="portrait"/>
          <w:cols w:equalWidth="0" w:num="3">
            <w:col w:w="4360" w:space="720"/>
            <w:col w:w="3280" w:space="720"/>
            <w:col w:w="1680"/>
          </w:cols>
          <w:pgMar w:left="240" w:top="309" w:right="899" w:bottom="1440" w:gutter="0" w:footer="0" w:header="0"/>
          <w:type w:val="continuous"/>
        </w:sectPr>
      </w:pPr>
    </w:p>
    <w:p>
      <w:pPr>
        <w:ind w:left="112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0" w:lineRule="exact"/>
        <w:rPr>
          <w:sz w:val="24"/>
          <w:szCs w:val="24"/>
          <w:color w:val="auto"/>
        </w:rPr>
      </w:pPr>
    </w:p>
    <w:p>
      <w:pPr>
        <w:sectPr>
          <w:pgSz w:w="11900" w:h="16838" w:orient="portrait"/>
          <w:cols w:equalWidth="0" w:num="2">
            <w:col w:w="7560" w:space="720"/>
            <w:col w:w="2480"/>
          </w:cols>
          <w:pgMar w:left="240" w:top="309" w:right="899" w:bottom="1440" w:gutter="0" w:footer="0" w:header="0"/>
          <w:type w:val="continuous"/>
        </w:sectPr>
      </w:pPr>
    </w:p>
    <w:p>
      <w:pPr>
        <w:ind w:left="17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53" w:lineRule="exact"/>
        <w:rPr>
          <w:sz w:val="24"/>
          <w:szCs w:val="24"/>
          <w:color w:val="auto"/>
        </w:rPr>
      </w:pPr>
    </w:p>
    <w:p>
      <w:pPr>
        <w:sectPr>
          <w:pgSz w:w="11900" w:h="16838" w:orient="portrait"/>
          <w:cols w:equalWidth="0" w:num="2">
            <w:col w:w="7660" w:space="720"/>
            <w:col w:w="2380"/>
          </w:cols>
          <w:pgMar w:left="240" w:top="309" w:right="899" w:bottom="1440" w:gutter="0" w:footer="0" w:header="0"/>
          <w:type w:val="continuous"/>
        </w:sectPr>
      </w:pPr>
    </w:p>
    <w:p>
      <w:pPr>
        <w:ind w:left="3320"/>
        <w:spacing w:after="0"/>
        <w:rPr>
          <w:sz w:val="20"/>
          <w:szCs w:val="20"/>
          <w:color w:val="auto"/>
        </w:rPr>
      </w:pPr>
      <w:r>
        <w:rPr>
          <w:rFonts w:ascii="Arial" w:cs="Arial" w:eastAsia="Arial" w:hAnsi="Arial"/>
          <w:sz w:val="17"/>
          <w:szCs w:val="17"/>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194945</wp:posOffset>
            </wp:positionV>
            <wp:extent cx="1523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spacing w:after="0" w:line="28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55"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13"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13"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13"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49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90805</wp:posOffset>
            </wp:positionV>
            <wp:extent cx="72497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0760"/>
          </w:cols>
          <w:pgMar w:left="240" w:top="309" w:right="8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705" cy="38100"/>
                    </a:xfrm>
                    <a:prstGeom prst="rect">
                      <a:avLst/>
                    </a:prstGeom>
                    <a:noFill/>
                  </pic:spPr>
                </pic:pic>
              </a:graphicData>
            </a:graphic>
          </wp:anchor>
        </w:drawing>
        <w:t>Item 2.02. Results of Operations and Financial Condition.</w:t>
      </w:r>
    </w:p>
    <w:p>
      <w:pPr>
        <w:spacing w:after="0" w:line="101" w:lineRule="exact"/>
        <w:rPr>
          <w:sz w:val="20"/>
          <w:szCs w:val="20"/>
          <w:color w:val="auto"/>
        </w:rPr>
      </w:pPr>
    </w:p>
    <w:p>
      <w:pPr>
        <w:ind w:firstLine="457"/>
        <w:spacing w:after="0" w:line="314" w:lineRule="auto"/>
        <w:rPr>
          <w:sz w:val="20"/>
          <w:szCs w:val="20"/>
          <w:color w:val="auto"/>
        </w:rPr>
      </w:pPr>
      <w:r>
        <w:rPr>
          <w:rFonts w:ascii="Arial" w:cs="Arial" w:eastAsia="Arial" w:hAnsi="Arial"/>
          <w:sz w:val="15"/>
          <w:szCs w:val="15"/>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99" w:lineRule="exact"/>
        <w:rPr>
          <w:sz w:val="20"/>
          <w:szCs w:val="20"/>
          <w:color w:val="auto"/>
        </w:rPr>
      </w:pPr>
    </w:p>
    <w:p>
      <w:pPr>
        <w:ind w:right="40" w:firstLine="457"/>
        <w:spacing w:after="0" w:line="285" w:lineRule="auto"/>
        <w:rPr>
          <w:sz w:val="20"/>
          <w:szCs w:val="20"/>
          <w:color w:val="auto"/>
        </w:rPr>
      </w:pPr>
      <w:r>
        <w:rPr>
          <w:rFonts w:ascii="Arial" w:cs="Arial" w:eastAsia="Arial" w:hAnsi="Arial"/>
          <w:sz w:val="17"/>
          <w:szCs w:val="17"/>
          <w:color w:val="auto"/>
        </w:rPr>
        <w:t>On February 17, 2010, Federal Realty Investment Trust issued supplemental data pertaining to its operations, as well as a press release, to report its financial results for the quarter ended December 31, 2009. The supplemental data and press release are furnished as Exhibit 99.1 hereto.</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10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213"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December 31, 2009 (including press release dated February 17, 2010)</w:t>
      </w:r>
    </w:p>
    <w:p>
      <w:pPr>
        <w:sectPr>
          <w:pgSz w:w="11900" w:h="16838" w:orient="portrait"/>
          <w:cols w:equalWidth="0" w:num="1">
            <w:col w:w="11240"/>
          </w:cols>
          <w:pgMar w:left="240" w:top="27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705" cy="38100"/>
                    </a:xfrm>
                    <a:prstGeom prst="rect">
                      <a:avLst/>
                    </a:prstGeom>
                    <a:noFill/>
                  </pic:spPr>
                </pic:pic>
              </a:graphicData>
            </a:graphic>
          </wp:anchor>
        </w:drawing>
        <w:t>SIGNATURES</w:t>
      </w:r>
    </w:p>
    <w:p>
      <w:pPr>
        <w:spacing w:after="0" w:line="180" w:lineRule="exact"/>
        <w:rPr>
          <w:sz w:val="20"/>
          <w:szCs w:val="20"/>
          <w:color w:val="auto"/>
        </w:rPr>
      </w:pPr>
    </w:p>
    <w:p>
      <w:pPr>
        <w:ind w:right="300" w:firstLine="457"/>
        <w:spacing w:after="0" w:line="28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7"/>
                <w:szCs w:val="17"/>
                <w:b w:val="1"/>
                <w:bCs w:val="1"/>
                <w:color w:val="auto"/>
              </w:rPr>
              <w:t>FEDERAL REALTY INVESTMENT TRUST</w:t>
            </w:r>
          </w:p>
        </w:tc>
      </w:tr>
      <w:tr>
        <w:trPr>
          <w:trHeight w:val="423"/>
        </w:trPr>
        <w:tc>
          <w:tcPr>
            <w:tcW w:w="5960" w:type="dxa"/>
            <w:vAlign w:val="bottom"/>
          </w:tcPr>
          <w:p>
            <w:pPr>
              <w:spacing w:after="0"/>
              <w:rPr>
                <w:sz w:val="20"/>
                <w:szCs w:val="20"/>
                <w:color w:val="auto"/>
              </w:rPr>
            </w:pPr>
            <w:r>
              <w:rPr>
                <w:rFonts w:ascii="Arial" w:cs="Arial" w:eastAsia="Arial" w:hAnsi="Arial"/>
                <w:sz w:val="17"/>
                <w:szCs w:val="17"/>
                <w:color w:val="auto"/>
              </w:rPr>
              <w:t>Date: February 17, 2010</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/s/ Andrew P. Blocher</w:t>
            </w:r>
          </w:p>
        </w:tc>
      </w:tr>
      <w:tr>
        <w:trPr>
          <w:trHeight w:val="197"/>
        </w:trPr>
        <w:tc>
          <w:tcPr>
            <w:tcW w:w="5960" w:type="dxa"/>
            <w:vAlign w:val="bottom"/>
          </w:tcPr>
          <w:p>
            <w:pPr>
              <w:spacing w:after="0"/>
              <w:rPr>
                <w:sz w:val="17"/>
                <w:szCs w:val="17"/>
                <w:color w:val="auto"/>
              </w:rPr>
            </w:pPr>
          </w:p>
        </w:tc>
        <w:tc>
          <w:tcPr>
            <w:tcW w:w="5460" w:type="dxa"/>
            <w:vAlign w:val="bottom"/>
          </w:tcPr>
          <w:p>
            <w:pPr>
              <w:ind w:left="100"/>
              <w:spacing w:after="0"/>
              <w:rPr>
                <w:sz w:val="20"/>
                <w:szCs w:val="20"/>
                <w:color w:val="auto"/>
              </w:rPr>
            </w:pPr>
            <w:r>
              <w:rPr>
                <w:rFonts w:ascii="Arial" w:cs="Arial" w:eastAsia="Arial" w:hAnsi="Arial"/>
                <w:sz w:val="17"/>
                <w:szCs w:val="17"/>
                <w:color w:val="auto"/>
              </w:rPr>
              <w:t>Andrew P. Blocher</w:t>
            </w:r>
          </w:p>
        </w:tc>
      </w:tr>
      <w:tr>
        <w:trPr>
          <w:trHeight w:val="211"/>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7"/>
                <w:szCs w:val="17"/>
                <w:color w:val="auto"/>
              </w:rPr>
              <w:t>Senior Vice President,</w:t>
            </w:r>
          </w:p>
        </w:tc>
      </w:tr>
      <w:tr>
        <w:trPr>
          <w:trHeight w:val="217"/>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7"/>
                <w:szCs w:val="17"/>
                <w:color w:val="auto"/>
              </w:rPr>
              <w:t>Chief Financial Officer and Treasurer</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ind w:right="387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705" cy="38100"/>
                    </a:xfrm>
                    <a:prstGeom prst="rect">
                      <a:avLst/>
                    </a:prstGeom>
                    <a:noFill/>
                  </pic:spPr>
                </pic:pic>
              </a:graphicData>
            </a:graphic>
          </wp:anchor>
        </w:drawing>
        <w:t>EXHIBIT INDEX</w:t>
      </w:r>
    </w:p>
    <w:p>
      <w:pPr>
        <w:spacing w:after="0" w:line="209"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u w:val="single" w:color="auto"/>
          <w:color w:val="auto"/>
        </w:rPr>
        <w:t>Exh No.</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13970</wp:posOffset>
            </wp:positionV>
            <wp:extent cx="67475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7510" cy="8255"/>
                    </a:xfrm>
                    <a:prstGeom prst="rect">
                      <a:avLst/>
                    </a:prstGeom>
                    <a:noFill/>
                  </pic:spPr>
                </pic:pic>
              </a:graphicData>
            </a:graphic>
          </wp:anchor>
        </w:drawing>
      </w:r>
    </w:p>
    <w:p>
      <w:pPr>
        <w:spacing w:after="0" w:line="1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Supplemental Information at December 31, 2009</w:t>
      </w:r>
    </w:p>
    <w:p>
      <w:pPr>
        <w:sectPr>
          <w:pgSz w:w="11900" w:h="16838" w:orient="portrait"/>
          <w:cols w:equalWidth="0" w:num="1">
            <w:col w:w="10219"/>
          </w:cols>
          <w:pgMar w:left="240" w:top="276"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896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Exhibit 99.1</w:t>
            </w:r>
          </w:p>
        </w:tc>
      </w:tr>
      <w:tr>
        <w:trPr>
          <w:trHeight w:val="363"/>
        </w:trPr>
        <w:tc>
          <w:tcPr>
            <w:tcW w:w="8960" w:type="dxa"/>
            <w:vAlign w:val="bottom"/>
          </w:tcPr>
          <w:p>
            <w:pPr>
              <w:jc w:val="center"/>
              <w:ind w:left="2374"/>
              <w:spacing w:after="0"/>
              <w:rPr>
                <w:sz w:val="20"/>
                <w:szCs w:val="20"/>
                <w:color w:val="auto"/>
              </w:rPr>
            </w:pPr>
            <w:r>
              <w:rPr>
                <w:rFonts w:ascii="Arial" w:cs="Arial" w:eastAsia="Arial" w:hAnsi="Arial"/>
                <w:sz w:val="17"/>
                <w:szCs w:val="17"/>
                <w:b w:val="1"/>
                <w:bCs w:val="1"/>
                <w:color w:val="auto"/>
              </w:rPr>
              <w:t>FEDERAL REALTY INVESTMENT TRUST</w:t>
            </w:r>
          </w:p>
        </w:tc>
        <w:tc>
          <w:tcPr>
            <w:tcW w:w="2460" w:type="dxa"/>
            <w:vAlign w:val="bottom"/>
          </w:tcPr>
          <w:p>
            <w:pPr>
              <w:spacing w:after="0"/>
              <w:rPr>
                <w:sz w:val="24"/>
                <w:szCs w:val="24"/>
                <w:color w:val="auto"/>
              </w:rPr>
            </w:pPr>
          </w:p>
        </w:tc>
      </w:tr>
      <w:tr>
        <w:trPr>
          <w:trHeight w:val="211"/>
        </w:trPr>
        <w:tc>
          <w:tcPr>
            <w:tcW w:w="8960" w:type="dxa"/>
            <w:vAlign w:val="bottom"/>
          </w:tcPr>
          <w:p>
            <w:pPr>
              <w:jc w:val="center"/>
              <w:ind w:left="2374"/>
              <w:spacing w:after="0"/>
              <w:rPr>
                <w:sz w:val="20"/>
                <w:szCs w:val="20"/>
                <w:color w:val="auto"/>
              </w:rPr>
            </w:pPr>
            <w:r>
              <w:rPr>
                <w:rFonts w:ascii="Arial" w:cs="Arial" w:eastAsia="Arial" w:hAnsi="Arial"/>
                <w:sz w:val="17"/>
                <w:szCs w:val="17"/>
                <w:color w:val="auto"/>
                <w:w w:val="97"/>
              </w:rPr>
              <w:t>SUPPLEMENTAL INFORMATION</w:t>
            </w:r>
          </w:p>
        </w:tc>
        <w:tc>
          <w:tcPr>
            <w:tcW w:w="2460" w:type="dxa"/>
            <w:vAlign w:val="bottom"/>
          </w:tcPr>
          <w:p>
            <w:pPr>
              <w:spacing w:after="0"/>
              <w:rPr>
                <w:sz w:val="18"/>
                <w:szCs w:val="18"/>
                <w:color w:val="auto"/>
              </w:rPr>
            </w:pPr>
          </w:p>
        </w:tc>
      </w:tr>
      <w:tr>
        <w:trPr>
          <w:trHeight w:val="217"/>
        </w:trPr>
        <w:tc>
          <w:tcPr>
            <w:tcW w:w="8960" w:type="dxa"/>
            <w:vAlign w:val="bottom"/>
          </w:tcPr>
          <w:p>
            <w:pPr>
              <w:jc w:val="center"/>
              <w:ind w:left="2374"/>
              <w:spacing w:after="0"/>
              <w:rPr>
                <w:sz w:val="20"/>
                <w:szCs w:val="20"/>
                <w:color w:val="auto"/>
              </w:rPr>
            </w:pPr>
            <w:r>
              <w:rPr>
                <w:rFonts w:ascii="Arial" w:cs="Arial" w:eastAsia="Arial" w:hAnsi="Arial"/>
                <w:sz w:val="17"/>
                <w:szCs w:val="17"/>
                <w:color w:val="auto"/>
                <w:w w:val="89"/>
              </w:rPr>
              <w:t>December 31, 2009</w:t>
            </w:r>
          </w:p>
        </w:tc>
        <w:tc>
          <w:tcPr>
            <w:tcW w:w="2460" w:type="dxa"/>
            <w:vAlign w:val="bottom"/>
          </w:tcPr>
          <w:p>
            <w:pPr>
              <w:spacing w:after="0"/>
              <w:rPr>
                <w:sz w:val="18"/>
                <w:szCs w:val="18"/>
                <w:color w:val="auto"/>
              </w:rPr>
            </w:pPr>
          </w:p>
        </w:tc>
      </w:tr>
      <w:tr>
        <w:trPr>
          <w:trHeight w:val="369"/>
        </w:trPr>
        <w:tc>
          <w:tcPr>
            <w:tcW w:w="8960" w:type="dxa"/>
            <w:vAlign w:val="bottom"/>
          </w:tcPr>
          <w:p>
            <w:pPr>
              <w:jc w:val="center"/>
              <w:ind w:left="2394"/>
              <w:spacing w:after="0"/>
              <w:rPr>
                <w:sz w:val="20"/>
                <w:szCs w:val="20"/>
                <w:color w:val="auto"/>
              </w:rPr>
            </w:pPr>
            <w:r>
              <w:rPr>
                <w:rFonts w:ascii="Arial" w:cs="Arial" w:eastAsia="Arial" w:hAnsi="Arial"/>
                <w:sz w:val="17"/>
                <w:szCs w:val="17"/>
                <w:b w:val="1"/>
                <w:bCs w:val="1"/>
                <w:color w:val="auto"/>
              </w:rPr>
              <w:t>TABLE OF CONTENTS</w:t>
            </w:r>
          </w:p>
        </w:tc>
        <w:tc>
          <w:tcPr>
            <w:tcW w:w="2460" w:type="dxa"/>
            <w:vAlign w:val="bottom"/>
          </w:tcPr>
          <w:p>
            <w:pPr>
              <w:spacing w:after="0"/>
              <w:rPr>
                <w:sz w:val="24"/>
                <w:szCs w:val="24"/>
                <w:color w:val="auto"/>
              </w:rPr>
            </w:pPr>
          </w:p>
        </w:tc>
      </w:tr>
      <w:tr>
        <w:trPr>
          <w:trHeight w:val="409"/>
        </w:trPr>
        <w:tc>
          <w:tcPr>
            <w:tcW w:w="8960" w:type="dxa"/>
            <w:vAlign w:val="bottom"/>
          </w:tcPr>
          <w:p>
            <w:pPr>
              <w:spacing w:after="0"/>
              <w:rPr>
                <w:sz w:val="20"/>
                <w:szCs w:val="20"/>
                <w:color w:val="auto"/>
              </w:rPr>
            </w:pPr>
            <w:r>
              <w:rPr>
                <w:rFonts w:ascii="Arial" w:cs="Arial" w:eastAsia="Arial" w:hAnsi="Arial"/>
                <w:sz w:val="17"/>
                <w:szCs w:val="17"/>
                <w:color w:val="auto"/>
              </w:rPr>
              <w:t>1.   Fourth Quarter and Year Ended 2009 Earnings Press Release</w:t>
            </w:r>
          </w:p>
        </w:tc>
        <w:tc>
          <w:tcPr>
            <w:tcW w:w="24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11"/>
        </w:trPr>
        <w:tc>
          <w:tcPr>
            <w:tcW w:w="8960" w:type="dxa"/>
            <w:vAlign w:val="bottom"/>
          </w:tcPr>
          <w:p>
            <w:pPr>
              <w:spacing w:after="0"/>
              <w:rPr>
                <w:sz w:val="20"/>
                <w:szCs w:val="20"/>
                <w:color w:val="auto"/>
              </w:rPr>
            </w:pPr>
            <w:r>
              <w:rPr>
                <w:rFonts w:ascii="Arial" w:cs="Arial" w:eastAsia="Arial" w:hAnsi="Arial"/>
                <w:sz w:val="17"/>
                <w:szCs w:val="17"/>
                <w:color w:val="auto"/>
              </w:rPr>
              <w:t>2.   Financial Highlights</w:t>
            </w:r>
          </w:p>
        </w:tc>
        <w:tc>
          <w:tcPr>
            <w:tcW w:w="2460" w:type="dxa"/>
            <w:vAlign w:val="bottom"/>
          </w:tcPr>
          <w:p>
            <w:pPr>
              <w:spacing w:after="0"/>
              <w:rPr>
                <w:sz w:val="24"/>
                <w:szCs w:val="24"/>
                <w:color w:val="auto"/>
              </w:rPr>
            </w:pPr>
          </w:p>
        </w:tc>
      </w:tr>
      <w:tr>
        <w:trPr>
          <w:trHeight w:val="211"/>
        </w:trPr>
        <w:tc>
          <w:tcPr>
            <w:tcW w:w="8960" w:type="dxa"/>
            <w:vAlign w:val="bottom"/>
          </w:tcPr>
          <w:p>
            <w:pPr>
              <w:ind w:left="1160"/>
              <w:spacing w:after="0"/>
              <w:rPr>
                <w:sz w:val="20"/>
                <w:szCs w:val="20"/>
                <w:color w:val="auto"/>
              </w:rPr>
            </w:pPr>
            <w:r>
              <w:rPr>
                <w:rFonts w:ascii="Arial" w:cs="Arial" w:eastAsia="Arial" w:hAnsi="Arial"/>
                <w:sz w:val="17"/>
                <w:szCs w:val="17"/>
                <w:color w:val="auto"/>
              </w:rPr>
              <w:t>Summarized Income Statements</w:t>
            </w:r>
          </w:p>
        </w:tc>
        <w:tc>
          <w:tcPr>
            <w:tcW w:w="24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1"/>
        </w:trPr>
        <w:tc>
          <w:tcPr>
            <w:tcW w:w="8960" w:type="dxa"/>
            <w:vAlign w:val="bottom"/>
          </w:tcPr>
          <w:p>
            <w:pPr>
              <w:ind w:left="1160"/>
              <w:spacing w:after="0"/>
              <w:rPr>
                <w:sz w:val="20"/>
                <w:szCs w:val="20"/>
                <w:color w:val="auto"/>
              </w:rPr>
            </w:pPr>
            <w:r>
              <w:rPr>
                <w:rFonts w:ascii="Arial" w:cs="Arial" w:eastAsia="Arial" w:hAnsi="Arial"/>
                <w:sz w:val="17"/>
                <w:szCs w:val="17"/>
                <w:color w:val="auto"/>
              </w:rPr>
              <w:t>Summarized Balance Sheets</w:t>
            </w:r>
          </w:p>
        </w:tc>
        <w:tc>
          <w:tcPr>
            <w:tcW w:w="24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1"/>
        </w:trPr>
        <w:tc>
          <w:tcPr>
            <w:tcW w:w="8960" w:type="dxa"/>
            <w:vAlign w:val="bottom"/>
          </w:tcPr>
          <w:p>
            <w:pPr>
              <w:ind w:left="1160"/>
              <w:spacing w:after="0"/>
              <w:rPr>
                <w:sz w:val="20"/>
                <w:szCs w:val="20"/>
                <w:color w:val="auto"/>
              </w:rPr>
            </w:pPr>
            <w:r>
              <w:rPr>
                <w:rFonts w:ascii="Arial" w:cs="Arial" w:eastAsia="Arial" w:hAnsi="Arial"/>
                <w:sz w:val="17"/>
                <w:szCs w:val="17"/>
                <w:color w:val="auto"/>
              </w:rPr>
              <w:t>Funds From Operations / Summary of Capital Expenditures</w:t>
            </w:r>
          </w:p>
        </w:tc>
        <w:tc>
          <w:tcPr>
            <w:tcW w:w="24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1"/>
        </w:trPr>
        <w:tc>
          <w:tcPr>
            <w:tcW w:w="8960" w:type="dxa"/>
            <w:vAlign w:val="bottom"/>
          </w:tcPr>
          <w:p>
            <w:pPr>
              <w:ind w:left="1160"/>
              <w:spacing w:after="0"/>
              <w:rPr>
                <w:sz w:val="20"/>
                <w:szCs w:val="20"/>
                <w:color w:val="auto"/>
              </w:rPr>
            </w:pPr>
            <w:r>
              <w:rPr>
                <w:rFonts w:ascii="Arial" w:cs="Arial" w:eastAsia="Arial" w:hAnsi="Arial"/>
                <w:sz w:val="17"/>
                <w:szCs w:val="17"/>
                <w:color w:val="auto"/>
              </w:rPr>
              <w:t>Market Data</w:t>
            </w:r>
          </w:p>
        </w:tc>
        <w:tc>
          <w:tcPr>
            <w:tcW w:w="24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7"/>
        </w:trPr>
        <w:tc>
          <w:tcPr>
            <w:tcW w:w="8960" w:type="dxa"/>
            <w:vAlign w:val="bottom"/>
          </w:tcPr>
          <w:p>
            <w:pPr>
              <w:ind w:left="1160"/>
              <w:spacing w:after="0"/>
              <w:rPr>
                <w:sz w:val="20"/>
                <w:szCs w:val="20"/>
                <w:color w:val="auto"/>
              </w:rPr>
            </w:pPr>
            <w:r>
              <w:rPr>
                <w:rFonts w:ascii="Arial" w:cs="Arial" w:eastAsia="Arial" w:hAnsi="Arial"/>
                <w:sz w:val="17"/>
                <w:szCs w:val="17"/>
                <w:color w:val="auto"/>
              </w:rPr>
              <w:t>Components of Rental Income</w:t>
            </w:r>
          </w:p>
        </w:tc>
        <w:tc>
          <w:tcPr>
            <w:tcW w:w="246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100"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Summary of Debt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0" w:type="dxa"/>
            <w:vAlign w:val="bottom"/>
          </w:tcPr>
          <w:p>
            <w:pPr>
              <w:spacing w:after="0"/>
              <w:rPr>
                <w:sz w:val="17"/>
                <w:szCs w:val="17"/>
                <w:color w:val="auto"/>
              </w:rPr>
            </w:pPr>
          </w:p>
        </w:tc>
        <w:tc>
          <w:tcPr>
            <w:tcW w:w="8040" w:type="dxa"/>
            <w:vAlign w:val="bottom"/>
          </w:tcPr>
          <w:p>
            <w:pPr>
              <w:ind w:left="880"/>
              <w:spacing w:after="0"/>
              <w:rPr>
                <w:sz w:val="20"/>
                <w:szCs w:val="20"/>
                <w:color w:val="auto"/>
              </w:rPr>
            </w:pPr>
            <w:r>
              <w:rPr>
                <w:rFonts w:ascii="Arial" w:cs="Arial" w:eastAsia="Arial" w:hAnsi="Arial"/>
                <w:sz w:val="17"/>
                <w:szCs w:val="17"/>
                <w:color w:val="auto"/>
              </w:rPr>
              <w:t>Summary of Outstanding Debt and Capital Lease Obligations</w:t>
            </w:r>
          </w:p>
        </w:tc>
        <w:tc>
          <w:tcPr>
            <w:tcW w:w="31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7"/>
        </w:trPr>
        <w:tc>
          <w:tcPr>
            <w:tcW w:w="280" w:type="dxa"/>
            <w:vAlign w:val="bottom"/>
          </w:tcPr>
          <w:p>
            <w:pPr>
              <w:spacing w:after="0"/>
              <w:rPr>
                <w:sz w:val="18"/>
                <w:szCs w:val="18"/>
                <w:color w:val="auto"/>
              </w:rPr>
            </w:pPr>
          </w:p>
        </w:tc>
        <w:tc>
          <w:tcPr>
            <w:tcW w:w="8040" w:type="dxa"/>
            <w:vAlign w:val="bottom"/>
          </w:tcPr>
          <w:p>
            <w:pPr>
              <w:ind w:left="880"/>
              <w:spacing w:after="0"/>
              <w:rPr>
                <w:sz w:val="20"/>
                <w:szCs w:val="20"/>
                <w:color w:val="auto"/>
              </w:rPr>
            </w:pPr>
            <w:r>
              <w:rPr>
                <w:rFonts w:ascii="Arial" w:cs="Arial" w:eastAsia="Arial" w:hAnsi="Arial"/>
                <w:sz w:val="17"/>
                <w:szCs w:val="17"/>
                <w:color w:val="auto"/>
              </w:rPr>
              <w:t>Summary of Debt Maturities</w:t>
            </w:r>
          </w:p>
        </w:tc>
        <w:tc>
          <w:tcPr>
            <w:tcW w:w="31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4.</w:t>
            </w:r>
          </w:p>
        </w:tc>
        <w:tc>
          <w:tcPr>
            <w:tcW w:w="8040" w:type="dxa"/>
            <w:vAlign w:val="bottom"/>
          </w:tcPr>
          <w:p>
            <w:pPr>
              <w:ind w:left="40"/>
              <w:spacing w:after="0"/>
              <w:rPr>
                <w:sz w:val="20"/>
                <w:szCs w:val="20"/>
                <w:color w:val="auto"/>
              </w:rPr>
            </w:pPr>
            <w:r>
              <w:rPr>
                <w:rFonts w:ascii="Arial" w:cs="Arial" w:eastAsia="Arial" w:hAnsi="Arial"/>
                <w:sz w:val="17"/>
                <w:szCs w:val="17"/>
                <w:color w:val="auto"/>
              </w:rPr>
              <w:t>Summary of Redevelopment Opportunities</w:t>
            </w:r>
          </w:p>
        </w:tc>
        <w:tc>
          <w:tcPr>
            <w:tcW w:w="31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5.</w:t>
            </w:r>
          </w:p>
        </w:tc>
        <w:tc>
          <w:tcPr>
            <w:tcW w:w="8040" w:type="dxa"/>
            <w:vAlign w:val="bottom"/>
          </w:tcPr>
          <w:p>
            <w:pPr>
              <w:ind w:left="40"/>
              <w:spacing w:after="0"/>
              <w:rPr>
                <w:sz w:val="20"/>
                <w:szCs w:val="20"/>
                <w:color w:val="auto"/>
              </w:rPr>
            </w:pPr>
            <w:r>
              <w:rPr>
                <w:rFonts w:ascii="Arial" w:cs="Arial" w:eastAsia="Arial" w:hAnsi="Arial"/>
                <w:sz w:val="17"/>
                <w:szCs w:val="17"/>
                <w:color w:val="auto"/>
              </w:rPr>
              <w:t>Real Estate Status Report</w:t>
            </w:r>
          </w:p>
        </w:tc>
        <w:tc>
          <w:tcPr>
            <w:tcW w:w="31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6.</w:t>
            </w:r>
          </w:p>
        </w:tc>
        <w:tc>
          <w:tcPr>
            <w:tcW w:w="8040" w:type="dxa"/>
            <w:vAlign w:val="bottom"/>
          </w:tcPr>
          <w:p>
            <w:pPr>
              <w:ind w:left="40"/>
              <w:spacing w:after="0"/>
              <w:rPr>
                <w:sz w:val="20"/>
                <w:szCs w:val="20"/>
                <w:color w:val="auto"/>
              </w:rPr>
            </w:pPr>
            <w:r>
              <w:rPr>
                <w:rFonts w:ascii="Arial" w:cs="Arial" w:eastAsia="Arial" w:hAnsi="Arial"/>
                <w:sz w:val="17"/>
                <w:szCs w:val="17"/>
                <w:color w:val="auto"/>
              </w:rPr>
              <w:t>Retail Leasing Summary</w:t>
            </w:r>
          </w:p>
        </w:tc>
        <w:tc>
          <w:tcPr>
            <w:tcW w:w="31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7.</w:t>
            </w:r>
          </w:p>
        </w:tc>
        <w:tc>
          <w:tcPr>
            <w:tcW w:w="8040" w:type="dxa"/>
            <w:vAlign w:val="bottom"/>
          </w:tcPr>
          <w:p>
            <w:pPr>
              <w:ind w:left="40"/>
              <w:spacing w:after="0"/>
              <w:rPr>
                <w:sz w:val="20"/>
                <w:szCs w:val="20"/>
                <w:color w:val="auto"/>
              </w:rPr>
            </w:pPr>
            <w:r>
              <w:rPr>
                <w:rFonts w:ascii="Arial" w:cs="Arial" w:eastAsia="Arial" w:hAnsi="Arial"/>
                <w:sz w:val="17"/>
                <w:szCs w:val="17"/>
                <w:color w:val="auto"/>
              </w:rPr>
              <w:t>Lease Expirations</w:t>
            </w:r>
          </w:p>
        </w:tc>
        <w:tc>
          <w:tcPr>
            <w:tcW w:w="31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8.</w:t>
            </w:r>
          </w:p>
        </w:tc>
        <w:tc>
          <w:tcPr>
            <w:tcW w:w="8040" w:type="dxa"/>
            <w:vAlign w:val="bottom"/>
          </w:tcPr>
          <w:p>
            <w:pPr>
              <w:ind w:left="40"/>
              <w:spacing w:after="0"/>
              <w:rPr>
                <w:sz w:val="20"/>
                <w:szCs w:val="20"/>
                <w:color w:val="auto"/>
              </w:rPr>
            </w:pPr>
            <w:r>
              <w:rPr>
                <w:rFonts w:ascii="Arial" w:cs="Arial" w:eastAsia="Arial" w:hAnsi="Arial"/>
                <w:sz w:val="17"/>
                <w:szCs w:val="17"/>
                <w:color w:val="auto"/>
              </w:rPr>
              <w:t>Portfolio Leased Statistics</w:t>
            </w:r>
          </w:p>
        </w:tc>
        <w:tc>
          <w:tcPr>
            <w:tcW w:w="31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9.</w:t>
            </w:r>
          </w:p>
        </w:tc>
        <w:tc>
          <w:tcPr>
            <w:tcW w:w="8040" w:type="dxa"/>
            <w:vAlign w:val="bottom"/>
          </w:tcPr>
          <w:p>
            <w:pPr>
              <w:ind w:left="40"/>
              <w:spacing w:after="0"/>
              <w:rPr>
                <w:sz w:val="20"/>
                <w:szCs w:val="20"/>
                <w:color w:val="auto"/>
              </w:rPr>
            </w:pPr>
            <w:r>
              <w:rPr>
                <w:rFonts w:ascii="Arial" w:cs="Arial" w:eastAsia="Arial" w:hAnsi="Arial"/>
                <w:sz w:val="17"/>
                <w:szCs w:val="17"/>
                <w:color w:val="auto"/>
              </w:rPr>
              <w:t>Summary of Top 25 Tenants</w:t>
            </w:r>
          </w:p>
        </w:tc>
        <w:tc>
          <w:tcPr>
            <w:tcW w:w="31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10.</w:t>
            </w:r>
          </w:p>
        </w:tc>
        <w:tc>
          <w:tcPr>
            <w:tcW w:w="8040" w:type="dxa"/>
            <w:vAlign w:val="bottom"/>
          </w:tcPr>
          <w:p>
            <w:pPr>
              <w:ind w:left="40"/>
              <w:spacing w:after="0"/>
              <w:rPr>
                <w:sz w:val="20"/>
                <w:szCs w:val="20"/>
                <w:color w:val="auto"/>
              </w:rPr>
            </w:pPr>
            <w:r>
              <w:rPr>
                <w:rFonts w:ascii="Arial" w:cs="Arial" w:eastAsia="Arial" w:hAnsi="Arial"/>
                <w:sz w:val="17"/>
                <w:szCs w:val="17"/>
                <w:color w:val="auto"/>
              </w:rPr>
              <w:t>Reconciliation of Net Income to FFO Guidance</w:t>
            </w:r>
          </w:p>
        </w:tc>
        <w:tc>
          <w:tcPr>
            <w:tcW w:w="31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11"/>
        </w:trPr>
        <w:tc>
          <w:tcPr>
            <w:tcW w:w="280" w:type="dxa"/>
            <w:vAlign w:val="bottom"/>
          </w:tcPr>
          <w:p>
            <w:pPr>
              <w:spacing w:after="0"/>
              <w:rPr>
                <w:sz w:val="20"/>
                <w:szCs w:val="20"/>
                <w:color w:val="auto"/>
              </w:rPr>
            </w:pPr>
            <w:r>
              <w:rPr>
                <w:rFonts w:ascii="Arial" w:cs="Arial" w:eastAsia="Arial" w:hAnsi="Arial"/>
                <w:sz w:val="17"/>
                <w:szCs w:val="17"/>
                <w:color w:val="auto"/>
              </w:rPr>
              <w:t>11.</w:t>
            </w:r>
          </w:p>
        </w:tc>
        <w:tc>
          <w:tcPr>
            <w:tcW w:w="8040" w:type="dxa"/>
            <w:vAlign w:val="bottom"/>
          </w:tcPr>
          <w:p>
            <w:pPr>
              <w:ind w:left="40"/>
              <w:spacing w:after="0"/>
              <w:rPr>
                <w:sz w:val="20"/>
                <w:szCs w:val="20"/>
                <w:color w:val="auto"/>
              </w:rPr>
            </w:pPr>
            <w:r>
              <w:rPr>
                <w:rFonts w:ascii="Arial" w:cs="Arial" w:eastAsia="Arial" w:hAnsi="Arial"/>
                <w:sz w:val="17"/>
                <w:szCs w:val="17"/>
                <w:color w:val="auto"/>
              </w:rPr>
              <w:t>Joint Venture Disclosure</w:t>
            </w:r>
          </w:p>
        </w:tc>
        <w:tc>
          <w:tcPr>
            <w:tcW w:w="3100" w:type="dxa"/>
            <w:vAlign w:val="bottom"/>
          </w:tcPr>
          <w:p>
            <w:pPr>
              <w:spacing w:after="0"/>
              <w:rPr>
                <w:sz w:val="24"/>
                <w:szCs w:val="24"/>
                <w:color w:val="auto"/>
              </w:rPr>
            </w:pPr>
          </w:p>
        </w:tc>
      </w:tr>
      <w:tr>
        <w:trPr>
          <w:trHeight w:val="211"/>
        </w:trPr>
        <w:tc>
          <w:tcPr>
            <w:tcW w:w="280" w:type="dxa"/>
            <w:vAlign w:val="bottom"/>
          </w:tcPr>
          <w:p>
            <w:pPr>
              <w:spacing w:after="0"/>
              <w:rPr>
                <w:sz w:val="18"/>
                <w:szCs w:val="18"/>
                <w:color w:val="auto"/>
              </w:rPr>
            </w:pPr>
          </w:p>
        </w:tc>
        <w:tc>
          <w:tcPr>
            <w:tcW w:w="8040" w:type="dxa"/>
            <w:vAlign w:val="bottom"/>
          </w:tcPr>
          <w:p>
            <w:pPr>
              <w:ind w:left="880"/>
              <w:spacing w:after="0"/>
              <w:rPr>
                <w:sz w:val="20"/>
                <w:szCs w:val="20"/>
                <w:color w:val="auto"/>
              </w:rPr>
            </w:pPr>
            <w:r>
              <w:rPr>
                <w:rFonts w:ascii="Arial" w:cs="Arial" w:eastAsia="Arial" w:hAnsi="Arial"/>
                <w:sz w:val="17"/>
                <w:szCs w:val="17"/>
                <w:color w:val="auto"/>
              </w:rPr>
              <w:t>Summarized Income Statements and Balance Sheets</w:t>
            </w:r>
          </w:p>
        </w:tc>
        <w:tc>
          <w:tcPr>
            <w:tcW w:w="31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1"/>
        </w:trPr>
        <w:tc>
          <w:tcPr>
            <w:tcW w:w="280" w:type="dxa"/>
            <w:vAlign w:val="bottom"/>
          </w:tcPr>
          <w:p>
            <w:pPr>
              <w:spacing w:after="0"/>
              <w:rPr>
                <w:sz w:val="18"/>
                <w:szCs w:val="18"/>
                <w:color w:val="auto"/>
              </w:rPr>
            </w:pPr>
          </w:p>
        </w:tc>
        <w:tc>
          <w:tcPr>
            <w:tcW w:w="8040" w:type="dxa"/>
            <w:vAlign w:val="bottom"/>
          </w:tcPr>
          <w:p>
            <w:pPr>
              <w:ind w:left="880"/>
              <w:spacing w:after="0"/>
              <w:rPr>
                <w:sz w:val="20"/>
                <w:szCs w:val="20"/>
                <w:color w:val="auto"/>
              </w:rPr>
            </w:pPr>
            <w:r>
              <w:rPr>
                <w:rFonts w:ascii="Arial" w:cs="Arial" w:eastAsia="Arial" w:hAnsi="Arial"/>
                <w:sz w:val="17"/>
                <w:szCs w:val="17"/>
                <w:color w:val="auto"/>
              </w:rPr>
              <w:t>Summary of Outstanding Debt and Debt Maturities</w:t>
            </w:r>
          </w:p>
        </w:tc>
        <w:tc>
          <w:tcPr>
            <w:tcW w:w="31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7"/>
        </w:trPr>
        <w:tc>
          <w:tcPr>
            <w:tcW w:w="280" w:type="dxa"/>
            <w:vAlign w:val="bottom"/>
          </w:tcPr>
          <w:p>
            <w:pPr>
              <w:spacing w:after="0"/>
              <w:rPr>
                <w:sz w:val="18"/>
                <w:szCs w:val="18"/>
                <w:color w:val="auto"/>
              </w:rPr>
            </w:pPr>
          </w:p>
        </w:tc>
        <w:tc>
          <w:tcPr>
            <w:tcW w:w="8040" w:type="dxa"/>
            <w:vAlign w:val="bottom"/>
          </w:tcPr>
          <w:p>
            <w:pPr>
              <w:ind w:left="880"/>
              <w:spacing w:after="0"/>
              <w:rPr>
                <w:sz w:val="20"/>
                <w:szCs w:val="20"/>
                <w:color w:val="auto"/>
              </w:rPr>
            </w:pPr>
            <w:r>
              <w:rPr>
                <w:rFonts w:ascii="Arial" w:cs="Arial" w:eastAsia="Arial" w:hAnsi="Arial"/>
                <w:sz w:val="17"/>
                <w:szCs w:val="17"/>
                <w:color w:val="auto"/>
              </w:rPr>
              <w:t>Real Estate Status Report</w:t>
            </w:r>
          </w:p>
        </w:tc>
        <w:tc>
          <w:tcPr>
            <w:tcW w:w="31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16"/>
        </w:trPr>
        <w:tc>
          <w:tcPr>
            <w:tcW w:w="280" w:type="dxa"/>
            <w:vAlign w:val="bottom"/>
          </w:tcPr>
          <w:p>
            <w:pPr>
              <w:spacing w:after="0"/>
              <w:rPr>
                <w:sz w:val="20"/>
                <w:szCs w:val="20"/>
                <w:color w:val="auto"/>
              </w:rPr>
            </w:pPr>
            <w:r>
              <w:rPr>
                <w:rFonts w:ascii="Arial" w:cs="Arial" w:eastAsia="Arial" w:hAnsi="Arial"/>
                <w:sz w:val="17"/>
                <w:szCs w:val="17"/>
                <w:color w:val="auto"/>
              </w:rPr>
              <w:t>12.</w:t>
            </w:r>
          </w:p>
        </w:tc>
        <w:tc>
          <w:tcPr>
            <w:tcW w:w="8040" w:type="dxa"/>
            <w:vAlign w:val="bottom"/>
          </w:tcPr>
          <w:p>
            <w:pPr>
              <w:ind w:left="40"/>
              <w:spacing w:after="0"/>
              <w:rPr>
                <w:sz w:val="20"/>
                <w:szCs w:val="20"/>
                <w:color w:val="auto"/>
              </w:rPr>
            </w:pPr>
            <w:r>
              <w:rPr>
                <w:rFonts w:ascii="Arial" w:cs="Arial" w:eastAsia="Arial" w:hAnsi="Arial"/>
                <w:sz w:val="17"/>
                <w:szCs w:val="17"/>
                <w:color w:val="auto"/>
              </w:rPr>
              <w:t>Glossary of Terms</w:t>
            </w:r>
          </w:p>
        </w:tc>
        <w:tc>
          <w:tcPr>
            <w:tcW w:w="3100" w:type="dxa"/>
            <w:vAlign w:val="bottom"/>
          </w:tcPr>
          <w:p>
            <w:pPr>
              <w:jc w:val="right"/>
              <w:spacing w:after="0"/>
              <w:rPr>
                <w:sz w:val="20"/>
                <w:szCs w:val="20"/>
                <w:color w:val="auto"/>
              </w:rPr>
            </w:pPr>
            <w:r>
              <w:rPr>
                <w:rFonts w:ascii="Arial" w:cs="Arial" w:eastAsia="Arial" w:hAnsi="Arial"/>
                <w:sz w:val="17"/>
                <w:szCs w:val="17"/>
                <w:color w:val="auto"/>
              </w:rPr>
              <w:t>25</w:t>
            </w: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1626 East Jefferson Street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Rockville, Maryland 20852-4041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301/998-8100</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705" cy="38100"/>
                    </a:xfrm>
                    <a:prstGeom prst="rect">
                      <a:avLst/>
                    </a:prstGeom>
                    <a:noFill/>
                  </pic:spPr>
                </pic:pic>
              </a:graphicData>
            </a:graphic>
          </wp:anchor>
        </w:drawing>
        <w:t>Safe Harbor Language</w:t>
      </w:r>
    </w:p>
    <w:p>
      <w:pPr>
        <w:spacing w:after="0" w:line="10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17, 2010, and include the following:</w:t>
      </w:r>
    </w:p>
    <w:p>
      <w:pPr>
        <w:spacing w:after="0" w:line="53" w:lineRule="exact"/>
        <w:rPr>
          <w:sz w:val="20"/>
          <w:szCs w:val="20"/>
          <w:color w:val="auto"/>
        </w:rPr>
      </w:pPr>
    </w:p>
    <w:p>
      <w:pPr>
        <w:ind w:left="900" w:hanging="328"/>
        <w:spacing w:after="0" w:line="285"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tenants will not pay rent, may vacate early or may file for bankruptcy or that we may be unable to renew leases or re-let space at favorable rents as leases expire;</w:t>
      </w:r>
    </w:p>
    <w:p>
      <w:pPr>
        <w:spacing w:after="0" w:line="36" w:lineRule="exact"/>
        <w:rPr>
          <w:rFonts w:ascii="Arial" w:cs="Arial" w:eastAsia="Arial" w:hAnsi="Arial"/>
          <w:sz w:val="17"/>
          <w:szCs w:val="17"/>
          <w:i w:val="1"/>
          <w:iCs w:val="1"/>
          <w:color w:val="auto"/>
        </w:rPr>
      </w:pPr>
    </w:p>
    <w:p>
      <w:pPr>
        <w:ind w:left="900" w:right="580" w:hanging="328"/>
        <w:spacing w:after="0" w:line="348" w:lineRule="auto"/>
        <w:tabs>
          <w:tab w:leader="none" w:pos="90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ind w:left="900" w:right="220" w:hanging="328"/>
        <w:spacing w:after="0" w:line="285"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the number of properties we acquire for our own account, and therefore the amount of capital we invest in acquisitions, may be impacted by our real estate partnership;</w:t>
      </w:r>
    </w:p>
    <w:p>
      <w:pPr>
        <w:spacing w:after="0" w:line="36" w:lineRule="exact"/>
        <w:rPr>
          <w:rFonts w:ascii="Arial" w:cs="Arial" w:eastAsia="Arial" w:hAnsi="Arial"/>
          <w:sz w:val="17"/>
          <w:szCs w:val="17"/>
          <w:i w:val="1"/>
          <w:iCs w:val="1"/>
          <w:color w:val="auto"/>
        </w:rPr>
      </w:pPr>
    </w:p>
    <w:p>
      <w:pPr>
        <w:ind w:left="900" w:right="100" w:hanging="328"/>
        <w:spacing w:after="0" w:line="267"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3" w:lineRule="exact"/>
        <w:rPr>
          <w:rFonts w:ascii="Arial" w:cs="Arial" w:eastAsia="Arial" w:hAnsi="Arial"/>
          <w:sz w:val="17"/>
          <w:szCs w:val="17"/>
          <w:i w:val="1"/>
          <w:iCs w:val="1"/>
          <w:color w:val="auto"/>
        </w:rPr>
      </w:pPr>
    </w:p>
    <w:p>
      <w:pPr>
        <w:ind w:left="900" w:hanging="328"/>
        <w:spacing w:after="0"/>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that our growth will be limited if we cannot obtain additional capital;</w:t>
      </w:r>
    </w:p>
    <w:p>
      <w:pPr>
        <w:spacing w:after="0" w:line="94" w:lineRule="exact"/>
        <w:rPr>
          <w:rFonts w:ascii="Arial" w:cs="Arial" w:eastAsia="Arial" w:hAnsi="Arial"/>
          <w:sz w:val="17"/>
          <w:szCs w:val="17"/>
          <w:i w:val="1"/>
          <w:iCs w:val="1"/>
          <w:color w:val="auto"/>
        </w:rPr>
      </w:pPr>
    </w:p>
    <w:p>
      <w:pPr>
        <w:ind w:left="900" w:right="80" w:hanging="328"/>
        <w:spacing w:after="0" w:line="272"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7" w:lineRule="exact"/>
        <w:rPr>
          <w:rFonts w:ascii="Arial" w:cs="Arial" w:eastAsia="Arial" w:hAnsi="Arial"/>
          <w:sz w:val="17"/>
          <w:szCs w:val="17"/>
          <w:i w:val="1"/>
          <w:iCs w:val="1"/>
          <w:color w:val="auto"/>
        </w:rPr>
      </w:pPr>
    </w:p>
    <w:p>
      <w:pPr>
        <w:ind w:left="900" w:right="20" w:hanging="328"/>
        <w:spacing w:after="0" w:line="272" w:lineRule="auto"/>
        <w:tabs>
          <w:tab w:leader="none" w:pos="90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6" w:lineRule="exact"/>
        <w:rPr>
          <w:sz w:val="20"/>
          <w:szCs w:val="20"/>
          <w:color w:val="auto"/>
        </w:rPr>
      </w:pPr>
    </w:p>
    <w:p>
      <w:pPr>
        <w:ind w:right="200"/>
        <w:spacing w:after="0" w:line="324" w:lineRule="auto"/>
        <w:rPr>
          <w:sz w:val="20"/>
          <w:szCs w:val="20"/>
          <w:color w:val="auto"/>
        </w:rPr>
      </w:pPr>
      <w:r>
        <w:rPr>
          <w:rFonts w:ascii="Arial" w:cs="Arial" w:eastAsia="Arial" w:hAnsi="Arial"/>
          <w:sz w:val="15"/>
          <w:szCs w:val="15"/>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17, 2010.</w:t>
      </w:r>
    </w:p>
    <w:p>
      <w:pPr>
        <w:sectPr>
          <w:pgSz w:w="11900" w:h="16838" w:orient="portrait"/>
          <w:cols w:equalWidth="0" w:num="1">
            <w:col w:w="11400"/>
          </w:cols>
          <w:pgMar w:left="240" w:top="270" w:right="2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1456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705" cy="1456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5440" w:type="dxa"/>
            <w:vAlign w:val="bottom"/>
          </w:tcPr>
          <w:p>
            <w:pPr>
              <w:spacing w:after="0"/>
              <w:rPr>
                <w:sz w:val="19"/>
                <w:szCs w:val="19"/>
                <w:color w:val="auto"/>
              </w:rPr>
            </w:pPr>
          </w:p>
        </w:tc>
      </w:tr>
      <w:tr>
        <w:trPr>
          <w:trHeight w:val="372"/>
        </w:trPr>
        <w:tc>
          <w:tcPr>
            <w:tcW w:w="5540" w:type="dxa"/>
            <w:vAlign w:val="bottom"/>
            <w:gridSpan w:val="2"/>
          </w:tcPr>
          <w:p>
            <w:pPr>
              <w:spacing w:after="0"/>
              <w:rPr>
                <w:sz w:val="20"/>
                <w:szCs w:val="20"/>
                <w:color w:val="auto"/>
              </w:rPr>
            </w:pPr>
            <w:r>
              <w:rPr>
                <w:rFonts w:ascii="Arial" w:cs="Arial" w:eastAsia="Arial" w:hAnsi="Arial"/>
                <w:sz w:val="17"/>
                <w:szCs w:val="17"/>
                <w:i w:val="1"/>
                <w:iCs w:val="1"/>
                <w:color w:val="auto"/>
              </w:rPr>
              <w:t>Investor and Media Inquiries</w:t>
            </w:r>
          </w:p>
        </w:tc>
        <w:tc>
          <w:tcPr>
            <w:tcW w:w="5440" w:type="dxa"/>
            <w:vAlign w:val="bottom"/>
          </w:tcPr>
          <w:p>
            <w:pPr>
              <w:spacing w:after="0"/>
              <w:rPr>
                <w:sz w:val="24"/>
                <w:szCs w:val="24"/>
                <w:color w:val="auto"/>
              </w:rPr>
            </w:pPr>
          </w:p>
        </w:tc>
      </w:tr>
      <w:tr>
        <w:trPr>
          <w:trHeight w:val="222"/>
        </w:trPr>
        <w:tc>
          <w:tcPr>
            <w:tcW w:w="20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Gina Birdsall</w:t>
            </w:r>
          </w:p>
        </w:tc>
        <w:tc>
          <w:tcPr>
            <w:tcW w:w="3540" w:type="dxa"/>
            <w:vAlign w:val="bottom"/>
          </w:tcPr>
          <w:p>
            <w:pPr>
              <w:spacing w:after="0"/>
              <w:rPr>
                <w:sz w:val="19"/>
                <w:szCs w:val="19"/>
                <w:color w:val="auto"/>
              </w:rPr>
            </w:pPr>
          </w:p>
        </w:tc>
        <w:tc>
          <w:tcPr>
            <w:tcW w:w="5440" w:type="dxa"/>
            <w:vAlign w:val="bottom"/>
          </w:tcPr>
          <w:p>
            <w:pPr>
              <w:ind w:left="3240"/>
              <w:spacing w:after="0"/>
              <w:rPr>
                <w:sz w:val="20"/>
                <w:szCs w:val="20"/>
                <w:color w:val="auto"/>
              </w:rPr>
            </w:pPr>
            <w:r>
              <w:rPr>
                <w:rFonts w:ascii="Arial" w:cs="Arial" w:eastAsia="Arial" w:hAnsi="Arial"/>
                <w:sz w:val="17"/>
                <w:szCs w:val="17"/>
                <w:color w:val="auto"/>
              </w:rPr>
              <w:t>Janelle Stevenson</w:t>
            </w:r>
          </w:p>
        </w:tc>
      </w:tr>
      <w:tr>
        <w:trPr>
          <w:trHeight w:val="211"/>
        </w:trPr>
        <w:tc>
          <w:tcPr>
            <w:tcW w:w="5540" w:type="dxa"/>
            <w:vAlign w:val="bottom"/>
            <w:gridSpan w:val="2"/>
          </w:tcPr>
          <w:p>
            <w:pPr>
              <w:spacing w:after="0"/>
              <w:rPr>
                <w:sz w:val="20"/>
                <w:szCs w:val="20"/>
                <w:color w:val="auto"/>
              </w:rPr>
            </w:pPr>
            <w:r>
              <w:rPr>
                <w:rFonts w:ascii="Arial" w:cs="Arial" w:eastAsia="Arial" w:hAnsi="Arial"/>
                <w:sz w:val="17"/>
                <w:szCs w:val="17"/>
                <w:color w:val="auto"/>
              </w:rPr>
              <w:t>Investor Relations</w:t>
            </w:r>
          </w:p>
        </w:tc>
        <w:tc>
          <w:tcPr>
            <w:tcW w:w="5440" w:type="dxa"/>
            <w:vAlign w:val="bottom"/>
          </w:tcPr>
          <w:p>
            <w:pPr>
              <w:ind w:left="3240"/>
              <w:spacing w:after="0"/>
              <w:rPr>
                <w:sz w:val="20"/>
                <w:szCs w:val="20"/>
                <w:color w:val="auto"/>
              </w:rPr>
            </w:pPr>
            <w:r>
              <w:rPr>
                <w:rFonts w:ascii="Arial" w:cs="Arial" w:eastAsia="Arial" w:hAnsi="Arial"/>
                <w:sz w:val="17"/>
                <w:szCs w:val="17"/>
                <w:color w:val="auto"/>
              </w:rPr>
              <w:t>Corporate Communications</w:t>
            </w:r>
          </w:p>
        </w:tc>
      </w:tr>
      <w:tr>
        <w:trPr>
          <w:trHeight w:val="211"/>
        </w:trPr>
        <w:tc>
          <w:tcPr>
            <w:tcW w:w="2000" w:type="dxa"/>
            <w:vAlign w:val="bottom"/>
          </w:tcPr>
          <w:p>
            <w:pPr>
              <w:spacing w:after="0"/>
              <w:rPr>
                <w:sz w:val="20"/>
                <w:szCs w:val="20"/>
                <w:color w:val="auto"/>
              </w:rPr>
            </w:pPr>
            <w:r>
              <w:rPr>
                <w:rFonts w:ascii="Arial" w:cs="Arial" w:eastAsia="Arial" w:hAnsi="Arial"/>
                <w:sz w:val="17"/>
                <w:szCs w:val="17"/>
                <w:color w:val="auto"/>
              </w:rPr>
              <w:t>301/998-8265</w:t>
            </w:r>
          </w:p>
        </w:tc>
        <w:tc>
          <w:tcPr>
            <w:tcW w:w="3540" w:type="dxa"/>
            <w:vAlign w:val="bottom"/>
          </w:tcPr>
          <w:p>
            <w:pPr>
              <w:spacing w:after="0"/>
              <w:rPr>
                <w:sz w:val="18"/>
                <w:szCs w:val="18"/>
                <w:color w:val="auto"/>
              </w:rPr>
            </w:pPr>
          </w:p>
        </w:tc>
        <w:tc>
          <w:tcPr>
            <w:tcW w:w="5440" w:type="dxa"/>
            <w:vAlign w:val="bottom"/>
          </w:tcPr>
          <w:p>
            <w:pPr>
              <w:ind w:left="3240"/>
              <w:spacing w:after="0"/>
              <w:rPr>
                <w:sz w:val="20"/>
                <w:szCs w:val="20"/>
                <w:color w:val="auto"/>
              </w:rPr>
            </w:pPr>
            <w:r>
              <w:rPr>
                <w:rFonts w:ascii="Arial" w:cs="Arial" w:eastAsia="Arial" w:hAnsi="Arial"/>
                <w:sz w:val="17"/>
                <w:szCs w:val="17"/>
                <w:color w:val="auto"/>
              </w:rPr>
              <w:t>301/998-8185</w:t>
            </w:r>
          </w:p>
        </w:tc>
      </w:tr>
      <w:tr>
        <w:trPr>
          <w:trHeight w:val="217"/>
        </w:trPr>
        <w:tc>
          <w:tcPr>
            <w:tcW w:w="5540" w:type="dxa"/>
            <w:vAlign w:val="bottom"/>
            <w:gridSpan w:val="2"/>
          </w:tcPr>
          <w:p>
            <w:pPr>
              <w:spacing w:after="0"/>
              <w:rPr>
                <w:sz w:val="20"/>
                <w:szCs w:val="20"/>
                <w:color w:val="auto"/>
              </w:rPr>
            </w:pPr>
            <w:r>
              <w:rPr>
                <w:rFonts w:ascii="Arial" w:cs="Arial" w:eastAsia="Arial" w:hAnsi="Arial"/>
                <w:sz w:val="17"/>
                <w:szCs w:val="17"/>
                <w:i w:val="1"/>
                <w:iCs w:val="1"/>
                <w:color w:val="auto"/>
              </w:rPr>
              <w:t>gbirdsall@federalrealty.com</w:t>
            </w:r>
          </w:p>
        </w:tc>
        <w:tc>
          <w:tcPr>
            <w:tcW w:w="5440" w:type="dxa"/>
            <w:vAlign w:val="bottom"/>
          </w:tcPr>
          <w:p>
            <w:pPr>
              <w:ind w:left="3240"/>
              <w:spacing w:after="0"/>
              <w:rPr>
                <w:sz w:val="20"/>
                <w:szCs w:val="20"/>
                <w:color w:val="auto"/>
              </w:rPr>
            </w:pPr>
            <w:r>
              <w:rPr>
                <w:rFonts w:ascii="Arial" w:cs="Arial" w:eastAsia="Arial" w:hAnsi="Arial"/>
                <w:sz w:val="17"/>
                <w:szCs w:val="17"/>
                <w:i w:val="1"/>
                <w:iCs w:val="1"/>
                <w:color w:val="auto"/>
                <w:w w:val="89"/>
              </w:rPr>
              <w:t>jmstevenson@federalrealty.com</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REALTY INVESTMENT TRUST ANNOUNCES FOURTH QUARTER AND YEAR-END 2009 OPERATING RESULTS</w:t>
      </w:r>
    </w:p>
    <w:p>
      <w:pPr>
        <w:spacing w:after="0" w:line="180" w:lineRule="exact"/>
        <w:rPr>
          <w:sz w:val="20"/>
          <w:szCs w:val="20"/>
          <w:color w:val="auto"/>
        </w:rPr>
      </w:pPr>
    </w:p>
    <w:p>
      <w:pPr>
        <w:ind w:right="580"/>
        <w:spacing w:after="0" w:line="285" w:lineRule="auto"/>
        <w:rPr>
          <w:sz w:val="20"/>
          <w:szCs w:val="20"/>
          <w:color w:val="auto"/>
        </w:rPr>
      </w:pPr>
      <w:r>
        <w:rPr>
          <w:rFonts w:ascii="Arial" w:cs="Arial" w:eastAsia="Arial" w:hAnsi="Arial"/>
          <w:sz w:val="17"/>
          <w:szCs w:val="17"/>
          <w:color w:val="auto"/>
        </w:rPr>
        <w:t>ROCKVILLE, Md. (February 17, 2010) – Federal Realty Investment Trust (NYSE:FRT) today reported operating results for its fourth quarter and year-ended December 31, 2009.</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Results</w:t>
      </w:r>
    </w:p>
    <w:p>
      <w:pPr>
        <w:spacing w:after="0" w:line="10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For fourth quarter 2009, Federal Realty generated funds from operations available for common shareholders (FFO) of $60.1 million, or $0.98 per diluted share, and net income available for common shareholders of $31.8 million, or earnings per diluted share of $0.52. The Trust’s FFO and net income include a positive $4.7 million ($0.08 per diluted share) adjustment to the litigation provision related to a previously disclosed lawsuit involving a property adjacent to Santana Row resulting from additional information in the appeal process. Excluding the litigation provision, FFO for fourth quarter 2009 was $55.4 million, or $0.90 per share, compared to FFO of $58.6 million, or $0.99 per diluted share, for fourth quarter 2008. In addition, net income available for common shareholders was $27.1 million, and earnings per diluted share was $0.44 for the quarter excluding the litigation provision. This compares to net income of $33.6 million and earnings per diluted share of $0.57 for the fourth quarter 2008.</w:t>
      </w:r>
    </w:p>
    <w:p>
      <w:pPr>
        <w:spacing w:after="0" w:line="135"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For the year ending December 31, 2009, Federal Realty reported FFO of $211.1 million, or $3.51 per diluted share, and net income available for common shareholders of $97.8 million, or earnings per diluted share of $1.63. Excluding the full year impact of the litigation provision of $16.4 million, or $0.27 per diluted share, year-to-date FFO was $227.4 million, or $3.78 per diluted share, and net income available for common shareholders was $114.1 million, or $1.90 per diluted share. For the year ending December 31, 2008, the Trust reported FFO of $228.4 million, or $3.85 per diluted share, and net income available for common shareholders of $129.2 million, or $2.19 per diluted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40"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 ANNOUNCES FOURTH QUARTER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YEAR-END 2009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February 17, 2010</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68"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color w:val="auto"/>
        </w:rPr>
        <w:t>FFO is a non-GAAP supplemental earnings measure which the Trust considers meaningful in measuring its operating performance. A reconciliation of FFO to net income is attached to this press release.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Portfolio Results</w:t>
      </w:r>
    </w:p>
    <w:p>
      <w:pPr>
        <w:spacing w:after="0" w:line="101"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In fourth quarter 2009, same-center property operating income, both including and excluding redevelopment and expansion properties, increased 1.0% over fourth quarter 2008. On an annual basis, same-center property operating income in 2009 increased 1.6% including redevelopments and expansions, and decreased 0.3% excluding redevelopments and expansions.</w:t>
      </w:r>
    </w:p>
    <w:p>
      <w:pPr>
        <w:spacing w:after="0" w:line="126" w:lineRule="exact"/>
        <w:rPr>
          <w:sz w:val="20"/>
          <w:szCs w:val="20"/>
          <w:color w:val="auto"/>
        </w:rPr>
      </w:pPr>
    </w:p>
    <w:p>
      <w:pPr>
        <w:ind w:right="280"/>
        <w:spacing w:after="0" w:line="317" w:lineRule="auto"/>
        <w:rPr>
          <w:sz w:val="20"/>
          <w:szCs w:val="20"/>
          <w:color w:val="auto"/>
        </w:rPr>
      </w:pPr>
      <w:r>
        <w:rPr>
          <w:rFonts w:ascii="Arial" w:cs="Arial" w:eastAsia="Arial" w:hAnsi="Arial"/>
          <w:sz w:val="16"/>
          <w:szCs w:val="16"/>
          <w:color w:val="auto"/>
        </w:rPr>
        <w:t>The overall portfolio was 94.5% leased as of December 31, 2009, compared to 94.2% on September 30, 2009 and 95.0% on December 31, 2008. Federal Realty’s same-center portfolio was 94.6% leased on December 31, 2009, compared to 94.4% on September 30, 2009 and 95.3% on December 31, 2008.</w:t>
      </w:r>
    </w:p>
    <w:p>
      <w:pPr>
        <w:spacing w:after="0" w:line="9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During fourth quarter 2009, the Trust signed 89 leases for 397,000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spaces for which there was a former tenant), the Trust leased 360,000 square feet at an 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excluding the impact of straight-line rents) of 4%. The average contractual rent on this comparable space for the first year of the new lease is $27.58 per square foot compared to the average contractual rent of $26.64 per square foot for the last year of the prior lease. The previous average contractual rent is calculated by including both the minimum rent and any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including the impact of straight-line rents), rent increases per square foot for comparable retail space averaged 13% for fourth quarter 2009.</w:t>
      </w:r>
    </w:p>
    <w:p>
      <w:pPr>
        <w:spacing w:after="0" w:line="122"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For all of 2009, Federal Realty signed 309 leases representing 1.2 million square feet of comparable retail space at an average cash-basis contractual rent increase per square foot of 10%, and 20% on a GAAP-basis. The average cash-basis contractual rent on this comparable space for the first year of the new lease is $28.60 per square foot compared to the average cash-basis contractual rent of $25.94 per square foot for the last year of the prior lease. As of December 31, 2009, Federal Realty’s average contractual minimum rent for retail and commercial space in its portfolio is $22.14 per square foot, as compared to $21.75 on December 31, 2008</w:t>
      </w:r>
    </w:p>
    <w:p>
      <w:pPr>
        <w:spacing w:after="0" w:line="99" w:lineRule="exact"/>
        <w:rPr>
          <w:sz w:val="20"/>
          <w:szCs w:val="20"/>
          <w:color w:val="auto"/>
        </w:rPr>
      </w:pPr>
    </w:p>
    <w:p>
      <w:pPr>
        <w:ind w:right="220"/>
        <w:spacing w:after="0" w:line="324" w:lineRule="auto"/>
        <w:rPr>
          <w:sz w:val="20"/>
          <w:szCs w:val="20"/>
          <w:color w:val="auto"/>
        </w:rPr>
      </w:pPr>
      <w:r>
        <w:rPr>
          <w:rFonts w:ascii="Arial" w:cs="Arial" w:eastAsia="Arial" w:hAnsi="Arial"/>
          <w:sz w:val="15"/>
          <w:szCs w:val="15"/>
          <w:color w:val="auto"/>
        </w:rPr>
        <w:t>“We are pleased to report solid year-end operating results despite 2009 being one of the most challenging years for commercial real estate in recent history,” commented Donald C. Wood, president and chief executive officer of Federal Realty Investment Trust. “Our consistent performance is reflective of owning and operating high-quality real estate assets in the strongest markets in the country married with a sound balance sheet and a simple and transparent business strategy.”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276" w:right="27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 ANNOUNCES FOURTH QUARTER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YEAR-END 2009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February 17, 2010</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Regular Quarterly Dividends</w:t>
      </w:r>
    </w:p>
    <w:p>
      <w:pPr>
        <w:spacing w:after="0" w:line="10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Federal Realty also announced today that its Board of Trustees left the regular dividend rate on its common shares unchanged, declaring a regular quarterly cash dividend of $0.66 per share on its common shares, resulting in an indicated annual rate of $2.64 per share. The regular common dividend will be payable on April 15, 2010 to common shareholders of record on March 17, 2010.</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Guidance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2010 guidance for FFO per diluted share remained unchanged at a range of $3.80 to $3.88 and earnings per diluted share of $1.92 to $2.00.</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Information</w:t>
      </w:r>
    </w:p>
    <w:p>
      <w:pPr>
        <w:spacing w:after="0" w:line="10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Federal Realty’s management team will present an in-depth discussion of the Trust’s operating performance on its fourth quarter and year-end 2009 earnings conference call, which is scheduled for February 18, 2010, at 10 a.m. Eastern Standard Time. To participate, please call (800) 901-5241 five to ten minutes prior to the call start time and use the passcode FRT EARNINGS (required). Federal Realty will also provide an online webcast on the Company’s web site, www.federalrealty.com, which will remain available for 30 days following the call. A telephone recording of the call will also be available through March 18, 2010, by dialing (888) 286-8010 and using the passcode 27967317.</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Federal Realty</w:t>
      </w:r>
    </w:p>
    <w:p>
      <w:pPr>
        <w:spacing w:after="0" w:line="101"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18.2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94.5% leased to national, regional, and local retailers as of December 31, 2009, with no single tenant accounting for more than approximately 2.6% of annualized base rent. Federal Realty has paid quarterly dividends to its shareholders continuously since its founding in 1962, and has increased its dividend rate for 42 consecutive years, the longest record in the REIT industry. Federal Realty is an S&amp;P MidCap 400 company and its shares are traded on the NYSE under the symbol FRT.</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40" w:top="276" w:right="29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 ANNOUNCES FOURTH QUARTER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YEAR-END 2009 OPERATING RESULTS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February 17, 2010</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Safe Harbor Language</w:t>
      </w:r>
    </w:p>
    <w:p>
      <w:pPr>
        <w:spacing w:after="0" w:line="101"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17, 2010, and include the following:</w:t>
      </w:r>
    </w:p>
    <w:p>
      <w:pPr>
        <w:spacing w:after="0" w:line="53" w:lineRule="exact"/>
        <w:rPr>
          <w:sz w:val="20"/>
          <w:szCs w:val="20"/>
          <w:color w:val="auto"/>
        </w:rPr>
      </w:pPr>
    </w:p>
    <w:p>
      <w:pPr>
        <w:ind w:left="900" w:right="100" w:hanging="328"/>
        <w:spacing w:after="0" w:line="285"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that our tenants will not pay rent, may vacate early or may file for bankruptcy or that we may be unable to renew leases or re-let space at favorable rents as leases expire;</w:t>
      </w:r>
    </w:p>
    <w:p>
      <w:pPr>
        <w:spacing w:after="0" w:line="36" w:lineRule="exact"/>
        <w:rPr>
          <w:rFonts w:ascii="Arial" w:cs="Arial" w:eastAsia="Arial" w:hAnsi="Arial"/>
          <w:sz w:val="17"/>
          <w:szCs w:val="17"/>
          <w:color w:val="auto"/>
        </w:rPr>
      </w:pPr>
    </w:p>
    <w:p>
      <w:pPr>
        <w:ind w:left="900" w:right="620" w:hanging="328"/>
        <w:spacing w:after="0" w:line="348"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ind w:left="900" w:right="260" w:hanging="328"/>
        <w:spacing w:after="0" w:line="285"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that the number of properties we acquire for our own account, and therefore the amount of capital we invest in acquisitions, may be impacted by our real estate partnership;</w:t>
      </w:r>
    </w:p>
    <w:p>
      <w:pPr>
        <w:spacing w:after="0" w:line="36" w:lineRule="exact"/>
        <w:rPr>
          <w:rFonts w:ascii="Arial" w:cs="Arial" w:eastAsia="Arial" w:hAnsi="Arial"/>
          <w:sz w:val="17"/>
          <w:szCs w:val="17"/>
          <w:color w:val="auto"/>
        </w:rPr>
      </w:pPr>
    </w:p>
    <w:p>
      <w:pPr>
        <w:ind w:left="900" w:right="20" w:hanging="328"/>
        <w:spacing w:after="0" w:line="267"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52" w:lineRule="exact"/>
        <w:rPr>
          <w:rFonts w:ascii="Arial" w:cs="Arial" w:eastAsia="Arial" w:hAnsi="Arial"/>
          <w:sz w:val="17"/>
          <w:szCs w:val="17"/>
          <w:color w:val="auto"/>
        </w:rPr>
      </w:pPr>
    </w:p>
    <w:p>
      <w:pPr>
        <w:ind w:left="900" w:hanging="328"/>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that our growth will be limited if we cannot obtain additional capital;</w:t>
      </w:r>
    </w:p>
    <w:p>
      <w:pPr>
        <w:spacing w:after="0" w:line="94" w:lineRule="exact"/>
        <w:rPr>
          <w:rFonts w:ascii="Arial" w:cs="Arial" w:eastAsia="Arial" w:hAnsi="Arial"/>
          <w:sz w:val="17"/>
          <w:szCs w:val="17"/>
          <w:color w:val="auto"/>
        </w:rPr>
      </w:pPr>
    </w:p>
    <w:p>
      <w:pPr>
        <w:ind w:left="900" w:right="120" w:hanging="328"/>
        <w:spacing w:after="0" w:line="272"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7" w:lineRule="exact"/>
        <w:rPr>
          <w:rFonts w:ascii="Arial" w:cs="Arial" w:eastAsia="Arial" w:hAnsi="Arial"/>
          <w:sz w:val="17"/>
          <w:szCs w:val="17"/>
          <w:color w:val="auto"/>
        </w:rPr>
      </w:pPr>
    </w:p>
    <w:p>
      <w:pPr>
        <w:ind w:left="900" w:right="60" w:hanging="328"/>
        <w:spacing w:after="0" w:line="272"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4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February 17, 2010.</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6"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Income Statements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514"/>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3"/>
                <w:szCs w:val="13"/>
                <w:color w:val="auto"/>
              </w:rPr>
            </w:pPr>
          </w:p>
        </w:tc>
        <w:tc>
          <w:tcPr>
            <w:tcW w:w="172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714"/>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1720" w:type="dxa"/>
            <w:vAlign w:val="bottom"/>
            <w:gridSpan w:val="6"/>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2009</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38" w:lineRule="exact"/>
              <w:rPr>
                <w:sz w:val="20"/>
                <w:szCs w:val="20"/>
                <w:color w:val="auto"/>
              </w:rPr>
            </w:pPr>
            <w:r>
              <w:rPr>
                <w:rFonts w:ascii="Arial" w:cs="Arial" w:eastAsia="Arial" w:hAnsi="Arial"/>
                <w:sz w:val="13"/>
                <w:szCs w:val="13"/>
                <w:b w:val="1"/>
                <w:bCs w:val="1"/>
                <w:color w:val="auto"/>
              </w:rPr>
              <w:t>2008</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Arial" w:cs="Arial" w:eastAsia="Arial" w:hAnsi="Arial"/>
                <w:sz w:val="13"/>
                <w:szCs w:val="13"/>
                <w:b w:val="1"/>
                <w:bCs w:val="1"/>
                <w:color w:val="auto"/>
              </w:rPr>
              <w:t>2009</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38"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ind w:left="40"/>
              <w:spacing w:after="0" w:line="126"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2"/>
              </w:rPr>
              <w:t>thousands,</w:t>
            </w:r>
          </w:p>
        </w:tc>
        <w:tc>
          <w:tcPr>
            <w:tcW w:w="340" w:type="dxa"/>
            <w:vAlign w:val="bottom"/>
          </w:tcPr>
          <w:p>
            <w:pPr>
              <w:jc w:val="right"/>
              <w:spacing w:after="0" w:line="126" w:lineRule="exact"/>
              <w:rPr>
                <w:sz w:val="20"/>
                <w:szCs w:val="20"/>
                <w:color w:val="auto"/>
              </w:rPr>
            </w:pPr>
            <w:r>
              <w:rPr>
                <w:rFonts w:ascii="Arial" w:cs="Arial" w:eastAsia="Arial" w:hAnsi="Arial"/>
                <w:sz w:val="13"/>
                <w:szCs w:val="13"/>
                <w:b w:val="1"/>
                <w:bCs w:val="1"/>
                <w:color w:val="auto"/>
                <w:w w:val="77"/>
              </w:rPr>
              <w:t>except</w:t>
            </w:r>
          </w:p>
        </w:tc>
        <w:tc>
          <w:tcPr>
            <w:tcW w:w="960" w:type="dxa"/>
            <w:vAlign w:val="bottom"/>
            <w:gridSpan w:val="3"/>
          </w:tcPr>
          <w:p>
            <w:pPr>
              <w:jc w:val="right"/>
              <w:ind w:right="60"/>
              <w:spacing w:after="0" w:line="126" w:lineRule="exact"/>
              <w:rPr>
                <w:sz w:val="20"/>
                <w:szCs w:val="20"/>
                <w:color w:val="auto"/>
              </w:rPr>
            </w:pPr>
            <w:r>
              <w:rPr>
                <w:rFonts w:ascii="Arial" w:cs="Arial" w:eastAsia="Arial" w:hAnsi="Arial"/>
                <w:sz w:val="13"/>
                <w:szCs w:val="13"/>
                <w:b w:val="1"/>
                <w:bCs w:val="1"/>
                <w:color w:val="auto"/>
                <w:w w:val="94"/>
              </w:rPr>
              <w:t>per share data)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tcPr>
          <w:p>
            <w:pPr>
              <w:jc w:val="right"/>
              <w:ind w:right="780"/>
              <w:spacing w:after="0"/>
              <w:rPr>
                <w:sz w:val="20"/>
                <w:szCs w:val="20"/>
                <w:color w:val="auto"/>
              </w:rPr>
            </w:pPr>
            <w:r>
              <w:rPr>
                <w:rFonts w:ascii="Arial" w:cs="Arial" w:eastAsia="Arial" w:hAnsi="Arial"/>
                <w:sz w:val="13"/>
                <w:szCs w:val="13"/>
                <w:b w:val="1"/>
                <w:bCs w:val="1"/>
                <w:color w:val="auto"/>
              </w:rPr>
              <w:t>(unaudited)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Rental income</w:t>
            </w:r>
          </w:p>
        </w:tc>
        <w:tc>
          <w:tcPr>
            <w:tcW w:w="2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w w:val="87"/>
              </w:rPr>
              <w:t>133,755</w:t>
            </w: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w w:val="87"/>
              </w:rPr>
              <w:t>130,323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513,220</w:t>
            </w:r>
          </w:p>
        </w:tc>
        <w:tc>
          <w:tcPr>
            <w:tcW w:w="2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501,627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Other property income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1,998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Mortgage interest income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1,206</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4,943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Total revenue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138,613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w w:val="87"/>
              </w:rPr>
              <w:t>133,527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531,019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520,188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7"/>
                <w:szCs w:val="17"/>
                <w:color w:val="auto"/>
              </w:rPr>
              <w:t>Expenses</w:t>
            </w:r>
          </w:p>
        </w:tc>
        <w:tc>
          <w:tcPr>
            <w:tcW w:w="2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Rental expenses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30,662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28,724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108,806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109,718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Real estate taxes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15,035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14,349</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58,173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55,481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General and administrative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7,281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22,032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Litigation provision</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(4,732)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16,355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Depreciation and amortization</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29,218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7"/>
              </w:rPr>
              <w:t>115,093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7"/>
              </w:rPr>
              <w:t>111,022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820"/>
              <w:spacing w:after="0"/>
              <w:rPr>
                <w:sz w:val="20"/>
                <w:szCs w:val="20"/>
                <w:color w:val="auto"/>
              </w:rPr>
            </w:pPr>
            <w:r>
              <w:rPr>
                <w:rFonts w:ascii="Arial" w:cs="Arial" w:eastAsia="Arial" w:hAnsi="Arial"/>
                <w:sz w:val="17"/>
                <w:szCs w:val="17"/>
                <w:color w:val="auto"/>
              </w:rPr>
              <w:t>Total operating expenses</w:t>
            </w: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75,285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79,572</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320,459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302,953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53,955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210,560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217,235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Other interest income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620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254</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1,894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Interest expense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(29,159)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w w:val="94"/>
              </w:rPr>
              <w:t>(24,997)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0"/>
              </w:rPr>
              <w:t>(108,781)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4"/>
              </w:rPr>
              <w:t>(99,163)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Early extinguishment of debt</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(1,671)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5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(2,639)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Income from real estate partnership</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432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7"/>
                <w:szCs w:val="17"/>
                <w:color w:val="auto"/>
              </w:rPr>
              <w:t>Income from continuing operations</w:t>
            </w: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6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33,366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29,644</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102,356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120,600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Income from discontinued operations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257</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Gain on sale of real estate from discontinued operations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5,134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820"/>
              <w:spacing w:after="0"/>
              <w:rPr>
                <w:sz w:val="20"/>
                <w:szCs w:val="20"/>
                <w:color w:val="auto"/>
              </w:rPr>
            </w:pPr>
            <w:r>
              <w:rPr>
                <w:rFonts w:ascii="Arial" w:cs="Arial" w:eastAsia="Arial" w:hAnsi="Arial"/>
                <w:sz w:val="17"/>
                <w:szCs w:val="17"/>
                <w:color w:val="auto"/>
              </w:rPr>
              <w:t>Results from discontinued operations</w:t>
            </w: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5,391</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1,516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35,035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103,872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135,153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Net income attributable to noncontrolling interests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(1,396)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14"/>
              <w:spacing w:after="0"/>
              <w:rPr>
                <w:sz w:val="20"/>
                <w:szCs w:val="20"/>
                <w:color w:val="auto"/>
              </w:rPr>
            </w:pPr>
            <w:r>
              <w:rPr>
                <w:rFonts w:ascii="Arial" w:cs="Arial" w:eastAsia="Arial" w:hAnsi="Arial"/>
                <w:sz w:val="17"/>
                <w:szCs w:val="17"/>
                <w:color w:val="auto"/>
              </w:rPr>
              <w:t>(1,310)</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(5,568)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(5,366)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the Trust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33,725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98,304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129,787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Dividends on preferred shares</w:t>
            </w: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(135)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14"/>
              <w:spacing w:after="0"/>
              <w:rPr>
                <w:sz w:val="20"/>
                <w:szCs w:val="20"/>
                <w:color w:val="auto"/>
              </w:rPr>
            </w:pPr>
            <w:r>
              <w:rPr>
                <w:rFonts w:ascii="Arial" w:cs="Arial" w:eastAsia="Arial" w:hAnsi="Arial"/>
                <w:sz w:val="17"/>
                <w:szCs w:val="17"/>
                <w:color w:val="auto"/>
              </w:rPr>
              <w:t>(135)</w:t>
            </w:r>
          </w:p>
        </w:tc>
        <w:tc>
          <w:tcPr>
            <w:tcW w:w="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(541)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31,835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33,590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97,763</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129,246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7"/>
                <w:szCs w:val="17"/>
                <w:color w:val="auto"/>
              </w:rPr>
              <w:t>EARNINGS PER COMMON SHARE, BASIC</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960" w:type="dxa"/>
            <w:vAlign w:val="bottom"/>
            <w:gridSpan w:val="2"/>
            <w:vMerge w:val="continue"/>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Continuing operations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0.48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Discontinued operations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0.09</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0.03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0.57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400"/>
              <w:spacing w:after="0"/>
              <w:rPr>
                <w:sz w:val="20"/>
                <w:szCs w:val="20"/>
                <w:color w:val="auto"/>
              </w:rPr>
            </w:pPr>
            <w:r>
              <w:rPr>
                <w:rFonts w:ascii="Arial" w:cs="Arial" w:eastAsia="Arial" w:hAnsi="Arial"/>
                <w:sz w:val="17"/>
                <w:szCs w:val="17"/>
                <w:color w:val="auto"/>
              </w:rPr>
              <w:t>Weighted average number of common shares, basic</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61,008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58,789</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59,704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58,665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DILUTED</w:t>
            </w:r>
          </w:p>
        </w:tc>
        <w:tc>
          <w:tcPr>
            <w:tcW w:w="2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tcPr>
          <w:p>
            <w:pPr>
              <w:ind w:left="400"/>
              <w:spacing w:after="0"/>
              <w:rPr>
                <w:sz w:val="20"/>
                <w:szCs w:val="20"/>
                <w:color w:val="auto"/>
              </w:rPr>
            </w:pPr>
            <w:r>
              <w:rPr>
                <w:rFonts w:ascii="Arial" w:cs="Arial" w:eastAsia="Arial" w:hAnsi="Arial"/>
                <w:sz w:val="17"/>
                <w:szCs w:val="17"/>
                <w:color w:val="auto"/>
              </w:rPr>
              <w:t>Continuing operations</w:t>
            </w:r>
          </w:p>
        </w:tc>
        <w:tc>
          <w:tcPr>
            <w:tcW w:w="2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0.52</w:t>
            </w: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0.48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1.60</w:t>
            </w:r>
          </w:p>
        </w:tc>
        <w:tc>
          <w:tcPr>
            <w:tcW w:w="2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Discontinued operations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0.09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0.52</w:t>
            </w:r>
          </w:p>
        </w:tc>
        <w:tc>
          <w:tcPr>
            <w:tcW w:w="320" w:type="dxa"/>
            <w:vAlign w:val="bottom"/>
            <w:gridSpan w:val="2"/>
          </w:tcPr>
          <w:p>
            <w:pPr>
              <w:ind w:left="220"/>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274"/>
              <w:spacing w:after="0"/>
              <w:rPr>
                <w:sz w:val="20"/>
                <w:szCs w:val="20"/>
                <w:color w:val="auto"/>
              </w:rPr>
            </w:pPr>
            <w:r>
              <w:rPr>
                <w:rFonts w:ascii="Arial" w:cs="Arial" w:eastAsia="Arial" w:hAnsi="Arial"/>
                <w:sz w:val="17"/>
                <w:szCs w:val="17"/>
                <w:color w:val="auto"/>
              </w:rPr>
              <w:t>0.57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1.63</w:t>
            </w:r>
          </w:p>
        </w:tc>
        <w:tc>
          <w:tcPr>
            <w:tcW w:w="2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Weighted average number of common shares, diluted</w:t>
            </w:r>
          </w:p>
        </w:tc>
        <w:tc>
          <w:tcPr>
            <w:tcW w:w="2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61,142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58,935</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59,830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80" w:type="dxa"/>
            <w:vAlign w:val="bottom"/>
            <w:vMerge w:val="restart"/>
          </w:tcPr>
          <w:p>
            <w:pPr>
              <w:jc w:val="right"/>
              <w:ind w:right="1794"/>
              <w:spacing w:after="0"/>
              <w:rPr>
                <w:sz w:val="20"/>
                <w:szCs w:val="20"/>
                <w:color w:val="auto"/>
              </w:rPr>
            </w:pPr>
            <w:r>
              <w:rPr>
                <w:rFonts w:ascii="Arial" w:cs="Arial" w:eastAsia="Arial" w:hAnsi="Arial"/>
                <w:sz w:val="17"/>
                <w:szCs w:val="17"/>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Balance Sheets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2009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38"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(in</w:t>
            </w:r>
          </w:p>
        </w:tc>
        <w:tc>
          <w:tcPr>
            <w:tcW w:w="1120" w:type="dxa"/>
            <w:vAlign w:val="bottom"/>
            <w:gridSpan w:val="4"/>
          </w:tcPr>
          <w:p>
            <w:pPr>
              <w:jc w:val="right"/>
              <w:ind w:right="455"/>
              <w:spacing w:after="0" w:line="138" w:lineRule="exact"/>
              <w:rPr>
                <w:sz w:val="20"/>
                <w:szCs w:val="20"/>
                <w:color w:val="auto"/>
              </w:rPr>
            </w:pPr>
            <w:r>
              <w:rPr>
                <w:rFonts w:ascii="Arial" w:cs="Arial" w:eastAsia="Arial" w:hAnsi="Arial"/>
                <w:sz w:val="13"/>
                <w:szCs w:val="13"/>
                <w:b w:val="1"/>
                <w:bCs w:val="1"/>
                <w:color w:val="auto"/>
                <w:w w:val="79"/>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900" w:type="dxa"/>
            <w:vAlign w:val="bottom"/>
            <w:gridSpan w:val="2"/>
          </w:tcPr>
          <w:p>
            <w:pPr>
              <w:spacing w:after="0"/>
              <w:rPr>
                <w:sz w:val="20"/>
                <w:szCs w:val="20"/>
                <w:color w:val="auto"/>
              </w:rPr>
            </w:pPr>
            <w:r>
              <w:rPr>
                <w:rFonts w:ascii="Arial" w:cs="Arial" w:eastAsia="Arial" w:hAnsi="Arial"/>
                <w:sz w:val="17"/>
                <w:szCs w:val="17"/>
                <w:color w:val="auto"/>
              </w:rPr>
              <w:t>Real estate, at cost</w:t>
            </w:r>
          </w:p>
        </w:tc>
        <w:tc>
          <w:tcPr>
            <w:tcW w:w="4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Operating</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3,626,476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3,537,790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7"/>
                <w:szCs w:val="17"/>
                <w:color w:val="auto"/>
              </w:rPr>
              <w:t>Construction-in-progress</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132,758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115,189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Assets held for sale</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3,759,234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3,673,685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Less accumulated depreciation and amortization</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w w:val="98"/>
              </w:rPr>
              <w:t>(938,087)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(846,258)</w:t>
            </w:r>
          </w:p>
        </w:tc>
        <w:tc>
          <w:tcPr>
            <w:tcW w:w="0" w:type="dxa"/>
            <w:vAlign w:val="bottom"/>
          </w:tcPr>
          <w:p>
            <w:pPr>
              <w:spacing w:after="0"/>
              <w:rPr>
                <w:sz w:val="1"/>
                <w:szCs w:val="1"/>
                <w:color w:val="auto"/>
              </w:rPr>
            </w:pPr>
          </w:p>
        </w:tc>
      </w:tr>
      <w:tr>
        <w:trPr>
          <w:trHeight w:val="215"/>
        </w:trPr>
        <w:tc>
          <w:tcPr>
            <w:tcW w:w="4900" w:type="dxa"/>
            <w:vAlign w:val="bottom"/>
            <w:gridSpan w:val="2"/>
          </w:tcPr>
          <w:p>
            <w:pPr>
              <w:spacing w:after="0"/>
              <w:rPr>
                <w:sz w:val="20"/>
                <w:szCs w:val="20"/>
                <w:color w:val="auto"/>
              </w:rPr>
            </w:pPr>
            <w:r>
              <w:rPr>
                <w:rFonts w:ascii="Arial" w:cs="Arial" w:eastAsia="Arial" w:hAnsi="Arial"/>
                <w:sz w:val="17"/>
                <w:szCs w:val="17"/>
                <w:color w:val="auto"/>
              </w:rPr>
              <w:t>Net real estate</w:t>
            </w:r>
          </w:p>
        </w:tc>
        <w:tc>
          <w:tcPr>
            <w:tcW w:w="4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2,821,147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2,827,427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Accounts and notes receivable, net</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72,191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73,688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Mortgage notes receivable, net</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color w:val="auto"/>
              </w:rPr>
              <w:t>Investment in real estate partnership</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35,633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4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109,613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46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3,222,309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3,092,776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LIABILITIES AND SHAREHOLDERS’ EQUITY</w:t>
            </w:r>
          </w:p>
        </w:tc>
        <w:tc>
          <w:tcPr>
            <w:tcW w:w="4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490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4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Mortgages payable and capital lease obligations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601,884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7"/>
                <w:szCs w:val="17"/>
                <w:color w:val="auto"/>
              </w:rPr>
              <w:t>Notes payable</w:t>
            </w:r>
          </w:p>
        </w:tc>
        <w:tc>
          <w:tcPr>
            <w:tcW w:w="4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261,745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336,391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Senior notes and debentures</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930,219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7"/>
                <w:szCs w:val="17"/>
                <w:color w:val="auto"/>
              </w:rPr>
              <w:t>Accounts payable and other liabilities</w:t>
            </w:r>
          </w:p>
        </w:tc>
        <w:tc>
          <w:tcPr>
            <w:tcW w:w="4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219,398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2,013,246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1,945,822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4900" w:type="dxa"/>
            <w:vAlign w:val="bottom"/>
            <w:gridSpan w:val="2"/>
          </w:tcPr>
          <w:p>
            <w:pPr>
              <w:spacing w:after="0"/>
              <w:rPr>
                <w:sz w:val="20"/>
                <w:szCs w:val="20"/>
                <w:color w:val="auto"/>
              </w:rPr>
            </w:pPr>
            <w:r>
              <w:rPr>
                <w:rFonts w:ascii="Arial" w:cs="Arial" w:eastAsia="Arial" w:hAnsi="Arial"/>
                <w:sz w:val="17"/>
                <w:szCs w:val="17"/>
                <w:color w:val="auto"/>
              </w:rPr>
              <w:t>Shareholders’ equity</w:t>
            </w:r>
          </w:p>
        </w:tc>
        <w:tc>
          <w:tcPr>
            <w:tcW w:w="4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Preferred shares</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7"/>
                <w:szCs w:val="17"/>
                <w:color w:val="auto"/>
              </w:rPr>
              <w:t>Common shares and other shareholders’ equity</w:t>
            </w:r>
          </w:p>
        </w:tc>
        <w:tc>
          <w:tcPr>
            <w:tcW w:w="4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1,167,340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1,104,605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 of the Trust</w:t>
            </w:r>
          </w:p>
        </w:tc>
        <w:tc>
          <w:tcPr>
            <w:tcW w:w="4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1,177,337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1,114,602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7"/>
                <w:szCs w:val="17"/>
                <w:color w:val="auto"/>
              </w:rPr>
              <w:t>Noncontrolling interests</w:t>
            </w:r>
          </w:p>
        </w:tc>
        <w:tc>
          <w:tcPr>
            <w:tcW w:w="4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4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1,209,063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1,146,954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00" w:type="dxa"/>
            <w:vAlign w:val="bottom"/>
            <w:gridSpan w:val="2"/>
          </w:tcPr>
          <w:p>
            <w:pPr>
              <w:spacing w:after="0"/>
              <w:rPr>
                <w:sz w:val="20"/>
                <w:szCs w:val="20"/>
                <w:color w:val="auto"/>
              </w:rPr>
            </w:pPr>
            <w:r>
              <w:rPr>
                <w:rFonts w:ascii="Arial" w:cs="Arial" w:eastAsia="Arial" w:hAnsi="Arial"/>
                <w:sz w:val="17"/>
                <w:szCs w:val="17"/>
                <w:color w:val="auto"/>
              </w:rPr>
              <w:t>TOTAL LIABILITIES AND SHAREHOLDERS’ EQUITY</w:t>
            </w:r>
          </w:p>
        </w:tc>
        <w:tc>
          <w:tcPr>
            <w:tcW w:w="46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3,222,309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3,092,776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540" w:type="dxa"/>
            <w:vAlign w:val="bottom"/>
            <w:vMerge w:val="restart"/>
          </w:tcPr>
          <w:p>
            <w:pPr>
              <w:jc w:val="right"/>
              <w:ind w:right="3594"/>
              <w:spacing w:after="0"/>
              <w:rPr>
                <w:sz w:val="20"/>
                <w:szCs w:val="20"/>
                <w:color w:val="auto"/>
              </w:rPr>
            </w:pPr>
            <w:r>
              <w:rPr>
                <w:rFonts w:ascii="Arial" w:cs="Arial" w:eastAsia="Arial" w:hAnsi="Arial"/>
                <w:sz w:val="17"/>
                <w:szCs w:val="17"/>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 / Summary of Capital Expenditures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6"/>
          </w:tcPr>
          <w:p>
            <w:pPr>
              <w:jc w:val="right"/>
              <w:ind w:right="560"/>
              <w:spacing w:after="0"/>
              <w:rPr>
                <w:sz w:val="20"/>
                <w:szCs w:val="20"/>
                <w:color w:val="auto"/>
              </w:rPr>
            </w:pPr>
            <w:r>
              <w:rPr>
                <w:rFonts w:ascii="Arial" w:cs="Arial" w:eastAsia="Arial" w:hAnsi="Arial"/>
                <w:sz w:val="13"/>
                <w:szCs w:val="13"/>
                <w:b w:val="1"/>
                <w:bCs w:val="1"/>
                <w:color w:val="auto"/>
                <w:w w:val="90"/>
              </w:rPr>
              <w:t>Three months ended December 31,</w:t>
            </w:r>
          </w:p>
        </w:tc>
        <w:tc>
          <w:tcPr>
            <w:tcW w:w="100" w:type="dxa"/>
            <w:vAlign w:val="bottom"/>
          </w:tcPr>
          <w:p>
            <w:pPr>
              <w:spacing w:after="0"/>
              <w:rPr>
                <w:sz w:val="13"/>
                <w:szCs w:val="13"/>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w w:val="94"/>
              </w:rPr>
              <w:t>Year ended 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38" w:lineRule="exact"/>
              <w:rPr>
                <w:sz w:val="20"/>
                <w:szCs w:val="20"/>
                <w:color w:val="auto"/>
              </w:rPr>
            </w:pPr>
            <w:r>
              <w:rPr>
                <w:rFonts w:ascii="Arial" w:cs="Arial" w:eastAsia="Arial" w:hAnsi="Arial"/>
                <w:sz w:val="13"/>
                <w:szCs w:val="13"/>
                <w:b w:val="1"/>
                <w:bCs w:val="1"/>
                <w:color w:val="auto"/>
              </w:rPr>
              <w:t>2009</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vMerge w:val="restart"/>
          </w:tcPr>
          <w:p>
            <w:pPr>
              <w:ind w:left="120"/>
              <w:spacing w:after="0"/>
              <w:rPr>
                <w:sz w:val="20"/>
                <w:szCs w:val="20"/>
                <w:color w:val="auto"/>
              </w:rPr>
            </w:pPr>
            <w:r>
              <w:rPr>
                <w:rFonts w:ascii="Arial" w:cs="Arial" w:eastAsia="Arial" w:hAnsi="Arial"/>
                <w:sz w:val="13"/>
                <w:szCs w:val="13"/>
                <w:b w:val="1"/>
                <w:bCs w:val="1"/>
                <w:color w:val="auto"/>
              </w:rPr>
              <w:t>(in</w:t>
            </w: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38" w:lineRule="exact"/>
              <w:rPr>
                <w:sz w:val="20"/>
                <w:szCs w:val="20"/>
                <w:color w:val="auto"/>
              </w:rPr>
            </w:pPr>
            <w:r>
              <w:rPr>
                <w:rFonts w:ascii="Arial" w:cs="Arial" w:eastAsia="Arial" w:hAnsi="Arial"/>
                <w:sz w:val="13"/>
                <w:szCs w:val="13"/>
                <w:b w:val="1"/>
                <w:bCs w:val="1"/>
                <w:color w:val="auto"/>
              </w:rPr>
              <w:t>2008</w:t>
            </w: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2009</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38"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2400" w:type="dxa"/>
            <w:vAlign w:val="bottom"/>
            <w:gridSpan w:val="6"/>
          </w:tcPr>
          <w:p>
            <w:pPr>
              <w:spacing w:after="0" w:line="138" w:lineRule="exact"/>
              <w:rPr>
                <w:sz w:val="20"/>
                <w:szCs w:val="20"/>
                <w:color w:val="auto"/>
              </w:rPr>
            </w:pPr>
            <w:r>
              <w:rPr>
                <w:rFonts w:ascii="Arial" w:cs="Arial" w:eastAsia="Arial" w:hAnsi="Arial"/>
                <w:sz w:val="13"/>
                <w:szCs w:val="13"/>
                <w:b w:val="1"/>
                <w:bCs w:val="1"/>
                <w:color w:val="auto"/>
              </w:rPr>
              <w:t>thousands, except per share data)</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20" w:type="dxa"/>
            <w:vAlign w:val="bottom"/>
            <w:gridSpan w:val="4"/>
            <w:shd w:val="clear" w:color="auto" w:fill="CCEEFF"/>
          </w:tcPr>
          <w:p>
            <w:pPr>
              <w:spacing w:after="0" w:line="172" w:lineRule="exact"/>
              <w:rPr>
                <w:sz w:val="20"/>
                <w:szCs w:val="20"/>
                <w:color w:val="auto"/>
              </w:rPr>
            </w:pPr>
            <w:r>
              <w:rPr>
                <w:rFonts w:ascii="Arial" w:cs="Arial" w:eastAsia="Arial" w:hAnsi="Arial"/>
                <w:sz w:val="17"/>
                <w:szCs w:val="17"/>
                <w:color w:val="auto"/>
              </w:rPr>
              <w:t>Funds from Operations available for common shareholders (FFO) (1)</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4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Net income</w:t>
            </w:r>
          </w:p>
        </w:tc>
        <w:tc>
          <w:tcPr>
            <w:tcW w:w="13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33,366</w:t>
            </w:r>
          </w:p>
        </w:tc>
        <w:tc>
          <w:tcPr>
            <w:tcW w:w="2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ind w:left="30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7"/>
                <w:szCs w:val="17"/>
                <w:color w:val="auto"/>
              </w:rPr>
              <w:t>35,035</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7"/>
                <w:szCs w:val="17"/>
                <w:color w:val="auto"/>
                <w:w w:val="87"/>
              </w:rPr>
              <w:t>103,872</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7"/>
                <w:szCs w:val="17"/>
                <w:color w:val="auto"/>
                <w:w w:val="87"/>
              </w:rPr>
              <w:t>135,153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Net income attributable to noncontrolling interests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(1,396)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(5,568)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(5,366)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7"/>
                <w:szCs w:val="17"/>
                <w:color w:val="auto"/>
              </w:rPr>
              <w:t>Gain on sale of real estate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(5,134)</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7"/>
                <w:szCs w:val="17"/>
                <w:color w:val="auto"/>
              </w:rPr>
              <w:t>(1,298)</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(12,572)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assets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25,423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27,413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87"/>
              </w:rPr>
              <w:t>103,104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7"/>
              </w:rPr>
              <w:t>101,450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7"/>
                <w:szCs w:val="17"/>
                <w:color w:val="auto"/>
              </w:rPr>
              <w:t>Amortization of initial direct costs of leases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2,443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2,330</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rPr>
              <w:t>9,821</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8,771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Depreciation of joint venture real estate assets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339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1,388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gridSpan w:val="4"/>
            <w:vMerge w:val="restart"/>
          </w:tcPr>
          <w:p>
            <w:pPr>
              <w:ind w:left="400"/>
              <w:spacing w:after="0"/>
              <w:rPr>
                <w:sz w:val="20"/>
                <w:szCs w:val="20"/>
                <w:color w:val="auto"/>
              </w:rPr>
            </w:pPr>
            <w:r>
              <w:rPr>
                <w:rFonts w:ascii="Arial" w:cs="Arial" w:eastAsia="Arial" w:hAnsi="Arial"/>
                <w:sz w:val="17"/>
                <w:szCs w:val="17"/>
                <w:color w:val="auto"/>
              </w:rPr>
              <w:t>Funds from operations</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120" w:type="dxa"/>
            <w:vAlign w:val="bottom"/>
            <w:gridSpan w:val="4"/>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60,178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58,673</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w w:val="87"/>
              </w:rPr>
              <w:t>211,319</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w w:val="87"/>
              </w:rPr>
              <w:t>228,767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Dividends on preferred shares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(541)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7"/>
                <w:szCs w:val="17"/>
                <w:color w:val="auto"/>
              </w:rPr>
              <w:t>Income attributable to operating partnership units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rPr>
              <w:t>974</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Income attributable to unvested shares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gridSpan w:val="4"/>
            <w:vMerge w:val="restart"/>
          </w:tcPr>
          <w:p>
            <w:pPr>
              <w:ind w:left="400"/>
              <w:spacing w:after="0"/>
              <w:rPr>
                <w:sz w:val="20"/>
                <w:szCs w:val="20"/>
                <w:color w:val="auto"/>
              </w:rPr>
            </w:pPr>
            <w:r>
              <w:rPr>
                <w:rFonts w:ascii="Arial" w:cs="Arial" w:eastAsia="Arial" w:hAnsi="Arial"/>
                <w:sz w:val="17"/>
                <w:szCs w:val="17"/>
                <w:color w:val="auto"/>
              </w:rPr>
              <w:t>FFO (2)</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4"/>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60,095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58,597</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w w:val="87"/>
              </w:rPr>
              <w:t>211,065</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w w:val="87"/>
              </w:rPr>
              <w:t>228,397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20" w:type="dxa"/>
            <w:vAlign w:val="bottom"/>
            <w:gridSpan w:val="4"/>
            <w:shd w:val="clear" w:color="auto" w:fill="CCEEFF"/>
          </w:tcPr>
          <w:p>
            <w:pPr>
              <w:ind w:left="400"/>
              <w:spacing w:after="0"/>
              <w:rPr>
                <w:sz w:val="20"/>
                <w:szCs w:val="20"/>
                <w:color w:val="auto"/>
              </w:rPr>
            </w:pPr>
            <w:r>
              <w:rPr>
                <w:rFonts w:ascii="Arial" w:cs="Arial" w:eastAsia="Arial" w:hAnsi="Arial"/>
                <w:sz w:val="17"/>
                <w:szCs w:val="17"/>
                <w:color w:val="auto"/>
              </w:rPr>
              <w:t>Litigation provision, net of allocation to unvested shares (2)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(4,718)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16,301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140" w:type="dxa"/>
            <w:vAlign w:val="bottom"/>
            <w:gridSpan w:val="5"/>
            <w:vMerge w:val="restart"/>
          </w:tcPr>
          <w:p>
            <w:pPr>
              <w:spacing w:after="0"/>
              <w:rPr>
                <w:sz w:val="20"/>
                <w:szCs w:val="20"/>
                <w:color w:val="auto"/>
              </w:rPr>
            </w:pPr>
            <w:r>
              <w:rPr>
                <w:rFonts w:ascii="Arial" w:cs="Arial" w:eastAsia="Arial" w:hAnsi="Arial"/>
                <w:sz w:val="17"/>
                <w:szCs w:val="17"/>
                <w:color w:val="auto"/>
              </w:rPr>
              <w:t>FFO excluding litigation provision (2)</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gridSpan w:val="5"/>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55,377</w:t>
            </w:r>
          </w:p>
        </w:tc>
        <w:tc>
          <w:tcPr>
            <w:tcW w:w="24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58,597</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w w:val="87"/>
              </w:rPr>
              <w:t>227,366</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w w:val="87"/>
              </w:rPr>
              <w:t>228,397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FFO per diluted share (3)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0.98</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0.99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7"/>
                <w:szCs w:val="17"/>
                <w:color w:val="auto"/>
              </w:rPr>
              <w:t>Litigation provision per diluted share (2)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(0.08)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rPr>
              <w:t>0.27</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FFO per diluted share excluding litigation provision (2)(3)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0.99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gridSpan w:val="4"/>
            <w:vMerge w:val="restart"/>
          </w:tcPr>
          <w:p>
            <w:pPr>
              <w:ind w:left="820"/>
              <w:spacing w:after="0"/>
              <w:rPr>
                <w:sz w:val="20"/>
                <w:szCs w:val="20"/>
                <w:color w:val="auto"/>
              </w:rPr>
            </w:pPr>
            <w:r>
              <w:rPr>
                <w:rFonts w:ascii="Arial" w:cs="Arial" w:eastAsia="Arial" w:hAnsi="Arial"/>
                <w:sz w:val="17"/>
                <w:szCs w:val="17"/>
                <w:color w:val="auto"/>
              </w:rPr>
              <w:t>Weighted average number of common shares, diluted</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gridSpan w:val="4"/>
            <w:vMerge w:val="continue"/>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61,513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59,309</w:t>
            </w:r>
          </w:p>
        </w:tc>
        <w:tc>
          <w:tcPr>
            <w:tcW w:w="100" w:type="dxa"/>
            <w:vAlign w:val="bottom"/>
          </w:tcPr>
          <w:p>
            <w:pPr>
              <w:spacing w:after="0"/>
              <w:rPr>
                <w:sz w:val="17"/>
                <w:szCs w:val="17"/>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rPr>
              <w:t>60,201</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59,266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120" w:type="dxa"/>
            <w:vAlign w:val="bottom"/>
            <w:gridSpan w:val="4"/>
            <w:shd w:val="clear" w:color="auto" w:fill="CCEEFF"/>
          </w:tcPr>
          <w:p>
            <w:pPr>
              <w:spacing w:after="0" w:line="166" w:lineRule="exact"/>
              <w:rPr>
                <w:sz w:val="20"/>
                <w:szCs w:val="20"/>
                <w:color w:val="auto"/>
              </w:rPr>
            </w:pPr>
            <w:r>
              <w:rPr>
                <w:rFonts w:ascii="Arial" w:cs="Arial" w:eastAsia="Arial" w:hAnsi="Arial"/>
                <w:sz w:val="17"/>
                <w:szCs w:val="17"/>
                <w:color w:val="auto"/>
              </w:rPr>
              <w:t>Summary of Capital Expenditures</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8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24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7"/>
                <w:szCs w:val="17"/>
                <w:color w:val="auto"/>
              </w:rPr>
              <w:t>Non-maintenance capital expenditures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gridSpan w:val="4"/>
            <w:shd w:val="clear" w:color="auto" w:fill="CCEEFF"/>
          </w:tcPr>
          <w:p>
            <w:pPr>
              <w:ind w:left="820"/>
              <w:spacing w:after="0"/>
              <w:rPr>
                <w:sz w:val="20"/>
                <w:szCs w:val="20"/>
                <w:color w:val="auto"/>
              </w:rPr>
            </w:pPr>
            <w:r>
              <w:rPr>
                <w:rFonts w:ascii="Arial" w:cs="Arial" w:eastAsia="Arial" w:hAnsi="Arial"/>
                <w:sz w:val="17"/>
                <w:szCs w:val="17"/>
                <w:color w:val="auto"/>
              </w:rPr>
              <w:t>Redevelopment and expansions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13,792</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29,432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68,481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7"/>
              </w:rPr>
              <w:t>105,512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gridSpan w:val="4"/>
          </w:tcPr>
          <w:p>
            <w:pPr>
              <w:ind w:left="820"/>
              <w:spacing w:after="0"/>
              <w:rPr>
                <w:sz w:val="20"/>
                <w:szCs w:val="20"/>
                <w:color w:val="auto"/>
              </w:rPr>
            </w:pPr>
            <w:r>
              <w:rPr>
                <w:rFonts w:ascii="Arial" w:cs="Arial" w:eastAsia="Arial" w:hAnsi="Arial"/>
                <w:sz w:val="17"/>
                <w:szCs w:val="17"/>
                <w:color w:val="auto"/>
              </w:rPr>
              <w:t>Tenant improvements and incentives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3,486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3,254</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rPr>
              <w:t>11,965</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18,227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non-maintenance capital expenditures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32,686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80,446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7"/>
              </w:rPr>
              <w:t>123,739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gridSpan w:val="4"/>
          </w:tcPr>
          <w:p>
            <w:pPr>
              <w:ind w:left="400"/>
              <w:spacing w:after="0"/>
              <w:rPr>
                <w:sz w:val="20"/>
                <w:szCs w:val="20"/>
                <w:color w:val="auto"/>
              </w:rPr>
            </w:pPr>
            <w:r>
              <w:rPr>
                <w:rFonts w:ascii="Arial" w:cs="Arial" w:eastAsia="Arial" w:hAnsi="Arial"/>
                <w:sz w:val="17"/>
                <w:szCs w:val="17"/>
                <w:color w:val="auto"/>
              </w:rPr>
              <w:t>Maintenance capital expenditures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7,138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5,753</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7"/>
                <w:szCs w:val="17"/>
                <w:color w:val="auto"/>
              </w:rPr>
              <w:t>14,629</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14,716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capital expenditures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24,416</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38,439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95,075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7"/>
              </w:rPr>
              <w:t>138,455</w:t>
            </w:r>
          </w:p>
        </w:tc>
        <w:tc>
          <w:tcPr>
            <w:tcW w:w="0" w:type="dxa"/>
            <w:vAlign w:val="bottom"/>
          </w:tcPr>
          <w:p>
            <w:pPr>
              <w:spacing w:after="0"/>
              <w:rPr>
                <w:sz w:val="1"/>
                <w:szCs w:val="1"/>
                <w:color w:val="auto"/>
              </w:rPr>
            </w:pPr>
          </w:p>
        </w:tc>
      </w:tr>
      <w:tr>
        <w:trPr>
          <w:trHeight w:val="20"/>
        </w:trPr>
        <w:tc>
          <w:tcPr>
            <w:tcW w:w="6140" w:type="dxa"/>
            <w:vAlign w:val="bottom"/>
            <w:gridSpan w:val="5"/>
            <w:vMerge w:val="restart"/>
          </w:tcPr>
          <w:p>
            <w:pPr>
              <w:spacing w:after="0"/>
              <w:rPr>
                <w:sz w:val="20"/>
                <w:szCs w:val="20"/>
                <w:color w:val="auto"/>
              </w:rPr>
            </w:pPr>
            <w:r>
              <w:rPr>
                <w:rFonts w:ascii="Arial" w:cs="Arial" w:eastAsia="Arial" w:hAnsi="Arial"/>
                <w:sz w:val="17"/>
                <w:szCs w:val="17"/>
                <w:color w:val="auto"/>
              </w:rPr>
              <w:t>Dividends and Payout Ratios</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140" w:type="dxa"/>
            <w:vAlign w:val="bottom"/>
            <w:gridSpan w:val="5"/>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Regular common dividends declared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40,416</w:t>
            </w:r>
          </w:p>
        </w:tc>
        <w:tc>
          <w:tcPr>
            <w:tcW w:w="2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38,340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87"/>
              </w:rPr>
              <w:t>157,638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7"/>
              </w:rPr>
              <w:t>148,444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gridSpan w:val="4"/>
          </w:tcPr>
          <w:p>
            <w:pPr>
              <w:spacing w:after="0"/>
              <w:rPr>
                <w:sz w:val="20"/>
                <w:szCs w:val="20"/>
                <w:color w:val="auto"/>
              </w:rPr>
            </w:pPr>
            <w:r>
              <w:rPr>
                <w:rFonts w:ascii="Arial" w:cs="Arial" w:eastAsia="Arial" w:hAnsi="Arial"/>
                <w:sz w:val="17"/>
                <w:szCs w:val="17"/>
                <w:color w:val="auto"/>
              </w:rPr>
              <w:t>Dividend payout ratio as a percentage of FFO</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Dividend payout ratio as a percentage of FFO excluding litigation provision (2)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83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5" w:lineRule="exact"/>
        <w:rPr>
          <w:rFonts w:ascii="Arial" w:cs="Arial" w:eastAsia="Arial" w:hAnsi="Arial"/>
          <w:sz w:val="17"/>
          <w:szCs w:val="17"/>
          <w:color w:val="auto"/>
        </w:rPr>
      </w:pPr>
    </w:p>
    <w:p>
      <w:pPr>
        <w:ind w:left="460" w:right="160" w:hanging="455"/>
        <w:spacing w:after="0" w:line="25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FFO and FFO per diluted share for 2009, includes a ($4.7) million and $16.4 million litigation provision charge for the three months and year ended December 31, 2009, respectively, related to litigation regarding a parcel of land located adjacent to Santana Row as well as other costs related to the litigation and appeal process. FFO excluding litigation provision excludes this charge.</w:t>
      </w:r>
    </w:p>
    <w:p>
      <w:pPr>
        <w:spacing w:after="0" w:line="2" w:lineRule="exact"/>
        <w:rPr>
          <w:rFonts w:ascii="Arial" w:cs="Arial" w:eastAsia="Arial" w:hAnsi="Arial"/>
          <w:sz w:val="17"/>
          <w:szCs w:val="17"/>
          <w:color w:val="auto"/>
        </w:rPr>
      </w:pPr>
    </w:p>
    <w:p>
      <w:pPr>
        <w:ind w:left="460" w:right="120" w:hanging="455"/>
        <w:spacing w:after="0" w:line="26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Effective January 1, 2009, we adopted a new accounting standard which requires us to calculate FFO per diluted share for all periods presented using the two-class method. The implementation resulted in no change to FFO per share for the three months ended December 31, 2008 and a decrease to reported FFO per diluted share from $3.87 to $3.85 for the year ended December 31,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0"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Data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16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7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8"/>
              <w:spacing w:after="0" w:line="138" w:lineRule="exact"/>
              <w:rPr>
                <w:sz w:val="20"/>
                <w:szCs w:val="20"/>
                <w:color w:val="auto"/>
              </w:rPr>
            </w:pPr>
            <w:r>
              <w:rPr>
                <w:rFonts w:ascii="Arial" w:cs="Arial" w:eastAsia="Arial" w:hAnsi="Arial"/>
                <w:sz w:val="13"/>
                <w:szCs w:val="13"/>
                <w:b w:val="1"/>
                <w:bCs w:val="1"/>
                <w:color w:val="auto"/>
              </w:rPr>
              <w:t>2009</w:t>
            </w:r>
          </w:p>
        </w:tc>
        <w:tc>
          <w:tcPr>
            <w:tcW w:w="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85"/>
              </w:rPr>
              <w:t>(in thousands,</w:t>
            </w:r>
          </w:p>
        </w:tc>
        <w:tc>
          <w:tcPr>
            <w:tcW w:w="1440" w:type="dxa"/>
            <w:vAlign w:val="bottom"/>
            <w:gridSpan w:val="3"/>
          </w:tcPr>
          <w:p>
            <w:pPr>
              <w:jc w:val="right"/>
              <w:ind w:right="36"/>
              <w:spacing w:after="0" w:line="138" w:lineRule="exact"/>
              <w:rPr>
                <w:sz w:val="20"/>
                <w:szCs w:val="20"/>
                <w:color w:val="auto"/>
              </w:rPr>
            </w:pPr>
            <w:r>
              <w:rPr>
                <w:rFonts w:ascii="Arial" w:cs="Arial" w:eastAsia="Arial" w:hAnsi="Arial"/>
                <w:sz w:val="13"/>
                <w:szCs w:val="13"/>
                <w:b w:val="1"/>
                <w:bCs w:val="1"/>
                <w:color w:val="auto"/>
                <w:w w:val="94"/>
              </w:rPr>
              <w:t>except per share data)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Market data</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00" w:type="dxa"/>
            <w:vAlign w:val="bottom"/>
            <w:gridSpan w:val="2"/>
          </w:tcPr>
          <w:p>
            <w:pPr>
              <w:ind w:left="420"/>
              <w:spacing w:after="0"/>
              <w:rPr>
                <w:sz w:val="20"/>
                <w:szCs w:val="20"/>
                <w:color w:val="auto"/>
              </w:rPr>
            </w:pPr>
            <w:r>
              <w:rPr>
                <w:rFonts w:ascii="Arial" w:cs="Arial" w:eastAsia="Arial" w:hAnsi="Arial"/>
                <w:sz w:val="17"/>
                <w:szCs w:val="17"/>
                <w:color w:val="auto"/>
              </w:rPr>
              <w:t>Common shares outstanding (1)</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74"/>
              <w:spacing w:after="0"/>
              <w:rPr>
                <w:sz w:val="20"/>
                <w:szCs w:val="20"/>
                <w:color w:val="auto"/>
              </w:rPr>
            </w:pPr>
            <w:r>
              <w:rPr>
                <w:rFonts w:ascii="Arial" w:cs="Arial" w:eastAsia="Arial" w:hAnsi="Arial"/>
                <w:sz w:val="17"/>
                <w:szCs w:val="17"/>
                <w:color w:val="auto"/>
              </w:rPr>
              <w:t>61,242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58,986</w:t>
            </w:r>
          </w:p>
        </w:tc>
        <w:tc>
          <w:tcPr>
            <w:tcW w:w="0" w:type="dxa"/>
            <w:vAlign w:val="bottom"/>
          </w:tcPr>
          <w:p>
            <w:pPr>
              <w:spacing w:after="0"/>
              <w:rPr>
                <w:sz w:val="1"/>
                <w:szCs w:val="1"/>
                <w:color w:val="auto"/>
              </w:rPr>
            </w:pPr>
          </w:p>
        </w:tc>
      </w:tr>
      <w:tr>
        <w:trPr>
          <w:trHeight w:val="211"/>
        </w:trPr>
        <w:tc>
          <w:tcPr>
            <w:tcW w:w="7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Market price per common share</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74"/>
              <w:spacing w:after="0"/>
              <w:rPr>
                <w:sz w:val="20"/>
                <w:szCs w:val="20"/>
                <w:color w:val="auto"/>
              </w:rPr>
            </w:pPr>
            <w:r>
              <w:rPr>
                <w:rFonts w:ascii="Arial" w:cs="Arial" w:eastAsia="Arial" w:hAnsi="Arial"/>
                <w:sz w:val="17"/>
                <w:szCs w:val="17"/>
                <w:color w:val="auto"/>
              </w:rPr>
              <w:t>67.72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62.08</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ind w:left="840"/>
              <w:spacing w:after="0"/>
              <w:rPr>
                <w:sz w:val="20"/>
                <w:szCs w:val="20"/>
                <w:color w:val="auto"/>
              </w:rPr>
            </w:pPr>
            <w:r>
              <w:rPr>
                <w:rFonts w:ascii="Arial" w:cs="Arial" w:eastAsia="Arial" w:hAnsi="Arial"/>
                <w:sz w:val="17"/>
                <w:szCs w:val="17"/>
                <w:color w:val="auto"/>
              </w:rPr>
              <w:t>Common equity market capitalization</w:t>
            </w: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gridSpan w:val="2"/>
            <w:vMerge w:val="continue"/>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474"/>
              <w:spacing w:after="0"/>
              <w:rPr>
                <w:sz w:val="20"/>
                <w:szCs w:val="20"/>
                <w:color w:val="auto"/>
              </w:rPr>
            </w:pPr>
            <w:r>
              <w:rPr>
                <w:rFonts w:ascii="Arial" w:cs="Arial" w:eastAsia="Arial" w:hAnsi="Arial"/>
                <w:sz w:val="17"/>
                <w:szCs w:val="17"/>
                <w:color w:val="auto"/>
              </w:rPr>
              <w:t>4,147,308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w w:val="92"/>
              </w:rPr>
              <w:t>3,661,851</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Series 1 preferred shares outstanding (2)</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74"/>
              <w:spacing w:after="0"/>
              <w:rPr>
                <w:sz w:val="20"/>
                <w:szCs w:val="20"/>
                <w:color w:val="auto"/>
              </w:rPr>
            </w:pPr>
            <w:r>
              <w:rPr>
                <w:rFonts w:ascii="Arial" w:cs="Arial" w:eastAsia="Arial" w:hAnsi="Arial"/>
                <w:sz w:val="17"/>
                <w:szCs w:val="17"/>
                <w:color w:val="auto"/>
              </w:rPr>
              <w:t>400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11"/>
        </w:trPr>
        <w:tc>
          <w:tcPr>
            <w:tcW w:w="7300" w:type="dxa"/>
            <w:vAlign w:val="bottom"/>
            <w:gridSpan w:val="2"/>
          </w:tcPr>
          <w:p>
            <w:pPr>
              <w:ind w:left="420"/>
              <w:spacing w:after="0"/>
              <w:rPr>
                <w:sz w:val="20"/>
                <w:szCs w:val="20"/>
                <w:color w:val="auto"/>
              </w:rPr>
            </w:pPr>
            <w:r>
              <w:rPr>
                <w:rFonts w:ascii="Arial" w:cs="Arial" w:eastAsia="Arial" w:hAnsi="Arial"/>
                <w:sz w:val="17"/>
                <w:szCs w:val="17"/>
                <w:color w:val="auto"/>
              </w:rPr>
              <w:t>Liquidation price per Series 1 preferred share</w:t>
            </w:r>
          </w:p>
        </w:tc>
        <w:tc>
          <w:tcPr>
            <w:tcW w:w="17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474"/>
              <w:spacing w:after="0"/>
              <w:rPr>
                <w:sz w:val="20"/>
                <w:szCs w:val="20"/>
                <w:color w:val="auto"/>
              </w:rPr>
            </w:pPr>
            <w:r>
              <w:rPr>
                <w:rFonts w:ascii="Arial" w:cs="Arial" w:eastAsia="Arial" w:hAnsi="Arial"/>
                <w:sz w:val="17"/>
                <w:szCs w:val="17"/>
                <w:color w:val="auto"/>
              </w:rPr>
              <w:t>25.00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3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Series 1 preferred equity market capitalization</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74"/>
              <w:spacing w:after="0"/>
              <w:rPr>
                <w:sz w:val="20"/>
                <w:szCs w:val="20"/>
                <w:color w:val="auto"/>
              </w:rPr>
            </w:pPr>
            <w:r>
              <w:rPr>
                <w:rFonts w:ascii="Arial" w:cs="Arial" w:eastAsia="Arial" w:hAnsi="Arial"/>
                <w:sz w:val="17"/>
                <w:szCs w:val="17"/>
                <w:color w:val="auto"/>
              </w:rPr>
              <w:t>10,000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ind w:left="420"/>
              <w:spacing w:after="0"/>
              <w:rPr>
                <w:sz w:val="20"/>
                <w:szCs w:val="20"/>
                <w:color w:val="auto"/>
              </w:rPr>
            </w:pPr>
            <w:r>
              <w:rPr>
                <w:rFonts w:ascii="Arial" w:cs="Arial" w:eastAsia="Arial" w:hAnsi="Arial"/>
                <w:sz w:val="17"/>
                <w:szCs w:val="17"/>
                <w:color w:val="auto"/>
              </w:rPr>
              <w:t>Equity market capitalization</w:t>
            </w: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300" w:type="dxa"/>
            <w:vAlign w:val="bottom"/>
            <w:gridSpan w:val="2"/>
            <w:vMerge w:val="continue"/>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474"/>
              <w:spacing w:after="0"/>
              <w:rPr>
                <w:sz w:val="20"/>
                <w:szCs w:val="20"/>
                <w:color w:val="auto"/>
              </w:rPr>
            </w:pPr>
            <w:r>
              <w:rPr>
                <w:rFonts w:ascii="Arial" w:cs="Arial" w:eastAsia="Arial" w:hAnsi="Arial"/>
                <w:sz w:val="17"/>
                <w:szCs w:val="17"/>
                <w:color w:val="auto"/>
              </w:rPr>
              <w:t>4,157,308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w w:val="92"/>
              </w:rPr>
              <w:t>3,671,851</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7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debt (3)</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74"/>
              <w:spacing w:after="0"/>
              <w:rPr>
                <w:sz w:val="20"/>
                <w:szCs w:val="20"/>
                <w:color w:val="auto"/>
              </w:rPr>
            </w:pPr>
            <w:r>
              <w:rPr>
                <w:rFonts w:ascii="Arial" w:cs="Arial" w:eastAsia="Arial" w:hAnsi="Arial"/>
                <w:sz w:val="17"/>
                <w:szCs w:val="17"/>
                <w:color w:val="auto"/>
              </w:rPr>
              <w:t>1,793,848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1,745,785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ind w:left="420"/>
              <w:spacing w:after="0"/>
              <w:rPr>
                <w:sz w:val="20"/>
                <w:szCs w:val="20"/>
                <w:color w:val="auto"/>
              </w:rPr>
            </w:pPr>
            <w:r>
              <w:rPr>
                <w:rFonts w:ascii="Arial" w:cs="Arial" w:eastAsia="Arial" w:hAnsi="Arial"/>
                <w:sz w:val="17"/>
                <w:szCs w:val="17"/>
                <w:color w:val="auto"/>
              </w:rPr>
              <w:t>Total market capitalization</w:t>
            </w: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gridSpan w:val="2"/>
            <w:vMerge w:val="continue"/>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474"/>
              <w:spacing w:after="0"/>
              <w:rPr>
                <w:sz w:val="20"/>
                <w:szCs w:val="20"/>
                <w:color w:val="auto"/>
              </w:rPr>
            </w:pPr>
            <w:r>
              <w:rPr>
                <w:rFonts w:ascii="Arial" w:cs="Arial" w:eastAsia="Arial" w:hAnsi="Arial"/>
                <w:sz w:val="17"/>
                <w:szCs w:val="17"/>
                <w:color w:val="auto"/>
              </w:rPr>
              <w:t>5,951,156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w w:val="92"/>
              </w:rPr>
              <w:t>5,417,636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debt to market capitalization at then current market price</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30%</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314"/>
        </w:trPr>
        <w:tc>
          <w:tcPr>
            <w:tcW w:w="7300" w:type="dxa"/>
            <w:vAlign w:val="bottom"/>
            <w:gridSpan w:val="2"/>
          </w:tcPr>
          <w:p>
            <w:pPr>
              <w:ind w:left="420"/>
              <w:spacing w:after="0"/>
              <w:rPr>
                <w:sz w:val="20"/>
                <w:szCs w:val="20"/>
                <w:color w:val="auto"/>
              </w:rPr>
            </w:pPr>
            <w:r>
              <w:rPr>
                <w:rFonts w:ascii="Arial" w:cs="Arial" w:eastAsia="Arial" w:hAnsi="Arial"/>
                <w:sz w:val="17"/>
                <w:szCs w:val="17"/>
                <w:color w:val="auto"/>
              </w:rPr>
              <w:t>Total debt to market capitalization at constant common share price of $62.08</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314"/>
              <w:spacing w:after="0"/>
              <w:rPr>
                <w:sz w:val="20"/>
                <w:szCs w:val="20"/>
                <w:color w:val="auto"/>
              </w:rPr>
            </w:pPr>
            <w:r>
              <w:rPr>
                <w:rFonts w:ascii="Arial" w:cs="Arial" w:eastAsia="Arial" w:hAnsi="Arial"/>
                <w:sz w:val="17"/>
                <w:szCs w:val="17"/>
                <w:color w:val="auto"/>
              </w:rPr>
              <w:t>32%</w:t>
            </w:r>
          </w:p>
        </w:tc>
        <w:tc>
          <w:tcPr>
            <w:tcW w:w="18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6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73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Fixed rate debt ratio:</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300" w:type="dxa"/>
            <w:vAlign w:val="bottom"/>
            <w:gridSpan w:val="2"/>
          </w:tcPr>
          <w:p>
            <w:pPr>
              <w:ind w:left="840"/>
              <w:spacing w:after="0"/>
              <w:rPr>
                <w:sz w:val="20"/>
                <w:szCs w:val="20"/>
                <w:color w:val="auto"/>
              </w:rPr>
            </w:pPr>
            <w:r>
              <w:rPr>
                <w:rFonts w:ascii="Arial" w:cs="Arial" w:eastAsia="Arial" w:hAnsi="Arial"/>
                <w:sz w:val="17"/>
                <w:szCs w:val="17"/>
                <w:color w:val="auto"/>
              </w:rPr>
              <w:t>Fixed rate debt and capital lease obligations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14"/>
              <w:spacing w:after="0"/>
              <w:rPr>
                <w:sz w:val="20"/>
                <w:szCs w:val="20"/>
                <w:color w:val="auto"/>
              </w:rPr>
            </w:pPr>
            <w:r>
              <w:rPr>
                <w:rFonts w:ascii="Arial" w:cs="Arial" w:eastAsia="Arial" w:hAnsi="Arial"/>
                <w:sz w:val="17"/>
                <w:szCs w:val="17"/>
                <w:color w:val="auto"/>
              </w:rPr>
              <w:t>86%</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1"/>
        </w:trPr>
        <w:tc>
          <w:tcPr>
            <w:tcW w:w="73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Variable rate debt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14%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14"/>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16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Amounts do not include 371,260 and 373,260 Operating Partnership Units outstanding at December 31, 2009 and 2008, respectively.</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These shares, issued March 8, 2007, are unregistered.</w:t>
      </w:r>
    </w:p>
    <w:p>
      <w:pPr>
        <w:spacing w:after="0" w:line="15" w:lineRule="exact"/>
        <w:rPr>
          <w:rFonts w:ascii="Arial" w:cs="Arial" w:eastAsia="Arial" w:hAnsi="Arial"/>
          <w:sz w:val="17"/>
          <w:szCs w:val="17"/>
          <w:color w:val="auto"/>
        </w:rPr>
      </w:pPr>
    </w:p>
    <w:p>
      <w:pPr>
        <w:ind w:left="460" w:right="20" w:hanging="455"/>
        <w:spacing w:after="0" w:line="29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 and discounts from our consolidated balance sheet. It does not include the $17.3 million and $24.4 million which is the Trust's 30% share of the total mortgages payable of $57.8 million and $81.4 million at December 31, 2009 and 2008, respectively, of the partnership with a discretionary fund created and advised by ING Clarion Partners.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0"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Rental Income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4"/>
          </w:tcPr>
          <w:p>
            <w:pPr>
              <w:jc w:val="right"/>
              <w:ind w:right="157"/>
              <w:spacing w:after="0"/>
              <w:rPr>
                <w:sz w:val="20"/>
                <w:szCs w:val="20"/>
                <w:color w:val="auto"/>
              </w:rPr>
            </w:pPr>
            <w:r>
              <w:rPr>
                <w:rFonts w:ascii="Arial" w:cs="Arial" w:eastAsia="Arial" w:hAnsi="Arial"/>
                <w:sz w:val="13"/>
                <w:szCs w:val="13"/>
                <w:b w:val="1"/>
                <w:bCs w:val="1"/>
                <w:color w:val="auto"/>
              </w:rPr>
              <w:t>Three months ended</w:t>
            </w:r>
          </w:p>
        </w:tc>
        <w:tc>
          <w:tcPr>
            <w:tcW w:w="300" w:type="dxa"/>
            <w:vAlign w:val="bottom"/>
          </w:tcPr>
          <w:p>
            <w:pPr>
              <w:spacing w:after="0"/>
              <w:rPr>
                <w:sz w:val="13"/>
                <w:szCs w:val="13"/>
                <w:color w:val="auto"/>
              </w:rPr>
            </w:pPr>
          </w:p>
        </w:tc>
        <w:tc>
          <w:tcPr>
            <w:tcW w:w="16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Year ended</w:t>
            </w:r>
          </w:p>
        </w:tc>
      </w:tr>
      <w:tr>
        <w:trPr>
          <w:trHeight w:val="158"/>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4"/>
          </w:tcPr>
          <w:p>
            <w:pPr>
              <w:jc w:val="right"/>
              <w:ind w:right="357"/>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3"/>
                <w:szCs w:val="13"/>
                <w:color w:val="auto"/>
              </w:rPr>
            </w:pPr>
          </w:p>
        </w:tc>
        <w:tc>
          <w:tcPr>
            <w:tcW w:w="16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2"/>
              </w:rPr>
              <w:t>December 31,</w:t>
            </w:r>
          </w:p>
        </w:tc>
      </w:tr>
      <w:tr>
        <w:trPr>
          <w:trHeight w:val="138"/>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2"/>
              <w:spacing w:after="0" w:line="138" w:lineRule="exact"/>
              <w:rPr>
                <w:sz w:val="20"/>
                <w:szCs w:val="20"/>
                <w:color w:val="auto"/>
              </w:rPr>
            </w:pPr>
            <w:r>
              <w:rPr>
                <w:rFonts w:ascii="Arial" w:cs="Arial" w:eastAsia="Arial" w:hAnsi="Arial"/>
                <w:sz w:val="13"/>
                <w:szCs w:val="13"/>
                <w:b w:val="1"/>
                <w:bCs w:val="1"/>
                <w:color w:val="auto"/>
              </w:rPr>
              <w:t>2009</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2008</w:t>
            </w:r>
          </w:p>
        </w:tc>
        <w:tc>
          <w:tcPr>
            <w:tcW w:w="3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30"/>
              <w:spacing w:after="0" w:line="138" w:lineRule="exact"/>
              <w:rPr>
                <w:sz w:val="20"/>
                <w:szCs w:val="20"/>
                <w:color w:val="auto"/>
              </w:rPr>
            </w:pPr>
            <w:r>
              <w:rPr>
                <w:rFonts w:ascii="Arial" w:cs="Arial" w:eastAsia="Arial" w:hAnsi="Arial"/>
                <w:sz w:val="13"/>
                <w:szCs w:val="13"/>
                <w:b w:val="1"/>
                <w:bCs w:val="1"/>
                <w:color w:val="auto"/>
              </w:rPr>
              <w:t>2009</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38" w:lineRule="exact"/>
              <w:rPr>
                <w:sz w:val="20"/>
                <w:szCs w:val="20"/>
                <w:color w:val="auto"/>
              </w:rPr>
            </w:pPr>
            <w:r>
              <w:rPr>
                <w:rFonts w:ascii="Arial" w:cs="Arial" w:eastAsia="Arial" w:hAnsi="Arial"/>
                <w:sz w:val="13"/>
                <w:szCs w:val="13"/>
                <w:b w:val="1"/>
                <w:bCs w:val="1"/>
                <w:color w:val="auto"/>
              </w:rPr>
              <w:t>2008</w:t>
            </w:r>
          </w:p>
        </w:tc>
        <w:tc>
          <w:tcPr>
            <w:tcW w:w="20" w:type="dxa"/>
            <w:vAlign w:val="bottom"/>
          </w:tcPr>
          <w:p>
            <w:pPr>
              <w:spacing w:after="0"/>
              <w:rPr>
                <w:sz w:val="12"/>
                <w:szCs w:val="12"/>
                <w:color w:val="auto"/>
              </w:rPr>
            </w:pPr>
          </w:p>
        </w:tc>
      </w:tr>
      <w:tr>
        <w:trPr>
          <w:trHeight w:val="138"/>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2"/>
              <w:spacing w:after="0" w:line="138" w:lineRule="exact"/>
              <w:rPr>
                <w:sz w:val="20"/>
                <w:szCs w:val="20"/>
                <w:color w:val="auto"/>
              </w:rPr>
            </w:pPr>
            <w:r>
              <w:rPr>
                <w:rFonts w:ascii="Arial" w:cs="Arial" w:eastAsia="Arial" w:hAnsi="Arial"/>
                <w:sz w:val="13"/>
                <w:szCs w:val="13"/>
                <w:b w:val="1"/>
                <w:bCs w:val="1"/>
                <w:color w:val="auto"/>
              </w:rPr>
              <w:t>(in</w:t>
            </w:r>
          </w:p>
        </w:tc>
        <w:tc>
          <w:tcPr>
            <w:tcW w:w="960" w:type="dxa"/>
            <w:vAlign w:val="bottom"/>
            <w:gridSpan w:val="3"/>
          </w:tcPr>
          <w:p>
            <w:pPr>
              <w:jc w:val="right"/>
              <w:ind w:right="337"/>
              <w:spacing w:after="0" w:line="138" w:lineRule="exact"/>
              <w:rPr>
                <w:sz w:val="20"/>
                <w:szCs w:val="20"/>
                <w:color w:val="auto"/>
              </w:rPr>
            </w:pPr>
            <w:r>
              <w:rPr>
                <w:rFonts w:ascii="Arial" w:cs="Arial" w:eastAsia="Arial" w:hAnsi="Arial"/>
                <w:sz w:val="13"/>
                <w:szCs w:val="13"/>
                <w:b w:val="1"/>
                <w:bCs w:val="1"/>
                <w:color w:val="auto"/>
                <w:w w:val="74"/>
              </w:rPr>
              <w:t>thousands)</w:t>
            </w:r>
          </w:p>
        </w:tc>
        <w:tc>
          <w:tcPr>
            <w:tcW w:w="300" w:type="dxa"/>
            <w:vAlign w:val="bottom"/>
          </w:tcPr>
          <w:p>
            <w:pPr>
              <w:spacing w:after="0"/>
              <w:rPr>
                <w:sz w:val="12"/>
                <w:szCs w:val="12"/>
                <w:color w:val="auto"/>
              </w:rPr>
            </w:pPr>
          </w:p>
        </w:tc>
        <w:tc>
          <w:tcPr>
            <w:tcW w:w="660" w:type="dxa"/>
            <w:vAlign w:val="bottom"/>
          </w:tcPr>
          <w:p>
            <w:pPr>
              <w:jc w:val="right"/>
              <w:ind w:right="30"/>
              <w:spacing w:after="0" w:line="138" w:lineRule="exact"/>
              <w:rPr>
                <w:sz w:val="20"/>
                <w:szCs w:val="20"/>
                <w:color w:val="auto"/>
              </w:rPr>
            </w:pPr>
            <w:r>
              <w:rPr>
                <w:rFonts w:ascii="Arial" w:cs="Arial" w:eastAsia="Arial" w:hAnsi="Arial"/>
                <w:sz w:val="13"/>
                <w:szCs w:val="13"/>
                <w:b w:val="1"/>
                <w:bCs w:val="1"/>
                <w:color w:val="auto"/>
              </w:rPr>
              <w:t>(in</w:t>
            </w:r>
          </w:p>
        </w:tc>
        <w:tc>
          <w:tcPr>
            <w:tcW w:w="960" w:type="dxa"/>
            <w:vAlign w:val="bottom"/>
            <w:gridSpan w:val="2"/>
          </w:tcPr>
          <w:p>
            <w:pPr>
              <w:jc w:val="right"/>
              <w:ind w:right="324"/>
              <w:spacing w:after="0" w:line="138" w:lineRule="exact"/>
              <w:rPr>
                <w:sz w:val="20"/>
                <w:szCs w:val="20"/>
                <w:color w:val="auto"/>
              </w:rPr>
            </w:pPr>
            <w:r>
              <w:rPr>
                <w:rFonts w:ascii="Arial" w:cs="Arial" w:eastAsia="Arial" w:hAnsi="Arial"/>
                <w:sz w:val="13"/>
                <w:szCs w:val="13"/>
                <w:b w:val="1"/>
                <w:bCs w:val="1"/>
                <w:color w:val="auto"/>
                <w:w w:val="77"/>
              </w:rPr>
              <w:t>thousands)</w:t>
            </w:r>
          </w:p>
        </w:tc>
        <w:tc>
          <w:tcPr>
            <w:tcW w:w="20" w:type="dxa"/>
            <w:vAlign w:val="bottom"/>
          </w:tcPr>
          <w:p>
            <w:pPr>
              <w:spacing w:after="0"/>
              <w:rPr>
                <w:sz w:val="12"/>
                <w:szCs w:val="12"/>
                <w:color w:val="auto"/>
              </w:rPr>
            </w:pPr>
          </w:p>
        </w:tc>
      </w:tr>
      <w:tr>
        <w:trPr>
          <w:trHeight w:val="211"/>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Minimum rents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60" w:type="dxa"/>
            <w:vAlign w:val="bottom"/>
          </w:tcPr>
          <w:p>
            <w:pPr>
              <w:spacing w:after="0"/>
              <w:rPr>
                <w:sz w:val="18"/>
                <w:szCs w:val="18"/>
                <w:color w:val="auto"/>
              </w:rPr>
            </w:pPr>
          </w:p>
        </w:tc>
        <w:tc>
          <w:tcPr>
            <w:tcW w:w="4580" w:type="dxa"/>
            <w:vAlign w:val="bottom"/>
            <w:gridSpan w:val="2"/>
          </w:tcPr>
          <w:p>
            <w:pPr>
              <w:ind w:left="420"/>
              <w:spacing w:after="0"/>
              <w:rPr>
                <w:sz w:val="20"/>
                <w:szCs w:val="20"/>
                <w:color w:val="auto"/>
              </w:rPr>
            </w:pPr>
            <w:r>
              <w:rPr>
                <w:rFonts w:ascii="Arial" w:cs="Arial" w:eastAsia="Arial" w:hAnsi="Arial"/>
                <w:sz w:val="17"/>
                <w:szCs w:val="17"/>
                <w:color w:val="auto"/>
              </w:rPr>
              <w:t>Retail and commercial (1)</w:t>
            </w:r>
          </w:p>
        </w:tc>
        <w:tc>
          <w:tcPr>
            <w:tcW w:w="2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93,836</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93,443</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$373,920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$366,277</w:t>
            </w:r>
          </w:p>
        </w:tc>
        <w:tc>
          <w:tcPr>
            <w:tcW w:w="20" w:type="dxa"/>
            <w:vAlign w:val="bottom"/>
          </w:tcPr>
          <w:p>
            <w:pPr>
              <w:spacing w:after="0"/>
              <w:rPr>
                <w:sz w:val="18"/>
                <w:szCs w:val="18"/>
                <w:color w:val="auto"/>
              </w:rPr>
            </w:pPr>
          </w:p>
        </w:tc>
      </w:tr>
      <w:tr>
        <w:trPr>
          <w:trHeight w:val="211"/>
        </w:trPr>
        <w:tc>
          <w:tcPr>
            <w:tcW w:w="460" w:type="dxa"/>
            <w:vAlign w:val="bottom"/>
          </w:tcPr>
          <w:p>
            <w:pPr>
              <w:spacing w:after="0"/>
              <w:rPr>
                <w:sz w:val="18"/>
                <w:szCs w:val="18"/>
                <w:color w:val="auto"/>
              </w:rPr>
            </w:pPr>
          </w:p>
        </w:tc>
        <w:tc>
          <w:tcPr>
            <w:tcW w:w="45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Residential (2)</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18,326</w:t>
            </w:r>
          </w:p>
        </w:tc>
        <w:tc>
          <w:tcPr>
            <w:tcW w:w="20" w:type="dxa"/>
            <w:vAlign w:val="bottom"/>
          </w:tcPr>
          <w:p>
            <w:pPr>
              <w:spacing w:after="0"/>
              <w:rPr>
                <w:sz w:val="18"/>
                <w:szCs w:val="18"/>
                <w:color w:val="auto"/>
              </w:rPr>
            </w:pPr>
          </w:p>
        </w:tc>
      </w:tr>
      <w:tr>
        <w:trPr>
          <w:trHeight w:val="211"/>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Cost reimbursements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29,856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27,262</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104,133</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103,147</w:t>
            </w:r>
          </w:p>
        </w:tc>
        <w:tc>
          <w:tcPr>
            <w:tcW w:w="20" w:type="dxa"/>
            <w:vAlign w:val="bottom"/>
          </w:tcPr>
          <w:p>
            <w:pPr>
              <w:spacing w:after="0"/>
              <w:rPr>
                <w:sz w:val="18"/>
                <w:szCs w:val="18"/>
                <w:color w:val="auto"/>
              </w:rPr>
            </w:pPr>
          </w:p>
        </w:tc>
      </w:tr>
      <w:tr>
        <w:trPr>
          <w:trHeight w:val="211"/>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Percentage rents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6,508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8,415</w:t>
            </w:r>
          </w:p>
        </w:tc>
        <w:tc>
          <w:tcPr>
            <w:tcW w:w="20" w:type="dxa"/>
            <w:vAlign w:val="bottom"/>
          </w:tcPr>
          <w:p>
            <w:pPr>
              <w:spacing w:after="0"/>
              <w:rPr>
                <w:sz w:val="18"/>
                <w:szCs w:val="18"/>
                <w:color w:val="auto"/>
              </w:rPr>
            </w:pPr>
          </w:p>
        </w:tc>
      </w:tr>
      <w:tr>
        <w:trPr>
          <w:trHeight w:val="217"/>
        </w:trPr>
        <w:tc>
          <w:tcPr>
            <w:tcW w:w="46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7"/>
                <w:szCs w:val="17"/>
                <w:color w:val="auto"/>
              </w:rPr>
              <w:t>Other</w:t>
            </w:r>
          </w:p>
        </w:tc>
        <w:tc>
          <w:tcPr>
            <w:tcW w:w="2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2,191</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1,275</w:t>
            </w:r>
          </w:p>
        </w:tc>
        <w:tc>
          <w:tcPr>
            <w:tcW w:w="3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7,566</w:t>
            </w:r>
          </w:p>
        </w:tc>
        <w:tc>
          <w:tcPr>
            <w:tcW w:w="3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5,462</w:t>
            </w:r>
          </w:p>
        </w:tc>
        <w:tc>
          <w:tcPr>
            <w:tcW w:w="20" w:type="dxa"/>
            <w:vAlign w:val="bottom"/>
          </w:tcPr>
          <w:p>
            <w:pPr>
              <w:spacing w:after="0"/>
              <w:rPr>
                <w:sz w:val="18"/>
                <w:szCs w:val="18"/>
                <w:color w:val="auto"/>
              </w:rPr>
            </w:pPr>
          </w:p>
        </w:tc>
      </w:tr>
      <w:tr>
        <w:trPr>
          <w:trHeight w:val="211"/>
        </w:trPr>
        <w:tc>
          <w:tcPr>
            <w:tcW w:w="46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rental income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133,755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130,323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513,220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501,627</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8"/>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right="80" w:hanging="455"/>
        <w:spacing w:after="0" w:line="25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Minimum rents include $1.4 million and $1.6 million for the three months ended December 31, 2009 and 2008, respectively, and $5.3 million and $5.9 million for the year ended December 31, 2009 and 2008, respectively, to recognize minimum rents on a straight-line basis. In addition, minimum rents include $0.6 million and $0.3 million for the three months ended December 31, 2009 and 2008, respectively, and $1.7 million and $2.2 million for the year ended December 31, 2009 and 2008, respectively, to recognize income from the amortization of in-place leases.</w:t>
      </w:r>
    </w:p>
    <w:p>
      <w:pPr>
        <w:spacing w:after="0" w:line="3" w:lineRule="exact"/>
        <w:rPr>
          <w:rFonts w:ascii="Arial" w:cs="Arial" w:eastAsia="Arial" w:hAnsi="Arial"/>
          <w:sz w:val="17"/>
          <w:szCs w:val="17"/>
          <w:color w:val="auto"/>
        </w:rPr>
      </w:pPr>
    </w:p>
    <w:p>
      <w:pPr>
        <w:ind w:left="460" w:hanging="455"/>
        <w:spacing w:after="0" w:line="310"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Residential minimum rents consist of the rental amounts for residential units at Rollingwood Apartments, the Crest at Congressional Plaza Apartments, Santana Row, and Arlington East (Bethesda Row). The first rental units at Arlington East were delivered and became rent paying in May 2008.</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270" w:right="239" w:bottom="1440" w:gutter="0" w:footer="0" w:header="0"/>
        </w:sectPr>
      </w:pPr>
    </w:p>
    <w:bookmarkStart w:id="15" w:name="page16"/>
    <w:bookmarkEnd w:id="1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705" cy="381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Capital Lease Obligations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Stated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7"/>
          </w:tcPr>
          <w:p>
            <w:pPr>
              <w:jc w:val="center"/>
              <w:ind w:right="320"/>
              <w:spacing w:after="0"/>
              <w:rPr>
                <w:sz w:val="20"/>
                <w:szCs w:val="20"/>
                <w:color w:val="auto"/>
              </w:rPr>
            </w:pPr>
            <w:r>
              <w:rPr>
                <w:rFonts w:ascii="Arial" w:cs="Arial" w:eastAsia="Arial" w:hAnsi="Arial"/>
                <w:sz w:val="13"/>
                <w:szCs w:val="13"/>
                <w:b w:val="1"/>
                <w:bCs w:val="1"/>
                <w:color w:val="auto"/>
                <w:w w:val="89"/>
              </w:rPr>
              <w:t>Weighted average</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60" w:type="dxa"/>
            <w:vAlign w:val="bottom"/>
            <w:gridSpan w:val="2"/>
          </w:tcPr>
          <w:p>
            <w:pPr>
              <w:jc w:val="right"/>
              <w:ind w:right="720"/>
              <w:spacing w:after="0" w:line="145" w:lineRule="exact"/>
              <w:rPr>
                <w:sz w:val="20"/>
                <w:szCs w:val="20"/>
                <w:color w:val="auto"/>
              </w:rPr>
            </w:pPr>
            <w:r>
              <w:rPr>
                <w:rFonts w:ascii="Arial" w:cs="Arial" w:eastAsia="Arial" w:hAnsi="Arial"/>
                <w:sz w:val="13"/>
                <w:szCs w:val="13"/>
                <w:b w:val="1"/>
                <w:bCs w:val="1"/>
                <w:color w:val="auto"/>
              </w:rPr>
              <w:t>Stated</w:t>
            </w:r>
          </w:p>
        </w:tc>
        <w:tc>
          <w:tcPr>
            <w:tcW w:w="1460" w:type="dxa"/>
            <w:vAlign w:val="bottom"/>
            <w:gridSpan w:val="2"/>
          </w:tcPr>
          <w:p>
            <w:pPr>
              <w:jc w:val="right"/>
              <w:ind w:right="420"/>
              <w:spacing w:after="0" w:line="145" w:lineRule="exact"/>
              <w:rPr>
                <w:sz w:val="20"/>
                <w:szCs w:val="20"/>
                <w:color w:val="auto"/>
              </w:rPr>
            </w:pPr>
            <w:r>
              <w:rPr>
                <w:rFonts w:ascii="Arial" w:cs="Arial" w:eastAsia="Arial" w:hAnsi="Arial"/>
                <w:sz w:val="13"/>
                <w:szCs w:val="13"/>
                <w:b w:val="1"/>
                <w:bCs w:val="1"/>
                <w:color w:val="auto"/>
                <w:w w:val="94"/>
              </w:rPr>
              <w:t>interest rate as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400"/>
              <w:spacing w:after="0" w:line="145" w:lineRule="exact"/>
              <w:rPr>
                <w:sz w:val="20"/>
                <w:szCs w:val="20"/>
                <w:color w:val="auto"/>
              </w:rPr>
            </w:pPr>
            <w:r>
              <w:rPr>
                <w:rFonts w:ascii="Arial" w:cs="Arial" w:eastAsia="Arial" w:hAnsi="Arial"/>
                <w:sz w:val="13"/>
                <w:szCs w:val="13"/>
                <w:b w:val="1"/>
                <w:bCs w:val="1"/>
                <w:color w:val="auto"/>
                <w:w w:val="90"/>
              </w:rPr>
              <w:t>Balance as of</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7"/>
          </w:tcPr>
          <w:p>
            <w:pPr>
              <w:jc w:val="center"/>
              <w:ind w:right="320"/>
              <w:spacing w:after="0" w:line="145" w:lineRule="exact"/>
              <w:rPr>
                <w:sz w:val="20"/>
                <w:szCs w:val="20"/>
                <w:color w:val="auto"/>
              </w:rPr>
            </w:pPr>
            <w:r>
              <w:rPr>
                <w:rFonts w:ascii="Arial" w:cs="Arial" w:eastAsia="Arial" w:hAnsi="Arial"/>
                <w:sz w:val="13"/>
                <w:szCs w:val="13"/>
                <w:b w:val="1"/>
                <w:bCs w:val="1"/>
                <w:color w:val="auto"/>
                <w:w w:val="92"/>
              </w:rPr>
              <w:t>effective rate at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Maturity date</w:t>
            </w:r>
          </w:p>
        </w:tc>
        <w:tc>
          <w:tcPr>
            <w:tcW w:w="14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2009</w:t>
            </w:r>
          </w:p>
        </w:tc>
        <w:tc>
          <w:tcPr>
            <w:tcW w:w="10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Arial" w:cs="Arial" w:eastAsia="Arial" w:hAnsi="Arial"/>
                <w:sz w:val="13"/>
                <w:szCs w:val="13"/>
                <w:b w:val="1"/>
                <w:bCs w:val="1"/>
                <w:color w:val="auto"/>
              </w:rPr>
              <w:t>December 31, 2009</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7"/>
          </w:tcPr>
          <w:p>
            <w:pPr>
              <w:jc w:val="center"/>
              <w:ind w:right="340"/>
              <w:spacing w:after="0"/>
              <w:rPr>
                <w:sz w:val="20"/>
                <w:szCs w:val="20"/>
                <w:color w:val="auto"/>
              </w:rPr>
            </w:pPr>
            <w:r>
              <w:rPr>
                <w:rFonts w:ascii="Arial" w:cs="Arial" w:eastAsia="Arial" w:hAnsi="Arial"/>
                <w:sz w:val="13"/>
                <w:szCs w:val="13"/>
                <w:b w:val="1"/>
                <w:bCs w:val="1"/>
                <w:color w:val="auto"/>
                <w:w w:val="91"/>
              </w:rPr>
              <w:t>December 31, 2009 (h)</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55"/>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gridSpan w:val="6"/>
            <w:shd w:val="clear" w:color="auto" w:fill="CCEEFF"/>
          </w:tcPr>
          <w:p>
            <w:pPr>
              <w:spacing w:after="0" w:line="172" w:lineRule="exact"/>
              <w:rPr>
                <w:sz w:val="20"/>
                <w:szCs w:val="20"/>
                <w:color w:val="auto"/>
              </w:rPr>
            </w:pPr>
            <w:r>
              <w:rPr>
                <w:rFonts w:ascii="Arial" w:cs="Arial" w:eastAsia="Arial" w:hAnsi="Arial"/>
                <w:sz w:val="17"/>
                <w:szCs w:val="17"/>
                <w:color w:val="auto"/>
              </w:rPr>
              <w:t>Mortgage loans (a)</w:t>
            </w:r>
          </w:p>
        </w:tc>
        <w:tc>
          <w:tcPr>
            <w:tcW w:w="1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i w:val="1"/>
                <w:iCs w:val="1"/>
                <w:color w:val="auto"/>
              </w:rPr>
              <w:t>Secured fixed rate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Federal Plaza</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06/01/11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6.750%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Tysons Station</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09/01/11</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7.400%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Courtyard Shops</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07/01/12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6.870%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Bethesda Row</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01/01/13</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5.370%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19,995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Bethesda Row</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02/01/13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White Marsh Plaza (b)</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04/01/13</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6.040%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9,859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Crow Canyon</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08/11/13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Idylwood Plaza</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06/05/14</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7.500%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16,792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Leesburg Plaza</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06/05/14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Loehmann’s Plaza</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06/05/14</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7.500%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37,783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Pentagon Row</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06/05/14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Melville Mall (c)</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09/01/14</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5.250%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23,782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THE AVENUE at White Marsh</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01/01/15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Barracks Road</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11/01/15</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7.950%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40,639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Hauppauge</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11/01/15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Lawrence Park</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11/01/15</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7.950%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28,805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Wildwood</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11/01/15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7.950%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Wynnewood</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11/01/15</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7.950%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29,355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Brick Plaza</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11/01/15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Rollingwood Apartments</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05/01/19</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5.540%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23,880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Shoppers’ World</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01/31/21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Mount Vernon (d)</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04/15/28</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5.660%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11,298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Chelsea</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01/15/31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5.360%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40" w:type="dxa"/>
            <w:vAlign w:val="bottom"/>
            <w:gridSpan w:val="5"/>
          </w:tcPr>
          <w:p>
            <w:pPr>
              <w:ind w:left="380"/>
              <w:spacing w:after="0"/>
              <w:rPr>
                <w:sz w:val="20"/>
                <w:szCs w:val="20"/>
                <w:color w:val="auto"/>
              </w:rPr>
            </w:pPr>
            <w:r>
              <w:rPr>
                <w:rFonts w:ascii="Arial" w:cs="Arial" w:eastAsia="Arial" w:hAnsi="Arial"/>
                <w:sz w:val="17"/>
                <w:szCs w:val="17"/>
                <w:color w:val="auto"/>
              </w:rPr>
              <w:t>Subtotal</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540,035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Net unamortized discount</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740" w:type="dxa"/>
            <w:vAlign w:val="bottom"/>
            <w:gridSpan w:val="5"/>
          </w:tcPr>
          <w:p>
            <w:pPr>
              <w:ind w:left="380"/>
              <w:spacing w:after="0"/>
              <w:rPr>
                <w:sz w:val="20"/>
                <w:szCs w:val="20"/>
                <w:color w:val="auto"/>
              </w:rPr>
            </w:pPr>
            <w:r>
              <w:rPr>
                <w:rFonts w:ascii="Arial" w:cs="Arial" w:eastAsia="Arial" w:hAnsi="Arial"/>
                <w:sz w:val="17"/>
                <w:szCs w:val="17"/>
                <w:color w:val="auto"/>
              </w:rPr>
              <w:t>Total mortgage loans</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539,609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6.98%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gridSpan w:val="6"/>
            <w:shd w:val="clear" w:color="auto" w:fill="CCEEFF"/>
          </w:tcPr>
          <w:p>
            <w:pPr>
              <w:spacing w:after="0" w:line="172" w:lineRule="exact"/>
              <w:rPr>
                <w:sz w:val="20"/>
                <w:szCs w:val="20"/>
                <w:color w:val="auto"/>
              </w:rPr>
            </w:pPr>
            <w:r>
              <w:rPr>
                <w:rFonts w:ascii="Arial" w:cs="Arial" w:eastAsia="Arial" w:hAnsi="Arial"/>
                <w:sz w:val="17"/>
                <w:szCs w:val="17"/>
                <w:color w:val="auto"/>
              </w:rPr>
              <w:t>Notes payable</w:t>
            </w:r>
          </w:p>
        </w:tc>
        <w:tc>
          <w:tcPr>
            <w:tcW w:w="1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i w:val="1"/>
                <w:iCs w:val="1"/>
                <w:color w:val="auto"/>
              </w:rPr>
              <w:t>Unsecured fixed rate</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Other</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04/01/12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Perring Plaza renovation</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01/31/13</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i w:val="1"/>
                <w:iCs w:val="1"/>
                <w:color w:val="auto"/>
              </w:rPr>
              <w:t>Unsecured variable rate</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Revolving credit facility (e)</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07/27/11</w:t>
            </w:r>
          </w:p>
        </w:tc>
        <w:tc>
          <w:tcPr>
            <w:tcW w:w="1460" w:type="dxa"/>
            <w:vAlign w:val="bottom"/>
            <w:gridSpan w:val="2"/>
          </w:tcPr>
          <w:p>
            <w:pPr>
              <w:ind w:left="20"/>
              <w:spacing w:after="0"/>
              <w:rPr>
                <w:sz w:val="20"/>
                <w:szCs w:val="20"/>
                <w:color w:val="auto"/>
              </w:rPr>
            </w:pPr>
            <w:r>
              <w:rPr>
                <w:rFonts w:ascii="Arial" w:cs="Arial" w:eastAsia="Arial" w:hAnsi="Arial"/>
                <w:sz w:val="17"/>
                <w:szCs w:val="17"/>
                <w:color w:val="auto"/>
              </w:rPr>
              <w:t>LIBOR + 0.425%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Term loan (f)</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07/27/11</w:t>
            </w:r>
          </w:p>
        </w:tc>
        <w:tc>
          <w:tcPr>
            <w:tcW w:w="1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LIBOR + 3.000%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Escondido (Municipal bonds) (g)</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10/01/16</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0.379%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740" w:type="dxa"/>
            <w:vAlign w:val="bottom"/>
            <w:gridSpan w:val="5"/>
            <w:shd w:val="clear" w:color="auto" w:fill="CCEEFF"/>
          </w:tcPr>
          <w:p>
            <w:pPr>
              <w:ind w:left="380"/>
              <w:spacing w:after="0"/>
              <w:rPr>
                <w:sz w:val="20"/>
                <w:szCs w:val="20"/>
                <w:color w:val="auto"/>
              </w:rPr>
            </w:pPr>
            <w:r>
              <w:rPr>
                <w:rFonts w:ascii="Arial" w:cs="Arial" w:eastAsia="Arial" w:hAnsi="Arial"/>
                <w:sz w:val="17"/>
                <w:szCs w:val="17"/>
                <w:color w:val="auto"/>
              </w:rPr>
              <w:t>Total notes payable</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261,745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w:t>
            </w:r>
          </w:p>
        </w:tc>
        <w:tc>
          <w:tcPr>
            <w:tcW w:w="0" w:type="dxa"/>
            <w:vAlign w:val="bottom"/>
          </w:tcPr>
          <w:p>
            <w:pPr>
              <w:spacing w:after="0"/>
              <w:rPr>
                <w:sz w:val="1"/>
                <w:szCs w:val="1"/>
                <w:color w:val="auto"/>
              </w:rPr>
            </w:pPr>
          </w:p>
        </w:tc>
      </w:tr>
      <w:tr>
        <w:trPr>
          <w:trHeight w:val="188"/>
        </w:trPr>
        <w:tc>
          <w:tcPr>
            <w:tcW w:w="4200" w:type="dxa"/>
            <w:vAlign w:val="bottom"/>
            <w:gridSpan w:val="7"/>
          </w:tcPr>
          <w:p>
            <w:pPr>
              <w:spacing w:after="0" w:line="178" w:lineRule="exact"/>
              <w:rPr>
                <w:sz w:val="20"/>
                <w:szCs w:val="20"/>
                <w:color w:val="auto"/>
              </w:rPr>
            </w:pPr>
            <w:r>
              <w:rPr>
                <w:rFonts w:ascii="Arial" w:cs="Arial" w:eastAsia="Arial" w:hAnsi="Arial"/>
                <w:sz w:val="17"/>
                <w:szCs w:val="17"/>
                <w:color w:val="auto"/>
              </w:rPr>
              <w:t>Senior notes and debentures</w:t>
            </w: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20" w:type="dxa"/>
            <w:vAlign w:val="bottom"/>
            <w:tcBorders>
              <w:top w:val="single" w:sz="8" w:color="auto"/>
            </w:tcBorders>
            <w:gridSpan w:val="5"/>
            <w:shd w:val="clear" w:color="auto" w:fill="CCEEFF"/>
          </w:tcPr>
          <w:p>
            <w:pPr>
              <w:ind w:left="400"/>
              <w:spacing w:after="0"/>
              <w:rPr>
                <w:sz w:val="20"/>
                <w:szCs w:val="20"/>
                <w:color w:val="auto"/>
              </w:rPr>
            </w:pPr>
            <w:r>
              <w:rPr>
                <w:rFonts w:ascii="Arial" w:cs="Arial" w:eastAsia="Arial" w:hAnsi="Arial"/>
                <w:sz w:val="17"/>
                <w:szCs w:val="17"/>
                <w:i w:val="1"/>
                <w:iCs w:val="1"/>
                <w:color w:val="auto"/>
                <w:w w:val="95"/>
              </w:rPr>
              <w:t>Unsecured fixed rate</w:t>
            </w:r>
          </w:p>
        </w:tc>
        <w:tc>
          <w:tcPr>
            <w:tcW w:w="2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4.50% notes</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02/15/11</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4.500%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6.00% notes</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07/15/12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5.40% notes</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12/01/13</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5.400%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5.95% notes</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08/15/14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5.65% notes</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06/01/16</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5.650%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6.20% notes</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01/15/17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7.48% debentures</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rPr>
              <w:t>08/15/26</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7.480%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29,200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6.82% medium term notes</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08/01/27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6.820%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40" w:type="dxa"/>
            <w:vAlign w:val="bottom"/>
            <w:gridSpan w:val="5"/>
          </w:tcPr>
          <w:p>
            <w:pPr>
              <w:ind w:left="380"/>
              <w:spacing w:after="0"/>
              <w:rPr>
                <w:sz w:val="20"/>
                <w:szCs w:val="20"/>
                <w:color w:val="auto"/>
              </w:rPr>
            </w:pPr>
            <w:r>
              <w:rPr>
                <w:rFonts w:ascii="Arial" w:cs="Arial" w:eastAsia="Arial" w:hAnsi="Arial"/>
                <w:sz w:val="17"/>
                <w:szCs w:val="17"/>
                <w:color w:val="auto"/>
              </w:rPr>
              <w:t>Subtotal</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929,200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gridSpan w:val="6"/>
            <w:shd w:val="clear" w:color="auto" w:fill="CCEEFF"/>
          </w:tcPr>
          <w:p>
            <w:pPr>
              <w:ind w:left="400"/>
              <w:spacing w:after="0"/>
              <w:rPr>
                <w:sz w:val="20"/>
                <w:szCs w:val="20"/>
                <w:color w:val="auto"/>
              </w:rPr>
            </w:pPr>
            <w:r>
              <w:rPr>
                <w:rFonts w:ascii="Arial" w:cs="Arial" w:eastAsia="Arial" w:hAnsi="Arial"/>
                <w:sz w:val="17"/>
                <w:szCs w:val="17"/>
                <w:color w:val="auto"/>
              </w:rPr>
              <w:t>Net unamortized premium</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740" w:type="dxa"/>
            <w:vAlign w:val="bottom"/>
            <w:gridSpan w:val="5"/>
          </w:tcPr>
          <w:p>
            <w:pPr>
              <w:ind w:left="380"/>
              <w:spacing w:after="0"/>
              <w:rPr>
                <w:sz w:val="20"/>
                <w:szCs w:val="20"/>
                <w:color w:val="auto"/>
              </w:rPr>
            </w:pPr>
            <w:r>
              <w:rPr>
                <w:rFonts w:ascii="Arial" w:cs="Arial" w:eastAsia="Arial" w:hAnsi="Arial"/>
                <w:sz w:val="17"/>
                <w:szCs w:val="17"/>
                <w:color w:val="auto"/>
              </w:rPr>
              <w:t>Total senior notes and debentures</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930,219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5.94%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80" w:type="dxa"/>
            <w:vAlign w:val="bottom"/>
            <w:tcBorders>
              <w:bottom w:val="single" w:sz="8" w:color="auto"/>
            </w:tcBorders>
            <w:gridSpan w:val="4"/>
            <w:shd w:val="clear" w:color="auto" w:fill="CCEEFF"/>
          </w:tcPr>
          <w:p>
            <w:pPr>
              <w:spacing w:after="0" w:line="172" w:lineRule="exact"/>
              <w:rPr>
                <w:sz w:val="20"/>
                <w:szCs w:val="20"/>
                <w:color w:val="auto"/>
              </w:rPr>
            </w:pPr>
            <w:r>
              <w:rPr>
                <w:rFonts w:ascii="Arial" w:cs="Arial" w:eastAsia="Arial" w:hAnsi="Arial"/>
                <w:sz w:val="17"/>
                <w:szCs w:val="17"/>
                <w:color w:val="auto"/>
                <w:w w:val="90"/>
              </w:rPr>
              <w:t>Capital lease obligations</w:t>
            </w:r>
          </w:p>
        </w:tc>
        <w:tc>
          <w:tcPr>
            <w:tcW w:w="2500" w:type="dxa"/>
            <w:vAlign w:val="bottom"/>
            <w:tcBorders>
              <w:bottom w:val="single" w:sz="8" w:color="CCEEFF"/>
            </w:tcBorders>
            <w:gridSpan w:val="2"/>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6"/>
          </w:tcPr>
          <w:p>
            <w:pPr>
              <w:ind w:left="400"/>
              <w:spacing w:after="0"/>
              <w:rPr>
                <w:sz w:val="20"/>
                <w:szCs w:val="20"/>
                <w:color w:val="auto"/>
              </w:rPr>
            </w:pPr>
            <w:r>
              <w:rPr>
                <w:rFonts w:ascii="Arial" w:cs="Arial" w:eastAsia="Arial" w:hAnsi="Arial"/>
                <w:sz w:val="17"/>
                <w:szCs w:val="17"/>
                <w:color w:val="auto"/>
              </w:rPr>
              <w:t>Various</w:t>
            </w:r>
          </w:p>
        </w:tc>
        <w:tc>
          <w:tcPr>
            <w:tcW w:w="1560" w:type="dxa"/>
            <w:vAlign w:val="bottom"/>
            <w:gridSpan w:val="2"/>
          </w:tcPr>
          <w:p>
            <w:pPr>
              <w:jc w:val="right"/>
              <w:ind w:right="260"/>
              <w:spacing w:after="0"/>
              <w:rPr>
                <w:sz w:val="20"/>
                <w:szCs w:val="20"/>
                <w:color w:val="auto"/>
              </w:rPr>
            </w:pPr>
            <w:r>
              <w:rPr>
                <w:rFonts w:ascii="Arial" w:cs="Arial" w:eastAsia="Arial" w:hAnsi="Arial"/>
                <w:sz w:val="17"/>
                <w:szCs w:val="17"/>
                <w:color w:val="auto"/>
                <w:w w:val="89"/>
              </w:rPr>
              <w:t>2028 through 2106</w:t>
            </w:r>
          </w:p>
        </w:tc>
        <w:tc>
          <w:tcPr>
            <w:tcW w:w="1460" w:type="dxa"/>
            <w:vAlign w:val="bottom"/>
            <w:gridSpan w:val="2"/>
          </w:tcPr>
          <w:p>
            <w:pPr>
              <w:jc w:val="right"/>
              <w:ind w:right="360"/>
              <w:spacing w:after="0"/>
              <w:rPr>
                <w:sz w:val="20"/>
                <w:szCs w:val="20"/>
                <w:color w:val="auto"/>
              </w:rPr>
            </w:pPr>
            <w:r>
              <w:rPr>
                <w:rFonts w:ascii="Arial" w:cs="Arial" w:eastAsia="Arial" w:hAnsi="Arial"/>
                <w:sz w:val="17"/>
                <w:szCs w:val="17"/>
                <w:color w:val="auto"/>
              </w:rPr>
              <w:t>Various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6.94%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Total debt and capital lease obligations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1,793,848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7"/>
            <w:vMerge w:val="restart"/>
          </w:tcPr>
          <w:p>
            <w:pPr>
              <w:spacing w:after="0"/>
              <w:rPr>
                <w:sz w:val="20"/>
                <w:szCs w:val="20"/>
                <w:color w:val="auto"/>
              </w:rPr>
            </w:pPr>
            <w:r>
              <w:rPr>
                <w:rFonts w:ascii="Arial" w:cs="Arial" w:eastAsia="Arial" w:hAnsi="Arial"/>
                <w:sz w:val="17"/>
                <w:szCs w:val="17"/>
                <w:color w:val="auto"/>
              </w:rPr>
              <w:t>Total fixed rate debt and capital lease obligations</w:t>
            </w: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4"/>
            <w:vMerge w:val="restart"/>
          </w:tcPr>
          <w:p>
            <w:pPr>
              <w:jc w:val="right"/>
              <w:ind w:right="100"/>
              <w:spacing w:after="0"/>
              <w:rPr>
                <w:sz w:val="20"/>
                <w:szCs w:val="20"/>
                <w:color w:val="auto"/>
              </w:rPr>
            </w:pPr>
            <w:r>
              <w:rPr>
                <w:rFonts w:ascii="Arial" w:cs="Arial" w:eastAsia="Arial" w:hAnsi="Arial"/>
                <w:sz w:val="17"/>
                <w:szCs w:val="17"/>
                <w:color w:val="auto"/>
              </w:rPr>
              <w:t>86%</w:t>
            </w: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6.35%</w:t>
            </w: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00" w:type="dxa"/>
            <w:vAlign w:val="bottom"/>
            <w:gridSpan w:val="7"/>
            <w:vMerge w:val="continue"/>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1,534,448</w:t>
            </w:r>
          </w:p>
        </w:tc>
        <w:tc>
          <w:tcPr>
            <w:tcW w:w="220" w:type="dxa"/>
            <w:vAlign w:val="bottom"/>
          </w:tcPr>
          <w:p>
            <w:pPr>
              <w:spacing w:after="0"/>
              <w:rPr>
                <w:sz w:val="17"/>
                <w:szCs w:val="17"/>
                <w:color w:val="auto"/>
              </w:rPr>
            </w:pPr>
          </w:p>
        </w:tc>
        <w:tc>
          <w:tcPr>
            <w:tcW w:w="64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vMerge w:val="continue"/>
          </w:tcPr>
          <w:p>
            <w:pPr>
              <w:spacing w:after="0"/>
              <w:rPr>
                <w:sz w:val="18"/>
                <w:szCs w:val="18"/>
                <w:color w:val="auto"/>
              </w:rPr>
            </w:pPr>
          </w:p>
        </w:tc>
        <w:tc>
          <w:tcPr>
            <w:tcW w:w="4180" w:type="dxa"/>
            <w:vAlign w:val="bottom"/>
            <w:gridSpan w:val="6"/>
          </w:tcPr>
          <w:p>
            <w:pPr>
              <w:spacing w:after="0"/>
              <w:rPr>
                <w:sz w:val="20"/>
                <w:szCs w:val="20"/>
                <w:color w:val="auto"/>
              </w:rPr>
            </w:pPr>
            <w:r>
              <w:rPr>
                <w:rFonts w:ascii="Arial" w:cs="Arial" w:eastAsia="Arial" w:hAnsi="Arial"/>
                <w:sz w:val="17"/>
                <w:szCs w:val="17"/>
                <w:color w:val="auto"/>
              </w:rPr>
              <w:t>Total variable rate debt</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259,400</w:t>
            </w:r>
          </w:p>
        </w:tc>
        <w:tc>
          <w:tcPr>
            <w:tcW w:w="22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7"/>
                <w:szCs w:val="17"/>
                <w:color w:val="auto"/>
              </w:rPr>
              <w:t>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5.29%</w:t>
            </w:r>
          </w:p>
        </w:tc>
        <w:tc>
          <w:tcPr>
            <w:tcW w:w="12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Arial" w:cs="Arial" w:eastAsia="Arial" w:hAnsi="Arial"/>
                <w:sz w:val="17"/>
                <w:szCs w:val="17"/>
                <w:color w:val="auto"/>
              </w:rPr>
              <w:t>(i)</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TOTAL DEBT AND CAPITAL LEASES</w:t>
            </w: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gridSpan w:val="6"/>
            <w:shd w:val="clear" w:color="auto" w:fill="CCEEFF"/>
          </w:tcPr>
          <w:p>
            <w:pPr>
              <w:ind w:left="200"/>
              <w:spacing w:after="0"/>
              <w:rPr>
                <w:sz w:val="20"/>
                <w:szCs w:val="20"/>
                <w:color w:val="auto"/>
              </w:rPr>
            </w:pPr>
            <w:r>
              <w:rPr>
                <w:rFonts w:ascii="Arial" w:cs="Arial" w:eastAsia="Arial" w:hAnsi="Arial"/>
                <w:sz w:val="17"/>
                <w:szCs w:val="17"/>
                <w:color w:val="auto"/>
              </w:rPr>
              <w:t>OBLIGATIONS</w:t>
            </w: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1,793,848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87"/>
              </w:rPr>
              <w:t>100%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5"/>
          </w:tcPr>
          <w:p>
            <w:pPr>
              <w:jc w:val="center"/>
              <w:ind w:right="74"/>
              <w:spacing w:after="0"/>
              <w:rPr>
                <w:sz w:val="20"/>
                <w:szCs w:val="20"/>
                <w:color w:val="auto"/>
              </w:rPr>
            </w:pPr>
            <w:r>
              <w:rPr>
                <w:rFonts w:ascii="Arial" w:cs="Arial" w:eastAsia="Arial" w:hAnsi="Arial"/>
                <w:sz w:val="13"/>
                <w:szCs w:val="13"/>
                <w:b w:val="1"/>
                <w:bCs w:val="1"/>
                <w:color w:val="auto"/>
                <w:w w:val="90"/>
              </w:rPr>
              <w:t>Three</w:t>
            </w:r>
          </w:p>
        </w:tc>
        <w:tc>
          <w:tcPr>
            <w:tcW w:w="200" w:type="dxa"/>
            <w:vAlign w:val="bottom"/>
          </w:tcPr>
          <w:p>
            <w:pPr>
              <w:spacing w:after="0"/>
              <w:rPr>
                <w:sz w:val="24"/>
                <w:szCs w:val="24"/>
                <w:color w:val="auto"/>
              </w:rPr>
            </w:pPr>
          </w:p>
        </w:tc>
        <w:tc>
          <w:tcPr>
            <w:tcW w:w="11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2"/>
              </w:rPr>
              <w:t>Year</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5"/>
          </w:tcPr>
          <w:p>
            <w:pPr>
              <w:jc w:val="center"/>
              <w:ind w:right="74"/>
              <w:spacing w:after="0" w:line="145" w:lineRule="exact"/>
              <w:rPr>
                <w:sz w:val="20"/>
                <w:szCs w:val="20"/>
                <w:color w:val="auto"/>
              </w:rPr>
            </w:pPr>
            <w:r>
              <w:rPr>
                <w:rFonts w:ascii="Arial" w:cs="Arial" w:eastAsia="Arial" w:hAnsi="Arial"/>
                <w:sz w:val="13"/>
                <w:szCs w:val="13"/>
                <w:b w:val="1"/>
                <w:bCs w:val="1"/>
                <w:color w:val="auto"/>
                <w:w w:val="89"/>
              </w:rPr>
              <w:t>months ended</w:t>
            </w:r>
          </w:p>
        </w:tc>
        <w:tc>
          <w:tcPr>
            <w:tcW w:w="200" w:type="dxa"/>
            <w:vAlign w:val="bottom"/>
          </w:tcPr>
          <w:p>
            <w:pPr>
              <w:spacing w:after="0"/>
              <w:rPr>
                <w:sz w:val="12"/>
                <w:szCs w:val="12"/>
                <w:color w:val="auto"/>
              </w:rPr>
            </w:pPr>
          </w:p>
        </w:tc>
        <w:tc>
          <w:tcPr>
            <w:tcW w:w="1180" w:type="dxa"/>
            <w:vAlign w:val="bottom"/>
            <w:gridSpan w:val="5"/>
          </w:tcPr>
          <w:p>
            <w:pPr>
              <w:jc w:val="center"/>
              <w:ind w:right="120"/>
              <w:spacing w:after="0" w:line="145" w:lineRule="exact"/>
              <w:rPr>
                <w:sz w:val="20"/>
                <w:szCs w:val="20"/>
                <w:color w:val="auto"/>
              </w:rPr>
            </w:pPr>
            <w:r>
              <w:rPr>
                <w:rFonts w:ascii="Arial" w:cs="Arial" w:eastAsia="Arial" w:hAnsi="Arial"/>
                <w:sz w:val="13"/>
                <w:szCs w:val="13"/>
                <w:b w:val="1"/>
                <w:bCs w:val="1"/>
                <w:color w:val="auto"/>
                <w:w w:val="88"/>
              </w:rPr>
              <w:t>ended</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5"/>
          </w:tcPr>
          <w:p>
            <w:pPr>
              <w:jc w:val="center"/>
              <w:ind w:right="74"/>
              <w:spacing w:after="0"/>
              <w:rPr>
                <w:sz w:val="20"/>
                <w:szCs w:val="20"/>
                <w:color w:val="auto"/>
              </w:rPr>
            </w:pPr>
            <w:r>
              <w:rPr>
                <w:rFonts w:ascii="Arial" w:cs="Arial" w:eastAsia="Arial" w:hAnsi="Arial"/>
                <w:sz w:val="13"/>
                <w:szCs w:val="13"/>
                <w:b w:val="1"/>
                <w:bCs w:val="1"/>
                <w:color w:val="auto"/>
                <w:w w:val="89"/>
              </w:rPr>
              <w:t>December 31,</w:t>
            </w:r>
          </w:p>
        </w:tc>
        <w:tc>
          <w:tcPr>
            <w:tcW w:w="200" w:type="dxa"/>
            <w:vAlign w:val="bottom"/>
          </w:tcPr>
          <w:p>
            <w:pPr>
              <w:spacing w:after="0"/>
              <w:rPr>
                <w:sz w:val="13"/>
                <w:szCs w:val="13"/>
                <w:color w:val="auto"/>
              </w:rPr>
            </w:pPr>
          </w:p>
        </w:tc>
        <w:tc>
          <w:tcPr>
            <w:tcW w:w="11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2"/>
              </w:rPr>
              <w:t>December 31,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2009</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2008</w:t>
            </w:r>
          </w:p>
        </w:tc>
        <w:tc>
          <w:tcPr>
            <w:tcW w:w="200" w:type="dxa"/>
            <w:vAlign w:val="bottom"/>
          </w:tcPr>
          <w:p>
            <w:pPr>
              <w:spacing w:after="0"/>
              <w:rPr>
                <w:sz w:val="12"/>
                <w:szCs w:val="12"/>
                <w:color w:val="auto"/>
              </w:rPr>
            </w:pPr>
          </w:p>
        </w:tc>
        <w:tc>
          <w:tcPr>
            <w:tcW w:w="42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2009</w:t>
            </w:r>
          </w:p>
        </w:tc>
        <w:tc>
          <w:tcPr>
            <w:tcW w:w="640" w:type="dxa"/>
            <w:vAlign w:val="bottom"/>
            <w:tcBorders>
              <w:top w:val="single" w:sz="8" w:color="auto"/>
            </w:tcBorders>
            <w:gridSpan w:val="3"/>
          </w:tcPr>
          <w:p>
            <w:pPr>
              <w:jc w:val="right"/>
              <w:ind w:right="80"/>
              <w:spacing w:after="0" w:line="138" w:lineRule="exact"/>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Borders>
              <w:bottom w:val="single" w:sz="8" w:color="auto"/>
            </w:tcBorders>
            <w:gridSpan w:val="4"/>
            <w:shd w:val="clear" w:color="auto" w:fill="CCEEFF"/>
          </w:tcPr>
          <w:p>
            <w:pPr>
              <w:spacing w:after="0" w:line="165" w:lineRule="exact"/>
              <w:rPr>
                <w:sz w:val="20"/>
                <w:szCs w:val="20"/>
                <w:color w:val="auto"/>
              </w:rPr>
            </w:pPr>
            <w:r>
              <w:rPr>
                <w:rFonts w:ascii="Arial" w:cs="Arial" w:eastAsia="Arial" w:hAnsi="Arial"/>
                <w:sz w:val="17"/>
                <w:szCs w:val="17"/>
                <w:color w:val="auto"/>
                <w:w w:val="90"/>
              </w:rPr>
              <w:t>Operational Statistics</w:t>
            </w:r>
          </w:p>
        </w:tc>
        <w:tc>
          <w:tcPr>
            <w:tcW w:w="2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40" w:type="dxa"/>
            <w:vAlign w:val="bottom"/>
            <w:gridSpan w:val="5"/>
          </w:tcPr>
          <w:p>
            <w:pPr>
              <w:spacing w:after="0"/>
              <w:rPr>
                <w:sz w:val="20"/>
                <w:szCs w:val="20"/>
                <w:color w:val="auto"/>
              </w:rPr>
            </w:pPr>
            <w:r>
              <w:rPr>
                <w:rFonts w:ascii="Arial" w:cs="Arial" w:eastAsia="Arial" w:hAnsi="Arial"/>
                <w:sz w:val="17"/>
                <w:szCs w:val="17"/>
                <w:color w:val="auto"/>
              </w:rPr>
              <w:t>Excluding litigation provision:</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gridSpan w:val="9"/>
            <w:shd w:val="clear" w:color="auto" w:fill="CCEEFF"/>
          </w:tcPr>
          <w:p>
            <w:pPr>
              <w:ind w:left="420"/>
              <w:spacing w:after="0"/>
              <w:rPr>
                <w:sz w:val="20"/>
                <w:szCs w:val="20"/>
                <w:color w:val="auto"/>
              </w:rPr>
            </w:pPr>
            <w:r>
              <w:rPr>
                <w:rFonts w:ascii="Arial" w:cs="Arial" w:eastAsia="Arial" w:hAnsi="Arial"/>
                <w:sz w:val="17"/>
                <w:szCs w:val="17"/>
                <w:color w:val="auto"/>
              </w:rPr>
              <w:t>Ratio of EBITDA to combined fixed charges and preferred share dividends (j) (k)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2.63x</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6"/>
              </w:rPr>
              <w:t>3.29x</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2.85x</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3.17x</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gridSpan w:val="9"/>
          </w:tcPr>
          <w:p>
            <w:pPr>
              <w:ind w:left="420"/>
              <w:spacing w:after="0"/>
              <w:rPr>
                <w:sz w:val="20"/>
                <w:szCs w:val="20"/>
                <w:color w:val="auto"/>
              </w:rPr>
            </w:pPr>
            <w:r>
              <w:rPr>
                <w:rFonts w:ascii="Arial" w:cs="Arial" w:eastAsia="Arial" w:hAnsi="Arial"/>
                <w:sz w:val="17"/>
                <w:szCs w:val="17"/>
                <w:color w:val="auto"/>
                <w:w w:val="94"/>
              </w:rPr>
              <w:t>Ratio of adjusted EBITDA to combined fixed charges and preferred share dividends (j) (k)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7"/>
                <w:szCs w:val="17"/>
                <w:color w:val="auto"/>
              </w:rPr>
              <w:t>2.63x</w:t>
            </w:r>
          </w:p>
        </w:tc>
        <w:tc>
          <w:tcPr>
            <w:tcW w:w="440" w:type="dxa"/>
            <w:vAlign w:val="bottom"/>
            <w:gridSpan w:val="2"/>
          </w:tcPr>
          <w:p>
            <w:pPr>
              <w:jc w:val="center"/>
              <w:spacing w:after="0"/>
              <w:rPr>
                <w:sz w:val="20"/>
                <w:szCs w:val="20"/>
                <w:color w:val="auto"/>
              </w:rPr>
            </w:pPr>
            <w:r>
              <w:rPr>
                <w:rFonts w:ascii="Arial" w:cs="Arial" w:eastAsia="Arial" w:hAnsi="Arial"/>
                <w:sz w:val="17"/>
                <w:szCs w:val="17"/>
                <w:color w:val="auto"/>
                <w:w w:val="96"/>
              </w:rPr>
              <w:t>3.09x</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w w:val="91"/>
              </w:rPr>
              <w:t>2.84x</w:t>
            </w:r>
          </w:p>
        </w:tc>
        <w:tc>
          <w:tcPr>
            <w:tcW w:w="2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3.05x</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74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Including litigation provision:</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gridSpan w:val="9"/>
          </w:tcPr>
          <w:p>
            <w:pPr>
              <w:ind w:left="420"/>
              <w:spacing w:after="0"/>
              <w:rPr>
                <w:sz w:val="20"/>
                <w:szCs w:val="20"/>
                <w:color w:val="auto"/>
              </w:rPr>
            </w:pPr>
            <w:r>
              <w:rPr>
                <w:rFonts w:ascii="Arial" w:cs="Arial" w:eastAsia="Arial" w:hAnsi="Arial"/>
                <w:sz w:val="17"/>
                <w:szCs w:val="17"/>
                <w:color w:val="auto"/>
              </w:rPr>
              <w:t>Ratio of EBITDA to combined fixed charges and preferred share dividends (j)</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7"/>
                <w:szCs w:val="17"/>
                <w:color w:val="auto"/>
              </w:rPr>
              <w:t>2.77x</w:t>
            </w:r>
          </w:p>
        </w:tc>
        <w:tc>
          <w:tcPr>
            <w:tcW w:w="440" w:type="dxa"/>
            <w:vAlign w:val="bottom"/>
            <w:gridSpan w:val="2"/>
          </w:tcPr>
          <w:p>
            <w:pPr>
              <w:jc w:val="center"/>
              <w:spacing w:after="0"/>
              <w:rPr>
                <w:sz w:val="20"/>
                <w:szCs w:val="20"/>
                <w:color w:val="auto"/>
              </w:rPr>
            </w:pPr>
            <w:r>
              <w:rPr>
                <w:rFonts w:ascii="Arial" w:cs="Arial" w:eastAsia="Arial" w:hAnsi="Arial"/>
                <w:sz w:val="17"/>
                <w:szCs w:val="17"/>
                <w:color w:val="auto"/>
                <w:w w:val="96"/>
              </w:rPr>
              <w:t>3.29x</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w w:val="91"/>
              </w:rPr>
              <w:t>2.71x</w:t>
            </w:r>
          </w:p>
        </w:tc>
        <w:tc>
          <w:tcPr>
            <w:tcW w:w="2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3.17x</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270"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Ratio of adjusted EBITDA to combined fixed charges and preferred share dividends (j)</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6"/>
              </w:rPr>
              <w:t>2.77x</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1"/>
              </w:rPr>
              <w:t>3.09x</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40"/>
              <w:spacing w:after="0"/>
              <w:rPr>
                <w:sz w:val="20"/>
                <w:szCs w:val="20"/>
                <w:color w:val="auto"/>
              </w:rPr>
            </w:pPr>
            <w:r>
              <w:rPr>
                <w:rFonts w:ascii="Arial" w:cs="Arial" w:eastAsia="Arial" w:hAnsi="Arial"/>
                <w:sz w:val="17"/>
                <w:szCs w:val="17"/>
                <w:color w:val="auto"/>
                <w:w w:val="86"/>
              </w:rPr>
              <w:t>2.70x</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6"/>
              </w:rPr>
              <w:t>3.05x</w:t>
            </w:r>
          </w:p>
        </w:tc>
      </w:tr>
      <w:tr>
        <w:trPr>
          <w:trHeight w:val="66"/>
        </w:trPr>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60" w:type="dxa"/>
            <w:vAlign w:val="bottom"/>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40" w:type="dxa"/>
            <w:vAlign w:val="bottom"/>
          </w:tcPr>
          <w:p>
            <w:pPr>
              <w:spacing w:after="0"/>
              <w:rPr>
                <w:sz w:val="5"/>
                <w:szCs w:val="5"/>
                <w:color w:val="auto"/>
              </w:rPr>
            </w:pPr>
          </w:p>
        </w:tc>
      </w:tr>
      <w:tr>
        <w:trPr>
          <w:trHeight w:val="40"/>
        </w:trPr>
        <w:tc>
          <w:tcPr>
            <w:tcW w:w="4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line="25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Mortgage loans do not include our 30% share ($17.3 million) of the $57.8 million debt of the partnership with a discretionary fund created and advised by ING Clarion Partners.</w:t>
      </w:r>
    </w:p>
    <w:p>
      <w:pPr>
        <w:spacing w:after="0" w:line="1" w:lineRule="exact"/>
        <w:rPr>
          <w:rFonts w:ascii="Arial" w:cs="Arial" w:eastAsia="Arial" w:hAnsi="Arial"/>
          <w:sz w:val="17"/>
          <w:szCs w:val="17"/>
          <w:color w:val="auto"/>
        </w:rPr>
      </w:pPr>
    </w:p>
    <w:p>
      <w:pPr>
        <w:ind w:left="460" w:right="540" w:hanging="455"/>
        <w:spacing w:after="0" w:line="25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interest rate of 6.04% represents the weighted average interest rate for two mortgage loans secured by this property. The loan balance represents an interest-only loan of $4.35 million at a stated rate of 6.18% and the remaining balance at a stated rate of 5.96%.</w:t>
      </w:r>
    </w:p>
    <w:p>
      <w:pPr>
        <w:spacing w:after="0" w:line="1" w:lineRule="exact"/>
        <w:rPr>
          <w:rFonts w:ascii="Arial" w:cs="Arial" w:eastAsia="Arial" w:hAnsi="Arial"/>
          <w:sz w:val="17"/>
          <w:szCs w:val="17"/>
          <w:color w:val="auto"/>
        </w:rPr>
      </w:pPr>
    </w:p>
    <w:p>
      <w:pPr>
        <w:jc w:val="both"/>
        <w:ind w:left="460" w:right="120" w:hanging="455"/>
        <w:spacing w:after="0" w:line="25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 legal obligation.</w:t>
      </w:r>
    </w:p>
    <w:p>
      <w:pPr>
        <w:spacing w:after="0" w:line="2" w:lineRule="exact"/>
        <w:rPr>
          <w:rFonts w:ascii="Arial" w:cs="Arial" w:eastAsia="Arial" w:hAnsi="Arial"/>
          <w:sz w:val="17"/>
          <w:szCs w:val="17"/>
          <w:color w:val="auto"/>
        </w:rPr>
      </w:pPr>
    </w:p>
    <w:p>
      <w:pPr>
        <w:ind w:left="460" w:right="200" w:hanging="455"/>
        <w:spacing w:after="0" w:line="25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interest rate is fixed at 5.66% for the first ten years and then will be reset to a market rate in 2013. The lender has the option to call the loan on April 15, 2013 or anytime thereafter.</w:t>
      </w:r>
    </w:p>
    <w:p>
      <w:pPr>
        <w:spacing w:after="0" w:line="1" w:lineRule="exact"/>
        <w:rPr>
          <w:rFonts w:ascii="Arial" w:cs="Arial" w:eastAsia="Arial" w:hAnsi="Arial"/>
          <w:sz w:val="17"/>
          <w:szCs w:val="17"/>
          <w:color w:val="auto"/>
        </w:rPr>
      </w:pPr>
    </w:p>
    <w:p>
      <w:pPr>
        <w:ind w:left="460" w:right="140" w:hanging="455"/>
        <w:spacing w:after="0" w:line="25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during 2009 was $172.5 million, and the weighted average effective interest rate on borrowings under our revolving credit facility, before amortization of debt fees, was 1.37%. The revolving credit facility was scheduled to mature on July 27, 2010, subject to a one-year extension at our option. On January 28, 2010, we delivered notice to our lender exercising our option to extend the maturity date one year to July 27, 2011.</w:t>
      </w:r>
    </w:p>
    <w:p>
      <w:pPr>
        <w:spacing w:after="0" w:line="3" w:lineRule="exact"/>
        <w:rPr>
          <w:rFonts w:ascii="Arial" w:cs="Arial" w:eastAsia="Arial" w:hAnsi="Arial"/>
          <w:sz w:val="17"/>
          <w:szCs w:val="17"/>
          <w:color w:val="auto"/>
        </w:rPr>
      </w:pPr>
    </w:p>
    <w:p>
      <w:pPr>
        <w:ind w:left="460" w:hanging="455"/>
        <w:spacing w:after="0" w:line="27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term loan bears interest at LIBOR, subject to a 1.5% floor, plus 300 basis points. The weighted average effective interest rate, before amortization of debt fees, was 4.62% for the period from the inception of the loan of May 4, 2009 through December 31, 2009. On October 27, 2009 and December 21, 2009, we repaid $100 million and $22 million, respectively, of our term loan. Due to the repayments, approximately $1.7 million of unamortized debt fees were recorded as additional interest expense in 2009 and are included in “early extinguishment of debt” in the summarized income statement.</w:t>
      </w:r>
    </w:p>
    <w:p>
      <w:pPr>
        <w:ind w:left="460" w:hanging="455"/>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bonds bear interest at a variable rate determined weekly which would enable the bonds to be remarketed at 100% of their principal amount.</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weighted average effective interest rate includes the amortization of any deferred financing fees, discounts and premiums, if applicable.</w:t>
      </w:r>
    </w:p>
    <w:p>
      <w:pPr>
        <w:spacing w:after="0" w:line="15" w:lineRule="exact"/>
        <w:rPr>
          <w:rFonts w:ascii="Arial" w:cs="Arial" w:eastAsia="Arial" w:hAnsi="Arial"/>
          <w:sz w:val="17"/>
          <w:szCs w:val="17"/>
          <w:color w:val="auto"/>
        </w:rPr>
      </w:pPr>
    </w:p>
    <w:p>
      <w:pPr>
        <w:ind w:left="460" w:right="540" w:hanging="455"/>
        <w:spacing w:after="0" w:line="25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weighted average effective interest rate excludes $0.1 million in quarterly financing fees on our revolving credit facility which had a $0 balance on December 31, 2009.</w:t>
      </w:r>
    </w:p>
    <w:p>
      <w:pPr>
        <w:spacing w:after="0" w:line="1" w:lineRule="exact"/>
        <w:rPr>
          <w:rFonts w:ascii="Arial" w:cs="Arial" w:eastAsia="Arial" w:hAnsi="Arial"/>
          <w:sz w:val="17"/>
          <w:szCs w:val="17"/>
          <w:color w:val="auto"/>
        </w:rPr>
      </w:pPr>
    </w:p>
    <w:p>
      <w:pPr>
        <w:ind w:left="460" w:right="140" w:hanging="455"/>
        <w:spacing w:after="0" w:line="25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or premium and expense and the portion of rent expense representing an interest factor. EBITDA includes a $1.3 million gain on sale for the year ended December 31, 2009. Fixed charges includes $1.7 million and $2.6 million of early extinguishment of debt for the three months and year ended December 31, 2009, respectively, primarily related to the write-off of debt fees related to the paydown of the term loan and the cash tender offer for our 8.75% senior notes. Adjusted EBITDA is reconciled to net income attributable to the Trust in the Glossary of Terms.</w:t>
      </w:r>
    </w:p>
    <w:p>
      <w:pPr>
        <w:spacing w:after="0" w:line="4" w:lineRule="exact"/>
        <w:rPr>
          <w:rFonts w:ascii="Arial" w:cs="Arial" w:eastAsia="Arial" w:hAnsi="Arial"/>
          <w:sz w:val="17"/>
          <w:szCs w:val="17"/>
          <w:color w:val="auto"/>
        </w:rPr>
      </w:pPr>
    </w:p>
    <w:p>
      <w:pPr>
        <w:ind w:left="460" w:right="40" w:hanging="455"/>
        <w:spacing w:after="0" w:line="310"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to exclude a ($4.7) million and $16.4 million litigation provision charge for the three months and year ended December 31, 2009, related to litigation regarding a parcel of land located adjacent to Santana Row as well as other costs related to the litigation and the appeal process.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140" w:right="27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Debt Maturities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DEBT MATURITIES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5" w:lineRule="exact"/>
              <w:rPr>
                <w:sz w:val="20"/>
                <w:szCs w:val="20"/>
                <w:color w:val="auto"/>
              </w:rPr>
            </w:pPr>
            <w:r>
              <w:rPr>
                <w:rFonts w:ascii="Arial" w:cs="Arial" w:eastAsia="Arial" w:hAnsi="Arial"/>
                <w:sz w:val="13"/>
                <w:szCs w:val="13"/>
                <w:b w:val="1"/>
                <w:bCs w:val="1"/>
                <w:color w:val="auto"/>
                <w:w w:val="85"/>
              </w:rPr>
              <w:t>Scheduled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2"/>
          </w:tcPr>
          <w:p>
            <w:pPr>
              <w:jc w:val="right"/>
              <w:ind w:right="740"/>
              <w:spacing w:after="0" w:line="145" w:lineRule="exact"/>
              <w:rPr>
                <w:sz w:val="20"/>
                <w:szCs w:val="20"/>
                <w:color w:val="auto"/>
              </w:rPr>
            </w:pPr>
            <w:r>
              <w:rPr>
                <w:rFonts w:ascii="Arial" w:cs="Arial" w:eastAsia="Arial" w:hAnsi="Arial"/>
                <w:sz w:val="13"/>
                <w:szCs w:val="13"/>
                <w:b w:val="1"/>
                <w:bCs w:val="1"/>
                <w:color w:val="auto"/>
              </w:rPr>
              <w:t>Percent of</w:t>
            </w:r>
          </w:p>
        </w:tc>
        <w:tc>
          <w:tcPr>
            <w:tcW w:w="1060" w:type="dxa"/>
            <w:vAlign w:val="bottom"/>
            <w:gridSpan w:val="2"/>
          </w:tcPr>
          <w:p>
            <w:pPr>
              <w:jc w:val="center"/>
              <w:ind w:right="180"/>
              <w:spacing w:after="0" w:line="145" w:lineRule="exact"/>
              <w:rPr>
                <w:sz w:val="20"/>
                <w:szCs w:val="20"/>
                <w:color w:val="auto"/>
              </w:rPr>
            </w:pPr>
            <w:r>
              <w:rPr>
                <w:rFonts w:ascii="Arial" w:cs="Arial" w:eastAsia="Arial" w:hAnsi="Arial"/>
                <w:sz w:val="13"/>
                <w:szCs w:val="13"/>
                <w:b w:val="1"/>
                <w:bCs w:val="1"/>
                <w:color w:val="auto"/>
                <w:w w:val="88"/>
              </w:rPr>
              <w:t>Percent of</w:t>
            </w:r>
          </w:p>
        </w:tc>
        <w:tc>
          <w:tcPr>
            <w:tcW w:w="0" w:type="dxa"/>
            <w:vAlign w:val="bottom"/>
          </w:tcPr>
          <w:p>
            <w:pPr>
              <w:spacing w:after="0"/>
              <w:rPr>
                <w:sz w:val="1"/>
                <w:szCs w:val="1"/>
                <w:color w:val="auto"/>
              </w:rPr>
            </w:pPr>
          </w:p>
        </w:tc>
      </w:tr>
      <w:tr>
        <w:trPr>
          <w:trHeight w:val="158"/>
        </w:trPr>
        <w:tc>
          <w:tcPr>
            <w:tcW w:w="480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4"/>
              </w:rPr>
              <w:t>Maturities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920"/>
              <w:spacing w:after="0"/>
              <w:rPr>
                <w:sz w:val="20"/>
                <w:szCs w:val="20"/>
                <w:color w:val="auto"/>
              </w:rPr>
            </w:pPr>
            <w:r>
              <w:rPr>
                <w:rFonts w:ascii="Arial" w:cs="Arial" w:eastAsia="Arial" w:hAnsi="Arial"/>
                <w:sz w:val="13"/>
                <w:szCs w:val="13"/>
                <w:b w:val="1"/>
                <w:bCs w:val="1"/>
                <w:color w:val="auto"/>
              </w:rPr>
              <w:t>Total</w:t>
            </w:r>
          </w:p>
        </w:tc>
        <w:tc>
          <w:tcPr>
            <w:tcW w:w="14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w w:val="96"/>
              </w:rPr>
              <w:t>Debt Maturing</w:t>
            </w: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Debt Maturing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2010</w:t>
            </w:r>
          </w:p>
        </w:tc>
        <w:tc>
          <w:tcPr>
            <w:tcW w:w="3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12,036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12,036</w:t>
            </w:r>
          </w:p>
        </w:tc>
        <w:tc>
          <w:tcPr>
            <w:tcW w:w="6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0.7%</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auto"/>
              </w:rPr>
              <w:t>2011</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12,438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362,252 (1)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374,690</w:t>
            </w:r>
          </w:p>
        </w:tc>
        <w:tc>
          <w:tcPr>
            <w:tcW w:w="6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7"/>
                <w:szCs w:val="17"/>
                <w:color w:val="auto"/>
              </w:rPr>
              <w:t>20.9%</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2012</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12,691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181,916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194,607</w:t>
            </w:r>
          </w:p>
        </w:tc>
        <w:tc>
          <w:tcPr>
            <w:tcW w:w="6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auto"/>
              </w:rPr>
              <w:t>2013</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11,853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7"/>
                <w:szCs w:val="17"/>
                <w:color w:val="auto"/>
              </w:rPr>
              <w:t>196,893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208,746</w:t>
            </w:r>
          </w:p>
        </w:tc>
        <w:tc>
          <w:tcPr>
            <w:tcW w:w="6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7"/>
                <w:szCs w:val="17"/>
                <w:color w:val="auto"/>
              </w:rPr>
              <w:t>11.6%</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2014</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10,225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297,864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308,089</w:t>
            </w:r>
          </w:p>
        </w:tc>
        <w:tc>
          <w:tcPr>
            <w:tcW w:w="6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17.2%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auto"/>
              </w:rPr>
              <w:t>2015</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6,858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7"/>
                <w:szCs w:val="17"/>
                <w:color w:val="auto"/>
              </w:rPr>
              <w:t>198,391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205,249</w:t>
            </w:r>
          </w:p>
        </w:tc>
        <w:tc>
          <w:tcPr>
            <w:tcW w:w="6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7"/>
                <w:szCs w:val="17"/>
                <w:color w:val="auto"/>
              </w:rPr>
              <w:t>11.4%</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2016</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134,400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137,302</w:t>
            </w:r>
          </w:p>
        </w:tc>
        <w:tc>
          <w:tcPr>
            <w:tcW w:w="6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7.7%</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auto"/>
              </w:rPr>
              <w:t>2017</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3,110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7"/>
                <w:szCs w:val="17"/>
                <w:color w:val="auto"/>
              </w:rPr>
              <w:t>200,000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203,110</w:t>
            </w:r>
          </w:p>
        </w:tc>
        <w:tc>
          <w:tcPr>
            <w:tcW w:w="6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7"/>
                <w:szCs w:val="17"/>
                <w:color w:val="auto"/>
              </w:rPr>
              <w:t>11.3%</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2018</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3,321</w:t>
            </w:r>
          </w:p>
        </w:tc>
        <w:tc>
          <w:tcPr>
            <w:tcW w:w="6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20" w:type="dxa"/>
            <w:vAlign w:val="bottom"/>
            <w:gridSpan w:val="2"/>
          </w:tcPr>
          <w:p>
            <w:pPr>
              <w:ind w:left="140"/>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53,067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7"/>
                <w:szCs w:val="17"/>
                <w:color w:val="auto"/>
              </w:rPr>
              <w:t>93,038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146,105</w:t>
            </w:r>
          </w:p>
        </w:tc>
        <w:tc>
          <w:tcPr>
            <w:tcW w:w="6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7"/>
                <w:szCs w:val="17"/>
                <w:color w:val="auto"/>
              </w:rPr>
              <w:t>8.1%</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128,501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9"/>
              </w:rPr>
              <w:t>1,664,754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0"/>
              </w:rPr>
              <w:t>1,793,255 (2)</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100.0%</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$300 million revolving credit facility matures on July 27, 2011. As of December 31, 2009, there was $0 drawn under this credit facility.</w:t>
      </w:r>
    </w:p>
    <w:p>
      <w:pPr>
        <w:spacing w:after="0" w:line="15" w:lineRule="exact"/>
        <w:rPr>
          <w:rFonts w:ascii="Arial" w:cs="Arial" w:eastAsia="Arial" w:hAnsi="Arial"/>
          <w:sz w:val="17"/>
          <w:szCs w:val="17"/>
          <w:color w:val="auto"/>
        </w:rPr>
      </w:pPr>
    </w:p>
    <w:p>
      <w:pPr>
        <w:ind w:left="460" w:right="120" w:hanging="455"/>
        <w:spacing w:after="0" w:line="277"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total debt maturities differs from the total reported on the consolidated balance sheet due to the unamortized net discount or premium on certain mortgage loans, senior notes and debentures as of December 31, 2009.</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70"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Redevelopment Opportunities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Redevelopment Opportunities (1) ($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1"/>
              </w:rPr>
              <w:t>Projected</w:t>
            </w:r>
          </w:p>
        </w:tc>
        <w:tc>
          <w:tcPr>
            <w:tcW w:w="16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Projected</w:t>
            </w:r>
          </w:p>
        </w:tc>
        <w:tc>
          <w:tcPr>
            <w:tcW w:w="1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3"/>
                <w:szCs w:val="13"/>
                <w:b w:val="1"/>
                <w:bCs w:val="1"/>
                <w:color w:val="auto"/>
                <w:w w:val="89"/>
              </w:rPr>
              <w:t>Cost to</w:t>
            </w: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Property</w:t>
            </w:r>
          </w:p>
        </w:tc>
        <w:tc>
          <w:tcPr>
            <w:tcW w:w="1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8"/>
              </w:rPr>
              <w:t>Location</w:t>
            </w:r>
          </w:p>
        </w:tc>
        <w:tc>
          <w:tcPr>
            <w:tcW w:w="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Opportunity</w:t>
            </w:r>
          </w:p>
        </w:tc>
        <w:tc>
          <w:tcPr>
            <w:tcW w:w="152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ROI (2)</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w w:val="94"/>
              </w:rPr>
              <w:t>Cost (1)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Projects Stabilized in 2009 (3)</w:t>
            </w: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Hollywood Galaxy Building</w:t>
            </w: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Hollywood, CA</w:t>
            </w: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Re-tenanting three level entertainment center</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and converting project into urban</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neighborhood community center</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12%</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5"/>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Houston Street</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San Antonio, TX</w:t>
            </w: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Construction of a new building with ground</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level leased to Walgreen’s pharmacy and</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office above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60" w:type="dxa"/>
            <w:vAlign w:val="bottom"/>
            <w:gridSpan w:val="3"/>
          </w:tcPr>
          <w:p>
            <w:pPr>
              <w:spacing w:after="0"/>
              <w:rPr>
                <w:sz w:val="20"/>
                <w:szCs w:val="20"/>
                <w:color w:val="auto"/>
              </w:rPr>
            </w:pPr>
            <w:r>
              <w:rPr>
                <w:rFonts w:ascii="Arial" w:cs="Arial" w:eastAsia="Arial" w:hAnsi="Arial"/>
                <w:sz w:val="17"/>
                <w:szCs w:val="17"/>
                <w:color w:val="auto"/>
              </w:rPr>
              <w:t>Crossroads</w:t>
            </w: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Highland Park, IL</w:t>
            </w: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Bank pad addition</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660" w:type="dxa"/>
            <w:vAlign w:val="bottom"/>
            <w:gridSpan w:val="3"/>
            <w:shd w:val="clear" w:color="auto" w:fill="CCEEFF"/>
          </w:tcPr>
          <w:p>
            <w:pPr>
              <w:ind w:left="420"/>
              <w:spacing w:after="0"/>
              <w:rPr>
                <w:sz w:val="20"/>
                <w:szCs w:val="20"/>
                <w:color w:val="auto"/>
              </w:rPr>
            </w:pPr>
            <w:r>
              <w:rPr>
                <w:rFonts w:ascii="Arial" w:cs="Arial" w:eastAsia="Arial" w:hAnsi="Arial"/>
                <w:sz w:val="17"/>
                <w:szCs w:val="17"/>
                <w:b w:val="1"/>
                <w:bCs w:val="1"/>
                <w:color w:val="auto"/>
                <w:w w:val="93"/>
              </w:rPr>
              <w:t>Subtotal: Projects Stabilized in 2009 (3) (4)</w:t>
            </w: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11%</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25</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Projects Anticipated to Stabilize in 2010 (3)</w:t>
            </w: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66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Bethesda Row (Hampden Lane)</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Bethesda, MD</w:t>
            </w: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Construction of new three level building</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leased to fitness center and additional ground</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level retail spaces.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Village of Shirlington - Phase III &amp; IV</w:t>
            </w: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Arlington, VA</w:t>
            </w: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Ground lease to hotel operator and ground</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floor retail as part of office building</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development (by others)</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16%</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5"/>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Barracks Road</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Charlottesville, VA</w:t>
            </w: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Expansion of Bed, Bath and Beyond and</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creation of two additional small shop spaces,</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utilizing vacant anchor space.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Lancaster</w:t>
            </w: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Lancaster, PA</w:t>
            </w: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Renovation and expansion of existing grocer,</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new bank pad, and façade renovation</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4"/>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Langhorne</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Levittown, PA</w:t>
            </w: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Pad site addition</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6"/>
            <w:vMerge w:val="restart"/>
          </w:tcPr>
          <w:p>
            <w:pPr>
              <w:ind w:left="420"/>
              <w:spacing w:after="0"/>
              <w:rPr>
                <w:sz w:val="20"/>
                <w:szCs w:val="20"/>
                <w:color w:val="auto"/>
              </w:rPr>
            </w:pPr>
            <w:r>
              <w:rPr>
                <w:rFonts w:ascii="Arial" w:cs="Arial" w:eastAsia="Arial" w:hAnsi="Arial"/>
                <w:sz w:val="17"/>
                <w:szCs w:val="17"/>
                <w:b w:val="1"/>
                <w:bCs w:val="1"/>
                <w:color w:val="auto"/>
              </w:rPr>
              <w:t>Subtotal: Projects Anticipated to Stabilize in 2010 (3) (4)</w:t>
            </w: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40" w:type="dxa"/>
            <w:vAlign w:val="bottom"/>
            <w:gridSpan w:val="6"/>
            <w:vMerge w:val="continue"/>
          </w:tcPr>
          <w:p>
            <w:pPr>
              <w:spacing w:after="0"/>
              <w:rPr>
                <w:sz w:val="18"/>
                <w:szCs w:val="18"/>
                <w:color w:val="auto"/>
              </w:rPr>
            </w:pPr>
          </w:p>
        </w:tc>
        <w:tc>
          <w:tcPr>
            <w:tcW w:w="1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12%</w:t>
            </w:r>
          </w:p>
        </w:tc>
        <w:tc>
          <w:tcPr>
            <w:tcW w:w="16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28</w:t>
            </w:r>
          </w:p>
        </w:tc>
        <w:tc>
          <w:tcPr>
            <w:tcW w:w="1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Projects Anticipated to Stabilize in 2011 (3)</w:t>
            </w: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Santana Row</w:t>
            </w: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San Jose, CA</w:t>
            </w: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Five-story building with 15,000 square feet of</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ground level retail and 65,000 square feet of</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office space</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6%</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44</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5"/>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Laurel</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Laurel, MD</w:t>
            </w: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Pad preparation for new LA Fitness, replacing</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theater and small shop space. Reconfigure</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parking lot entrance.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6%</w:t>
            </w:r>
          </w:p>
        </w:tc>
        <w:tc>
          <w:tcPr>
            <w:tcW w:w="16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b w:val="1"/>
                <w:bCs w:val="1"/>
                <w:color w:val="auto"/>
              </w:rPr>
              <w:t>53</w:t>
            </w:r>
          </w:p>
        </w:tc>
        <w:tc>
          <w:tcPr>
            <w:tcW w:w="1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40" w:type="dxa"/>
            <w:vAlign w:val="bottom"/>
            <w:gridSpan w:val="6"/>
            <w:shd w:val="clear" w:color="auto" w:fill="CCEEFF"/>
          </w:tcPr>
          <w:p>
            <w:pPr>
              <w:spacing w:after="0"/>
              <w:rPr>
                <w:sz w:val="20"/>
                <w:szCs w:val="20"/>
                <w:color w:val="auto"/>
              </w:rPr>
            </w:pPr>
            <w:r>
              <w:rPr>
                <w:rFonts w:ascii="Arial" w:cs="Arial" w:eastAsia="Arial" w:hAnsi="Arial"/>
                <w:sz w:val="17"/>
                <w:szCs w:val="17"/>
                <w:b w:val="1"/>
                <w:bCs w:val="1"/>
                <w:color w:val="auto"/>
                <w:w w:val="97"/>
              </w:rPr>
              <w:t>Total: Projects Anticipated to Stabilize in 2009, 2010 and 2011 (3) (4)</w:t>
            </w:r>
          </w:p>
        </w:tc>
        <w:tc>
          <w:tcPr>
            <w:tcW w:w="1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106</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48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34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7"/>
                <w:szCs w:val="17"/>
                <w:b w:val="1"/>
                <w:bCs w:val="1"/>
                <w:color w:val="auto"/>
              </w:rPr>
              <w:t>Potential future redevelopment pipeline includes (5):</w:t>
            </w:r>
          </w:p>
        </w:tc>
        <w:tc>
          <w:tcPr>
            <w:tcW w:w="15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80" w:type="dxa"/>
            <w:vAlign w:val="bottom"/>
          </w:tcPr>
          <w:p>
            <w:pPr>
              <w:spacing w:after="0"/>
              <w:rPr>
                <w:sz w:val="21"/>
                <w:szCs w:val="2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Property</w:t>
            </w:r>
          </w:p>
        </w:tc>
        <w:tc>
          <w:tcPr>
            <w:tcW w:w="1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8"/>
              </w:rPr>
              <w:t>Location</w:t>
            </w:r>
          </w:p>
        </w:tc>
        <w:tc>
          <w:tcPr>
            <w:tcW w:w="5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Opportunity</w:t>
            </w:r>
          </w:p>
        </w:tc>
        <w:tc>
          <w:tcPr>
            <w:tcW w:w="1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Assembly Square</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Somerville, MA</w:t>
            </w: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w w:val="99"/>
              </w:rPr>
              <w:t>Potential substantial transit oriented mixed-use</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development</w:t>
            </w: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60" w:type="dxa"/>
            <w:vAlign w:val="bottom"/>
            <w:gridSpan w:val="3"/>
          </w:tcPr>
          <w:p>
            <w:pPr>
              <w:spacing w:after="0"/>
              <w:rPr>
                <w:sz w:val="20"/>
                <w:szCs w:val="20"/>
                <w:color w:val="auto"/>
              </w:rPr>
            </w:pPr>
            <w:r>
              <w:rPr>
                <w:rFonts w:ascii="Arial" w:cs="Arial" w:eastAsia="Arial" w:hAnsi="Arial"/>
                <w:sz w:val="17"/>
                <w:szCs w:val="17"/>
                <w:color w:val="auto"/>
              </w:rPr>
              <w:t>Assembly Square Mall</w:t>
            </w: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Somerville, MA</w:t>
            </w: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Pad site addition</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Bala Cynwyd</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Bala Cynwyd, PA</w:t>
            </w: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Potential redevelopment of nine acres of land</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for a transit oriented mixed-use project or</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retail center</w:t>
            </w: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Brick Plaza</w:t>
            </w: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Brick, NJ</w:t>
            </w: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Redevelopment and expansion of existing pad</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site, plus additional pad site</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Federal Plaza</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Rockville, MD</w:t>
            </w: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Pad building opportunities</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Flourtown</w:t>
            </w: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Flourtown, PA</w:t>
            </w: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Anchor re-tenanting, small shop renovation,</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and site improvements</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Hollywood Peterson Building</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Hollywood, CA</w:t>
            </w: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Co-terminus leases create potential for</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property redevelopment and expansion</w:t>
            </w: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660" w:type="dxa"/>
            <w:vAlign w:val="bottom"/>
            <w:gridSpan w:val="3"/>
          </w:tcPr>
          <w:p>
            <w:pPr>
              <w:spacing w:after="0"/>
              <w:rPr>
                <w:sz w:val="20"/>
                <w:szCs w:val="20"/>
                <w:color w:val="auto"/>
              </w:rPr>
            </w:pPr>
            <w:r>
              <w:rPr>
                <w:rFonts w:ascii="Arial" w:cs="Arial" w:eastAsia="Arial" w:hAnsi="Arial"/>
                <w:sz w:val="17"/>
                <w:szCs w:val="17"/>
                <w:color w:val="auto"/>
              </w:rPr>
              <w:t>Huntington</w:t>
            </w: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Huntington, NY</w:t>
            </w: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Pad site additions</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Linden Square</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Wellesley, MA</w:t>
            </w: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Additional phases of infill redevelopment</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gridSpan w:val="3"/>
          </w:tcPr>
          <w:p>
            <w:pPr>
              <w:spacing w:after="0"/>
              <w:rPr>
                <w:sz w:val="20"/>
                <w:szCs w:val="20"/>
                <w:color w:val="auto"/>
              </w:rPr>
            </w:pPr>
            <w:r>
              <w:rPr>
                <w:rFonts w:ascii="Arial" w:cs="Arial" w:eastAsia="Arial" w:hAnsi="Arial"/>
                <w:sz w:val="17"/>
                <w:szCs w:val="17"/>
                <w:color w:val="auto"/>
              </w:rPr>
              <w:t>Mercer Mall</w:t>
            </w: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Lawrenceville, NJ</w:t>
            </w: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Construction of new outparcel</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Mid-Pike Plaza</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Rockville, MD</w:t>
            </w: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Co-terminus leases create potential for retail</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redevelopment or transit oriented mixed-use</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development</w:t>
            </w: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Pike 7</w:t>
            </w: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Vienna, VA</w:t>
            </w: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Co-terminus leases create potential for retail</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redevelopment or transit oriented mixed-use</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development</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Santana Row</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San Jose, CA</w:t>
            </w: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Future phases of mixed-use development</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gridSpan w:val="3"/>
          </w:tcPr>
          <w:p>
            <w:pPr>
              <w:spacing w:after="0"/>
              <w:rPr>
                <w:sz w:val="20"/>
                <w:szCs w:val="20"/>
                <w:color w:val="auto"/>
              </w:rPr>
            </w:pPr>
            <w:r>
              <w:rPr>
                <w:rFonts w:ascii="Arial" w:cs="Arial" w:eastAsia="Arial" w:hAnsi="Arial"/>
                <w:sz w:val="17"/>
                <w:szCs w:val="17"/>
                <w:color w:val="auto"/>
              </w:rPr>
              <w:t>Shoppers’ World</w:t>
            </w: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Charlottesville, VA</w:t>
            </w: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Co-terminus leases create potential for</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remerchandising and reconfiguration of retail</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spaces</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Town Center of New Britain</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New Britain, PA</w:t>
            </w: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Renovation and expansion of existing grocer</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gridSpan w:val="3"/>
          </w:tcPr>
          <w:p>
            <w:pPr>
              <w:spacing w:after="0"/>
              <w:rPr>
                <w:sz w:val="20"/>
                <w:szCs w:val="20"/>
                <w:color w:val="auto"/>
              </w:rPr>
            </w:pPr>
            <w:r>
              <w:rPr>
                <w:rFonts w:ascii="Arial" w:cs="Arial" w:eastAsia="Arial" w:hAnsi="Arial"/>
                <w:sz w:val="17"/>
                <w:szCs w:val="17"/>
                <w:color w:val="auto"/>
              </w:rPr>
              <w:t>Troy</w:t>
            </w:r>
          </w:p>
        </w:tc>
        <w:tc>
          <w:tcPr>
            <w:tcW w:w="1680" w:type="dxa"/>
            <w:vAlign w:val="bottom"/>
            <w:gridSpan w:val="3"/>
          </w:tcPr>
          <w:p>
            <w:pPr>
              <w:ind w:left="100"/>
              <w:spacing w:after="0"/>
              <w:rPr>
                <w:sz w:val="20"/>
                <w:szCs w:val="20"/>
                <w:color w:val="auto"/>
              </w:rPr>
            </w:pPr>
            <w:r>
              <w:rPr>
                <w:rFonts w:ascii="Arial" w:cs="Arial" w:eastAsia="Arial" w:hAnsi="Arial"/>
                <w:sz w:val="17"/>
                <w:szCs w:val="17"/>
                <w:color w:val="auto"/>
              </w:rPr>
              <w:t>Parsippany, NJ</w:t>
            </w:r>
          </w:p>
        </w:tc>
        <w:tc>
          <w:tcPr>
            <w:tcW w:w="3780" w:type="dxa"/>
            <w:vAlign w:val="bottom"/>
            <w:gridSpan w:val="3"/>
          </w:tcPr>
          <w:p>
            <w:pPr>
              <w:ind w:left="260"/>
              <w:spacing w:after="0"/>
              <w:rPr>
                <w:sz w:val="20"/>
                <w:szCs w:val="20"/>
                <w:color w:val="auto"/>
              </w:rPr>
            </w:pPr>
            <w:r>
              <w:rPr>
                <w:rFonts w:ascii="Arial" w:cs="Arial" w:eastAsia="Arial" w:hAnsi="Arial"/>
                <w:sz w:val="17"/>
                <w:szCs w:val="17"/>
                <w:color w:val="auto"/>
              </w:rPr>
              <w:t>Pad site addition</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Willow Lawn</w:t>
            </w:r>
          </w:p>
        </w:tc>
        <w:tc>
          <w:tcPr>
            <w:tcW w:w="168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Richmond, VA</w:t>
            </w: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Demo interior mall, relocate mall tenants,</w:t>
            </w: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78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construct new exterior GLA</w:t>
            </w: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83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ectPr>
          <w:pgSz w:w="11900" w:h="16838" w:orient="portrait"/>
          <w:cols w:equalWidth="0" w:num="1">
            <w:col w:w="11420"/>
          </w:cols>
          <w:pgMar w:left="240" w:top="270" w:right="239" w:bottom="0" w:gutter="0" w:footer="0" w:header="0"/>
        </w:sectPr>
      </w:pPr>
    </w:p>
    <w:bookmarkStart w:id="19" w:name="page20"/>
    <w:bookmarkEnd w:id="19"/>
    <w:p>
      <w:pPr>
        <w:ind w:left="455" w:right="100" w:hanging="455"/>
        <w:spacing w:after="0" w:line="277" w:lineRule="auto"/>
        <w:tabs>
          <w:tab w:leader="none" w:pos="4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 w:lineRule="exact"/>
        <w:rPr>
          <w:rFonts w:ascii="Arial" w:cs="Arial" w:eastAsia="Arial" w:hAnsi="Arial"/>
          <w:sz w:val="16"/>
          <w:szCs w:val="16"/>
          <w:color w:val="auto"/>
        </w:rPr>
      </w:pPr>
    </w:p>
    <w:p>
      <w:pPr>
        <w:ind w:left="455" w:hanging="455"/>
        <w:spacing w:after="0" w:line="293" w:lineRule="auto"/>
        <w:tabs>
          <w:tab w:leader="none" w:pos="455"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Projected ROI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spacing w:after="0" w:line="1" w:lineRule="exact"/>
        <w:rPr>
          <w:rFonts w:ascii="Arial" w:cs="Arial" w:eastAsia="Arial" w:hAnsi="Arial"/>
          <w:sz w:val="15"/>
          <w:szCs w:val="15"/>
          <w:color w:val="auto"/>
        </w:rPr>
      </w:pPr>
    </w:p>
    <w:p>
      <w:pPr>
        <w:ind w:left="455" w:hanging="455"/>
        <w:spacing w:after="0"/>
        <w:tabs>
          <w:tab w:leader="none" w:pos="4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Stabilization is the year in which 95% occupancy of the redeveloped space is achieved.</w:t>
      </w:r>
    </w:p>
    <w:p>
      <w:pPr>
        <w:spacing w:after="0" w:line="15" w:lineRule="exact"/>
        <w:rPr>
          <w:rFonts w:ascii="Arial" w:cs="Arial" w:eastAsia="Arial" w:hAnsi="Arial"/>
          <w:sz w:val="17"/>
          <w:szCs w:val="17"/>
          <w:color w:val="auto"/>
        </w:rPr>
      </w:pPr>
    </w:p>
    <w:p>
      <w:pPr>
        <w:ind w:left="455" w:hanging="455"/>
        <w:spacing w:after="0"/>
        <w:tabs>
          <w:tab w:leader="none" w:pos="4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subtotals and totals reflect cost weighted-average ROIs.</w:t>
      </w:r>
    </w:p>
    <w:p>
      <w:pPr>
        <w:spacing w:after="0" w:line="15" w:lineRule="exact"/>
        <w:rPr>
          <w:rFonts w:ascii="Arial" w:cs="Arial" w:eastAsia="Arial" w:hAnsi="Arial"/>
          <w:sz w:val="17"/>
          <w:szCs w:val="17"/>
          <w:color w:val="auto"/>
        </w:rPr>
      </w:pPr>
    </w:p>
    <w:p>
      <w:pPr>
        <w:ind w:left="455" w:right="100" w:hanging="455"/>
        <w:spacing w:after="0" w:line="277" w:lineRule="auto"/>
        <w:tabs>
          <w:tab w:leader="none" w:pos="4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These future redevelopment opportunities are being explored by the Trust. There is no guaranty that the Trust will ultimately pursue or complete any or all of these opportunities.</w:t>
      </w:r>
    </w:p>
    <w:p>
      <w:pPr>
        <w:spacing w:after="0" w:line="110" w:lineRule="exact"/>
        <w:rPr>
          <w:sz w:val="20"/>
          <w:szCs w:val="20"/>
          <w:color w:val="auto"/>
        </w:rPr>
      </w:pPr>
    </w:p>
    <w:p>
      <w:pPr>
        <w:jc w:val="center"/>
        <w:ind w:right="-74"/>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35"/>
          </w:cols>
          <w:pgMar w:left="245" w:top="131" w:right="31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Mortgage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w w:val="95"/>
              </w:rPr>
              <w:t>and/or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w w:val="94"/>
              </w:rPr>
              <w:t>Real</w:t>
            </w: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w w:val="96"/>
              </w:rPr>
              <w:t>Capital</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3"/>
                <w:szCs w:val="13"/>
                <w:b w:val="1"/>
                <w:bCs w:val="1"/>
                <w:color w:val="auto"/>
                <w:w w:val="92"/>
              </w:rPr>
              <w:t>Grocery</w:t>
            </w:r>
          </w:p>
        </w:tc>
        <w:tc>
          <w:tcPr>
            <w:tcW w:w="60" w:type="dxa"/>
            <w:vAlign w:val="bottom"/>
          </w:tcPr>
          <w:p>
            <w:pPr>
              <w:spacing w:after="0"/>
              <w:rPr>
                <w:sz w:val="12"/>
                <w:szCs w:val="12"/>
                <w:color w:val="auto"/>
              </w:rPr>
            </w:pPr>
          </w:p>
        </w:tc>
        <w:tc>
          <w:tcPr>
            <w:tcW w:w="144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Grocery</w:t>
            </w: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000" w:type="dxa"/>
            <w:vAlign w:val="bottom"/>
            <w:gridSpan w:val="5"/>
          </w:tcPr>
          <w:p>
            <w:pPr>
              <w:spacing w:after="0" w:line="132" w:lineRule="exact"/>
              <w:rPr>
                <w:sz w:val="20"/>
                <w:szCs w:val="20"/>
                <w:color w:val="auto"/>
              </w:rPr>
            </w:pPr>
            <w:r>
              <w:rPr>
                <w:rFonts w:ascii="Arial" w:cs="Arial" w:eastAsia="Arial" w:hAnsi="Arial"/>
                <w:sz w:val="13"/>
                <w:szCs w:val="13"/>
                <w:b w:val="1"/>
                <w:bCs w:val="1"/>
                <w:color w:val="auto"/>
              </w:rPr>
              <w:t>Property</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40"/>
              <w:spacing w:after="0" w:line="132" w:lineRule="exact"/>
              <w:rPr>
                <w:sz w:val="20"/>
                <w:szCs w:val="20"/>
                <w:color w:val="auto"/>
              </w:rPr>
            </w:pPr>
            <w:r>
              <w:rPr>
                <w:rFonts w:ascii="Arial" w:cs="Arial" w:eastAsia="Arial" w:hAnsi="Arial"/>
                <w:sz w:val="13"/>
                <w:szCs w:val="13"/>
                <w:b w:val="1"/>
                <w:bCs w:val="1"/>
                <w:color w:val="auto"/>
                <w:w w:val="92"/>
              </w:rPr>
              <w:t>Year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20"/>
              <w:spacing w:after="0" w:line="132" w:lineRule="exact"/>
              <w:rPr>
                <w:sz w:val="20"/>
                <w:szCs w:val="20"/>
                <w:color w:val="auto"/>
              </w:rPr>
            </w:pPr>
            <w:r>
              <w:rPr>
                <w:rFonts w:ascii="Arial" w:cs="Arial" w:eastAsia="Arial" w:hAnsi="Arial"/>
                <w:sz w:val="13"/>
                <w:szCs w:val="13"/>
                <w:b w:val="1"/>
                <w:bCs w:val="1"/>
                <w:color w:val="auto"/>
                <w:w w:val="92"/>
              </w:rPr>
              <w:t>Estate</w:t>
            </w: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86"/>
              </w:rPr>
              <w:t>Lease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74"/>
              <w:spacing w:after="0" w:line="13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540" w:type="dxa"/>
            <w:vAlign w:val="bottom"/>
          </w:tcPr>
          <w:p>
            <w:pPr>
              <w:jc w:val="right"/>
              <w:ind w:right="134"/>
              <w:spacing w:after="0" w:line="13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600" w:type="dxa"/>
            <w:vAlign w:val="bottom"/>
            <w:gridSpan w:val="2"/>
          </w:tcPr>
          <w:p>
            <w:pPr>
              <w:jc w:val="right"/>
              <w:ind w:right="100"/>
              <w:spacing w:after="0" w:line="132" w:lineRule="exact"/>
              <w:rPr>
                <w:sz w:val="20"/>
                <w:szCs w:val="20"/>
                <w:color w:val="auto"/>
              </w:rPr>
            </w:pPr>
            <w:r>
              <w:rPr>
                <w:rFonts w:ascii="Arial" w:cs="Arial" w:eastAsia="Arial" w:hAnsi="Arial"/>
                <w:sz w:val="13"/>
                <w:szCs w:val="13"/>
                <w:b w:val="1"/>
                <w:bCs w:val="1"/>
                <w:color w:val="auto"/>
                <w:w w:val="93"/>
              </w:rPr>
              <w:t>Average</w:t>
            </w:r>
          </w:p>
        </w:tc>
        <w:tc>
          <w:tcPr>
            <w:tcW w:w="480" w:type="dxa"/>
            <w:vAlign w:val="bottom"/>
          </w:tcPr>
          <w:p>
            <w:pPr>
              <w:jc w:val="right"/>
              <w:spacing w:after="0" w:line="132" w:lineRule="exact"/>
              <w:rPr>
                <w:sz w:val="20"/>
                <w:szCs w:val="20"/>
                <w:color w:val="auto"/>
              </w:rPr>
            </w:pPr>
            <w:r>
              <w:rPr>
                <w:rFonts w:ascii="Arial" w:cs="Arial" w:eastAsia="Arial" w:hAnsi="Arial"/>
                <w:sz w:val="13"/>
                <w:szCs w:val="13"/>
                <w:b w:val="1"/>
                <w:bCs w:val="1"/>
                <w:color w:val="auto"/>
                <w:w w:val="96"/>
              </w:rPr>
              <w:t>Anchor</w:t>
            </w:r>
          </w:p>
        </w:tc>
        <w:tc>
          <w:tcPr>
            <w:tcW w:w="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gridSpan w:val="5"/>
          </w:tcPr>
          <w:p>
            <w:pPr>
              <w:spacing w:after="0"/>
              <w:rPr>
                <w:sz w:val="20"/>
                <w:szCs w:val="20"/>
                <w:color w:val="auto"/>
              </w:rPr>
            </w:pPr>
            <w:r>
              <w:rPr>
                <w:rFonts w:ascii="Arial" w:cs="Arial" w:eastAsia="Arial" w:hAnsi="Arial"/>
                <w:sz w:val="13"/>
                <w:szCs w:val="13"/>
                <w:b w:val="1"/>
                <w:bCs w:val="1"/>
                <w:color w:val="auto"/>
              </w:rPr>
              <w:t>Name</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3"/>
                <w:szCs w:val="13"/>
                <w:b w:val="1"/>
                <w:bCs w:val="1"/>
                <w:color w:val="auto"/>
              </w:rPr>
              <w:t>MSA Description</w:t>
            </w:r>
          </w:p>
        </w:tc>
        <w:tc>
          <w:tcPr>
            <w:tcW w:w="80" w:type="dxa"/>
            <w:vAlign w:val="bottom"/>
          </w:tcPr>
          <w:p>
            <w:pPr>
              <w:spacing w:after="0"/>
              <w:rPr>
                <w:sz w:val="14"/>
                <w:szCs w:val="14"/>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2"/>
              </w:rPr>
              <w:t>Acquired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at Cost</w:t>
            </w:r>
          </w:p>
        </w:tc>
        <w:tc>
          <w:tcPr>
            <w:tcW w:w="8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3"/>
              </w:rPr>
              <w:t>Obligation (1)</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GLA (2)</w:t>
            </w:r>
          </w:p>
        </w:tc>
        <w:tc>
          <w:tcPr>
            <w:tcW w:w="5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Leased</w:t>
            </w: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Occupied</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9"/>
              </w:rPr>
              <w:t>Rent PSF</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7"/>
              </w:rPr>
              <w:t>GLA (3)</w:t>
            </w:r>
          </w:p>
        </w:tc>
        <w:tc>
          <w:tcPr>
            <w:tcW w:w="6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Arial" w:cs="Arial" w:eastAsia="Arial" w:hAnsi="Arial"/>
                <w:sz w:val="13"/>
                <w:szCs w:val="13"/>
                <w:b w:val="1"/>
                <w:bCs w:val="1"/>
                <w:color w:val="auto"/>
              </w:rPr>
              <w:t>Anchor (3)</w:t>
            </w:r>
          </w:p>
        </w:tc>
        <w:tc>
          <w:tcPr>
            <w:tcW w:w="6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3"/>
                <w:szCs w:val="13"/>
                <w:b w:val="1"/>
                <w:bCs w:val="1"/>
                <w:color w:val="auto"/>
                <w:w w:val="91"/>
              </w:rPr>
              <w:t>Other Principal Tenants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8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40" w:type="dxa"/>
            <w:vAlign w:val="bottom"/>
            <w:gridSpan w:val="8"/>
            <w:shd w:val="clear" w:color="auto" w:fill="CCEEFF"/>
          </w:tcPr>
          <w:p>
            <w:pPr>
              <w:ind w:left="200"/>
              <w:spacing w:after="0" w:line="132" w:lineRule="exact"/>
              <w:rPr>
                <w:sz w:val="20"/>
                <w:szCs w:val="20"/>
                <w:color w:val="auto"/>
              </w:rPr>
            </w:pPr>
            <w:r>
              <w:rPr>
                <w:rFonts w:ascii="Arial" w:cs="Arial" w:eastAsia="Arial" w:hAnsi="Arial"/>
                <w:sz w:val="13"/>
                <w:szCs w:val="13"/>
                <w:b w:val="1"/>
                <w:bCs w:val="1"/>
                <w:color w:val="auto"/>
              </w:rPr>
              <w:t>Washington Metropolitan Area</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980" w:type="dxa"/>
            <w:vAlign w:val="bottom"/>
            <w:gridSpan w:val="4"/>
          </w:tcPr>
          <w:p>
            <w:pPr>
              <w:spacing w:after="0" w:line="129" w:lineRule="exact"/>
              <w:rPr>
                <w:sz w:val="20"/>
                <w:szCs w:val="20"/>
                <w:color w:val="auto"/>
              </w:rPr>
            </w:pPr>
            <w:r>
              <w:rPr>
                <w:rFonts w:ascii="Arial" w:cs="Arial" w:eastAsia="Arial" w:hAnsi="Arial"/>
                <w:sz w:val="13"/>
                <w:szCs w:val="13"/>
                <w:color w:val="auto"/>
              </w:rPr>
              <w:t>Bethesda Row</w:t>
            </w:r>
          </w:p>
        </w:tc>
        <w:tc>
          <w:tcPr>
            <w:tcW w:w="280" w:type="dxa"/>
            <w:vAlign w:val="bottom"/>
          </w:tcPr>
          <w:p>
            <w:pPr>
              <w:jc w:val="right"/>
              <w:ind w:right="34"/>
              <w:spacing w:after="0" w:line="129" w:lineRule="exact"/>
              <w:rPr>
                <w:sz w:val="20"/>
                <w:szCs w:val="20"/>
                <w:color w:val="auto"/>
              </w:rPr>
            </w:pPr>
            <w:r>
              <w:rPr>
                <w:rFonts w:ascii="Arial" w:cs="Arial" w:eastAsia="Arial" w:hAnsi="Arial"/>
                <w:sz w:val="13"/>
                <w:szCs w:val="13"/>
                <w:color w:val="auto"/>
              </w:rPr>
              <w:t>(4)</w:t>
            </w:r>
          </w:p>
        </w:tc>
        <w:tc>
          <w:tcPr>
            <w:tcW w:w="1580" w:type="dxa"/>
            <w:vAlign w:val="bottom"/>
            <w:gridSpan w:val="3"/>
          </w:tcPr>
          <w:p>
            <w:pPr>
              <w:spacing w:after="0" w:line="129" w:lineRule="exact"/>
              <w:rPr>
                <w:sz w:val="20"/>
                <w:szCs w:val="20"/>
                <w:color w:val="auto"/>
              </w:rPr>
            </w:pPr>
            <w:r>
              <w:rPr>
                <w:rFonts w:ascii="Arial" w:cs="Arial" w:eastAsia="Arial" w:hAnsi="Arial"/>
                <w:sz w:val="13"/>
                <w:szCs w:val="13"/>
                <w:color w:val="auto"/>
              </w:rPr>
              <w:t>Washington, DC-MD-VA</w:t>
            </w:r>
          </w:p>
        </w:tc>
        <w:tc>
          <w:tcPr>
            <w:tcW w:w="98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auto"/>
                <w:w w:val="99"/>
              </w:rPr>
              <w:t>1993-2006/2008</w:t>
            </w:r>
          </w:p>
        </w:tc>
        <w:tc>
          <w:tcPr>
            <w:tcW w:w="180" w:type="dxa"/>
            <w:vAlign w:val="bottom"/>
            <w:gridSpan w:val="2"/>
          </w:tcPr>
          <w:p>
            <w:pPr>
              <w:jc w:val="right"/>
              <w:ind w:right="14"/>
              <w:spacing w:after="0" w:line="129"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192,014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25,330</w:t>
            </w: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519,000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96%</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91%</w:t>
            </w:r>
          </w:p>
        </w:tc>
        <w:tc>
          <w:tcPr>
            <w:tcW w:w="540" w:type="dxa"/>
            <w:vAlign w:val="bottom"/>
          </w:tcPr>
          <w:p>
            <w:pPr>
              <w:jc w:val="right"/>
              <w:spacing w:after="0" w:line="129" w:lineRule="exact"/>
              <w:rPr>
                <w:sz w:val="20"/>
                <w:szCs w:val="20"/>
                <w:color w:val="auto"/>
              </w:rPr>
            </w:pPr>
            <w:r>
              <w:rPr>
                <w:rFonts w:ascii="Arial" w:cs="Arial" w:eastAsia="Arial" w:hAnsi="Arial"/>
                <w:sz w:val="13"/>
                <w:szCs w:val="13"/>
                <w:color w:val="auto"/>
              </w:rPr>
              <w:t>$   42.32</w:t>
            </w:r>
          </w:p>
        </w:tc>
        <w:tc>
          <w:tcPr>
            <w:tcW w:w="6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40,000</w:t>
            </w:r>
          </w:p>
        </w:tc>
        <w:tc>
          <w:tcPr>
            <w:tcW w:w="60" w:type="dxa"/>
            <w:vAlign w:val="bottom"/>
          </w:tcPr>
          <w:p>
            <w:pPr>
              <w:spacing w:after="0"/>
              <w:rPr>
                <w:sz w:val="11"/>
                <w:szCs w:val="11"/>
                <w:color w:val="auto"/>
              </w:rPr>
            </w:pPr>
          </w:p>
        </w:tc>
        <w:tc>
          <w:tcPr>
            <w:tcW w:w="1440" w:type="dxa"/>
            <w:vAlign w:val="bottom"/>
          </w:tcPr>
          <w:p>
            <w:pPr>
              <w:spacing w:after="0" w:line="129" w:lineRule="exact"/>
              <w:rPr>
                <w:sz w:val="20"/>
                <w:szCs w:val="20"/>
                <w:color w:val="auto"/>
              </w:rPr>
            </w:pPr>
            <w:r>
              <w:rPr>
                <w:rFonts w:ascii="Arial" w:cs="Arial" w:eastAsia="Arial" w:hAnsi="Arial"/>
                <w:sz w:val="13"/>
                <w:szCs w:val="13"/>
                <w:color w:val="auto"/>
              </w:rPr>
              <w:t>Giant Food</w:t>
            </w:r>
          </w:p>
        </w:tc>
        <w:tc>
          <w:tcPr>
            <w:tcW w:w="1420" w:type="dxa"/>
            <w:vAlign w:val="bottom"/>
            <w:gridSpan w:val="2"/>
          </w:tcPr>
          <w:p>
            <w:pPr>
              <w:ind w:left="60"/>
              <w:spacing w:after="0" w:line="129" w:lineRule="exact"/>
              <w:rPr>
                <w:sz w:val="20"/>
                <w:szCs w:val="20"/>
                <w:color w:val="auto"/>
              </w:rPr>
            </w:pPr>
            <w:r>
              <w:rPr>
                <w:rFonts w:ascii="Arial" w:cs="Arial" w:eastAsia="Arial" w:hAnsi="Arial"/>
                <w:sz w:val="13"/>
                <w:szCs w:val="13"/>
                <w:color w:val="auto"/>
              </w:rPr>
              <w:t>Barnes &amp; Noble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color w:val="auto"/>
              </w:rPr>
              <w:t>Landmark Theater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Congressional</w:t>
            </w:r>
          </w:p>
        </w:tc>
        <w:tc>
          <w:tcPr>
            <w:tcW w:w="280" w:type="dxa"/>
            <w:vAlign w:val="bottom"/>
            <w:shd w:val="clear" w:color="auto" w:fill="CCEEFF"/>
          </w:tcPr>
          <w:p>
            <w:pPr>
              <w:jc w:val="right"/>
              <w:ind w:right="34"/>
              <w:spacing w:after="0" w:line="136" w:lineRule="exact"/>
              <w:rPr>
                <w:sz w:val="20"/>
                <w:szCs w:val="20"/>
                <w:color w:val="auto"/>
              </w:rPr>
            </w:pPr>
            <w:r>
              <w:rPr>
                <w:rFonts w:ascii="Arial" w:cs="Arial" w:eastAsia="Arial" w:hAnsi="Arial"/>
                <w:sz w:val="13"/>
                <w:szCs w:val="13"/>
                <w:color w:val="auto"/>
              </w:rPr>
              <w:t>(5)</w:t>
            </w:r>
          </w:p>
        </w:tc>
        <w:tc>
          <w:tcPr>
            <w:tcW w:w="15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9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1965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70,467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332,000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30.78</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28,000</w:t>
            </w: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Whole Foods</w:t>
            </w:r>
          </w:p>
        </w:tc>
        <w:tc>
          <w:tcPr>
            <w:tcW w:w="142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Buy Buy Baby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gridSpan w:val="4"/>
            <w:shd w:val="clear" w:color="auto" w:fill="CCEEFF"/>
          </w:tcPr>
          <w:p>
            <w:pPr>
              <w:ind w:left="200"/>
              <w:spacing w:after="0"/>
              <w:rPr>
                <w:sz w:val="20"/>
                <w:szCs w:val="20"/>
                <w:color w:val="auto"/>
              </w:rPr>
            </w:pPr>
            <w:r>
              <w:rPr>
                <w:rFonts w:ascii="Arial" w:cs="Arial" w:eastAsia="Arial" w:hAnsi="Arial"/>
                <w:sz w:val="13"/>
                <w:szCs w:val="13"/>
                <w:color w:val="auto"/>
              </w:rPr>
              <w:t>Plaza</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Container Store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tcPr>
          <w:p>
            <w:pPr>
              <w:spacing w:after="0" w:line="136" w:lineRule="exact"/>
              <w:rPr>
                <w:sz w:val="20"/>
                <w:szCs w:val="20"/>
                <w:color w:val="auto"/>
              </w:rPr>
            </w:pPr>
            <w:r>
              <w:rPr>
                <w:rFonts w:ascii="Arial" w:cs="Arial" w:eastAsia="Arial" w:hAnsi="Arial"/>
                <w:sz w:val="13"/>
                <w:szCs w:val="13"/>
                <w:color w:val="auto"/>
              </w:rPr>
              <w:t>Courthouse</w:t>
            </w:r>
          </w:p>
        </w:tc>
        <w:tc>
          <w:tcPr>
            <w:tcW w:w="280" w:type="dxa"/>
            <w:vAlign w:val="bottom"/>
          </w:tcPr>
          <w:p>
            <w:pPr>
              <w:spacing w:after="0"/>
              <w:rPr>
                <w:sz w:val="11"/>
                <w:szCs w:val="11"/>
                <w:color w:val="auto"/>
              </w:rPr>
            </w:pPr>
          </w:p>
        </w:tc>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Washington, DC-MD-VA</w:t>
            </w:r>
          </w:p>
        </w:tc>
        <w:tc>
          <w:tcPr>
            <w:tcW w:w="9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1997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4,263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36,000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89%</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89%</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16.98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gridSpan w:val="4"/>
          </w:tcPr>
          <w:p>
            <w:pPr>
              <w:ind w:left="200"/>
              <w:spacing w:after="0"/>
              <w:rPr>
                <w:sz w:val="20"/>
                <w:szCs w:val="20"/>
                <w:color w:val="auto"/>
              </w:rPr>
            </w:pPr>
            <w:r>
              <w:rPr>
                <w:rFonts w:ascii="Arial" w:cs="Arial" w:eastAsia="Arial" w:hAnsi="Arial"/>
                <w:sz w:val="13"/>
                <w:szCs w:val="13"/>
                <w:color w:val="auto"/>
              </w:rPr>
              <w:t>Center</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Falls Plaza/Falls</w:t>
            </w:r>
          </w:p>
        </w:tc>
        <w:tc>
          <w:tcPr>
            <w:tcW w:w="280" w:type="dxa"/>
            <w:vAlign w:val="bottom"/>
            <w:shd w:val="clear" w:color="auto" w:fill="CCEEFF"/>
          </w:tcPr>
          <w:p>
            <w:pPr>
              <w:spacing w:after="0"/>
              <w:rPr>
                <w:sz w:val="11"/>
                <w:szCs w:val="11"/>
                <w:color w:val="auto"/>
              </w:rPr>
            </w:pPr>
          </w:p>
        </w:tc>
        <w:tc>
          <w:tcPr>
            <w:tcW w:w="15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9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1967-1972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11,982</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144,000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26.84</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51,000</w:t>
            </w: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Giant Food</w:t>
            </w:r>
          </w:p>
        </w:tc>
        <w:tc>
          <w:tcPr>
            <w:tcW w:w="142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gridSpan w:val="4"/>
            <w:shd w:val="clear" w:color="auto" w:fill="CCEEFF"/>
          </w:tcPr>
          <w:p>
            <w:pPr>
              <w:ind w:left="200"/>
              <w:spacing w:after="0"/>
              <w:rPr>
                <w:sz w:val="20"/>
                <w:szCs w:val="20"/>
                <w:color w:val="auto"/>
              </w:rPr>
            </w:pPr>
            <w:r>
              <w:rPr>
                <w:rFonts w:ascii="Arial" w:cs="Arial" w:eastAsia="Arial" w:hAnsi="Arial"/>
                <w:sz w:val="13"/>
                <w:szCs w:val="13"/>
                <w:color w:val="auto"/>
              </w:rPr>
              <w:t>Plaza-East</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tcPr>
          <w:p>
            <w:pPr>
              <w:spacing w:after="0" w:line="136" w:lineRule="exact"/>
              <w:rPr>
                <w:sz w:val="20"/>
                <w:szCs w:val="20"/>
                <w:color w:val="auto"/>
              </w:rPr>
            </w:pPr>
            <w:r>
              <w:rPr>
                <w:rFonts w:ascii="Arial" w:cs="Arial" w:eastAsia="Arial" w:hAnsi="Arial"/>
                <w:sz w:val="13"/>
                <w:szCs w:val="13"/>
                <w:color w:val="auto"/>
              </w:rPr>
              <w:t>Federal Plaza</w:t>
            </w:r>
          </w:p>
        </w:tc>
        <w:tc>
          <w:tcPr>
            <w:tcW w:w="280" w:type="dxa"/>
            <w:vAlign w:val="bottom"/>
          </w:tcPr>
          <w:p>
            <w:pPr>
              <w:spacing w:after="0"/>
              <w:rPr>
                <w:sz w:val="11"/>
                <w:szCs w:val="11"/>
                <w:color w:val="auto"/>
              </w:rPr>
            </w:pPr>
          </w:p>
        </w:tc>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Washington, DC-MD-VA</w:t>
            </w:r>
          </w:p>
        </w:tc>
        <w:tc>
          <w:tcPr>
            <w:tcW w:w="9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1989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62,203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32,536</w:t>
            </w: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248,000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94%</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91%</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29.88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20" w:type="dxa"/>
            <w:vAlign w:val="bottom"/>
            <w:gridSpan w:val="2"/>
          </w:tcPr>
          <w:p>
            <w:pPr>
              <w:ind w:left="60"/>
              <w:spacing w:after="0" w:line="136" w:lineRule="exact"/>
              <w:rPr>
                <w:sz w:val="20"/>
                <w:szCs w:val="20"/>
                <w:color w:val="auto"/>
              </w:rPr>
            </w:pPr>
            <w:r>
              <w:rPr>
                <w:rFonts w:ascii="Arial" w:cs="Arial" w:eastAsia="Arial" w:hAnsi="Arial"/>
                <w:sz w:val="13"/>
                <w:szCs w:val="13"/>
                <w:color w:val="auto"/>
                <w:w w:val="94"/>
              </w:rPr>
              <w:t>TJ Maxx / Micro Center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color w:val="auto"/>
              </w:rPr>
              <w:t>Ross / Trader Joe’s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w w:val="92"/>
              </w:rPr>
              <w:t>Friendship Center</w:t>
            </w:r>
          </w:p>
        </w:tc>
        <w:tc>
          <w:tcPr>
            <w:tcW w:w="2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spacing w:after="0" w:line="145" w:lineRule="exact"/>
              <w:rPr>
                <w:sz w:val="20"/>
                <w:szCs w:val="20"/>
                <w:color w:val="auto"/>
              </w:rPr>
            </w:pPr>
            <w:r>
              <w:rPr>
                <w:rFonts w:ascii="Arial" w:cs="Arial" w:eastAsia="Arial" w:hAnsi="Arial"/>
                <w:sz w:val="13"/>
                <w:szCs w:val="13"/>
                <w:color w:val="auto"/>
              </w:rPr>
              <w:t>Washington, DC-MD-VA</w:t>
            </w:r>
          </w:p>
        </w:tc>
        <w:tc>
          <w:tcPr>
            <w:tcW w:w="9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2001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33,415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118,000</w:t>
            </w: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66%</w:t>
            </w: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66%</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33.33</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Borders / Maggiano’s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tcPr>
          <w:p>
            <w:pPr>
              <w:spacing w:after="0" w:line="136" w:lineRule="exact"/>
              <w:rPr>
                <w:sz w:val="20"/>
                <w:szCs w:val="20"/>
                <w:color w:val="auto"/>
              </w:rPr>
            </w:pPr>
            <w:r>
              <w:rPr>
                <w:rFonts w:ascii="Arial" w:cs="Arial" w:eastAsia="Arial" w:hAnsi="Arial"/>
                <w:sz w:val="13"/>
                <w:szCs w:val="13"/>
                <w:color w:val="auto"/>
              </w:rPr>
              <w:t>Gaithersburg</w:t>
            </w:r>
          </w:p>
        </w:tc>
        <w:tc>
          <w:tcPr>
            <w:tcW w:w="280" w:type="dxa"/>
            <w:vAlign w:val="bottom"/>
          </w:tcPr>
          <w:p>
            <w:pPr>
              <w:spacing w:after="0"/>
              <w:rPr>
                <w:sz w:val="11"/>
                <w:szCs w:val="11"/>
                <w:color w:val="auto"/>
              </w:rPr>
            </w:pPr>
          </w:p>
        </w:tc>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Washington, DC-MD-VA</w:t>
            </w:r>
          </w:p>
        </w:tc>
        <w:tc>
          <w:tcPr>
            <w:tcW w:w="9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1993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24,406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209,000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76%</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76%</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25.46</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2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gridSpan w:val="4"/>
          </w:tcPr>
          <w:p>
            <w:pPr>
              <w:ind w:left="200"/>
              <w:spacing w:after="0"/>
              <w:rPr>
                <w:sz w:val="20"/>
                <w:szCs w:val="20"/>
                <w:color w:val="auto"/>
              </w:rPr>
            </w:pPr>
            <w:r>
              <w:rPr>
                <w:rFonts w:ascii="Arial" w:cs="Arial" w:eastAsia="Arial" w:hAnsi="Arial"/>
                <w:sz w:val="13"/>
                <w:szCs w:val="13"/>
                <w:color w:val="auto"/>
              </w:rPr>
              <w:t>Square</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color w:val="auto"/>
              </w:rPr>
              <w:t>Ross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Idylwood Plaza</w:t>
            </w:r>
          </w:p>
        </w:tc>
        <w:tc>
          <w:tcPr>
            <w:tcW w:w="2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spacing w:after="0" w:line="145" w:lineRule="exact"/>
              <w:rPr>
                <w:sz w:val="20"/>
                <w:szCs w:val="20"/>
                <w:color w:val="auto"/>
              </w:rPr>
            </w:pPr>
            <w:r>
              <w:rPr>
                <w:rFonts w:ascii="Arial" w:cs="Arial" w:eastAsia="Arial" w:hAnsi="Arial"/>
                <w:sz w:val="13"/>
                <w:szCs w:val="13"/>
                <w:color w:val="auto"/>
              </w:rPr>
              <w:t>Washington, DC-MD-VA</w:t>
            </w:r>
          </w:p>
        </w:tc>
        <w:tc>
          <w:tcPr>
            <w:tcW w:w="9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1994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15,707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16,792</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73,000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89%</w:t>
            </w: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89%</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42.83</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30,000</w:t>
            </w: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Whole Foods</w:t>
            </w: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tcPr>
          <w:p>
            <w:pPr>
              <w:spacing w:after="0" w:line="145" w:lineRule="exact"/>
              <w:rPr>
                <w:sz w:val="20"/>
                <w:szCs w:val="20"/>
                <w:color w:val="auto"/>
              </w:rPr>
            </w:pPr>
            <w:r>
              <w:rPr>
                <w:rFonts w:ascii="Arial" w:cs="Arial" w:eastAsia="Arial" w:hAnsi="Arial"/>
                <w:sz w:val="13"/>
                <w:szCs w:val="13"/>
                <w:color w:val="auto"/>
              </w:rPr>
              <w:t>Laurel</w:t>
            </w:r>
          </w:p>
        </w:tc>
        <w:tc>
          <w:tcPr>
            <w:tcW w:w="280" w:type="dxa"/>
            <w:vAlign w:val="bottom"/>
          </w:tcPr>
          <w:p>
            <w:pPr>
              <w:spacing w:after="0"/>
              <w:rPr>
                <w:sz w:val="12"/>
                <w:szCs w:val="12"/>
                <w:color w:val="auto"/>
              </w:rPr>
            </w:pPr>
          </w:p>
        </w:tc>
        <w:tc>
          <w:tcPr>
            <w:tcW w:w="1580" w:type="dxa"/>
            <w:vAlign w:val="bottom"/>
            <w:gridSpan w:val="3"/>
          </w:tcPr>
          <w:p>
            <w:pPr>
              <w:spacing w:after="0" w:line="145" w:lineRule="exact"/>
              <w:rPr>
                <w:sz w:val="20"/>
                <w:szCs w:val="20"/>
                <w:color w:val="auto"/>
              </w:rPr>
            </w:pPr>
            <w:r>
              <w:rPr>
                <w:rFonts w:ascii="Arial" w:cs="Arial" w:eastAsia="Arial" w:hAnsi="Arial"/>
                <w:sz w:val="13"/>
                <w:szCs w:val="13"/>
                <w:color w:val="auto"/>
              </w:rPr>
              <w:t>Washington, DC-MD-VA</w:t>
            </w:r>
          </w:p>
        </w:tc>
        <w:tc>
          <w:tcPr>
            <w:tcW w:w="9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1986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47,903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386,000</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97%</w:t>
            </w: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97%</w:t>
            </w: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17.29</w:t>
            </w:r>
          </w:p>
        </w:tc>
        <w:tc>
          <w:tcPr>
            <w:tcW w:w="6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3"/>
                <w:szCs w:val="13"/>
                <w:color w:val="auto"/>
              </w:rPr>
              <w:t>61,000</w:t>
            </w:r>
          </w:p>
        </w:tc>
        <w:tc>
          <w:tcPr>
            <w:tcW w:w="60" w:type="dxa"/>
            <w:vAlign w:val="bottom"/>
          </w:tcPr>
          <w:p>
            <w:pPr>
              <w:spacing w:after="0"/>
              <w:rPr>
                <w:sz w:val="12"/>
                <w:szCs w:val="12"/>
                <w:color w:val="auto"/>
              </w:rPr>
            </w:pPr>
          </w:p>
        </w:tc>
        <w:tc>
          <w:tcPr>
            <w:tcW w:w="1440" w:type="dxa"/>
            <w:vAlign w:val="bottom"/>
          </w:tcPr>
          <w:p>
            <w:pPr>
              <w:spacing w:after="0" w:line="145" w:lineRule="exact"/>
              <w:rPr>
                <w:sz w:val="20"/>
                <w:szCs w:val="20"/>
                <w:color w:val="auto"/>
              </w:rPr>
            </w:pPr>
            <w:r>
              <w:rPr>
                <w:rFonts w:ascii="Arial" w:cs="Arial" w:eastAsia="Arial" w:hAnsi="Arial"/>
                <w:sz w:val="13"/>
                <w:szCs w:val="13"/>
                <w:color w:val="auto"/>
              </w:rPr>
              <w:t>Giant Food</w:t>
            </w:r>
          </w:p>
        </w:tc>
        <w:tc>
          <w:tcPr>
            <w:tcW w:w="14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Leesburg Plaza</w:t>
            </w:r>
          </w:p>
        </w:tc>
        <w:tc>
          <w:tcPr>
            <w:tcW w:w="280" w:type="dxa"/>
            <w:vAlign w:val="bottom"/>
            <w:shd w:val="clear" w:color="auto" w:fill="CCEEFF"/>
          </w:tcPr>
          <w:p>
            <w:pPr>
              <w:jc w:val="right"/>
              <w:ind w:right="34"/>
              <w:spacing w:after="0" w:line="136" w:lineRule="exact"/>
              <w:rPr>
                <w:sz w:val="20"/>
                <w:szCs w:val="20"/>
                <w:color w:val="auto"/>
              </w:rPr>
            </w:pPr>
            <w:r>
              <w:rPr>
                <w:rFonts w:ascii="Arial" w:cs="Arial" w:eastAsia="Arial" w:hAnsi="Arial"/>
                <w:sz w:val="13"/>
                <w:szCs w:val="13"/>
                <w:color w:val="auto"/>
              </w:rPr>
              <w:t>(6)</w:t>
            </w:r>
          </w:p>
        </w:tc>
        <w:tc>
          <w:tcPr>
            <w:tcW w:w="15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9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1998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34,521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29,219</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236,000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22.35</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55,000</w:t>
            </w: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Giant Food</w:t>
            </w:r>
          </w:p>
        </w:tc>
        <w:tc>
          <w:tcPr>
            <w:tcW w:w="142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Petsmart / Pier One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Office Depot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tcPr>
          <w:p>
            <w:pPr>
              <w:spacing w:after="0" w:line="136" w:lineRule="exact"/>
              <w:rPr>
                <w:sz w:val="20"/>
                <w:szCs w:val="20"/>
                <w:color w:val="auto"/>
              </w:rPr>
            </w:pPr>
            <w:r>
              <w:rPr>
                <w:rFonts w:ascii="Arial" w:cs="Arial" w:eastAsia="Arial" w:hAnsi="Arial"/>
                <w:sz w:val="13"/>
                <w:szCs w:val="13"/>
                <w:color w:val="auto"/>
                <w:w w:val="89"/>
              </w:rPr>
              <w:t>Loehmann’s Plaza</w:t>
            </w:r>
          </w:p>
        </w:tc>
        <w:tc>
          <w:tcPr>
            <w:tcW w:w="280" w:type="dxa"/>
            <w:vAlign w:val="bottom"/>
          </w:tcPr>
          <w:p>
            <w:pPr>
              <w:spacing w:after="0"/>
              <w:rPr>
                <w:sz w:val="11"/>
                <w:szCs w:val="11"/>
                <w:color w:val="auto"/>
              </w:rPr>
            </w:pPr>
          </w:p>
        </w:tc>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Washington, DC-MD-VA</w:t>
            </w:r>
          </w:p>
        </w:tc>
        <w:tc>
          <w:tcPr>
            <w:tcW w:w="9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1983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32,735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37,783</w:t>
            </w: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268,000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96%</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96%</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25.33</w:t>
            </w:r>
          </w:p>
        </w:tc>
        <w:tc>
          <w:tcPr>
            <w:tcW w:w="6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58,000</w:t>
            </w:r>
          </w:p>
        </w:tc>
        <w:tc>
          <w:tcPr>
            <w:tcW w:w="60" w:type="dxa"/>
            <w:vAlign w:val="bottom"/>
          </w:tcPr>
          <w:p>
            <w:pPr>
              <w:spacing w:after="0"/>
              <w:rPr>
                <w:sz w:val="11"/>
                <w:szCs w:val="11"/>
                <w:color w:val="auto"/>
              </w:rPr>
            </w:pPr>
          </w:p>
        </w:tc>
        <w:tc>
          <w:tcPr>
            <w:tcW w:w="1440" w:type="dxa"/>
            <w:vAlign w:val="bottom"/>
          </w:tcPr>
          <w:p>
            <w:pPr>
              <w:spacing w:after="0" w:line="136" w:lineRule="exact"/>
              <w:rPr>
                <w:sz w:val="20"/>
                <w:szCs w:val="20"/>
                <w:color w:val="auto"/>
              </w:rPr>
            </w:pPr>
            <w:r>
              <w:rPr>
                <w:rFonts w:ascii="Arial" w:cs="Arial" w:eastAsia="Arial" w:hAnsi="Arial"/>
                <w:sz w:val="13"/>
                <w:szCs w:val="13"/>
                <w:color w:val="auto"/>
              </w:rPr>
              <w:t>Giant Food</w:t>
            </w:r>
          </w:p>
        </w:tc>
        <w:tc>
          <w:tcPr>
            <w:tcW w:w="142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Bally Total Fitness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color w:val="auto"/>
                <w:w w:val="89"/>
              </w:rPr>
              <w:t>Loehmann’s / Dress Shop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Mid-Pike Plaza</w:t>
            </w:r>
          </w:p>
        </w:tc>
        <w:tc>
          <w:tcPr>
            <w:tcW w:w="280" w:type="dxa"/>
            <w:vAlign w:val="bottom"/>
            <w:shd w:val="clear" w:color="auto" w:fill="CCEEFF"/>
          </w:tcPr>
          <w:p>
            <w:pPr>
              <w:spacing w:after="0"/>
              <w:rPr>
                <w:sz w:val="11"/>
                <w:szCs w:val="11"/>
                <w:color w:val="auto"/>
              </w:rPr>
            </w:pPr>
          </w:p>
        </w:tc>
        <w:tc>
          <w:tcPr>
            <w:tcW w:w="15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9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1982/2007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45,316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309,000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85%</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85%</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27.31</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Toys R Us / Bally 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Fitness / AC Moore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tcPr>
          <w:p>
            <w:pPr>
              <w:spacing w:after="0" w:line="136" w:lineRule="exact"/>
              <w:rPr>
                <w:sz w:val="20"/>
                <w:szCs w:val="20"/>
                <w:color w:val="auto"/>
              </w:rPr>
            </w:pPr>
            <w:r>
              <w:rPr>
                <w:rFonts w:ascii="Arial" w:cs="Arial" w:eastAsia="Arial" w:hAnsi="Arial"/>
                <w:sz w:val="13"/>
                <w:szCs w:val="13"/>
                <w:color w:val="auto"/>
              </w:rPr>
              <w:t>Mount</w:t>
            </w:r>
          </w:p>
        </w:tc>
        <w:tc>
          <w:tcPr>
            <w:tcW w:w="280" w:type="dxa"/>
            <w:vAlign w:val="bottom"/>
          </w:tcPr>
          <w:p>
            <w:pPr>
              <w:jc w:val="right"/>
              <w:ind w:right="34"/>
              <w:spacing w:after="0" w:line="136" w:lineRule="exact"/>
              <w:rPr>
                <w:sz w:val="20"/>
                <w:szCs w:val="20"/>
                <w:color w:val="auto"/>
              </w:rPr>
            </w:pPr>
            <w:r>
              <w:rPr>
                <w:rFonts w:ascii="Arial" w:cs="Arial" w:eastAsia="Arial" w:hAnsi="Arial"/>
                <w:sz w:val="13"/>
                <w:szCs w:val="13"/>
                <w:color w:val="auto"/>
              </w:rPr>
              <w:t>(6)</w:t>
            </w:r>
          </w:p>
        </w:tc>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Washington, DC-MD-VA</w:t>
            </w:r>
          </w:p>
        </w:tc>
        <w:tc>
          <w:tcPr>
            <w:tcW w:w="9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2003-2006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77,565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11,298</w:t>
            </w: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565,000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15.25</w:t>
            </w:r>
          </w:p>
        </w:tc>
        <w:tc>
          <w:tcPr>
            <w:tcW w:w="6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62,000</w:t>
            </w:r>
          </w:p>
        </w:tc>
        <w:tc>
          <w:tcPr>
            <w:tcW w:w="60" w:type="dxa"/>
            <w:vAlign w:val="bottom"/>
          </w:tcPr>
          <w:p>
            <w:pPr>
              <w:spacing w:after="0"/>
              <w:rPr>
                <w:sz w:val="11"/>
                <w:szCs w:val="11"/>
                <w:color w:val="auto"/>
              </w:rPr>
            </w:pPr>
          </w:p>
        </w:tc>
        <w:tc>
          <w:tcPr>
            <w:tcW w:w="1440" w:type="dxa"/>
            <w:vAlign w:val="bottom"/>
          </w:tcPr>
          <w:p>
            <w:pPr>
              <w:spacing w:after="0" w:line="136" w:lineRule="exact"/>
              <w:rPr>
                <w:sz w:val="20"/>
                <w:szCs w:val="20"/>
                <w:color w:val="auto"/>
              </w:rPr>
            </w:pPr>
            <w:r>
              <w:rPr>
                <w:rFonts w:ascii="Arial" w:cs="Arial" w:eastAsia="Arial" w:hAnsi="Arial"/>
                <w:sz w:val="13"/>
                <w:szCs w:val="13"/>
                <w:color w:val="auto"/>
                <w:w w:val="89"/>
              </w:rPr>
              <w:t>Shoppers Food Warehouse</w:t>
            </w:r>
          </w:p>
        </w:tc>
        <w:tc>
          <w:tcPr>
            <w:tcW w:w="142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tcPr>
          <w:p>
            <w:pPr>
              <w:ind w:left="200"/>
              <w:spacing w:after="0" w:line="145" w:lineRule="exact"/>
              <w:rPr>
                <w:sz w:val="20"/>
                <w:szCs w:val="20"/>
                <w:color w:val="auto"/>
              </w:rPr>
            </w:pPr>
            <w:r>
              <w:rPr>
                <w:rFonts w:ascii="Arial" w:cs="Arial" w:eastAsia="Arial" w:hAnsi="Arial"/>
                <w:sz w:val="13"/>
                <w:szCs w:val="13"/>
                <w:color w:val="auto"/>
                <w:w w:val="95"/>
              </w:rPr>
              <w:t>Vernon/South</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gridSpan w:val="2"/>
          </w:tcPr>
          <w:p>
            <w:pPr>
              <w:ind w:left="60"/>
              <w:spacing w:after="0" w:line="145" w:lineRule="exact"/>
              <w:rPr>
                <w:sz w:val="20"/>
                <w:szCs w:val="20"/>
                <w:color w:val="auto"/>
              </w:rPr>
            </w:pPr>
            <w:r>
              <w:rPr>
                <w:rFonts w:ascii="Arial" w:cs="Arial" w:eastAsia="Arial" w:hAnsi="Arial"/>
                <w:sz w:val="13"/>
                <w:szCs w:val="13"/>
                <w:color w:val="auto"/>
                <w:w w:val="94"/>
              </w:rPr>
              <w:t>Michaels / Home Depot /</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tcPr>
          <w:p>
            <w:pPr>
              <w:ind w:left="200"/>
              <w:spacing w:after="0" w:line="145" w:lineRule="exact"/>
              <w:rPr>
                <w:sz w:val="20"/>
                <w:szCs w:val="20"/>
                <w:color w:val="auto"/>
              </w:rPr>
            </w:pPr>
            <w:r>
              <w:rPr>
                <w:rFonts w:ascii="Arial" w:cs="Arial" w:eastAsia="Arial" w:hAnsi="Arial"/>
                <w:sz w:val="13"/>
                <w:szCs w:val="13"/>
                <w:color w:val="auto"/>
              </w:rPr>
              <w:t>Valley/7770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TJ Maxx / Gold’s Gym</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tcPr>
          <w:p>
            <w:pPr>
              <w:ind w:left="200"/>
              <w:spacing w:after="0" w:line="145" w:lineRule="exact"/>
              <w:rPr>
                <w:sz w:val="20"/>
                <w:szCs w:val="20"/>
                <w:color w:val="auto"/>
              </w:rPr>
            </w:pPr>
            <w:r>
              <w:rPr>
                <w:rFonts w:ascii="Arial" w:cs="Arial" w:eastAsia="Arial" w:hAnsi="Arial"/>
                <w:sz w:val="13"/>
                <w:szCs w:val="13"/>
                <w:color w:val="auto"/>
              </w:rPr>
              <w:t>Richmond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gridSpan w:val="4"/>
          </w:tcPr>
          <w:p>
            <w:pPr>
              <w:ind w:left="200"/>
              <w:spacing w:after="0"/>
              <w:rPr>
                <w:sz w:val="20"/>
                <w:szCs w:val="20"/>
                <w:color w:val="auto"/>
              </w:rPr>
            </w:pPr>
            <w:r>
              <w:rPr>
                <w:rFonts w:ascii="Arial" w:cs="Arial" w:eastAsia="Arial" w:hAnsi="Arial"/>
                <w:sz w:val="13"/>
                <w:szCs w:val="13"/>
                <w:color w:val="auto"/>
              </w:rPr>
              <w:t>Hwy</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Old Keene Mill</w:t>
            </w:r>
          </w:p>
        </w:tc>
        <w:tc>
          <w:tcPr>
            <w:tcW w:w="2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spacing w:after="0" w:line="145" w:lineRule="exact"/>
              <w:rPr>
                <w:sz w:val="20"/>
                <w:szCs w:val="20"/>
                <w:color w:val="auto"/>
              </w:rPr>
            </w:pPr>
            <w:r>
              <w:rPr>
                <w:rFonts w:ascii="Arial" w:cs="Arial" w:eastAsia="Arial" w:hAnsi="Arial"/>
                <w:sz w:val="13"/>
                <w:szCs w:val="13"/>
                <w:color w:val="auto"/>
              </w:rPr>
              <w:t>Washington, DC-MD-VA</w:t>
            </w:r>
          </w:p>
        </w:tc>
        <w:tc>
          <w:tcPr>
            <w:tcW w:w="9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1976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6,014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92,000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95%</w:t>
            </w: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95%</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31.08</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24,000</w:t>
            </w: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Whole Foods</w:t>
            </w:r>
          </w:p>
        </w:tc>
        <w:tc>
          <w:tcPr>
            <w:tcW w:w="142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tcPr>
          <w:p>
            <w:pPr>
              <w:spacing w:after="0" w:line="145" w:lineRule="exact"/>
              <w:rPr>
                <w:sz w:val="20"/>
                <w:szCs w:val="20"/>
                <w:color w:val="auto"/>
              </w:rPr>
            </w:pPr>
            <w:r>
              <w:rPr>
                <w:rFonts w:ascii="Arial" w:cs="Arial" w:eastAsia="Arial" w:hAnsi="Arial"/>
                <w:sz w:val="13"/>
                <w:szCs w:val="13"/>
                <w:color w:val="auto"/>
              </w:rPr>
              <w:t>Pan Am</w:t>
            </w:r>
          </w:p>
        </w:tc>
        <w:tc>
          <w:tcPr>
            <w:tcW w:w="280" w:type="dxa"/>
            <w:vAlign w:val="bottom"/>
          </w:tcPr>
          <w:p>
            <w:pPr>
              <w:spacing w:after="0"/>
              <w:rPr>
                <w:sz w:val="12"/>
                <w:szCs w:val="12"/>
                <w:color w:val="auto"/>
              </w:rPr>
            </w:pPr>
          </w:p>
        </w:tc>
        <w:tc>
          <w:tcPr>
            <w:tcW w:w="1580" w:type="dxa"/>
            <w:vAlign w:val="bottom"/>
            <w:gridSpan w:val="3"/>
          </w:tcPr>
          <w:p>
            <w:pPr>
              <w:spacing w:after="0" w:line="145" w:lineRule="exact"/>
              <w:rPr>
                <w:sz w:val="20"/>
                <w:szCs w:val="20"/>
                <w:color w:val="auto"/>
              </w:rPr>
            </w:pPr>
            <w:r>
              <w:rPr>
                <w:rFonts w:ascii="Arial" w:cs="Arial" w:eastAsia="Arial" w:hAnsi="Arial"/>
                <w:sz w:val="13"/>
                <w:szCs w:val="13"/>
                <w:color w:val="auto"/>
              </w:rPr>
              <w:t>Washington, DC-MD-VA</w:t>
            </w:r>
          </w:p>
        </w:tc>
        <w:tc>
          <w:tcPr>
            <w:tcW w:w="9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1993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28,431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227,000</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18.13</w:t>
            </w:r>
          </w:p>
        </w:tc>
        <w:tc>
          <w:tcPr>
            <w:tcW w:w="6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3"/>
                <w:szCs w:val="13"/>
                <w:color w:val="auto"/>
              </w:rPr>
              <w:t>63,000</w:t>
            </w:r>
          </w:p>
        </w:tc>
        <w:tc>
          <w:tcPr>
            <w:tcW w:w="60" w:type="dxa"/>
            <w:vAlign w:val="bottom"/>
          </w:tcPr>
          <w:p>
            <w:pPr>
              <w:spacing w:after="0"/>
              <w:rPr>
                <w:sz w:val="12"/>
                <w:szCs w:val="12"/>
                <w:color w:val="auto"/>
              </w:rPr>
            </w:pPr>
          </w:p>
        </w:tc>
        <w:tc>
          <w:tcPr>
            <w:tcW w:w="1440" w:type="dxa"/>
            <w:vAlign w:val="bottom"/>
          </w:tcPr>
          <w:p>
            <w:pPr>
              <w:spacing w:after="0" w:line="145" w:lineRule="exact"/>
              <w:rPr>
                <w:sz w:val="20"/>
                <w:szCs w:val="20"/>
                <w:color w:val="auto"/>
              </w:rPr>
            </w:pPr>
            <w:r>
              <w:rPr>
                <w:rFonts w:ascii="Arial" w:cs="Arial" w:eastAsia="Arial" w:hAnsi="Arial"/>
                <w:sz w:val="13"/>
                <w:szCs w:val="13"/>
                <w:color w:val="auto"/>
              </w:rPr>
              <w:t>Safeway</w:t>
            </w:r>
          </w:p>
        </w:tc>
        <w:tc>
          <w:tcPr>
            <w:tcW w:w="1420" w:type="dxa"/>
            <w:vAlign w:val="bottom"/>
            <w:gridSpan w:val="2"/>
          </w:tcPr>
          <w:p>
            <w:pPr>
              <w:ind w:left="60"/>
              <w:spacing w:after="0" w:line="145" w:lineRule="exact"/>
              <w:rPr>
                <w:sz w:val="20"/>
                <w:szCs w:val="20"/>
                <w:color w:val="auto"/>
              </w:rPr>
            </w:pPr>
            <w:r>
              <w:rPr>
                <w:rFonts w:ascii="Arial" w:cs="Arial" w:eastAsia="Arial" w:hAnsi="Arial"/>
                <w:sz w:val="13"/>
                <w:szCs w:val="13"/>
                <w:color w:val="auto"/>
                <w:w w:val="98"/>
              </w:rPr>
              <w:t>Micro Center / Michaels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Pentagon Row</w:t>
            </w:r>
          </w:p>
        </w:tc>
        <w:tc>
          <w:tcPr>
            <w:tcW w:w="280" w:type="dxa"/>
            <w:vAlign w:val="bottom"/>
            <w:shd w:val="clear" w:color="auto" w:fill="CCEEFF"/>
          </w:tcPr>
          <w:p>
            <w:pPr>
              <w:spacing w:after="0"/>
              <w:rPr>
                <w:sz w:val="11"/>
                <w:szCs w:val="11"/>
                <w:color w:val="auto"/>
              </w:rPr>
            </w:pPr>
          </w:p>
        </w:tc>
        <w:tc>
          <w:tcPr>
            <w:tcW w:w="15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9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1998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87,951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54,240</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296,000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33.80</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45,000</w:t>
            </w: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Harris Teeter</w:t>
            </w:r>
          </w:p>
        </w:tc>
        <w:tc>
          <w:tcPr>
            <w:tcW w:w="142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w w:val="93"/>
              </w:rPr>
              <w:t>Bally Total Fitness / Bed,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Bath &amp; Beyond / DSW</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tcPr>
          <w:p>
            <w:pPr>
              <w:spacing w:after="0" w:line="145" w:lineRule="exact"/>
              <w:rPr>
                <w:sz w:val="20"/>
                <w:szCs w:val="20"/>
                <w:color w:val="auto"/>
              </w:rPr>
            </w:pPr>
            <w:r>
              <w:rPr>
                <w:rFonts w:ascii="Arial" w:cs="Arial" w:eastAsia="Arial" w:hAnsi="Arial"/>
                <w:sz w:val="13"/>
                <w:szCs w:val="13"/>
                <w:color w:val="auto"/>
              </w:rPr>
              <w:t>Pike 7</w:t>
            </w:r>
          </w:p>
        </w:tc>
        <w:tc>
          <w:tcPr>
            <w:tcW w:w="280" w:type="dxa"/>
            <w:vAlign w:val="bottom"/>
          </w:tcPr>
          <w:p>
            <w:pPr>
              <w:spacing w:after="0"/>
              <w:rPr>
                <w:sz w:val="12"/>
                <w:szCs w:val="12"/>
                <w:color w:val="auto"/>
              </w:rPr>
            </w:pPr>
          </w:p>
        </w:tc>
        <w:tc>
          <w:tcPr>
            <w:tcW w:w="1580" w:type="dxa"/>
            <w:vAlign w:val="bottom"/>
            <w:gridSpan w:val="3"/>
          </w:tcPr>
          <w:p>
            <w:pPr>
              <w:spacing w:after="0" w:line="145" w:lineRule="exact"/>
              <w:rPr>
                <w:sz w:val="20"/>
                <w:szCs w:val="20"/>
                <w:color w:val="auto"/>
              </w:rPr>
            </w:pPr>
            <w:r>
              <w:rPr>
                <w:rFonts w:ascii="Arial" w:cs="Arial" w:eastAsia="Arial" w:hAnsi="Arial"/>
                <w:sz w:val="13"/>
                <w:szCs w:val="13"/>
                <w:color w:val="auto"/>
              </w:rPr>
              <w:t>Washington, DC-MD-VA</w:t>
            </w:r>
          </w:p>
        </w:tc>
        <w:tc>
          <w:tcPr>
            <w:tcW w:w="9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1997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34,865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164,000</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95%</w:t>
            </w: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33.08</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gridSpan w:val="2"/>
          </w:tcPr>
          <w:p>
            <w:pPr>
              <w:ind w:left="60"/>
              <w:spacing w:after="0" w:line="145" w:lineRule="exact"/>
              <w:rPr>
                <w:sz w:val="20"/>
                <w:szCs w:val="20"/>
                <w:color w:val="auto"/>
              </w:rPr>
            </w:pPr>
            <w:r>
              <w:rPr>
                <w:rFonts w:ascii="Arial" w:cs="Arial" w:eastAsia="Arial" w:hAnsi="Arial"/>
                <w:sz w:val="13"/>
                <w:szCs w:val="13"/>
                <w:color w:val="auto"/>
                <w:w w:val="92"/>
              </w:rPr>
              <w:t>DSW / Staples / TJ Maxx</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Quince Orchard</w:t>
            </w:r>
          </w:p>
        </w:tc>
        <w:tc>
          <w:tcPr>
            <w:tcW w:w="2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spacing w:after="0" w:line="145" w:lineRule="exact"/>
              <w:rPr>
                <w:sz w:val="20"/>
                <w:szCs w:val="20"/>
                <w:color w:val="auto"/>
              </w:rPr>
            </w:pPr>
            <w:r>
              <w:rPr>
                <w:rFonts w:ascii="Arial" w:cs="Arial" w:eastAsia="Arial" w:hAnsi="Arial"/>
                <w:sz w:val="13"/>
                <w:szCs w:val="13"/>
                <w:color w:val="auto"/>
              </w:rPr>
              <w:t>Washington, DC-MD-VA</w:t>
            </w:r>
          </w:p>
        </w:tc>
        <w:tc>
          <w:tcPr>
            <w:tcW w:w="9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1993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21,525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248,000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70%</w:t>
            </w: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70%</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20.21</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24,000</w:t>
            </w: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Magruders</w:t>
            </w:r>
          </w:p>
        </w:tc>
        <w:tc>
          <w:tcPr>
            <w:tcW w:w="142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tcPr>
          <w:p>
            <w:pPr>
              <w:spacing w:after="0" w:line="136" w:lineRule="exact"/>
              <w:rPr>
                <w:sz w:val="20"/>
                <w:szCs w:val="20"/>
                <w:color w:val="auto"/>
              </w:rPr>
            </w:pPr>
            <w:r>
              <w:rPr>
                <w:rFonts w:ascii="Arial" w:cs="Arial" w:eastAsia="Arial" w:hAnsi="Arial"/>
                <w:sz w:val="13"/>
                <w:szCs w:val="13"/>
                <w:color w:val="auto"/>
              </w:rPr>
              <w:t>Rockville Town</w:t>
            </w:r>
          </w:p>
        </w:tc>
        <w:tc>
          <w:tcPr>
            <w:tcW w:w="280" w:type="dxa"/>
            <w:vAlign w:val="bottom"/>
          </w:tcPr>
          <w:p>
            <w:pPr>
              <w:spacing w:after="0"/>
              <w:rPr>
                <w:sz w:val="11"/>
                <w:szCs w:val="11"/>
                <w:color w:val="auto"/>
              </w:rPr>
            </w:pPr>
          </w:p>
        </w:tc>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Washington, DC-MD-VA</w:t>
            </w:r>
          </w:p>
        </w:tc>
        <w:tc>
          <w:tcPr>
            <w:tcW w:w="9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2006-2007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37,340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182,000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29.98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2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CVS / Gold’s Gym</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gridSpan w:val="4"/>
          </w:tcPr>
          <w:p>
            <w:pPr>
              <w:ind w:left="200"/>
              <w:spacing w:after="0"/>
              <w:rPr>
                <w:sz w:val="20"/>
                <w:szCs w:val="20"/>
                <w:color w:val="auto"/>
              </w:rPr>
            </w:pPr>
            <w:r>
              <w:rPr>
                <w:rFonts w:ascii="Arial" w:cs="Arial" w:eastAsia="Arial" w:hAnsi="Arial"/>
                <w:sz w:val="13"/>
                <w:szCs w:val="13"/>
                <w:color w:val="auto"/>
              </w:rPr>
              <w:t>Square</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Rollingwood</w:t>
            </w:r>
          </w:p>
        </w:tc>
        <w:tc>
          <w:tcPr>
            <w:tcW w:w="280" w:type="dxa"/>
            <w:vAlign w:val="bottom"/>
            <w:shd w:val="clear" w:color="auto" w:fill="CCEEFF"/>
          </w:tcPr>
          <w:p>
            <w:pPr>
              <w:spacing w:after="0"/>
              <w:rPr>
                <w:sz w:val="11"/>
                <w:szCs w:val="11"/>
                <w:color w:val="auto"/>
              </w:rPr>
            </w:pPr>
          </w:p>
        </w:tc>
        <w:tc>
          <w:tcPr>
            <w:tcW w:w="15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9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1971</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7,736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23,880</w:t>
            </w:r>
          </w:p>
        </w:tc>
        <w:tc>
          <w:tcPr>
            <w:tcW w:w="6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N/A</w:t>
            </w: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93%</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92%</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N/A</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gridSpan w:val="4"/>
            <w:shd w:val="clear" w:color="auto" w:fill="CCEEFF"/>
          </w:tcPr>
          <w:p>
            <w:pPr>
              <w:ind w:left="200"/>
              <w:spacing w:after="0"/>
              <w:rPr>
                <w:sz w:val="20"/>
                <w:szCs w:val="20"/>
                <w:color w:val="auto"/>
              </w:rPr>
            </w:pPr>
            <w:r>
              <w:rPr>
                <w:rFonts w:ascii="Arial" w:cs="Arial" w:eastAsia="Arial" w:hAnsi="Arial"/>
                <w:sz w:val="13"/>
                <w:szCs w:val="13"/>
                <w:color w:val="auto"/>
              </w:rPr>
              <w:t>Apartments</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tcPr>
          <w:p>
            <w:pPr>
              <w:spacing w:after="0" w:line="136" w:lineRule="exact"/>
              <w:rPr>
                <w:sz w:val="20"/>
                <w:szCs w:val="20"/>
                <w:color w:val="auto"/>
              </w:rPr>
            </w:pPr>
            <w:r>
              <w:rPr>
                <w:rFonts w:ascii="Arial" w:cs="Arial" w:eastAsia="Arial" w:hAnsi="Arial"/>
                <w:sz w:val="13"/>
                <w:szCs w:val="13"/>
                <w:color w:val="auto"/>
              </w:rPr>
              <w:t>Sam’s Park &amp;</w:t>
            </w:r>
          </w:p>
        </w:tc>
        <w:tc>
          <w:tcPr>
            <w:tcW w:w="280" w:type="dxa"/>
            <w:vAlign w:val="bottom"/>
          </w:tcPr>
          <w:p>
            <w:pPr>
              <w:spacing w:after="0"/>
              <w:rPr>
                <w:sz w:val="11"/>
                <w:szCs w:val="11"/>
                <w:color w:val="auto"/>
              </w:rPr>
            </w:pPr>
          </w:p>
        </w:tc>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Washington, DC-MD-VA</w:t>
            </w:r>
          </w:p>
        </w:tc>
        <w:tc>
          <w:tcPr>
            <w:tcW w:w="9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1995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12,239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49,000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93%</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36.28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2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gridSpan w:val="4"/>
          </w:tcPr>
          <w:p>
            <w:pPr>
              <w:ind w:left="200"/>
              <w:spacing w:after="0"/>
              <w:rPr>
                <w:sz w:val="20"/>
                <w:szCs w:val="20"/>
                <w:color w:val="auto"/>
              </w:rPr>
            </w:pPr>
            <w:r>
              <w:rPr>
                <w:rFonts w:ascii="Arial" w:cs="Arial" w:eastAsia="Arial" w:hAnsi="Arial"/>
                <w:sz w:val="13"/>
                <w:szCs w:val="13"/>
                <w:color w:val="auto"/>
              </w:rPr>
              <w:t>Shop</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Tower</w:t>
            </w:r>
          </w:p>
        </w:tc>
        <w:tc>
          <w:tcPr>
            <w:tcW w:w="2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spacing w:after="0" w:line="145" w:lineRule="exact"/>
              <w:rPr>
                <w:sz w:val="20"/>
                <w:szCs w:val="20"/>
                <w:color w:val="auto"/>
              </w:rPr>
            </w:pPr>
            <w:r>
              <w:rPr>
                <w:rFonts w:ascii="Arial" w:cs="Arial" w:eastAsia="Arial" w:hAnsi="Arial"/>
                <w:sz w:val="13"/>
                <w:szCs w:val="13"/>
                <w:color w:val="auto"/>
              </w:rPr>
              <w:t>Washington, DC-MD-VA</w:t>
            </w:r>
          </w:p>
        </w:tc>
        <w:tc>
          <w:tcPr>
            <w:tcW w:w="9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1998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20,271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112,000</w:t>
            </w: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91%</w:t>
            </w: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91%</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23.96</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Talbots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tcPr>
          <w:p>
            <w:pPr>
              <w:spacing w:after="0" w:line="145" w:lineRule="exact"/>
              <w:rPr>
                <w:sz w:val="20"/>
                <w:szCs w:val="20"/>
                <w:color w:val="auto"/>
              </w:rPr>
            </w:pPr>
            <w:r>
              <w:rPr>
                <w:rFonts w:ascii="Arial" w:cs="Arial" w:eastAsia="Arial" w:hAnsi="Arial"/>
                <w:sz w:val="13"/>
                <w:szCs w:val="13"/>
                <w:color w:val="auto"/>
              </w:rPr>
              <w:t>Tyson’s Station</w:t>
            </w:r>
          </w:p>
        </w:tc>
        <w:tc>
          <w:tcPr>
            <w:tcW w:w="280" w:type="dxa"/>
            <w:vAlign w:val="bottom"/>
          </w:tcPr>
          <w:p>
            <w:pPr>
              <w:spacing w:after="0"/>
              <w:rPr>
                <w:sz w:val="12"/>
                <w:szCs w:val="12"/>
                <w:color w:val="auto"/>
              </w:rPr>
            </w:pPr>
          </w:p>
        </w:tc>
        <w:tc>
          <w:tcPr>
            <w:tcW w:w="1580" w:type="dxa"/>
            <w:vAlign w:val="bottom"/>
            <w:gridSpan w:val="3"/>
          </w:tcPr>
          <w:p>
            <w:pPr>
              <w:spacing w:after="0" w:line="145" w:lineRule="exact"/>
              <w:rPr>
                <w:sz w:val="20"/>
                <w:szCs w:val="20"/>
                <w:color w:val="auto"/>
              </w:rPr>
            </w:pPr>
            <w:r>
              <w:rPr>
                <w:rFonts w:ascii="Arial" w:cs="Arial" w:eastAsia="Arial" w:hAnsi="Arial"/>
                <w:sz w:val="13"/>
                <w:szCs w:val="13"/>
                <w:color w:val="auto"/>
              </w:rPr>
              <w:t>Washington, DC-MD-VA</w:t>
            </w:r>
          </w:p>
        </w:tc>
        <w:tc>
          <w:tcPr>
            <w:tcW w:w="9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1978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3,672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5,898</w:t>
            </w: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49,000</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38.84</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Trader Joe’s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Village at</w:t>
            </w:r>
          </w:p>
        </w:tc>
        <w:tc>
          <w:tcPr>
            <w:tcW w:w="280" w:type="dxa"/>
            <w:vAlign w:val="bottom"/>
            <w:shd w:val="clear" w:color="auto" w:fill="CCEEFF"/>
          </w:tcPr>
          <w:p>
            <w:pPr>
              <w:jc w:val="right"/>
              <w:ind w:right="34"/>
              <w:spacing w:after="0" w:line="136" w:lineRule="exact"/>
              <w:rPr>
                <w:sz w:val="20"/>
                <w:szCs w:val="20"/>
                <w:color w:val="auto"/>
              </w:rPr>
            </w:pPr>
            <w:r>
              <w:rPr>
                <w:rFonts w:ascii="Arial" w:cs="Arial" w:eastAsia="Arial" w:hAnsi="Arial"/>
                <w:sz w:val="13"/>
                <w:szCs w:val="13"/>
                <w:color w:val="auto"/>
              </w:rPr>
              <w:t>(4)</w:t>
            </w:r>
          </w:p>
        </w:tc>
        <w:tc>
          <w:tcPr>
            <w:tcW w:w="15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Washington, DC-MD-VA</w:t>
            </w:r>
          </w:p>
        </w:tc>
        <w:tc>
          <w:tcPr>
            <w:tcW w:w="9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1995</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52,197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6,292</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254,000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31.88</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28,000</w:t>
            </w: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Harris Teeter</w:t>
            </w:r>
          </w:p>
        </w:tc>
        <w:tc>
          <w:tcPr>
            <w:tcW w:w="142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AMC Loews / Carlyle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gridSpan w:val="4"/>
            <w:shd w:val="clear" w:color="auto" w:fill="CCEEFF"/>
          </w:tcPr>
          <w:p>
            <w:pPr>
              <w:ind w:left="200"/>
              <w:spacing w:after="0"/>
              <w:rPr>
                <w:sz w:val="20"/>
                <w:szCs w:val="20"/>
                <w:color w:val="auto"/>
              </w:rPr>
            </w:pPr>
            <w:r>
              <w:rPr>
                <w:rFonts w:ascii="Arial" w:cs="Arial" w:eastAsia="Arial" w:hAnsi="Arial"/>
                <w:sz w:val="13"/>
                <w:szCs w:val="13"/>
                <w:color w:val="auto"/>
              </w:rPr>
              <w:t>Shirlington</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Grand Café</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tcPr>
          <w:p>
            <w:pPr>
              <w:spacing w:after="0" w:line="145" w:lineRule="exact"/>
              <w:rPr>
                <w:sz w:val="20"/>
                <w:szCs w:val="20"/>
                <w:color w:val="auto"/>
              </w:rPr>
            </w:pPr>
            <w:r>
              <w:rPr>
                <w:rFonts w:ascii="Arial" w:cs="Arial" w:eastAsia="Arial" w:hAnsi="Arial"/>
                <w:sz w:val="13"/>
                <w:szCs w:val="13"/>
                <w:color w:val="auto"/>
              </w:rPr>
              <w:t>Wildwood</w:t>
            </w:r>
          </w:p>
        </w:tc>
        <w:tc>
          <w:tcPr>
            <w:tcW w:w="280" w:type="dxa"/>
            <w:vAlign w:val="bottom"/>
          </w:tcPr>
          <w:p>
            <w:pPr>
              <w:spacing w:after="0"/>
              <w:rPr>
                <w:sz w:val="12"/>
                <w:szCs w:val="12"/>
                <w:color w:val="auto"/>
              </w:rPr>
            </w:pPr>
          </w:p>
        </w:tc>
        <w:tc>
          <w:tcPr>
            <w:tcW w:w="1580" w:type="dxa"/>
            <w:vAlign w:val="bottom"/>
            <w:gridSpan w:val="3"/>
          </w:tcPr>
          <w:p>
            <w:pPr>
              <w:spacing w:after="0" w:line="145" w:lineRule="exact"/>
              <w:rPr>
                <w:sz w:val="20"/>
                <w:szCs w:val="20"/>
                <w:color w:val="auto"/>
              </w:rPr>
            </w:pPr>
            <w:r>
              <w:rPr>
                <w:rFonts w:ascii="Arial" w:cs="Arial" w:eastAsia="Arial" w:hAnsi="Arial"/>
                <w:sz w:val="13"/>
                <w:szCs w:val="13"/>
                <w:color w:val="auto"/>
              </w:rPr>
              <w:t>Washington, DC-MD-VA</w:t>
            </w:r>
          </w:p>
        </w:tc>
        <w:tc>
          <w:tcPr>
            <w:tcW w:w="9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1969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17,706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25,319</w:t>
            </w: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84,000</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97%</w:t>
            </w: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97%</w:t>
            </w: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80.89</w:t>
            </w:r>
          </w:p>
        </w:tc>
        <w:tc>
          <w:tcPr>
            <w:tcW w:w="6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3"/>
                <w:szCs w:val="13"/>
                <w:color w:val="auto"/>
              </w:rPr>
              <w:t>20,000</w:t>
            </w:r>
          </w:p>
        </w:tc>
        <w:tc>
          <w:tcPr>
            <w:tcW w:w="60" w:type="dxa"/>
            <w:vAlign w:val="bottom"/>
          </w:tcPr>
          <w:p>
            <w:pPr>
              <w:spacing w:after="0"/>
              <w:rPr>
                <w:sz w:val="12"/>
                <w:szCs w:val="12"/>
                <w:color w:val="auto"/>
              </w:rPr>
            </w:pPr>
          </w:p>
        </w:tc>
        <w:tc>
          <w:tcPr>
            <w:tcW w:w="1440" w:type="dxa"/>
            <w:vAlign w:val="bottom"/>
          </w:tcPr>
          <w:p>
            <w:pPr>
              <w:spacing w:after="0" w:line="145" w:lineRule="exact"/>
              <w:rPr>
                <w:sz w:val="20"/>
                <w:szCs w:val="20"/>
                <w:color w:val="auto"/>
              </w:rPr>
            </w:pPr>
            <w:r>
              <w:rPr>
                <w:rFonts w:ascii="Arial" w:cs="Arial" w:eastAsia="Arial" w:hAnsi="Arial"/>
                <w:sz w:val="13"/>
                <w:szCs w:val="13"/>
                <w:color w:val="auto"/>
              </w:rPr>
              <w:t>Balducci’s</w:t>
            </w:r>
          </w:p>
        </w:tc>
        <w:tc>
          <w:tcPr>
            <w:tcW w:w="14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560" w:type="dxa"/>
            <w:vAlign w:val="bottom"/>
            <w:gridSpan w:val="6"/>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Total Washington Metropolitan Area</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982,444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86"/>
              </w:rPr>
              <w:t>5,200,000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93%</w:t>
            </w: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92%</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28.13</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40" w:type="dxa"/>
            <w:vAlign w:val="bottom"/>
            <w:gridSpan w:val="8"/>
          </w:tcPr>
          <w:p>
            <w:pPr>
              <w:ind w:left="200"/>
              <w:spacing w:after="0" w:line="132" w:lineRule="exact"/>
              <w:rPr>
                <w:sz w:val="20"/>
                <w:szCs w:val="20"/>
                <w:color w:val="auto"/>
              </w:rPr>
            </w:pPr>
            <w:r>
              <w:rPr>
                <w:rFonts w:ascii="Arial" w:cs="Arial" w:eastAsia="Arial" w:hAnsi="Arial"/>
                <w:sz w:val="13"/>
                <w:szCs w:val="13"/>
                <w:b w:val="1"/>
                <w:bCs w:val="1"/>
                <w:color w:val="auto"/>
              </w:rPr>
              <w:t>Philadelphia Metropolitan Area</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98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Andorra</w:t>
            </w:r>
          </w:p>
        </w:tc>
        <w:tc>
          <w:tcPr>
            <w:tcW w:w="280" w:type="dxa"/>
            <w:vAlign w:val="bottom"/>
            <w:shd w:val="clear" w:color="auto" w:fill="CCEEFF"/>
          </w:tcPr>
          <w:p>
            <w:pPr>
              <w:spacing w:after="0"/>
              <w:rPr>
                <w:sz w:val="11"/>
                <w:szCs w:val="11"/>
                <w:color w:val="auto"/>
              </w:rPr>
            </w:pPr>
          </w:p>
        </w:tc>
        <w:tc>
          <w:tcPr>
            <w:tcW w:w="158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Philadelphia, PA-NJ</w:t>
            </w:r>
          </w:p>
        </w:tc>
        <w:tc>
          <w:tcPr>
            <w:tcW w:w="980" w:type="dxa"/>
            <w:vAlign w:val="bottom"/>
            <w:gridSpan w:val="3"/>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1988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23,298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267,000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93%</w:t>
            </w:r>
          </w:p>
        </w:tc>
        <w:tc>
          <w:tcPr>
            <w:tcW w:w="7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93%</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13.59</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24,000</w:t>
            </w: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Acme Markets</w:t>
            </w:r>
          </w:p>
        </w:tc>
        <w:tc>
          <w:tcPr>
            <w:tcW w:w="1420" w:type="dxa"/>
            <w:vAlign w:val="bottom"/>
            <w:gridSpan w:val="2"/>
            <w:shd w:val="clear" w:color="auto" w:fill="CCEEFF"/>
          </w:tcPr>
          <w:p>
            <w:pPr>
              <w:ind w:left="60"/>
              <w:spacing w:after="0" w:line="129" w:lineRule="exact"/>
              <w:rPr>
                <w:sz w:val="20"/>
                <w:szCs w:val="20"/>
                <w:color w:val="auto"/>
              </w:rPr>
            </w:pPr>
            <w:r>
              <w:rPr>
                <w:rFonts w:ascii="Arial" w:cs="Arial" w:eastAsia="Arial" w:hAnsi="Arial"/>
                <w:sz w:val="13"/>
                <w:szCs w:val="13"/>
                <w:color w:val="auto"/>
              </w:rPr>
              <w:t>Kohl’s / Staples / L.A.</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Fitness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tcPr>
          <w:p>
            <w:pPr>
              <w:spacing w:after="0" w:line="136" w:lineRule="exact"/>
              <w:rPr>
                <w:sz w:val="20"/>
                <w:szCs w:val="20"/>
                <w:color w:val="auto"/>
              </w:rPr>
            </w:pPr>
            <w:r>
              <w:rPr>
                <w:rFonts w:ascii="Arial" w:cs="Arial" w:eastAsia="Arial" w:hAnsi="Arial"/>
                <w:sz w:val="13"/>
                <w:szCs w:val="13"/>
                <w:color w:val="auto"/>
              </w:rPr>
              <w:t>Bala Cynwyd</w:t>
            </w:r>
          </w:p>
        </w:tc>
        <w:tc>
          <w:tcPr>
            <w:tcW w:w="280" w:type="dxa"/>
            <w:vAlign w:val="bottom"/>
          </w:tcPr>
          <w:p>
            <w:pPr>
              <w:spacing w:after="0"/>
              <w:rPr>
                <w:sz w:val="11"/>
                <w:szCs w:val="11"/>
                <w:color w:val="auto"/>
              </w:rPr>
            </w:pPr>
          </w:p>
        </w:tc>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Philadelphia, PA-NJ</w:t>
            </w:r>
          </w:p>
        </w:tc>
        <w:tc>
          <w:tcPr>
            <w:tcW w:w="9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1993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34,564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282,000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17.08</w:t>
            </w:r>
          </w:p>
        </w:tc>
        <w:tc>
          <w:tcPr>
            <w:tcW w:w="6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45,000</w:t>
            </w:r>
          </w:p>
        </w:tc>
        <w:tc>
          <w:tcPr>
            <w:tcW w:w="60" w:type="dxa"/>
            <w:vAlign w:val="bottom"/>
          </w:tcPr>
          <w:p>
            <w:pPr>
              <w:spacing w:after="0"/>
              <w:rPr>
                <w:sz w:val="11"/>
                <w:szCs w:val="11"/>
                <w:color w:val="auto"/>
              </w:rPr>
            </w:pPr>
          </w:p>
        </w:tc>
        <w:tc>
          <w:tcPr>
            <w:tcW w:w="1440" w:type="dxa"/>
            <w:vAlign w:val="bottom"/>
          </w:tcPr>
          <w:p>
            <w:pPr>
              <w:spacing w:after="0" w:line="136" w:lineRule="exact"/>
              <w:rPr>
                <w:sz w:val="20"/>
                <w:szCs w:val="20"/>
                <w:color w:val="auto"/>
              </w:rPr>
            </w:pPr>
            <w:r>
              <w:rPr>
                <w:rFonts w:ascii="Arial" w:cs="Arial" w:eastAsia="Arial" w:hAnsi="Arial"/>
                <w:sz w:val="13"/>
                <w:szCs w:val="13"/>
                <w:color w:val="auto"/>
              </w:rPr>
              <w:t>Acme Markets</w:t>
            </w:r>
          </w:p>
        </w:tc>
        <w:tc>
          <w:tcPr>
            <w:tcW w:w="142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Lord &amp; Taylor / L.A.</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color w:val="auto"/>
              </w:rPr>
              <w:t>Fitness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Ellisburg Circle</w:t>
            </w:r>
          </w:p>
        </w:tc>
        <w:tc>
          <w:tcPr>
            <w:tcW w:w="280" w:type="dxa"/>
            <w:vAlign w:val="bottom"/>
            <w:shd w:val="clear" w:color="auto" w:fill="CCEEFF"/>
          </w:tcPr>
          <w:p>
            <w:pPr>
              <w:spacing w:after="0"/>
              <w:rPr>
                <w:sz w:val="11"/>
                <w:szCs w:val="11"/>
                <w:color w:val="auto"/>
              </w:rPr>
            </w:pPr>
          </w:p>
        </w:tc>
        <w:tc>
          <w:tcPr>
            <w:tcW w:w="15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Philadelphia, PA-NJ</w:t>
            </w:r>
          </w:p>
        </w:tc>
        <w:tc>
          <w:tcPr>
            <w:tcW w:w="9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1992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27,895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268,000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15.09</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47,000</w:t>
            </w: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Genuardi’s</w:t>
            </w:r>
          </w:p>
        </w:tc>
        <w:tc>
          <w:tcPr>
            <w:tcW w:w="142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Buy Buy Baby / Stein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Mart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tcPr>
          <w:p>
            <w:pPr>
              <w:spacing w:after="0" w:line="145" w:lineRule="exact"/>
              <w:rPr>
                <w:sz w:val="20"/>
                <w:szCs w:val="20"/>
                <w:color w:val="auto"/>
              </w:rPr>
            </w:pPr>
            <w:r>
              <w:rPr>
                <w:rFonts w:ascii="Arial" w:cs="Arial" w:eastAsia="Arial" w:hAnsi="Arial"/>
                <w:sz w:val="13"/>
                <w:szCs w:val="13"/>
                <w:color w:val="auto"/>
              </w:rPr>
              <w:t>Feasterville</w:t>
            </w:r>
          </w:p>
        </w:tc>
        <w:tc>
          <w:tcPr>
            <w:tcW w:w="280" w:type="dxa"/>
            <w:vAlign w:val="bottom"/>
          </w:tcPr>
          <w:p>
            <w:pPr>
              <w:spacing w:after="0"/>
              <w:rPr>
                <w:sz w:val="12"/>
                <w:szCs w:val="12"/>
                <w:color w:val="auto"/>
              </w:rPr>
            </w:pPr>
          </w:p>
        </w:tc>
        <w:tc>
          <w:tcPr>
            <w:tcW w:w="1580" w:type="dxa"/>
            <w:vAlign w:val="bottom"/>
            <w:gridSpan w:val="3"/>
          </w:tcPr>
          <w:p>
            <w:pPr>
              <w:spacing w:after="0" w:line="145" w:lineRule="exact"/>
              <w:rPr>
                <w:sz w:val="20"/>
                <w:szCs w:val="20"/>
                <w:color w:val="auto"/>
              </w:rPr>
            </w:pPr>
            <w:r>
              <w:rPr>
                <w:rFonts w:ascii="Arial" w:cs="Arial" w:eastAsia="Arial" w:hAnsi="Arial"/>
                <w:sz w:val="13"/>
                <w:szCs w:val="13"/>
                <w:color w:val="auto"/>
              </w:rPr>
              <w:t>Philadelphia, PA-NJ</w:t>
            </w:r>
          </w:p>
        </w:tc>
        <w:tc>
          <w:tcPr>
            <w:tcW w:w="9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1980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11,889</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111,000</w:t>
            </w: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91%</w:t>
            </w: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89%</w:t>
            </w: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13.81</w:t>
            </w:r>
          </w:p>
        </w:tc>
        <w:tc>
          <w:tcPr>
            <w:tcW w:w="6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3"/>
                <w:szCs w:val="13"/>
                <w:color w:val="auto"/>
              </w:rPr>
              <w:t>53,000</w:t>
            </w:r>
          </w:p>
        </w:tc>
        <w:tc>
          <w:tcPr>
            <w:tcW w:w="60" w:type="dxa"/>
            <w:vAlign w:val="bottom"/>
          </w:tcPr>
          <w:p>
            <w:pPr>
              <w:spacing w:after="0"/>
              <w:rPr>
                <w:sz w:val="12"/>
                <w:szCs w:val="12"/>
                <w:color w:val="auto"/>
              </w:rPr>
            </w:pPr>
          </w:p>
        </w:tc>
        <w:tc>
          <w:tcPr>
            <w:tcW w:w="1440" w:type="dxa"/>
            <w:vAlign w:val="bottom"/>
          </w:tcPr>
          <w:p>
            <w:pPr>
              <w:spacing w:after="0" w:line="145" w:lineRule="exact"/>
              <w:rPr>
                <w:sz w:val="20"/>
                <w:szCs w:val="20"/>
                <w:color w:val="auto"/>
              </w:rPr>
            </w:pPr>
            <w:r>
              <w:rPr>
                <w:rFonts w:ascii="Arial" w:cs="Arial" w:eastAsia="Arial" w:hAnsi="Arial"/>
                <w:sz w:val="13"/>
                <w:szCs w:val="13"/>
                <w:color w:val="auto"/>
              </w:rPr>
              <w:t>Genuardi’s</w:t>
            </w:r>
          </w:p>
        </w:tc>
        <w:tc>
          <w:tcPr>
            <w:tcW w:w="14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OfficeMax</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Flourtown</w:t>
            </w:r>
          </w:p>
        </w:tc>
        <w:tc>
          <w:tcPr>
            <w:tcW w:w="2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spacing w:after="0" w:line="145" w:lineRule="exact"/>
              <w:rPr>
                <w:sz w:val="20"/>
                <w:szCs w:val="20"/>
                <w:color w:val="auto"/>
              </w:rPr>
            </w:pPr>
            <w:r>
              <w:rPr>
                <w:rFonts w:ascii="Arial" w:cs="Arial" w:eastAsia="Arial" w:hAnsi="Arial"/>
                <w:sz w:val="13"/>
                <w:szCs w:val="13"/>
                <w:color w:val="auto"/>
              </w:rPr>
              <w:t>Philadelphia, PA-NJ</w:t>
            </w:r>
          </w:p>
        </w:tc>
        <w:tc>
          <w:tcPr>
            <w:tcW w:w="9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1980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15,570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192,000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84%</w:t>
            </w: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42%</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22.15</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42,000</w:t>
            </w: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Genuardi’s</w:t>
            </w: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tcPr>
          <w:p>
            <w:pPr>
              <w:spacing w:after="0" w:line="145" w:lineRule="exact"/>
              <w:rPr>
                <w:sz w:val="20"/>
                <w:szCs w:val="20"/>
                <w:color w:val="auto"/>
              </w:rPr>
            </w:pPr>
            <w:r>
              <w:rPr>
                <w:rFonts w:ascii="Arial" w:cs="Arial" w:eastAsia="Arial" w:hAnsi="Arial"/>
                <w:sz w:val="13"/>
                <w:szCs w:val="13"/>
                <w:color w:val="auto"/>
                <w:w w:val="89"/>
              </w:rPr>
              <w:t>Langhorne Square</w:t>
            </w:r>
          </w:p>
        </w:tc>
        <w:tc>
          <w:tcPr>
            <w:tcW w:w="280" w:type="dxa"/>
            <w:vAlign w:val="bottom"/>
          </w:tcPr>
          <w:p>
            <w:pPr>
              <w:spacing w:after="0"/>
              <w:rPr>
                <w:sz w:val="12"/>
                <w:szCs w:val="12"/>
                <w:color w:val="auto"/>
              </w:rPr>
            </w:pPr>
          </w:p>
        </w:tc>
        <w:tc>
          <w:tcPr>
            <w:tcW w:w="1580" w:type="dxa"/>
            <w:vAlign w:val="bottom"/>
            <w:gridSpan w:val="3"/>
          </w:tcPr>
          <w:p>
            <w:pPr>
              <w:spacing w:after="0" w:line="145" w:lineRule="exact"/>
              <w:rPr>
                <w:sz w:val="20"/>
                <w:szCs w:val="20"/>
                <w:color w:val="auto"/>
              </w:rPr>
            </w:pPr>
            <w:r>
              <w:rPr>
                <w:rFonts w:ascii="Arial" w:cs="Arial" w:eastAsia="Arial" w:hAnsi="Arial"/>
                <w:sz w:val="13"/>
                <w:szCs w:val="13"/>
                <w:color w:val="auto"/>
              </w:rPr>
              <w:t>Philadelphia, PA-NJ</w:t>
            </w:r>
          </w:p>
        </w:tc>
        <w:tc>
          <w:tcPr>
            <w:tcW w:w="9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1985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19,107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216,000</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94%</w:t>
            </w: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94%</w:t>
            </w: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14.06</w:t>
            </w:r>
          </w:p>
        </w:tc>
        <w:tc>
          <w:tcPr>
            <w:tcW w:w="6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3"/>
                <w:szCs w:val="13"/>
                <w:color w:val="auto"/>
              </w:rPr>
              <w:t>55,000</w:t>
            </w:r>
          </w:p>
        </w:tc>
        <w:tc>
          <w:tcPr>
            <w:tcW w:w="60" w:type="dxa"/>
            <w:vAlign w:val="bottom"/>
          </w:tcPr>
          <w:p>
            <w:pPr>
              <w:spacing w:after="0"/>
              <w:rPr>
                <w:sz w:val="12"/>
                <w:szCs w:val="12"/>
                <w:color w:val="auto"/>
              </w:rPr>
            </w:pPr>
          </w:p>
        </w:tc>
        <w:tc>
          <w:tcPr>
            <w:tcW w:w="2860" w:type="dxa"/>
            <w:vAlign w:val="bottom"/>
            <w:gridSpan w:val="3"/>
          </w:tcPr>
          <w:p>
            <w:pPr>
              <w:spacing w:after="0" w:line="145" w:lineRule="exact"/>
              <w:rPr>
                <w:sz w:val="20"/>
                <w:szCs w:val="20"/>
                <w:color w:val="auto"/>
              </w:rPr>
            </w:pPr>
            <w:r>
              <w:rPr>
                <w:rFonts w:ascii="Arial" w:cs="Arial" w:eastAsia="Arial" w:hAnsi="Arial"/>
                <w:sz w:val="13"/>
                <w:szCs w:val="13"/>
                <w:color w:val="auto"/>
              </w:rPr>
              <w:t>Redner’s Warehouse Mkts. Marshalls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Lawrence Park</w:t>
            </w:r>
          </w:p>
        </w:tc>
        <w:tc>
          <w:tcPr>
            <w:tcW w:w="280" w:type="dxa"/>
            <w:vAlign w:val="bottom"/>
            <w:shd w:val="clear" w:color="auto" w:fill="CCEEFF"/>
          </w:tcPr>
          <w:p>
            <w:pPr>
              <w:spacing w:after="0"/>
              <w:rPr>
                <w:sz w:val="11"/>
                <w:szCs w:val="11"/>
                <w:color w:val="auto"/>
              </w:rPr>
            </w:pPr>
          </w:p>
        </w:tc>
        <w:tc>
          <w:tcPr>
            <w:tcW w:w="15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Philadelphia, PA-NJ</w:t>
            </w:r>
          </w:p>
        </w:tc>
        <w:tc>
          <w:tcPr>
            <w:tcW w:w="9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1980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29,855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28,805</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353,000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17.95</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53,000</w:t>
            </w: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Acme Markets</w:t>
            </w:r>
          </w:p>
        </w:tc>
        <w:tc>
          <w:tcPr>
            <w:tcW w:w="142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CHI / TJ Maxx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HomeGoods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tcPr>
          <w:p>
            <w:pPr>
              <w:spacing w:after="0" w:line="136" w:lineRule="exact"/>
              <w:rPr>
                <w:sz w:val="20"/>
                <w:szCs w:val="20"/>
                <w:color w:val="auto"/>
              </w:rPr>
            </w:pPr>
            <w:r>
              <w:rPr>
                <w:rFonts w:ascii="Arial" w:cs="Arial" w:eastAsia="Arial" w:hAnsi="Arial"/>
                <w:sz w:val="13"/>
                <w:szCs w:val="13"/>
                <w:color w:val="auto"/>
              </w:rPr>
              <w:t>Northeast</w:t>
            </w:r>
          </w:p>
        </w:tc>
        <w:tc>
          <w:tcPr>
            <w:tcW w:w="280" w:type="dxa"/>
            <w:vAlign w:val="bottom"/>
          </w:tcPr>
          <w:p>
            <w:pPr>
              <w:spacing w:after="0"/>
              <w:rPr>
                <w:sz w:val="11"/>
                <w:szCs w:val="11"/>
                <w:color w:val="auto"/>
              </w:rPr>
            </w:pPr>
          </w:p>
        </w:tc>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Philadelphia, PA-NJ</w:t>
            </w:r>
          </w:p>
        </w:tc>
        <w:tc>
          <w:tcPr>
            <w:tcW w:w="9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1983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23,082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285,000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91%</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90%</w:t>
            </w:r>
          </w:p>
        </w:tc>
        <w:tc>
          <w:tcPr>
            <w:tcW w:w="6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11.79</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2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Burlington Coat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Town Center of</w:t>
            </w:r>
          </w:p>
        </w:tc>
        <w:tc>
          <w:tcPr>
            <w:tcW w:w="280" w:type="dxa"/>
            <w:vAlign w:val="bottom"/>
            <w:shd w:val="clear" w:color="auto" w:fill="CCEEFF"/>
          </w:tcPr>
          <w:p>
            <w:pPr>
              <w:spacing w:after="0"/>
              <w:rPr>
                <w:sz w:val="11"/>
                <w:szCs w:val="11"/>
                <w:color w:val="auto"/>
              </w:rPr>
            </w:pPr>
          </w:p>
        </w:tc>
        <w:tc>
          <w:tcPr>
            <w:tcW w:w="15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Philadelphia, PA-NJ</w:t>
            </w:r>
          </w:p>
        </w:tc>
        <w:tc>
          <w:tcPr>
            <w:tcW w:w="9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2006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14,384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125,000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81%</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81%</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9.78</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36,000</w:t>
            </w: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Giant Food</w:t>
            </w:r>
          </w:p>
        </w:tc>
        <w:tc>
          <w:tcPr>
            <w:tcW w:w="142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Rite Aid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gridSpan w:val="4"/>
            <w:shd w:val="clear" w:color="auto" w:fill="CCEEFF"/>
          </w:tcPr>
          <w:p>
            <w:pPr>
              <w:ind w:left="200"/>
              <w:spacing w:after="0"/>
              <w:rPr>
                <w:sz w:val="20"/>
                <w:szCs w:val="20"/>
                <w:color w:val="auto"/>
              </w:rPr>
            </w:pPr>
            <w:r>
              <w:rPr>
                <w:rFonts w:ascii="Arial" w:cs="Arial" w:eastAsia="Arial" w:hAnsi="Arial"/>
                <w:sz w:val="13"/>
                <w:szCs w:val="13"/>
                <w:color w:val="auto"/>
              </w:rPr>
              <w:t>New Britain</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tcPr>
          <w:p>
            <w:pPr>
              <w:spacing w:after="0" w:line="136" w:lineRule="exact"/>
              <w:rPr>
                <w:sz w:val="20"/>
                <w:szCs w:val="20"/>
                <w:color w:val="auto"/>
              </w:rPr>
            </w:pPr>
            <w:r>
              <w:rPr>
                <w:rFonts w:ascii="Arial" w:cs="Arial" w:eastAsia="Arial" w:hAnsi="Arial"/>
                <w:sz w:val="13"/>
                <w:szCs w:val="13"/>
                <w:color w:val="auto"/>
              </w:rPr>
              <w:t>Willow Grove</w:t>
            </w:r>
          </w:p>
        </w:tc>
        <w:tc>
          <w:tcPr>
            <w:tcW w:w="280" w:type="dxa"/>
            <w:vAlign w:val="bottom"/>
          </w:tcPr>
          <w:p>
            <w:pPr>
              <w:spacing w:after="0"/>
              <w:rPr>
                <w:sz w:val="11"/>
                <w:szCs w:val="11"/>
                <w:color w:val="auto"/>
              </w:rPr>
            </w:pPr>
          </w:p>
        </w:tc>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Philadelphia, PA-NJ</w:t>
            </w:r>
          </w:p>
        </w:tc>
        <w:tc>
          <w:tcPr>
            <w:tcW w:w="9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1984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27,330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216,000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19.10</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2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Barnes &amp; Noble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Wynnewood</w:t>
            </w:r>
          </w:p>
        </w:tc>
        <w:tc>
          <w:tcPr>
            <w:tcW w:w="280" w:type="dxa"/>
            <w:vAlign w:val="bottom"/>
            <w:shd w:val="clear" w:color="auto" w:fill="CCEEFF"/>
          </w:tcPr>
          <w:p>
            <w:pPr>
              <w:spacing w:after="0"/>
              <w:rPr>
                <w:sz w:val="11"/>
                <w:szCs w:val="11"/>
                <w:color w:val="auto"/>
              </w:rPr>
            </w:pPr>
          </w:p>
        </w:tc>
        <w:tc>
          <w:tcPr>
            <w:tcW w:w="15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Philadelphia, PA-NJ</w:t>
            </w:r>
          </w:p>
        </w:tc>
        <w:tc>
          <w:tcPr>
            <w:tcW w:w="9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1996</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36,658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29,355</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255,000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24.03</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98,000</w:t>
            </w: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Genuardi’s</w:t>
            </w:r>
          </w:p>
        </w:tc>
        <w:tc>
          <w:tcPr>
            <w:tcW w:w="142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Borders / Old Navy</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6"/>
          </w:tcPr>
          <w:p>
            <w:pPr>
              <w:spacing w:after="0"/>
              <w:rPr>
                <w:sz w:val="20"/>
                <w:szCs w:val="20"/>
                <w:color w:val="auto"/>
              </w:rPr>
            </w:pPr>
            <w:r>
              <w:rPr>
                <w:rFonts w:ascii="Arial" w:cs="Arial" w:eastAsia="Arial" w:hAnsi="Arial"/>
                <w:sz w:val="13"/>
                <w:szCs w:val="13"/>
                <w:b w:val="1"/>
                <w:bCs w:val="1"/>
                <w:color w:val="auto"/>
              </w:rPr>
              <w:t>Total Philadelphia Metropolitan Area</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263,632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2,570,000</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95%</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91%</w:t>
            </w:r>
          </w:p>
        </w:tc>
        <w:tc>
          <w:tcPr>
            <w:tcW w:w="540" w:type="dxa"/>
            <w:vAlign w:val="bottom"/>
          </w:tcPr>
          <w:p>
            <w:pPr>
              <w:jc w:val="right"/>
              <w:spacing w:after="0"/>
              <w:rPr>
                <w:sz w:val="20"/>
                <w:szCs w:val="20"/>
                <w:color w:val="auto"/>
              </w:rPr>
            </w:pPr>
            <w:r>
              <w:rPr>
                <w:rFonts w:ascii="Arial" w:cs="Arial" w:eastAsia="Arial" w:hAnsi="Arial"/>
                <w:sz w:val="13"/>
                <w:szCs w:val="13"/>
                <w:color w:val="auto"/>
              </w:rPr>
              <w:t>16.40</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0" w:type="dxa"/>
            <w:vAlign w:val="bottom"/>
            <w:gridSpan w:val="4"/>
            <w:shd w:val="clear" w:color="auto" w:fill="CCEEFF"/>
          </w:tcPr>
          <w:p>
            <w:pPr>
              <w:ind w:left="200"/>
              <w:spacing w:after="0" w:line="132" w:lineRule="exact"/>
              <w:rPr>
                <w:sz w:val="20"/>
                <w:szCs w:val="20"/>
                <w:color w:val="auto"/>
              </w:rPr>
            </w:pPr>
            <w:r>
              <w:rPr>
                <w:rFonts w:ascii="Arial" w:cs="Arial" w:eastAsia="Arial" w:hAnsi="Arial"/>
                <w:sz w:val="13"/>
                <w:szCs w:val="13"/>
                <w:b w:val="1"/>
                <w:bCs w:val="1"/>
                <w:color w:val="auto"/>
              </w:rPr>
              <w:t>California</w:t>
            </w: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980" w:type="dxa"/>
            <w:vAlign w:val="bottom"/>
            <w:gridSpan w:val="4"/>
          </w:tcPr>
          <w:p>
            <w:pPr>
              <w:spacing w:after="0" w:line="129" w:lineRule="exact"/>
              <w:rPr>
                <w:sz w:val="20"/>
                <w:szCs w:val="20"/>
                <w:color w:val="auto"/>
              </w:rPr>
            </w:pPr>
            <w:r>
              <w:rPr>
                <w:rFonts w:ascii="Arial" w:cs="Arial" w:eastAsia="Arial" w:hAnsi="Arial"/>
                <w:sz w:val="13"/>
                <w:szCs w:val="13"/>
                <w:color w:val="auto"/>
              </w:rPr>
              <w:t>Colorado Blvd</w:t>
            </w:r>
          </w:p>
        </w:tc>
        <w:tc>
          <w:tcPr>
            <w:tcW w:w="280" w:type="dxa"/>
            <w:vAlign w:val="bottom"/>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3"/>
                <w:szCs w:val="13"/>
                <w:color w:val="auto"/>
                <w:w w:val="91"/>
              </w:rPr>
              <w:t>Los Angeles-Long Beach, CA</w:t>
            </w:r>
          </w:p>
        </w:tc>
        <w:tc>
          <w:tcPr>
            <w:tcW w:w="98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auto"/>
              </w:rPr>
              <w:t>1996-1998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16,633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69,000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97%</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97%</w:t>
            </w:r>
          </w:p>
        </w:tc>
        <w:tc>
          <w:tcPr>
            <w:tcW w:w="540" w:type="dxa"/>
            <w:vAlign w:val="bottom"/>
          </w:tcPr>
          <w:p>
            <w:pPr>
              <w:jc w:val="right"/>
              <w:spacing w:after="0" w:line="129" w:lineRule="exact"/>
              <w:rPr>
                <w:sz w:val="20"/>
                <w:szCs w:val="20"/>
                <w:color w:val="auto"/>
              </w:rPr>
            </w:pPr>
            <w:r>
              <w:rPr>
                <w:rFonts w:ascii="Arial" w:cs="Arial" w:eastAsia="Arial" w:hAnsi="Arial"/>
                <w:sz w:val="13"/>
                <w:szCs w:val="13"/>
                <w:color w:val="auto"/>
              </w:rPr>
              <w:t>37.07</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20" w:type="dxa"/>
            <w:vAlign w:val="bottom"/>
            <w:gridSpan w:val="2"/>
          </w:tcPr>
          <w:p>
            <w:pPr>
              <w:ind w:left="60"/>
              <w:spacing w:after="0" w:line="129" w:lineRule="exact"/>
              <w:rPr>
                <w:sz w:val="20"/>
                <w:szCs w:val="20"/>
                <w:color w:val="auto"/>
              </w:rPr>
            </w:pPr>
            <w:r>
              <w:rPr>
                <w:rFonts w:ascii="Arial" w:cs="Arial" w:eastAsia="Arial" w:hAnsi="Arial"/>
                <w:sz w:val="13"/>
                <w:szCs w:val="13"/>
                <w:color w:val="auto"/>
              </w:rPr>
              <w:t>Pottery Barn / Banana</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color w:val="auto"/>
              </w:rPr>
              <w:t>Republic</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Crow Canyon</w:t>
            </w:r>
          </w:p>
        </w:tc>
        <w:tc>
          <w:tcPr>
            <w:tcW w:w="2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spacing w:after="0" w:line="145" w:lineRule="exact"/>
              <w:rPr>
                <w:sz w:val="20"/>
                <w:szCs w:val="20"/>
                <w:color w:val="auto"/>
              </w:rPr>
            </w:pPr>
            <w:r>
              <w:rPr>
                <w:rFonts w:ascii="Arial" w:cs="Arial" w:eastAsia="Arial" w:hAnsi="Arial"/>
                <w:sz w:val="13"/>
                <w:szCs w:val="13"/>
                <w:color w:val="auto"/>
              </w:rPr>
              <w:t>San Ramon, CA</w:t>
            </w:r>
          </w:p>
        </w:tc>
        <w:tc>
          <w:tcPr>
            <w:tcW w:w="9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2005-2007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64,997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20,816</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242,000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92%</w:t>
            </w: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92%</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19.24</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58,000</w:t>
            </w: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Lucky</w:t>
            </w:r>
          </w:p>
        </w:tc>
        <w:tc>
          <w:tcPr>
            <w:tcW w:w="142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Loehmann’s / Rite Aid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tcPr>
          <w:p>
            <w:pPr>
              <w:spacing w:after="0" w:line="145" w:lineRule="exact"/>
              <w:rPr>
                <w:sz w:val="20"/>
                <w:szCs w:val="20"/>
                <w:color w:val="auto"/>
              </w:rPr>
            </w:pPr>
            <w:r>
              <w:rPr>
                <w:rFonts w:ascii="Arial" w:cs="Arial" w:eastAsia="Arial" w:hAnsi="Arial"/>
                <w:sz w:val="13"/>
                <w:szCs w:val="13"/>
                <w:color w:val="auto"/>
              </w:rPr>
              <w:t>Escondido</w:t>
            </w:r>
          </w:p>
        </w:tc>
        <w:tc>
          <w:tcPr>
            <w:tcW w:w="280" w:type="dxa"/>
            <w:vAlign w:val="bottom"/>
          </w:tcPr>
          <w:p>
            <w:pPr>
              <w:jc w:val="right"/>
              <w:ind w:right="34"/>
              <w:spacing w:after="0" w:line="145" w:lineRule="exact"/>
              <w:rPr>
                <w:sz w:val="20"/>
                <w:szCs w:val="20"/>
                <w:color w:val="auto"/>
              </w:rPr>
            </w:pPr>
            <w:r>
              <w:rPr>
                <w:rFonts w:ascii="Arial" w:cs="Arial" w:eastAsia="Arial" w:hAnsi="Arial"/>
                <w:sz w:val="13"/>
                <w:szCs w:val="13"/>
                <w:color w:val="auto"/>
              </w:rPr>
              <w:t>(7)</w:t>
            </w:r>
          </w:p>
        </w:tc>
        <w:tc>
          <w:tcPr>
            <w:tcW w:w="1580" w:type="dxa"/>
            <w:vAlign w:val="bottom"/>
            <w:gridSpan w:val="3"/>
          </w:tcPr>
          <w:p>
            <w:pPr>
              <w:spacing w:after="0" w:line="145" w:lineRule="exact"/>
              <w:rPr>
                <w:sz w:val="20"/>
                <w:szCs w:val="20"/>
                <w:color w:val="auto"/>
              </w:rPr>
            </w:pPr>
            <w:r>
              <w:rPr>
                <w:rFonts w:ascii="Arial" w:cs="Arial" w:eastAsia="Arial" w:hAnsi="Arial"/>
                <w:sz w:val="13"/>
                <w:szCs w:val="13"/>
                <w:color w:val="auto"/>
              </w:rPr>
              <w:t>San Diego, CA</w:t>
            </w:r>
          </w:p>
        </w:tc>
        <w:tc>
          <w:tcPr>
            <w:tcW w:w="9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1996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28,621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222,000</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94%</w:t>
            </w: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94%</w:t>
            </w: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23.24</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TJ Maxx / Toys R Us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Fifth Ave</w:t>
            </w:r>
          </w:p>
        </w:tc>
        <w:tc>
          <w:tcPr>
            <w:tcW w:w="2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spacing w:after="0" w:line="145" w:lineRule="exact"/>
              <w:rPr>
                <w:sz w:val="20"/>
                <w:szCs w:val="20"/>
                <w:color w:val="auto"/>
              </w:rPr>
            </w:pPr>
            <w:r>
              <w:rPr>
                <w:rFonts w:ascii="Arial" w:cs="Arial" w:eastAsia="Arial" w:hAnsi="Arial"/>
                <w:sz w:val="13"/>
                <w:szCs w:val="13"/>
                <w:color w:val="auto"/>
              </w:rPr>
              <w:t>San Diego, CA</w:t>
            </w:r>
          </w:p>
        </w:tc>
        <w:tc>
          <w:tcPr>
            <w:tcW w:w="9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1996-1997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12,969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51,000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91%</w:t>
            </w: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91%</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27.50</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Urban Outfitters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tcPr>
          <w:p>
            <w:pPr>
              <w:spacing w:after="0" w:line="145" w:lineRule="exact"/>
              <w:rPr>
                <w:sz w:val="20"/>
                <w:szCs w:val="20"/>
                <w:color w:val="auto"/>
              </w:rPr>
            </w:pPr>
            <w:r>
              <w:rPr>
                <w:rFonts w:ascii="Arial" w:cs="Arial" w:eastAsia="Arial" w:hAnsi="Arial"/>
                <w:sz w:val="13"/>
                <w:szCs w:val="13"/>
                <w:color w:val="auto"/>
              </w:rPr>
              <w:t>Hermosa Ave</w:t>
            </w:r>
          </w:p>
        </w:tc>
        <w:tc>
          <w:tcPr>
            <w:tcW w:w="280" w:type="dxa"/>
            <w:vAlign w:val="bottom"/>
          </w:tcPr>
          <w:p>
            <w:pPr>
              <w:spacing w:after="0"/>
              <w:rPr>
                <w:sz w:val="12"/>
                <w:szCs w:val="12"/>
                <w:color w:val="auto"/>
              </w:rPr>
            </w:pPr>
          </w:p>
        </w:tc>
        <w:tc>
          <w:tcPr>
            <w:tcW w:w="1580" w:type="dxa"/>
            <w:vAlign w:val="bottom"/>
            <w:gridSpan w:val="3"/>
          </w:tcPr>
          <w:p>
            <w:pPr>
              <w:spacing w:after="0" w:line="145" w:lineRule="exact"/>
              <w:rPr>
                <w:sz w:val="20"/>
                <w:szCs w:val="20"/>
                <w:color w:val="auto"/>
              </w:rPr>
            </w:pPr>
            <w:r>
              <w:rPr>
                <w:rFonts w:ascii="Arial" w:cs="Arial" w:eastAsia="Arial" w:hAnsi="Arial"/>
                <w:sz w:val="13"/>
                <w:szCs w:val="13"/>
                <w:color w:val="auto"/>
                <w:w w:val="91"/>
              </w:rPr>
              <w:t>Los Angeles-Long Beach, CA</w:t>
            </w:r>
          </w:p>
        </w:tc>
        <w:tc>
          <w:tcPr>
            <w:tcW w:w="9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1997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5,478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22,000</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72%</w:t>
            </w: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72%</w:t>
            </w: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33.98</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Hollywood Blvd</w:t>
            </w:r>
          </w:p>
        </w:tc>
        <w:tc>
          <w:tcPr>
            <w:tcW w:w="280" w:type="dxa"/>
            <w:vAlign w:val="bottom"/>
            <w:shd w:val="clear" w:color="auto" w:fill="CCEEFF"/>
          </w:tcPr>
          <w:p>
            <w:pPr>
              <w:jc w:val="right"/>
              <w:ind w:right="34"/>
              <w:spacing w:after="0" w:line="136" w:lineRule="exact"/>
              <w:rPr>
                <w:sz w:val="20"/>
                <w:szCs w:val="20"/>
                <w:color w:val="auto"/>
              </w:rPr>
            </w:pPr>
            <w:r>
              <w:rPr>
                <w:rFonts w:ascii="Arial" w:cs="Arial" w:eastAsia="Arial" w:hAnsi="Arial"/>
                <w:sz w:val="13"/>
                <w:szCs w:val="13"/>
                <w:color w:val="auto"/>
              </w:rPr>
              <w:t>(8)</w:t>
            </w:r>
          </w:p>
        </w:tc>
        <w:tc>
          <w:tcPr>
            <w:tcW w:w="15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w w:val="91"/>
              </w:rPr>
              <w:t>Los Angeles-Long Beach, CA</w:t>
            </w:r>
          </w:p>
        </w:tc>
        <w:tc>
          <w:tcPr>
            <w:tcW w:w="9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1999</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39,176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153,000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75%</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75%</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21.84</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DSW / L.A. Fitness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Fresh &amp; Easy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tcPr>
          <w:p>
            <w:pPr>
              <w:spacing w:after="0" w:line="145" w:lineRule="exact"/>
              <w:rPr>
                <w:sz w:val="20"/>
                <w:szCs w:val="20"/>
                <w:color w:val="auto"/>
              </w:rPr>
            </w:pPr>
            <w:r>
              <w:rPr>
                <w:rFonts w:ascii="Arial" w:cs="Arial" w:eastAsia="Arial" w:hAnsi="Arial"/>
                <w:sz w:val="13"/>
                <w:szCs w:val="13"/>
                <w:color w:val="auto"/>
              </w:rPr>
              <w:t>Kings Court</w:t>
            </w:r>
          </w:p>
        </w:tc>
        <w:tc>
          <w:tcPr>
            <w:tcW w:w="280" w:type="dxa"/>
            <w:vAlign w:val="bottom"/>
          </w:tcPr>
          <w:p>
            <w:pPr>
              <w:jc w:val="right"/>
              <w:ind w:right="34"/>
              <w:spacing w:after="0" w:line="145" w:lineRule="exact"/>
              <w:rPr>
                <w:sz w:val="20"/>
                <w:szCs w:val="20"/>
                <w:color w:val="auto"/>
              </w:rPr>
            </w:pPr>
            <w:r>
              <w:rPr>
                <w:rFonts w:ascii="Arial" w:cs="Arial" w:eastAsia="Arial" w:hAnsi="Arial"/>
                <w:sz w:val="13"/>
                <w:szCs w:val="13"/>
                <w:color w:val="auto"/>
              </w:rPr>
              <w:t>(6)</w:t>
            </w:r>
          </w:p>
        </w:tc>
        <w:tc>
          <w:tcPr>
            <w:tcW w:w="1580" w:type="dxa"/>
            <w:vAlign w:val="bottom"/>
            <w:gridSpan w:val="3"/>
          </w:tcPr>
          <w:p>
            <w:pPr>
              <w:spacing w:after="0" w:line="145" w:lineRule="exact"/>
              <w:rPr>
                <w:sz w:val="20"/>
                <w:szCs w:val="20"/>
                <w:color w:val="auto"/>
              </w:rPr>
            </w:pPr>
            <w:r>
              <w:rPr>
                <w:rFonts w:ascii="Arial" w:cs="Arial" w:eastAsia="Arial" w:hAnsi="Arial"/>
                <w:sz w:val="13"/>
                <w:szCs w:val="13"/>
                <w:color w:val="auto"/>
              </w:rPr>
              <w:t>San Jose, CA</w:t>
            </w:r>
          </w:p>
        </w:tc>
        <w:tc>
          <w:tcPr>
            <w:tcW w:w="9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1998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11,605</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79,000</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28.27</w:t>
            </w:r>
          </w:p>
        </w:tc>
        <w:tc>
          <w:tcPr>
            <w:tcW w:w="6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3"/>
                <w:szCs w:val="13"/>
                <w:color w:val="auto"/>
              </w:rPr>
              <w:t>25,000</w:t>
            </w:r>
          </w:p>
        </w:tc>
        <w:tc>
          <w:tcPr>
            <w:tcW w:w="60" w:type="dxa"/>
            <w:vAlign w:val="bottom"/>
          </w:tcPr>
          <w:p>
            <w:pPr>
              <w:spacing w:after="0"/>
              <w:rPr>
                <w:sz w:val="12"/>
                <w:szCs w:val="12"/>
                <w:color w:val="auto"/>
              </w:rPr>
            </w:pPr>
          </w:p>
        </w:tc>
        <w:tc>
          <w:tcPr>
            <w:tcW w:w="1440" w:type="dxa"/>
            <w:vAlign w:val="bottom"/>
          </w:tcPr>
          <w:p>
            <w:pPr>
              <w:spacing w:after="0" w:line="145" w:lineRule="exact"/>
              <w:rPr>
                <w:sz w:val="20"/>
                <w:szCs w:val="20"/>
                <w:color w:val="auto"/>
              </w:rPr>
            </w:pPr>
            <w:r>
              <w:rPr>
                <w:rFonts w:ascii="Arial" w:cs="Arial" w:eastAsia="Arial" w:hAnsi="Arial"/>
                <w:sz w:val="13"/>
                <w:szCs w:val="13"/>
                <w:color w:val="auto"/>
              </w:rPr>
              <w:t>Lunardi’s Super Market</w:t>
            </w:r>
          </w:p>
        </w:tc>
        <w:tc>
          <w:tcPr>
            <w:tcW w:w="14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w w:val="97"/>
              </w:rPr>
              <w:t>Old Town Center</w:t>
            </w:r>
          </w:p>
        </w:tc>
        <w:tc>
          <w:tcPr>
            <w:tcW w:w="280" w:type="dxa"/>
            <w:vAlign w:val="bottom"/>
            <w:shd w:val="clear" w:color="auto" w:fill="CCEEFF"/>
          </w:tcPr>
          <w:p>
            <w:pPr>
              <w:spacing w:after="0"/>
              <w:rPr>
                <w:sz w:val="11"/>
                <w:szCs w:val="11"/>
                <w:color w:val="auto"/>
              </w:rPr>
            </w:pPr>
          </w:p>
        </w:tc>
        <w:tc>
          <w:tcPr>
            <w:tcW w:w="15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rPr>
              <w:t>San Jose, CA</w:t>
            </w:r>
          </w:p>
        </w:tc>
        <w:tc>
          <w:tcPr>
            <w:tcW w:w="9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1997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34,126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96,000</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29.88</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Borders / Gap Kids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Banana Republic</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tcPr>
          <w:p>
            <w:pPr>
              <w:spacing w:after="0" w:line="136" w:lineRule="exact"/>
              <w:rPr>
                <w:sz w:val="20"/>
                <w:szCs w:val="20"/>
                <w:color w:val="auto"/>
              </w:rPr>
            </w:pPr>
            <w:r>
              <w:rPr>
                <w:rFonts w:ascii="Arial" w:cs="Arial" w:eastAsia="Arial" w:hAnsi="Arial"/>
                <w:sz w:val="13"/>
                <w:szCs w:val="13"/>
                <w:color w:val="auto"/>
              </w:rPr>
              <w:t>Santana Row</w:t>
            </w:r>
          </w:p>
        </w:tc>
        <w:tc>
          <w:tcPr>
            <w:tcW w:w="280" w:type="dxa"/>
            <w:vAlign w:val="bottom"/>
          </w:tcPr>
          <w:p>
            <w:pPr>
              <w:spacing w:after="0"/>
              <w:rPr>
                <w:sz w:val="11"/>
                <w:szCs w:val="11"/>
                <w:color w:val="auto"/>
              </w:rPr>
            </w:pPr>
          </w:p>
        </w:tc>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San Jose, CA</w:t>
            </w:r>
          </w:p>
        </w:tc>
        <w:tc>
          <w:tcPr>
            <w:tcW w:w="9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1997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535,804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565,000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98%</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42.97</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2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Crate &amp; Barrel /</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Container Store / Best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gridSpan w:val="2"/>
          </w:tcPr>
          <w:p>
            <w:pPr>
              <w:ind w:left="60"/>
              <w:spacing w:after="0" w:line="145" w:lineRule="exact"/>
              <w:rPr>
                <w:sz w:val="20"/>
                <w:szCs w:val="20"/>
                <w:color w:val="auto"/>
              </w:rPr>
            </w:pPr>
            <w:r>
              <w:rPr>
                <w:rFonts w:ascii="Arial" w:cs="Arial" w:eastAsia="Arial" w:hAnsi="Arial"/>
                <w:sz w:val="13"/>
                <w:szCs w:val="13"/>
                <w:color w:val="auto"/>
                <w:w w:val="96"/>
              </w:rPr>
              <w:t>Buy / Borders / CineArts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color w:val="auto"/>
                <w:w w:val="96"/>
              </w:rPr>
              <w:t>Theatre / Hotel Valencia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shd w:val="clear" w:color="auto" w:fill="CCEEFF"/>
          </w:tcPr>
          <w:p>
            <w:pPr>
              <w:spacing w:after="0" w:line="136" w:lineRule="exact"/>
              <w:rPr>
                <w:sz w:val="20"/>
                <w:szCs w:val="20"/>
                <w:color w:val="auto"/>
              </w:rPr>
            </w:pPr>
            <w:r>
              <w:rPr>
                <w:rFonts w:ascii="Arial" w:cs="Arial" w:eastAsia="Arial" w:hAnsi="Arial"/>
                <w:sz w:val="13"/>
                <w:szCs w:val="13"/>
                <w:color w:val="auto"/>
              </w:rPr>
              <w:t>Third St</w:t>
            </w:r>
          </w:p>
        </w:tc>
        <w:tc>
          <w:tcPr>
            <w:tcW w:w="280" w:type="dxa"/>
            <w:vAlign w:val="bottom"/>
            <w:shd w:val="clear" w:color="auto" w:fill="CCEEFF"/>
          </w:tcPr>
          <w:p>
            <w:pPr>
              <w:spacing w:after="0"/>
              <w:rPr>
                <w:sz w:val="11"/>
                <w:szCs w:val="11"/>
                <w:color w:val="auto"/>
              </w:rPr>
            </w:pPr>
          </w:p>
        </w:tc>
        <w:tc>
          <w:tcPr>
            <w:tcW w:w="1580" w:type="dxa"/>
            <w:vAlign w:val="bottom"/>
            <w:gridSpan w:val="3"/>
            <w:shd w:val="clear" w:color="auto" w:fill="CCEEFF"/>
          </w:tcPr>
          <w:p>
            <w:pPr>
              <w:spacing w:after="0" w:line="136" w:lineRule="exact"/>
              <w:rPr>
                <w:sz w:val="20"/>
                <w:szCs w:val="20"/>
                <w:color w:val="auto"/>
              </w:rPr>
            </w:pPr>
            <w:r>
              <w:rPr>
                <w:rFonts w:ascii="Arial" w:cs="Arial" w:eastAsia="Arial" w:hAnsi="Arial"/>
                <w:sz w:val="13"/>
                <w:szCs w:val="13"/>
                <w:color w:val="auto"/>
                <w:w w:val="91"/>
              </w:rPr>
              <w:t>Los Angeles-Long Beach, CA</w:t>
            </w:r>
          </w:p>
        </w:tc>
        <w:tc>
          <w:tcPr>
            <w:tcW w:w="9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1996-2000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76,474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211,000</w:t>
            </w: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97%</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96%</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60.44</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60"/>
              <w:spacing w:after="0" w:line="136" w:lineRule="exact"/>
              <w:rPr>
                <w:sz w:val="20"/>
                <w:szCs w:val="20"/>
                <w:color w:val="auto"/>
              </w:rPr>
            </w:pPr>
            <w:r>
              <w:rPr>
                <w:rFonts w:ascii="Arial" w:cs="Arial" w:eastAsia="Arial" w:hAnsi="Arial"/>
                <w:sz w:val="13"/>
                <w:szCs w:val="13"/>
                <w:color w:val="auto"/>
              </w:rPr>
              <w:t>J. Crew / Banana</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shd w:val="clear" w:color="auto" w:fill="CCEEFF"/>
          </w:tcPr>
          <w:p>
            <w:pPr>
              <w:ind w:left="200"/>
              <w:spacing w:after="0" w:line="145" w:lineRule="exact"/>
              <w:rPr>
                <w:sz w:val="20"/>
                <w:szCs w:val="20"/>
                <w:color w:val="auto"/>
              </w:rPr>
            </w:pPr>
            <w:r>
              <w:rPr>
                <w:rFonts w:ascii="Arial" w:cs="Arial" w:eastAsia="Arial" w:hAnsi="Arial"/>
                <w:sz w:val="13"/>
                <w:szCs w:val="13"/>
                <w:color w:val="auto"/>
              </w:rPr>
              <w:t>Promenade</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Republic / Old Navy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Abercrombie &amp; Fitch</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tcPr>
          <w:p>
            <w:pPr>
              <w:spacing w:after="0" w:line="136" w:lineRule="exact"/>
              <w:rPr>
                <w:sz w:val="20"/>
                <w:szCs w:val="20"/>
                <w:color w:val="auto"/>
              </w:rPr>
            </w:pPr>
            <w:r>
              <w:rPr>
                <w:rFonts w:ascii="Arial" w:cs="Arial" w:eastAsia="Arial" w:hAnsi="Arial"/>
                <w:sz w:val="13"/>
                <w:szCs w:val="13"/>
                <w:color w:val="auto"/>
              </w:rPr>
              <w:t>Westgate</w:t>
            </w:r>
          </w:p>
        </w:tc>
        <w:tc>
          <w:tcPr>
            <w:tcW w:w="280" w:type="dxa"/>
            <w:vAlign w:val="bottom"/>
          </w:tcPr>
          <w:p>
            <w:pPr>
              <w:spacing w:after="0"/>
              <w:rPr>
                <w:sz w:val="11"/>
                <w:szCs w:val="11"/>
                <w:color w:val="auto"/>
              </w:rPr>
            </w:pPr>
          </w:p>
        </w:tc>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San Jose, CA</w:t>
            </w:r>
          </w:p>
        </w:tc>
        <w:tc>
          <w:tcPr>
            <w:tcW w:w="9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2004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116,288</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645,000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95%</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13.14</w:t>
            </w:r>
          </w:p>
        </w:tc>
        <w:tc>
          <w:tcPr>
            <w:tcW w:w="6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38,000</w:t>
            </w:r>
          </w:p>
        </w:tc>
        <w:tc>
          <w:tcPr>
            <w:tcW w:w="60" w:type="dxa"/>
            <w:vAlign w:val="bottom"/>
          </w:tcPr>
          <w:p>
            <w:pPr>
              <w:spacing w:after="0"/>
              <w:rPr>
                <w:sz w:val="11"/>
                <w:szCs w:val="11"/>
                <w:color w:val="auto"/>
              </w:rPr>
            </w:pPr>
          </w:p>
        </w:tc>
        <w:tc>
          <w:tcPr>
            <w:tcW w:w="1440" w:type="dxa"/>
            <w:vAlign w:val="bottom"/>
          </w:tcPr>
          <w:p>
            <w:pPr>
              <w:spacing w:after="0" w:line="136" w:lineRule="exact"/>
              <w:rPr>
                <w:sz w:val="20"/>
                <w:szCs w:val="20"/>
                <w:color w:val="auto"/>
              </w:rPr>
            </w:pPr>
            <w:r>
              <w:rPr>
                <w:rFonts w:ascii="Arial" w:cs="Arial" w:eastAsia="Arial" w:hAnsi="Arial"/>
                <w:sz w:val="13"/>
                <w:szCs w:val="13"/>
                <w:color w:val="auto"/>
              </w:rPr>
              <w:t>Safeway</w:t>
            </w:r>
          </w:p>
        </w:tc>
        <w:tc>
          <w:tcPr>
            <w:tcW w:w="1420" w:type="dxa"/>
            <w:vAlign w:val="bottom"/>
            <w:gridSpan w:val="2"/>
          </w:tcPr>
          <w:p>
            <w:pPr>
              <w:ind w:left="60"/>
              <w:spacing w:after="0" w:line="136" w:lineRule="exact"/>
              <w:rPr>
                <w:sz w:val="20"/>
                <w:szCs w:val="20"/>
                <w:color w:val="auto"/>
              </w:rPr>
            </w:pPr>
            <w:r>
              <w:rPr>
                <w:rFonts w:ascii="Arial" w:cs="Arial" w:eastAsia="Arial" w:hAnsi="Arial"/>
                <w:sz w:val="13"/>
                <w:szCs w:val="13"/>
                <w:color w:val="auto"/>
                <w:w w:val="97"/>
              </w:rPr>
              <w:t>Target / Burlington Coat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gridSpan w:val="2"/>
          </w:tcPr>
          <w:p>
            <w:pPr>
              <w:ind w:left="60"/>
              <w:spacing w:after="0" w:line="145" w:lineRule="exact"/>
              <w:rPr>
                <w:sz w:val="20"/>
                <w:szCs w:val="20"/>
                <w:color w:val="auto"/>
              </w:rPr>
            </w:pPr>
            <w:r>
              <w:rPr>
                <w:rFonts w:ascii="Arial" w:cs="Arial" w:eastAsia="Arial" w:hAnsi="Arial"/>
                <w:sz w:val="13"/>
                <w:szCs w:val="13"/>
                <w:color w:val="auto"/>
                <w:w w:val="92"/>
              </w:rPr>
              <w:t>Factory / Barnes &amp; Noble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color w:val="auto"/>
              </w:rPr>
              <w:t>/ Ross / Michaels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150 Post Street</w:t>
            </w:r>
          </w:p>
        </w:tc>
        <w:tc>
          <w:tcPr>
            <w:tcW w:w="2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spacing w:after="0" w:line="145" w:lineRule="exact"/>
              <w:rPr>
                <w:sz w:val="20"/>
                <w:szCs w:val="20"/>
                <w:color w:val="auto"/>
              </w:rPr>
            </w:pPr>
            <w:r>
              <w:rPr>
                <w:rFonts w:ascii="Arial" w:cs="Arial" w:eastAsia="Arial" w:hAnsi="Arial"/>
                <w:sz w:val="13"/>
                <w:szCs w:val="13"/>
                <w:color w:val="auto"/>
              </w:rPr>
              <w:t>San Francisco, CA</w:t>
            </w:r>
          </w:p>
        </w:tc>
        <w:tc>
          <w:tcPr>
            <w:tcW w:w="9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1997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37,575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101,000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99%</w:t>
            </w: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99%</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42.75</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w w:val="95"/>
              </w:rPr>
              <w:t>Brooks Brothers / H &amp; 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Total California</w:t>
            </w: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979,746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2,456,000</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94%</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94%</w:t>
            </w:r>
          </w:p>
        </w:tc>
        <w:tc>
          <w:tcPr>
            <w:tcW w:w="540" w:type="dxa"/>
            <w:vAlign w:val="bottom"/>
          </w:tcPr>
          <w:p>
            <w:pPr>
              <w:jc w:val="right"/>
              <w:spacing w:after="0"/>
              <w:rPr>
                <w:sz w:val="20"/>
                <w:szCs w:val="20"/>
                <w:color w:val="auto"/>
              </w:rPr>
            </w:pPr>
            <w:r>
              <w:rPr>
                <w:rFonts w:ascii="Arial" w:cs="Arial" w:eastAsia="Arial" w:hAnsi="Arial"/>
                <w:sz w:val="13"/>
                <w:szCs w:val="13"/>
                <w:color w:val="auto"/>
              </w:rPr>
              <w:t>29.88</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40" w:type="dxa"/>
            <w:vAlign w:val="bottom"/>
            <w:gridSpan w:val="8"/>
            <w:shd w:val="clear" w:color="auto" w:fill="CCEEFF"/>
          </w:tcPr>
          <w:p>
            <w:pPr>
              <w:ind w:left="200"/>
              <w:spacing w:after="0" w:line="132" w:lineRule="exact"/>
              <w:rPr>
                <w:sz w:val="20"/>
                <w:szCs w:val="20"/>
                <w:color w:val="auto"/>
              </w:rPr>
            </w:pPr>
            <w:r>
              <w:rPr>
                <w:rFonts w:ascii="Arial" w:cs="Arial" w:eastAsia="Arial" w:hAnsi="Arial"/>
                <w:sz w:val="13"/>
                <w:szCs w:val="13"/>
                <w:b w:val="1"/>
                <w:bCs w:val="1"/>
                <w:color w:val="auto"/>
              </w:rPr>
              <w:t>New York / New Jersey</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980" w:type="dxa"/>
            <w:vAlign w:val="bottom"/>
            <w:gridSpan w:val="4"/>
          </w:tcPr>
          <w:p>
            <w:pPr>
              <w:spacing w:after="0" w:line="129" w:lineRule="exact"/>
              <w:rPr>
                <w:sz w:val="20"/>
                <w:szCs w:val="20"/>
                <w:color w:val="auto"/>
              </w:rPr>
            </w:pPr>
            <w:r>
              <w:rPr>
                <w:rFonts w:ascii="Arial" w:cs="Arial" w:eastAsia="Arial" w:hAnsi="Arial"/>
                <w:sz w:val="13"/>
                <w:szCs w:val="13"/>
                <w:color w:val="auto"/>
              </w:rPr>
              <w:t>Brick Plaza</w:t>
            </w:r>
          </w:p>
        </w:tc>
        <w:tc>
          <w:tcPr>
            <w:tcW w:w="280" w:type="dxa"/>
            <w:vAlign w:val="bottom"/>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3"/>
                <w:szCs w:val="13"/>
                <w:color w:val="auto"/>
              </w:rPr>
              <w:t>Monmouth-Ocean, NJ</w:t>
            </w:r>
          </w:p>
        </w:tc>
        <w:tc>
          <w:tcPr>
            <w:tcW w:w="98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auto"/>
              </w:rPr>
              <w:t>1989</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57,041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30,053</w:t>
            </w: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409,000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98%</w:t>
            </w:r>
          </w:p>
        </w:tc>
        <w:tc>
          <w:tcPr>
            <w:tcW w:w="72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98%</w:t>
            </w:r>
          </w:p>
        </w:tc>
        <w:tc>
          <w:tcPr>
            <w:tcW w:w="540" w:type="dxa"/>
            <w:vAlign w:val="bottom"/>
          </w:tcPr>
          <w:p>
            <w:pPr>
              <w:jc w:val="right"/>
              <w:spacing w:after="0" w:line="129" w:lineRule="exact"/>
              <w:rPr>
                <w:sz w:val="20"/>
                <w:szCs w:val="20"/>
                <w:color w:val="auto"/>
              </w:rPr>
            </w:pPr>
            <w:r>
              <w:rPr>
                <w:rFonts w:ascii="Arial" w:cs="Arial" w:eastAsia="Arial" w:hAnsi="Arial"/>
                <w:sz w:val="13"/>
                <w:szCs w:val="13"/>
                <w:color w:val="auto"/>
              </w:rPr>
              <w:t>15.07</w:t>
            </w:r>
          </w:p>
        </w:tc>
        <w:tc>
          <w:tcPr>
            <w:tcW w:w="6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66,000</w:t>
            </w:r>
          </w:p>
        </w:tc>
        <w:tc>
          <w:tcPr>
            <w:tcW w:w="60" w:type="dxa"/>
            <w:vAlign w:val="bottom"/>
          </w:tcPr>
          <w:p>
            <w:pPr>
              <w:spacing w:after="0"/>
              <w:rPr>
                <w:sz w:val="11"/>
                <w:szCs w:val="11"/>
                <w:color w:val="auto"/>
              </w:rPr>
            </w:pPr>
          </w:p>
        </w:tc>
        <w:tc>
          <w:tcPr>
            <w:tcW w:w="1440" w:type="dxa"/>
            <w:vAlign w:val="bottom"/>
          </w:tcPr>
          <w:p>
            <w:pPr>
              <w:spacing w:after="0" w:line="129" w:lineRule="exact"/>
              <w:rPr>
                <w:sz w:val="20"/>
                <w:szCs w:val="20"/>
                <w:color w:val="auto"/>
              </w:rPr>
            </w:pPr>
            <w:r>
              <w:rPr>
                <w:rFonts w:ascii="Arial" w:cs="Arial" w:eastAsia="Arial" w:hAnsi="Arial"/>
                <w:sz w:val="13"/>
                <w:szCs w:val="13"/>
                <w:color w:val="auto"/>
              </w:rPr>
              <w:t>A&amp;P</w:t>
            </w:r>
          </w:p>
        </w:tc>
        <w:tc>
          <w:tcPr>
            <w:tcW w:w="1420" w:type="dxa"/>
            <w:vAlign w:val="bottom"/>
            <w:gridSpan w:val="2"/>
          </w:tcPr>
          <w:p>
            <w:pPr>
              <w:ind w:left="60"/>
              <w:spacing w:after="0" w:line="129" w:lineRule="exact"/>
              <w:rPr>
                <w:sz w:val="20"/>
                <w:szCs w:val="20"/>
                <w:color w:val="auto"/>
              </w:rPr>
            </w:pPr>
            <w:r>
              <w:rPr>
                <w:rFonts w:ascii="Arial" w:cs="Arial" w:eastAsia="Arial" w:hAnsi="Arial"/>
                <w:sz w:val="13"/>
                <w:szCs w:val="13"/>
                <w:color w:val="auto"/>
                <w:w w:val="99"/>
              </w:rPr>
              <w:t>AMC Loews / Barnes &amp;</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color w:val="auto"/>
                <w:w w:val="97"/>
              </w:rPr>
              <w:t>Noble / Sports Authority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Forest Hills</w:t>
            </w:r>
          </w:p>
        </w:tc>
        <w:tc>
          <w:tcPr>
            <w:tcW w:w="2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spacing w:after="0" w:line="145" w:lineRule="exact"/>
              <w:rPr>
                <w:sz w:val="20"/>
                <w:szCs w:val="20"/>
                <w:color w:val="auto"/>
              </w:rPr>
            </w:pPr>
            <w:r>
              <w:rPr>
                <w:rFonts w:ascii="Arial" w:cs="Arial" w:eastAsia="Arial" w:hAnsi="Arial"/>
                <w:sz w:val="13"/>
                <w:szCs w:val="13"/>
                <w:color w:val="auto"/>
              </w:rPr>
              <w:t>New York, NY</w:t>
            </w:r>
          </w:p>
        </w:tc>
        <w:tc>
          <w:tcPr>
            <w:tcW w:w="9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1997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8,098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46,000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23.29</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Midway Theatre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tcPr>
          <w:p>
            <w:pPr>
              <w:spacing w:after="0" w:line="145" w:lineRule="exact"/>
              <w:rPr>
                <w:sz w:val="20"/>
                <w:szCs w:val="20"/>
                <w:color w:val="auto"/>
              </w:rPr>
            </w:pPr>
            <w:r>
              <w:rPr>
                <w:rFonts w:ascii="Arial" w:cs="Arial" w:eastAsia="Arial" w:hAnsi="Arial"/>
                <w:sz w:val="13"/>
                <w:szCs w:val="13"/>
                <w:color w:val="auto"/>
              </w:rPr>
              <w:t>Fresh Meadows</w:t>
            </w:r>
          </w:p>
        </w:tc>
        <w:tc>
          <w:tcPr>
            <w:tcW w:w="280" w:type="dxa"/>
            <w:vAlign w:val="bottom"/>
          </w:tcPr>
          <w:p>
            <w:pPr>
              <w:spacing w:after="0"/>
              <w:rPr>
                <w:sz w:val="12"/>
                <w:szCs w:val="12"/>
                <w:color w:val="auto"/>
              </w:rPr>
            </w:pPr>
          </w:p>
        </w:tc>
        <w:tc>
          <w:tcPr>
            <w:tcW w:w="1580" w:type="dxa"/>
            <w:vAlign w:val="bottom"/>
            <w:gridSpan w:val="3"/>
          </w:tcPr>
          <w:p>
            <w:pPr>
              <w:spacing w:after="0" w:line="145" w:lineRule="exact"/>
              <w:rPr>
                <w:sz w:val="20"/>
                <w:szCs w:val="20"/>
                <w:color w:val="auto"/>
              </w:rPr>
            </w:pPr>
            <w:r>
              <w:rPr>
                <w:rFonts w:ascii="Arial" w:cs="Arial" w:eastAsia="Arial" w:hAnsi="Arial"/>
                <w:sz w:val="13"/>
                <w:szCs w:val="13"/>
                <w:color w:val="auto"/>
              </w:rPr>
              <w:t>New York, NY</w:t>
            </w:r>
          </w:p>
        </w:tc>
        <w:tc>
          <w:tcPr>
            <w:tcW w:w="980" w:type="dxa"/>
            <w:vAlign w:val="bottom"/>
            <w:gridSpan w:val="3"/>
          </w:tcPr>
          <w:p>
            <w:pPr>
              <w:jc w:val="right"/>
              <w:ind w:right="20"/>
              <w:spacing w:after="0" w:line="145" w:lineRule="exact"/>
              <w:rPr>
                <w:sz w:val="20"/>
                <w:szCs w:val="20"/>
                <w:color w:val="auto"/>
              </w:rPr>
            </w:pPr>
            <w:r>
              <w:rPr>
                <w:rFonts w:ascii="Arial" w:cs="Arial" w:eastAsia="Arial" w:hAnsi="Arial"/>
                <w:sz w:val="13"/>
                <w:szCs w:val="13"/>
                <w:color w:val="auto"/>
              </w:rPr>
              <w:t>1997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69,299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405,000</w:t>
            </w: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98%</w:t>
            </w:r>
          </w:p>
        </w:tc>
        <w:tc>
          <w:tcPr>
            <w:tcW w:w="72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98%</w:t>
            </w:r>
          </w:p>
        </w:tc>
        <w:tc>
          <w:tcPr>
            <w:tcW w:w="540" w:type="dxa"/>
            <w:vAlign w:val="bottom"/>
          </w:tcPr>
          <w:p>
            <w:pPr>
              <w:jc w:val="right"/>
              <w:spacing w:after="0" w:line="145" w:lineRule="exact"/>
              <w:rPr>
                <w:sz w:val="20"/>
                <w:szCs w:val="20"/>
                <w:color w:val="auto"/>
              </w:rPr>
            </w:pPr>
            <w:r>
              <w:rPr>
                <w:rFonts w:ascii="Arial" w:cs="Arial" w:eastAsia="Arial" w:hAnsi="Arial"/>
                <w:sz w:val="13"/>
                <w:szCs w:val="13"/>
                <w:color w:val="auto"/>
              </w:rPr>
              <w:t>24.91</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2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Kohl’s / AMC Loews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80" w:type="dxa"/>
            <w:vAlign w:val="bottom"/>
            <w:gridSpan w:val="4"/>
            <w:shd w:val="clear" w:color="auto" w:fill="CCEEFF"/>
          </w:tcPr>
          <w:p>
            <w:pPr>
              <w:spacing w:after="0" w:line="145" w:lineRule="exact"/>
              <w:rPr>
                <w:sz w:val="20"/>
                <w:szCs w:val="20"/>
                <w:color w:val="auto"/>
              </w:rPr>
            </w:pPr>
            <w:r>
              <w:rPr>
                <w:rFonts w:ascii="Arial" w:cs="Arial" w:eastAsia="Arial" w:hAnsi="Arial"/>
                <w:sz w:val="13"/>
                <w:szCs w:val="13"/>
                <w:color w:val="auto"/>
              </w:rPr>
              <w:t>Hauppauge</w:t>
            </w:r>
          </w:p>
        </w:tc>
        <w:tc>
          <w:tcPr>
            <w:tcW w:w="28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spacing w:after="0" w:line="145" w:lineRule="exact"/>
              <w:rPr>
                <w:sz w:val="20"/>
                <w:szCs w:val="20"/>
                <w:color w:val="auto"/>
              </w:rPr>
            </w:pPr>
            <w:r>
              <w:rPr>
                <w:rFonts w:ascii="Arial" w:cs="Arial" w:eastAsia="Arial" w:hAnsi="Arial"/>
                <w:sz w:val="13"/>
                <w:szCs w:val="13"/>
                <w:color w:val="auto"/>
              </w:rPr>
              <w:t>Nassau-Suffolk, NY</w:t>
            </w:r>
          </w:p>
        </w:tc>
        <w:tc>
          <w:tcPr>
            <w:tcW w:w="980" w:type="dxa"/>
            <w:vAlign w:val="bottom"/>
            <w:gridSpan w:val="3"/>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1998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27,967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15,320</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133,000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99%</w:t>
            </w: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99%</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24.22</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61,000</w:t>
            </w: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Shop Rite</w:t>
            </w:r>
          </w:p>
        </w:tc>
        <w:tc>
          <w:tcPr>
            <w:tcW w:w="142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AC Moore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80" w:type="dxa"/>
            <w:vAlign w:val="bottom"/>
            <w:gridSpan w:val="4"/>
          </w:tcPr>
          <w:p>
            <w:pPr>
              <w:spacing w:after="0" w:line="136" w:lineRule="exact"/>
              <w:rPr>
                <w:sz w:val="20"/>
                <w:szCs w:val="20"/>
                <w:color w:val="auto"/>
              </w:rPr>
            </w:pPr>
            <w:r>
              <w:rPr>
                <w:rFonts w:ascii="Arial" w:cs="Arial" w:eastAsia="Arial" w:hAnsi="Arial"/>
                <w:sz w:val="13"/>
                <w:szCs w:val="13"/>
                <w:color w:val="auto"/>
              </w:rPr>
              <w:t>Huntington</w:t>
            </w:r>
          </w:p>
        </w:tc>
        <w:tc>
          <w:tcPr>
            <w:tcW w:w="280" w:type="dxa"/>
            <w:vAlign w:val="bottom"/>
          </w:tcPr>
          <w:p>
            <w:pPr>
              <w:spacing w:after="0"/>
              <w:rPr>
                <w:sz w:val="11"/>
                <w:szCs w:val="11"/>
                <w:color w:val="auto"/>
              </w:rPr>
            </w:pPr>
          </w:p>
        </w:tc>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Nassau-Suffolk, NY</w:t>
            </w:r>
          </w:p>
        </w:tc>
        <w:tc>
          <w:tcPr>
            <w:tcW w:w="980" w:type="dxa"/>
            <w:vAlign w:val="bottom"/>
            <w:gridSpan w:val="3"/>
          </w:tcPr>
          <w:p>
            <w:pPr>
              <w:jc w:val="right"/>
              <w:ind w:right="20"/>
              <w:spacing w:after="0" w:line="136" w:lineRule="exact"/>
              <w:rPr>
                <w:sz w:val="20"/>
                <w:szCs w:val="20"/>
                <w:color w:val="auto"/>
              </w:rPr>
            </w:pPr>
            <w:r>
              <w:rPr>
                <w:rFonts w:ascii="Arial" w:cs="Arial" w:eastAsia="Arial" w:hAnsi="Arial"/>
                <w:sz w:val="13"/>
                <w:szCs w:val="13"/>
                <w:color w:val="auto"/>
              </w:rPr>
              <w:t>1988/2007</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38,671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292,000</w:t>
            </w: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100%</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18.57</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20" w:type="dxa"/>
            <w:vAlign w:val="bottom"/>
            <w:gridSpan w:val="2"/>
          </w:tcPr>
          <w:p>
            <w:pPr>
              <w:ind w:left="60"/>
              <w:spacing w:after="0" w:line="136" w:lineRule="exact"/>
              <w:rPr>
                <w:sz w:val="20"/>
                <w:szCs w:val="20"/>
                <w:color w:val="auto"/>
              </w:rPr>
            </w:pPr>
            <w:r>
              <w:rPr>
                <w:rFonts w:ascii="Arial" w:cs="Arial" w:eastAsia="Arial" w:hAnsi="Arial"/>
                <w:sz w:val="13"/>
                <w:szCs w:val="13"/>
                <w:color w:val="auto"/>
              </w:rPr>
              <w:t>Buy Buy Baby / Toys 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3"/>
                <w:szCs w:val="13"/>
                <w:color w:val="auto"/>
                <w:w w:val="93"/>
              </w:rPr>
              <w:t>Us / Bed, Bath &amp; Beyond</w:t>
            </w:r>
          </w:p>
        </w:tc>
        <w:tc>
          <w:tcPr>
            <w:tcW w:w="0" w:type="dxa"/>
            <w:vAlign w:val="bottom"/>
          </w:tcPr>
          <w:p>
            <w:pPr>
              <w:spacing w:after="0"/>
              <w:rPr>
                <w:sz w:val="1"/>
                <w:szCs w:val="1"/>
                <w:color w:val="auto"/>
              </w:rPr>
            </w:pPr>
          </w:p>
        </w:tc>
      </w:tr>
    </w:tbl>
    <w:p>
      <w:pPr>
        <w:sectPr>
          <w:pgSz w:w="11900" w:h="16838" w:orient="portrait"/>
          <w:cols w:equalWidth="0" w:num="1">
            <w:col w:w="11520"/>
          </w:cols>
          <w:pgMar w:left="240" w:top="270" w:right="1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80" w:type="dxa"/>
            <w:vAlign w:val="bottom"/>
          </w:tcPr>
          <w:p>
            <w:pPr>
              <w:ind w:left="420"/>
              <w:spacing w:after="0"/>
              <w:rPr>
                <w:sz w:val="20"/>
                <w:szCs w:val="20"/>
                <w:color w:val="auto"/>
              </w:rPr>
            </w:pPr>
            <w:r>
              <w:rPr>
                <w:rFonts w:ascii="Arial" w:cs="Arial" w:eastAsia="Arial" w:hAnsi="Arial"/>
                <w:sz w:val="13"/>
                <w:szCs w:val="13"/>
                <w:color w:val="auto"/>
              </w:rPr>
              <w:t>/ Barnes &amp; Noble /</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80" w:type="dxa"/>
            <w:vAlign w:val="bottom"/>
          </w:tcPr>
          <w:p>
            <w:pPr>
              <w:ind w:left="420"/>
              <w:spacing w:after="0"/>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45"/>
        </w:trPr>
        <w:tc>
          <w:tcPr>
            <w:tcW w:w="8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Melville Mall</w:t>
            </w:r>
          </w:p>
        </w:tc>
        <w:tc>
          <w:tcPr>
            <w:tcW w:w="3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(9)</w:t>
            </w:r>
          </w:p>
        </w:tc>
        <w:tc>
          <w:tcPr>
            <w:tcW w:w="2000" w:type="dxa"/>
            <w:vAlign w:val="bottom"/>
            <w:shd w:val="clear" w:color="auto" w:fill="CCEEFF"/>
          </w:tcPr>
          <w:p>
            <w:pPr>
              <w:ind w:left="60"/>
              <w:spacing w:after="0" w:line="145" w:lineRule="exact"/>
              <w:rPr>
                <w:sz w:val="20"/>
                <w:szCs w:val="20"/>
                <w:color w:val="auto"/>
              </w:rPr>
            </w:pPr>
            <w:r>
              <w:rPr>
                <w:rFonts w:ascii="Arial" w:cs="Arial" w:eastAsia="Arial" w:hAnsi="Arial"/>
                <w:sz w:val="13"/>
                <w:szCs w:val="13"/>
                <w:color w:val="auto"/>
              </w:rPr>
              <w:t>Nassau-Suffolk, NY</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2006</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68,643</w:t>
            </w:r>
          </w:p>
        </w:tc>
        <w:tc>
          <w:tcPr>
            <w:tcW w:w="9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23,782</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248,000</w:t>
            </w:r>
          </w:p>
        </w:tc>
        <w:tc>
          <w:tcPr>
            <w:tcW w:w="66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100%</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17.96</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54,000</w:t>
            </w:r>
          </w:p>
        </w:tc>
        <w:tc>
          <w:tcPr>
            <w:tcW w:w="110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Waldbaum’s</w:t>
            </w:r>
          </w:p>
        </w:tc>
        <w:tc>
          <w:tcPr>
            <w:tcW w:w="178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Kohl’s / Marshalls</w:t>
            </w:r>
          </w:p>
        </w:tc>
        <w:tc>
          <w:tcPr>
            <w:tcW w:w="0" w:type="dxa"/>
            <w:vAlign w:val="bottom"/>
          </w:tcPr>
          <w:p>
            <w:pPr>
              <w:spacing w:after="0"/>
              <w:rPr>
                <w:sz w:val="1"/>
                <w:szCs w:val="1"/>
                <w:color w:val="auto"/>
              </w:rPr>
            </w:pPr>
          </w:p>
        </w:tc>
      </w:tr>
      <w:tr>
        <w:trPr>
          <w:trHeight w:val="136"/>
        </w:trPr>
        <w:tc>
          <w:tcPr>
            <w:tcW w:w="880" w:type="dxa"/>
            <w:vAlign w:val="bottom"/>
          </w:tcPr>
          <w:p>
            <w:pPr>
              <w:spacing w:after="0" w:line="136" w:lineRule="exact"/>
              <w:rPr>
                <w:sz w:val="20"/>
                <w:szCs w:val="20"/>
                <w:color w:val="auto"/>
              </w:rPr>
            </w:pPr>
            <w:r>
              <w:rPr>
                <w:rFonts w:ascii="Arial" w:cs="Arial" w:eastAsia="Arial" w:hAnsi="Arial"/>
                <w:sz w:val="13"/>
                <w:szCs w:val="13"/>
                <w:color w:val="auto"/>
              </w:rPr>
              <w:t>Mercer Mall</w:t>
            </w: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(4)</w:t>
            </w:r>
          </w:p>
        </w:tc>
        <w:tc>
          <w:tcPr>
            <w:tcW w:w="2000" w:type="dxa"/>
            <w:vAlign w:val="bottom"/>
          </w:tcPr>
          <w:p>
            <w:pPr>
              <w:ind w:left="60"/>
              <w:spacing w:after="0" w:line="136" w:lineRule="exact"/>
              <w:rPr>
                <w:sz w:val="20"/>
                <w:szCs w:val="20"/>
                <w:color w:val="auto"/>
              </w:rPr>
            </w:pPr>
            <w:r>
              <w:rPr>
                <w:rFonts w:ascii="Arial" w:cs="Arial" w:eastAsia="Arial" w:hAnsi="Arial"/>
                <w:sz w:val="13"/>
                <w:szCs w:val="13"/>
                <w:color w:val="auto"/>
              </w:rPr>
              <w:t>Trenton, NJ</w:t>
            </w: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2003</w:t>
            </w:r>
          </w:p>
        </w:tc>
        <w:tc>
          <w:tcPr>
            <w:tcW w:w="800" w:type="dxa"/>
            <w:vAlign w:val="bottom"/>
          </w:tcPr>
          <w:p>
            <w:pPr>
              <w:jc w:val="right"/>
              <w:spacing w:after="0" w:line="136" w:lineRule="exact"/>
              <w:rPr>
                <w:sz w:val="20"/>
                <w:szCs w:val="20"/>
                <w:color w:val="auto"/>
              </w:rPr>
            </w:pPr>
            <w:r>
              <w:rPr>
                <w:rFonts w:ascii="Arial" w:cs="Arial" w:eastAsia="Arial" w:hAnsi="Arial"/>
                <w:sz w:val="13"/>
                <w:szCs w:val="13"/>
                <w:color w:val="auto"/>
              </w:rPr>
              <w:t>104,087</w:t>
            </w:r>
          </w:p>
        </w:tc>
        <w:tc>
          <w:tcPr>
            <w:tcW w:w="940" w:type="dxa"/>
            <w:vAlign w:val="bottom"/>
          </w:tcPr>
          <w:p>
            <w:pPr>
              <w:jc w:val="right"/>
              <w:spacing w:after="0" w:line="136" w:lineRule="exact"/>
              <w:rPr>
                <w:sz w:val="20"/>
                <w:szCs w:val="20"/>
                <w:color w:val="auto"/>
              </w:rPr>
            </w:pPr>
            <w:r>
              <w:rPr>
                <w:rFonts w:ascii="Arial" w:cs="Arial" w:eastAsia="Arial" w:hAnsi="Arial"/>
                <w:sz w:val="13"/>
                <w:szCs w:val="13"/>
                <w:color w:val="auto"/>
              </w:rPr>
              <w:t>50,045</w:t>
            </w:r>
          </w:p>
        </w:tc>
        <w:tc>
          <w:tcPr>
            <w:tcW w:w="520" w:type="dxa"/>
            <w:vAlign w:val="bottom"/>
          </w:tcPr>
          <w:p>
            <w:pPr>
              <w:jc w:val="right"/>
              <w:spacing w:after="0" w:line="136" w:lineRule="exact"/>
              <w:rPr>
                <w:sz w:val="20"/>
                <w:szCs w:val="20"/>
                <w:color w:val="auto"/>
              </w:rPr>
            </w:pPr>
            <w:r>
              <w:rPr>
                <w:rFonts w:ascii="Arial" w:cs="Arial" w:eastAsia="Arial" w:hAnsi="Arial"/>
                <w:sz w:val="13"/>
                <w:szCs w:val="13"/>
                <w:color w:val="auto"/>
              </w:rPr>
              <w:t>501,000</w:t>
            </w:r>
          </w:p>
        </w:tc>
        <w:tc>
          <w:tcPr>
            <w:tcW w:w="66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99%</w:t>
            </w:r>
          </w:p>
        </w:tc>
        <w:tc>
          <w:tcPr>
            <w:tcW w:w="540" w:type="dxa"/>
            <w:vAlign w:val="bottom"/>
          </w:tcPr>
          <w:p>
            <w:pPr>
              <w:jc w:val="right"/>
              <w:spacing w:after="0" w:line="136" w:lineRule="exact"/>
              <w:rPr>
                <w:sz w:val="20"/>
                <w:szCs w:val="20"/>
                <w:color w:val="auto"/>
              </w:rPr>
            </w:pPr>
            <w:r>
              <w:rPr>
                <w:rFonts w:ascii="Arial" w:cs="Arial" w:eastAsia="Arial" w:hAnsi="Arial"/>
                <w:sz w:val="13"/>
                <w:szCs w:val="13"/>
                <w:color w:val="auto"/>
              </w:rPr>
              <w:t>19.71</w:t>
            </w:r>
          </w:p>
        </w:tc>
        <w:tc>
          <w:tcPr>
            <w:tcW w:w="580" w:type="dxa"/>
            <w:vAlign w:val="bottom"/>
          </w:tcPr>
          <w:p>
            <w:pPr>
              <w:jc w:val="right"/>
              <w:spacing w:after="0" w:line="136" w:lineRule="exact"/>
              <w:rPr>
                <w:sz w:val="20"/>
                <w:szCs w:val="20"/>
                <w:color w:val="auto"/>
              </w:rPr>
            </w:pPr>
            <w:r>
              <w:rPr>
                <w:rFonts w:ascii="Arial" w:cs="Arial" w:eastAsia="Arial" w:hAnsi="Arial"/>
                <w:sz w:val="13"/>
                <w:szCs w:val="13"/>
                <w:color w:val="auto"/>
              </w:rPr>
              <w:t>75,000</w:t>
            </w:r>
          </w:p>
        </w:tc>
        <w:tc>
          <w:tcPr>
            <w:tcW w:w="1100" w:type="dxa"/>
            <w:vAlign w:val="bottom"/>
          </w:tcPr>
          <w:p>
            <w:pPr>
              <w:ind w:left="20"/>
              <w:spacing w:after="0" w:line="136" w:lineRule="exact"/>
              <w:rPr>
                <w:sz w:val="20"/>
                <w:szCs w:val="20"/>
                <w:color w:val="auto"/>
              </w:rPr>
            </w:pPr>
            <w:r>
              <w:rPr>
                <w:rFonts w:ascii="Arial" w:cs="Arial" w:eastAsia="Arial" w:hAnsi="Arial"/>
                <w:sz w:val="13"/>
                <w:szCs w:val="13"/>
                <w:color w:val="auto"/>
              </w:rPr>
              <w:t>Shop Rite</w:t>
            </w:r>
          </w:p>
        </w:tc>
        <w:tc>
          <w:tcPr>
            <w:tcW w:w="1780" w:type="dxa"/>
            <w:vAlign w:val="bottom"/>
          </w:tcPr>
          <w:p>
            <w:pPr>
              <w:ind w:left="420"/>
              <w:spacing w:after="0" w:line="136"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45"/>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80" w:type="dxa"/>
            <w:vAlign w:val="bottom"/>
          </w:tcPr>
          <w:p>
            <w:pPr>
              <w:ind w:left="420"/>
              <w:spacing w:after="0" w:line="145" w:lineRule="exact"/>
              <w:rPr>
                <w:sz w:val="20"/>
                <w:szCs w:val="20"/>
                <w:color w:val="auto"/>
              </w:rPr>
            </w:pPr>
            <w:r>
              <w:rPr>
                <w:rFonts w:ascii="Arial" w:cs="Arial" w:eastAsia="Arial" w:hAnsi="Arial"/>
                <w:sz w:val="13"/>
                <w:szCs w:val="13"/>
                <w:color w:val="auto"/>
              </w:rPr>
              <w:t>DSW / TJ Maxx /</w:t>
            </w:r>
          </w:p>
        </w:tc>
        <w:tc>
          <w:tcPr>
            <w:tcW w:w="0" w:type="dxa"/>
            <w:vAlign w:val="bottom"/>
          </w:tcPr>
          <w:p>
            <w:pPr>
              <w:spacing w:after="0"/>
              <w:rPr>
                <w:sz w:val="1"/>
                <w:szCs w:val="1"/>
                <w:color w:val="auto"/>
              </w:rPr>
            </w:pPr>
          </w:p>
        </w:tc>
      </w:tr>
      <w:tr>
        <w:trPr>
          <w:trHeight w:val="154"/>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80" w:type="dxa"/>
            <w:vAlign w:val="bottom"/>
          </w:tcPr>
          <w:p>
            <w:pPr>
              <w:ind w:left="420"/>
              <w:spacing w:after="0"/>
              <w:rPr>
                <w:sz w:val="20"/>
                <w:szCs w:val="20"/>
                <w:color w:val="auto"/>
              </w:rPr>
            </w:pPr>
            <w:r>
              <w:rPr>
                <w:rFonts w:ascii="Arial" w:cs="Arial" w:eastAsia="Arial" w:hAnsi="Arial"/>
                <w:sz w:val="13"/>
                <w:szCs w:val="13"/>
                <w:color w:val="auto"/>
              </w:rPr>
              <w:t>Raymour &amp; Flanigan</w:t>
            </w:r>
          </w:p>
        </w:tc>
        <w:tc>
          <w:tcPr>
            <w:tcW w:w="0" w:type="dxa"/>
            <w:vAlign w:val="bottom"/>
          </w:tcPr>
          <w:p>
            <w:pPr>
              <w:spacing w:after="0"/>
              <w:rPr>
                <w:sz w:val="1"/>
                <w:szCs w:val="1"/>
                <w:color w:val="auto"/>
              </w:rPr>
            </w:pPr>
          </w:p>
        </w:tc>
      </w:tr>
      <w:tr>
        <w:trPr>
          <w:trHeight w:val="145"/>
        </w:trPr>
        <w:tc>
          <w:tcPr>
            <w:tcW w:w="8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Troy</w:t>
            </w:r>
          </w:p>
        </w:tc>
        <w:tc>
          <w:tcPr>
            <w:tcW w:w="340" w:type="dxa"/>
            <w:vAlign w:val="bottom"/>
            <w:shd w:val="clear" w:color="auto" w:fill="CCEEFF"/>
          </w:tcPr>
          <w:p>
            <w:pPr>
              <w:spacing w:after="0"/>
              <w:rPr>
                <w:sz w:val="12"/>
                <w:szCs w:val="12"/>
                <w:color w:val="auto"/>
              </w:rPr>
            </w:pPr>
          </w:p>
        </w:tc>
        <w:tc>
          <w:tcPr>
            <w:tcW w:w="2000" w:type="dxa"/>
            <w:vAlign w:val="bottom"/>
            <w:shd w:val="clear" w:color="auto" w:fill="CCEEFF"/>
          </w:tcPr>
          <w:p>
            <w:pPr>
              <w:ind w:left="60"/>
              <w:spacing w:after="0" w:line="145" w:lineRule="exact"/>
              <w:rPr>
                <w:sz w:val="20"/>
                <w:szCs w:val="20"/>
                <w:color w:val="auto"/>
              </w:rPr>
            </w:pPr>
            <w:r>
              <w:rPr>
                <w:rFonts w:ascii="Arial" w:cs="Arial" w:eastAsia="Arial" w:hAnsi="Arial"/>
                <w:sz w:val="13"/>
                <w:szCs w:val="13"/>
                <w:color w:val="auto"/>
              </w:rPr>
              <w:t>Newark, NJ</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1980</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25,278</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207,000</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86%</w:t>
            </w:r>
          </w:p>
        </w:tc>
        <w:tc>
          <w:tcPr>
            <w:tcW w:w="72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86%</w:t>
            </w:r>
          </w:p>
        </w:tc>
        <w:tc>
          <w:tcPr>
            <w:tcW w:w="5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16.16</w:t>
            </w:r>
          </w:p>
        </w:tc>
        <w:tc>
          <w:tcPr>
            <w:tcW w:w="5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64,000</w:t>
            </w:r>
          </w:p>
        </w:tc>
        <w:tc>
          <w:tcPr>
            <w:tcW w:w="110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Pathmark</w:t>
            </w:r>
          </w:p>
        </w:tc>
        <w:tc>
          <w:tcPr>
            <w:tcW w:w="178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L.A. Fitness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Total New York / New Jersey</w:t>
            </w: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399,084</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2,241,000</w:t>
            </w: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98%</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98%</w:t>
            </w:r>
          </w:p>
        </w:tc>
        <w:tc>
          <w:tcPr>
            <w:tcW w:w="540" w:type="dxa"/>
            <w:vAlign w:val="bottom"/>
          </w:tcPr>
          <w:p>
            <w:pPr>
              <w:jc w:val="right"/>
              <w:spacing w:after="0"/>
              <w:rPr>
                <w:sz w:val="20"/>
                <w:szCs w:val="20"/>
                <w:color w:val="auto"/>
              </w:rPr>
            </w:pPr>
            <w:r>
              <w:rPr>
                <w:rFonts w:ascii="Arial" w:cs="Arial" w:eastAsia="Arial" w:hAnsi="Arial"/>
                <w:sz w:val="13"/>
                <w:szCs w:val="13"/>
                <w:color w:val="auto"/>
              </w:rPr>
              <w:t>19.52</w:t>
            </w: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520"/>
          </w:cols>
          <w:pgMar w:left="240" w:top="126" w:right="1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Mortgage</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w w:val="95"/>
              </w:rPr>
              <w:t>and/or</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5" w:lineRule="exact"/>
              <w:rPr>
                <w:sz w:val="20"/>
                <w:szCs w:val="20"/>
                <w:color w:val="auto"/>
              </w:rPr>
            </w:pPr>
            <w:r>
              <w:rPr>
                <w:rFonts w:ascii="Arial" w:cs="Arial" w:eastAsia="Arial" w:hAnsi="Arial"/>
                <w:sz w:val="13"/>
                <w:szCs w:val="13"/>
                <w:b w:val="1"/>
                <w:bCs w:val="1"/>
                <w:color w:val="auto"/>
                <w:w w:val="88"/>
              </w:rPr>
              <w:t>Grocery</w:t>
            </w:r>
          </w:p>
        </w:tc>
        <w:tc>
          <w:tcPr>
            <w:tcW w:w="6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Grocery</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20"/>
              <w:spacing w:after="0" w:line="132" w:lineRule="exact"/>
              <w:rPr>
                <w:sz w:val="20"/>
                <w:szCs w:val="20"/>
                <w:color w:val="auto"/>
              </w:rPr>
            </w:pPr>
            <w:r>
              <w:rPr>
                <w:rFonts w:ascii="Arial" w:cs="Arial" w:eastAsia="Arial" w:hAnsi="Arial"/>
                <w:sz w:val="13"/>
                <w:szCs w:val="13"/>
                <w:b w:val="1"/>
                <w:bCs w:val="1"/>
                <w:color w:val="auto"/>
              </w:rPr>
              <w:t>Year</w:t>
            </w:r>
          </w:p>
        </w:tc>
        <w:tc>
          <w:tcPr>
            <w:tcW w:w="20" w:type="dxa"/>
            <w:vAlign w:val="bottom"/>
          </w:tcPr>
          <w:p>
            <w:pPr>
              <w:spacing w:after="0"/>
              <w:rPr>
                <w:sz w:val="11"/>
                <w:szCs w:val="11"/>
                <w:color w:val="auto"/>
              </w:rPr>
            </w:pPr>
          </w:p>
        </w:tc>
        <w:tc>
          <w:tcPr>
            <w:tcW w:w="840" w:type="dxa"/>
            <w:vAlign w:val="bottom"/>
            <w:gridSpan w:val="2"/>
          </w:tcPr>
          <w:p>
            <w:pPr>
              <w:jc w:val="center"/>
              <w:ind w:right="80"/>
              <w:spacing w:after="0" w:line="132" w:lineRule="exact"/>
              <w:rPr>
                <w:sz w:val="20"/>
                <w:szCs w:val="20"/>
                <w:color w:val="auto"/>
              </w:rPr>
            </w:pPr>
            <w:r>
              <w:rPr>
                <w:rFonts w:ascii="Arial" w:cs="Arial" w:eastAsia="Arial" w:hAnsi="Arial"/>
                <w:sz w:val="13"/>
                <w:szCs w:val="13"/>
                <w:b w:val="1"/>
                <w:bCs w:val="1"/>
                <w:color w:val="auto"/>
                <w:w w:val="91"/>
              </w:rPr>
              <w:t>Real Estate</w:t>
            </w:r>
          </w:p>
        </w:tc>
        <w:tc>
          <w:tcPr>
            <w:tcW w:w="880" w:type="dxa"/>
            <w:vAlign w:val="bottom"/>
            <w:gridSpan w:val="3"/>
          </w:tcPr>
          <w:p>
            <w:pPr>
              <w:jc w:val="center"/>
              <w:ind w:right="60"/>
              <w:spacing w:after="0" w:line="132" w:lineRule="exact"/>
              <w:rPr>
                <w:sz w:val="20"/>
                <w:szCs w:val="20"/>
                <w:color w:val="auto"/>
              </w:rPr>
            </w:pPr>
            <w:r>
              <w:rPr>
                <w:rFonts w:ascii="Arial" w:cs="Arial" w:eastAsia="Arial" w:hAnsi="Arial"/>
                <w:sz w:val="13"/>
                <w:szCs w:val="13"/>
                <w:b w:val="1"/>
                <w:bCs w:val="1"/>
                <w:color w:val="auto"/>
                <w:w w:val="93"/>
              </w:rPr>
              <w:t>Capital Lease</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2"/>
          </w:tcPr>
          <w:p>
            <w:pPr>
              <w:jc w:val="right"/>
              <w:ind w:right="140"/>
              <w:spacing w:after="0" w:line="132"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540" w:type="dxa"/>
            <w:vAlign w:val="bottom"/>
          </w:tcPr>
          <w:p>
            <w:pPr>
              <w:jc w:val="right"/>
              <w:ind w:right="134"/>
              <w:spacing w:after="0" w:line="132"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600" w:type="dxa"/>
            <w:vAlign w:val="bottom"/>
            <w:gridSpan w:val="2"/>
          </w:tcPr>
          <w:p>
            <w:pPr>
              <w:jc w:val="center"/>
              <w:ind w:right="60"/>
              <w:spacing w:after="0" w:line="132" w:lineRule="exact"/>
              <w:rPr>
                <w:sz w:val="20"/>
                <w:szCs w:val="20"/>
                <w:color w:val="auto"/>
              </w:rPr>
            </w:pPr>
            <w:r>
              <w:rPr>
                <w:rFonts w:ascii="Arial" w:cs="Arial" w:eastAsia="Arial" w:hAnsi="Arial"/>
                <w:sz w:val="13"/>
                <w:szCs w:val="13"/>
                <w:b w:val="1"/>
                <w:bCs w:val="1"/>
                <w:color w:val="auto"/>
                <w:w w:val="89"/>
              </w:rPr>
              <w:t>Average</w:t>
            </w:r>
          </w:p>
        </w:tc>
        <w:tc>
          <w:tcPr>
            <w:tcW w:w="480" w:type="dxa"/>
            <w:vAlign w:val="bottom"/>
          </w:tcPr>
          <w:p>
            <w:pPr>
              <w:jc w:val="right"/>
              <w:spacing w:after="0" w:line="132" w:lineRule="exact"/>
              <w:rPr>
                <w:sz w:val="20"/>
                <w:szCs w:val="20"/>
                <w:color w:val="auto"/>
              </w:rPr>
            </w:pPr>
            <w:r>
              <w:rPr>
                <w:rFonts w:ascii="Arial" w:cs="Arial" w:eastAsia="Arial" w:hAnsi="Arial"/>
                <w:sz w:val="13"/>
                <w:szCs w:val="13"/>
                <w:b w:val="1"/>
                <w:bCs w:val="1"/>
                <w:color w:val="auto"/>
                <w:w w:val="92"/>
              </w:rPr>
              <w:t>Anchor</w:t>
            </w: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20" w:type="dxa"/>
            <w:vAlign w:val="bottom"/>
            <w:gridSpan w:val="6"/>
          </w:tcPr>
          <w:p>
            <w:pPr>
              <w:spacing w:after="0"/>
              <w:rPr>
                <w:sz w:val="20"/>
                <w:szCs w:val="20"/>
                <w:color w:val="auto"/>
              </w:rPr>
            </w:pPr>
            <w:r>
              <w:rPr>
                <w:rFonts w:ascii="Arial" w:cs="Arial" w:eastAsia="Arial" w:hAnsi="Arial"/>
                <w:sz w:val="13"/>
                <w:szCs w:val="13"/>
                <w:b w:val="1"/>
                <w:bCs w:val="1"/>
                <w:color w:val="auto"/>
              </w:rPr>
              <w:t>Property Name</w:t>
            </w:r>
          </w:p>
        </w:tc>
        <w:tc>
          <w:tcPr>
            <w:tcW w:w="300" w:type="dxa"/>
            <w:vAlign w:val="bottom"/>
          </w:tcPr>
          <w:p>
            <w:pPr>
              <w:spacing w:after="0"/>
              <w:rPr>
                <w:sz w:val="14"/>
                <w:szCs w:val="14"/>
                <w:color w:val="auto"/>
              </w:rPr>
            </w:pPr>
          </w:p>
        </w:tc>
        <w:tc>
          <w:tcPr>
            <w:tcW w:w="2360" w:type="dxa"/>
            <w:vAlign w:val="bottom"/>
          </w:tcPr>
          <w:p>
            <w:pPr>
              <w:ind w:left="680"/>
              <w:spacing w:after="0"/>
              <w:rPr>
                <w:sz w:val="20"/>
                <w:szCs w:val="20"/>
                <w:color w:val="auto"/>
              </w:rPr>
            </w:pPr>
            <w:r>
              <w:rPr>
                <w:rFonts w:ascii="Arial" w:cs="Arial" w:eastAsia="Arial" w:hAnsi="Arial"/>
                <w:sz w:val="13"/>
                <w:szCs w:val="13"/>
                <w:b w:val="1"/>
                <w:bCs w:val="1"/>
                <w:color w:val="auto"/>
              </w:rPr>
              <w:t>MSA Description</w:t>
            </w:r>
          </w:p>
        </w:tc>
        <w:tc>
          <w:tcPr>
            <w:tcW w:w="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5"/>
              </w:rPr>
              <w:t>Acquired</w:t>
            </w:r>
          </w:p>
        </w:tc>
        <w:tc>
          <w:tcPr>
            <w:tcW w:w="2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at Cost</w:t>
            </w:r>
          </w:p>
        </w:tc>
        <w:tc>
          <w:tcPr>
            <w:tcW w:w="8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3"/>
              </w:rPr>
              <w:t>Obligation (1)</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GLA (2)</w:t>
            </w:r>
          </w:p>
        </w:tc>
        <w:tc>
          <w:tcPr>
            <w:tcW w:w="6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Leased</w:t>
            </w: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Occupied</w:t>
            </w:r>
          </w:p>
        </w:tc>
        <w:tc>
          <w:tcPr>
            <w:tcW w:w="6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Rent PSF</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GLA (3)</w:t>
            </w:r>
          </w:p>
        </w:tc>
        <w:tc>
          <w:tcPr>
            <w:tcW w:w="60" w:type="dxa"/>
            <w:vAlign w:val="bottom"/>
          </w:tcPr>
          <w:p>
            <w:pPr>
              <w:spacing w:after="0"/>
              <w:rPr>
                <w:sz w:val="14"/>
                <w:szCs w:val="14"/>
                <w:color w:val="auto"/>
              </w:rPr>
            </w:pPr>
          </w:p>
        </w:tc>
        <w:tc>
          <w:tcPr>
            <w:tcW w:w="2160" w:type="dxa"/>
            <w:vAlign w:val="bottom"/>
            <w:gridSpan w:val="3"/>
          </w:tcPr>
          <w:p>
            <w:pPr>
              <w:ind w:left="60"/>
              <w:spacing w:after="0"/>
              <w:rPr>
                <w:sz w:val="20"/>
                <w:szCs w:val="20"/>
                <w:color w:val="auto"/>
              </w:rPr>
            </w:pPr>
            <w:r>
              <w:rPr>
                <w:rFonts w:ascii="Arial" w:cs="Arial" w:eastAsia="Arial" w:hAnsi="Arial"/>
                <w:sz w:val="13"/>
                <w:szCs w:val="13"/>
                <w:b w:val="1"/>
                <w:bCs w:val="1"/>
                <w:color w:val="auto"/>
                <w:w w:val="95"/>
              </w:rPr>
              <w:t>Anchor (3)  Other Principal Tenants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6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Borders>
              <w:right w:val="single" w:sz="8" w:color="CCEEFF"/>
            </w:tcBorders>
            <w:gridSpan w:val="5"/>
            <w:shd w:val="clear" w:color="auto" w:fill="CCEEFF"/>
          </w:tcPr>
          <w:p>
            <w:pPr>
              <w:ind w:left="200"/>
              <w:spacing w:after="0" w:line="132" w:lineRule="exact"/>
              <w:rPr>
                <w:sz w:val="20"/>
                <w:szCs w:val="20"/>
                <w:color w:val="auto"/>
              </w:rPr>
            </w:pPr>
            <w:r>
              <w:rPr>
                <w:rFonts w:ascii="Arial" w:cs="Arial" w:eastAsia="Arial" w:hAnsi="Arial"/>
                <w:sz w:val="13"/>
                <w:szCs w:val="13"/>
                <w:b w:val="1"/>
                <w:bCs w:val="1"/>
                <w:color w:val="auto"/>
                <w:w w:val="93"/>
              </w:rPr>
              <w:t>New England</w:t>
            </w:r>
          </w:p>
        </w:tc>
        <w:tc>
          <w:tcPr>
            <w:tcW w:w="3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000" w:type="dxa"/>
            <w:vAlign w:val="bottom"/>
            <w:gridSpan w:val="5"/>
          </w:tcPr>
          <w:p>
            <w:pPr>
              <w:spacing w:after="0" w:line="129" w:lineRule="exact"/>
              <w:rPr>
                <w:sz w:val="20"/>
                <w:szCs w:val="20"/>
                <w:color w:val="auto"/>
              </w:rPr>
            </w:pPr>
            <w:r>
              <w:rPr>
                <w:rFonts w:ascii="Arial" w:cs="Arial" w:eastAsia="Arial" w:hAnsi="Arial"/>
                <w:sz w:val="13"/>
                <w:szCs w:val="13"/>
                <w:color w:val="auto"/>
                <w:w w:val="94"/>
              </w:rPr>
              <w:t>Assembly Square</w:t>
            </w:r>
          </w:p>
        </w:tc>
        <w:tc>
          <w:tcPr>
            <w:tcW w:w="2660" w:type="dxa"/>
            <w:vAlign w:val="bottom"/>
            <w:gridSpan w:val="2"/>
          </w:tcPr>
          <w:p>
            <w:pPr>
              <w:ind w:left="300"/>
              <w:spacing w:after="0" w:line="129" w:lineRule="exact"/>
              <w:rPr>
                <w:sz w:val="20"/>
                <w:szCs w:val="20"/>
                <w:color w:val="auto"/>
              </w:rPr>
            </w:pPr>
            <w:r>
              <w:rPr>
                <w:rFonts w:ascii="Arial" w:cs="Arial" w:eastAsia="Arial" w:hAnsi="Arial"/>
                <w:sz w:val="13"/>
                <w:szCs w:val="13"/>
                <w:color w:val="auto"/>
              </w:rPr>
              <w:t>Boston-Cambridge-Quincy, MA-NH</w:t>
            </w:r>
          </w:p>
        </w:tc>
        <w:tc>
          <w:tcPr>
            <w:tcW w:w="720" w:type="dxa"/>
            <w:vAlign w:val="bottom"/>
            <w:gridSpan w:val="3"/>
          </w:tcPr>
          <w:p>
            <w:pPr>
              <w:jc w:val="right"/>
              <w:ind w:right="80"/>
              <w:spacing w:after="0" w:line="129" w:lineRule="exact"/>
              <w:rPr>
                <w:sz w:val="20"/>
                <w:szCs w:val="20"/>
                <w:color w:val="auto"/>
              </w:rPr>
            </w:pPr>
            <w:r>
              <w:rPr>
                <w:rFonts w:ascii="Arial" w:cs="Arial" w:eastAsia="Arial" w:hAnsi="Arial"/>
                <w:sz w:val="13"/>
                <w:szCs w:val="13"/>
                <w:color w:val="auto"/>
                <w:w w:val="99"/>
              </w:rPr>
              <w:t>2005-2009</w:t>
            </w:r>
          </w:p>
        </w:tc>
        <w:tc>
          <w:tcPr>
            <w:tcW w:w="8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169,891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332,000</w:t>
            </w:r>
          </w:p>
        </w:tc>
        <w:tc>
          <w:tcPr>
            <w:tcW w:w="640" w:type="dxa"/>
            <w:vAlign w:val="bottom"/>
            <w:gridSpan w:val="3"/>
          </w:tcPr>
          <w:p>
            <w:pPr>
              <w:jc w:val="right"/>
              <w:ind w:right="100"/>
              <w:spacing w:after="0" w:line="129" w:lineRule="exact"/>
              <w:rPr>
                <w:sz w:val="20"/>
                <w:szCs w:val="20"/>
                <w:color w:val="auto"/>
              </w:rPr>
            </w:pPr>
            <w:r>
              <w:rPr>
                <w:rFonts w:ascii="Arial" w:cs="Arial" w:eastAsia="Arial" w:hAnsi="Arial"/>
                <w:sz w:val="13"/>
                <w:szCs w:val="13"/>
                <w:color w:val="auto"/>
              </w:rPr>
              <w:t>100%</w:t>
            </w: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100%</w:t>
            </w:r>
          </w:p>
        </w:tc>
        <w:tc>
          <w:tcPr>
            <w:tcW w:w="6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16.25</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line="129" w:lineRule="exact"/>
              <w:rPr>
                <w:sz w:val="20"/>
                <w:szCs w:val="20"/>
                <w:color w:val="auto"/>
              </w:rPr>
            </w:pPr>
            <w:r>
              <w:rPr>
                <w:rFonts w:ascii="Arial" w:cs="Arial" w:eastAsia="Arial" w:hAnsi="Arial"/>
                <w:sz w:val="13"/>
                <w:szCs w:val="13"/>
                <w:color w:val="auto"/>
                <w:w w:val="96"/>
              </w:rPr>
              <w:t>AC Moore / Bed, Bath &amp;</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line="145" w:lineRule="exact"/>
              <w:rPr>
                <w:sz w:val="20"/>
                <w:szCs w:val="20"/>
                <w:color w:val="auto"/>
              </w:rPr>
            </w:pPr>
            <w:r>
              <w:rPr>
                <w:rFonts w:ascii="Arial" w:cs="Arial" w:eastAsia="Arial" w:hAnsi="Arial"/>
                <w:sz w:val="13"/>
                <w:szCs w:val="13"/>
                <w:color w:val="auto"/>
                <w:w w:val="93"/>
              </w:rPr>
              <w:t>Beyond / Christmas Tree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line="145" w:lineRule="exact"/>
              <w:rPr>
                <w:sz w:val="20"/>
                <w:szCs w:val="20"/>
                <w:color w:val="auto"/>
              </w:rPr>
            </w:pPr>
            <w:r>
              <w:rPr>
                <w:rFonts w:ascii="Arial" w:cs="Arial" w:eastAsia="Arial" w:hAnsi="Arial"/>
                <w:sz w:val="13"/>
                <w:szCs w:val="13"/>
                <w:color w:val="auto"/>
                <w:w w:val="93"/>
              </w:rPr>
              <w:t>Shops / Kmart / Staples /</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line="145" w:lineRule="exact"/>
              <w:rPr>
                <w:sz w:val="20"/>
                <w:szCs w:val="20"/>
                <w:color w:val="auto"/>
              </w:rPr>
            </w:pPr>
            <w:r>
              <w:rPr>
                <w:rFonts w:ascii="Arial" w:cs="Arial" w:eastAsia="Arial" w:hAnsi="Arial"/>
                <w:sz w:val="13"/>
                <w:szCs w:val="13"/>
                <w:color w:val="auto"/>
              </w:rPr>
              <w:t>Sports Authority / TJ</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Maxx</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0" w:type="dxa"/>
            <w:vAlign w:val="bottom"/>
            <w:tcBorders>
              <w:right w:val="single" w:sz="8" w:color="CCEEFF"/>
            </w:tcBorders>
            <w:gridSpan w:val="5"/>
            <w:shd w:val="clear" w:color="auto" w:fill="CCEEFF"/>
          </w:tcPr>
          <w:p>
            <w:pPr>
              <w:spacing w:after="0" w:line="145" w:lineRule="exact"/>
              <w:rPr>
                <w:sz w:val="20"/>
                <w:szCs w:val="20"/>
                <w:color w:val="auto"/>
              </w:rPr>
            </w:pPr>
            <w:r>
              <w:rPr>
                <w:rFonts w:ascii="Arial" w:cs="Arial" w:eastAsia="Arial" w:hAnsi="Arial"/>
                <w:sz w:val="13"/>
                <w:szCs w:val="13"/>
                <w:color w:val="auto"/>
                <w:w w:val="86"/>
              </w:rPr>
              <w:t>Chelsea Commons</w:t>
            </w:r>
          </w:p>
        </w:tc>
        <w:tc>
          <w:tcPr>
            <w:tcW w:w="266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3"/>
                <w:szCs w:val="13"/>
                <w:color w:val="auto"/>
              </w:rPr>
              <w:t>Boston-Cambridge-Quincy, MA-NH</w:t>
            </w:r>
          </w:p>
        </w:tc>
        <w:tc>
          <w:tcPr>
            <w:tcW w:w="72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w w:val="99"/>
              </w:rPr>
              <w:t>2006-2008</w:t>
            </w:r>
          </w:p>
        </w:tc>
        <w:tc>
          <w:tcPr>
            <w:tcW w:w="8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29,293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7,952</w:t>
            </w:r>
          </w:p>
        </w:tc>
        <w:tc>
          <w:tcPr>
            <w:tcW w:w="62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222,000</w:t>
            </w:r>
          </w:p>
        </w:tc>
        <w:tc>
          <w:tcPr>
            <w:tcW w:w="64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97%</w:t>
            </w:r>
          </w:p>
        </w:tc>
        <w:tc>
          <w:tcPr>
            <w:tcW w:w="7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89%</w:t>
            </w:r>
          </w:p>
        </w:tc>
        <w:tc>
          <w:tcPr>
            <w:tcW w:w="6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10.16</w:t>
            </w: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16,000</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Sav-A-Lot</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Home Depot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0" w:type="dxa"/>
            <w:vAlign w:val="bottom"/>
            <w:gridSpan w:val="5"/>
          </w:tcPr>
          <w:p>
            <w:pPr>
              <w:spacing w:after="0" w:line="145" w:lineRule="exact"/>
              <w:rPr>
                <w:sz w:val="20"/>
                <w:szCs w:val="20"/>
                <w:color w:val="auto"/>
              </w:rPr>
            </w:pPr>
            <w:r>
              <w:rPr>
                <w:rFonts w:ascii="Arial" w:cs="Arial" w:eastAsia="Arial" w:hAnsi="Arial"/>
                <w:sz w:val="13"/>
                <w:szCs w:val="13"/>
                <w:color w:val="auto"/>
              </w:rPr>
              <w:t>Dedham Plaza</w:t>
            </w:r>
          </w:p>
        </w:tc>
        <w:tc>
          <w:tcPr>
            <w:tcW w:w="2660" w:type="dxa"/>
            <w:vAlign w:val="bottom"/>
            <w:gridSpan w:val="2"/>
          </w:tcPr>
          <w:p>
            <w:pPr>
              <w:ind w:left="300"/>
              <w:spacing w:after="0" w:line="145" w:lineRule="exact"/>
              <w:rPr>
                <w:sz w:val="20"/>
                <w:szCs w:val="20"/>
                <w:color w:val="auto"/>
              </w:rPr>
            </w:pPr>
            <w:r>
              <w:rPr>
                <w:rFonts w:ascii="Arial" w:cs="Arial" w:eastAsia="Arial" w:hAnsi="Arial"/>
                <w:sz w:val="13"/>
                <w:szCs w:val="13"/>
                <w:color w:val="auto"/>
              </w:rPr>
              <w:t>Boston-Cambridge-Quincy, MA-NH</w:t>
            </w:r>
          </w:p>
        </w:tc>
        <w:tc>
          <w:tcPr>
            <w:tcW w:w="7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1993</w:t>
            </w:r>
          </w:p>
        </w:tc>
        <w:tc>
          <w:tcPr>
            <w:tcW w:w="860" w:type="dxa"/>
            <w:vAlign w:val="bottom"/>
            <w:gridSpan w:val="3"/>
          </w:tcPr>
          <w:p>
            <w:pPr>
              <w:jc w:val="right"/>
              <w:ind w:right="60"/>
              <w:spacing w:after="0" w:line="145" w:lineRule="exact"/>
              <w:rPr>
                <w:sz w:val="20"/>
                <w:szCs w:val="20"/>
                <w:color w:val="auto"/>
              </w:rPr>
            </w:pPr>
            <w:r>
              <w:rPr>
                <w:rFonts w:ascii="Arial" w:cs="Arial" w:eastAsia="Arial" w:hAnsi="Arial"/>
                <w:sz w:val="13"/>
                <w:szCs w:val="13"/>
                <w:color w:val="auto"/>
              </w:rPr>
              <w:t>32,111</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242,000</w:t>
            </w:r>
          </w:p>
        </w:tc>
        <w:tc>
          <w:tcPr>
            <w:tcW w:w="6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91%</w:t>
            </w: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89%</w:t>
            </w:r>
          </w:p>
        </w:tc>
        <w:tc>
          <w:tcPr>
            <w:tcW w:w="6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15.03</w:t>
            </w:r>
          </w:p>
        </w:tc>
        <w:tc>
          <w:tcPr>
            <w:tcW w:w="480" w:type="dxa"/>
            <w:vAlign w:val="bottom"/>
          </w:tcPr>
          <w:p>
            <w:pPr>
              <w:jc w:val="right"/>
              <w:spacing w:after="0" w:line="145" w:lineRule="exact"/>
              <w:rPr>
                <w:sz w:val="20"/>
                <w:szCs w:val="20"/>
                <w:color w:val="auto"/>
              </w:rPr>
            </w:pPr>
            <w:r>
              <w:rPr>
                <w:rFonts w:ascii="Arial" w:cs="Arial" w:eastAsia="Arial" w:hAnsi="Arial"/>
                <w:sz w:val="13"/>
                <w:szCs w:val="13"/>
                <w:color w:val="auto"/>
              </w:rPr>
              <w:t>80,000</w:t>
            </w:r>
          </w:p>
        </w:tc>
        <w:tc>
          <w:tcPr>
            <w:tcW w:w="60" w:type="dxa"/>
            <w:vAlign w:val="bottom"/>
          </w:tcPr>
          <w:p>
            <w:pPr>
              <w:spacing w:after="0"/>
              <w:rPr>
                <w:sz w:val="12"/>
                <w:szCs w:val="12"/>
                <w:color w:val="auto"/>
              </w:rPr>
            </w:pPr>
          </w:p>
        </w:tc>
        <w:tc>
          <w:tcPr>
            <w:tcW w:w="720" w:type="dxa"/>
            <w:vAlign w:val="bottom"/>
          </w:tcPr>
          <w:p>
            <w:pPr>
              <w:spacing w:after="0" w:line="145" w:lineRule="exact"/>
              <w:rPr>
                <w:sz w:val="20"/>
                <w:szCs w:val="20"/>
                <w:color w:val="auto"/>
              </w:rPr>
            </w:pPr>
            <w:r>
              <w:rPr>
                <w:rFonts w:ascii="Arial" w:cs="Arial" w:eastAsia="Arial" w:hAnsi="Arial"/>
                <w:sz w:val="13"/>
                <w:szCs w:val="13"/>
                <w:color w:val="auto"/>
              </w:rPr>
              <w:t>Star Market</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right w:val="single" w:sz="8" w:color="CCEEFF"/>
            </w:tcBorders>
            <w:gridSpan w:val="5"/>
            <w:shd w:val="clear" w:color="auto" w:fill="CCEEFF"/>
          </w:tcPr>
          <w:p>
            <w:pPr>
              <w:spacing w:after="0" w:line="136" w:lineRule="exact"/>
              <w:rPr>
                <w:sz w:val="20"/>
                <w:szCs w:val="20"/>
                <w:color w:val="auto"/>
              </w:rPr>
            </w:pPr>
            <w:r>
              <w:rPr>
                <w:rFonts w:ascii="Arial" w:cs="Arial" w:eastAsia="Arial" w:hAnsi="Arial"/>
                <w:sz w:val="13"/>
                <w:szCs w:val="13"/>
                <w:color w:val="auto"/>
              </w:rPr>
              <w:t>Linden Square</w:t>
            </w:r>
          </w:p>
        </w:tc>
        <w:tc>
          <w:tcPr>
            <w:tcW w:w="2660" w:type="dxa"/>
            <w:vAlign w:val="bottom"/>
            <w:gridSpan w:val="2"/>
            <w:shd w:val="clear" w:color="auto" w:fill="CCEEFF"/>
          </w:tcPr>
          <w:p>
            <w:pPr>
              <w:ind w:left="300"/>
              <w:spacing w:after="0" w:line="136" w:lineRule="exact"/>
              <w:rPr>
                <w:sz w:val="20"/>
                <w:szCs w:val="20"/>
                <w:color w:val="auto"/>
              </w:rPr>
            </w:pPr>
            <w:r>
              <w:rPr>
                <w:rFonts w:ascii="Arial" w:cs="Arial" w:eastAsia="Arial" w:hAnsi="Arial"/>
                <w:sz w:val="13"/>
                <w:szCs w:val="13"/>
                <w:color w:val="auto"/>
              </w:rPr>
              <w:t>Boston-Cambridge-Quincy, MA-NH</w:t>
            </w:r>
          </w:p>
        </w:tc>
        <w:tc>
          <w:tcPr>
            <w:tcW w:w="7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2006</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142,623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217,000</w:t>
            </w:r>
          </w:p>
        </w:tc>
        <w:tc>
          <w:tcPr>
            <w:tcW w:w="64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93%</w:t>
            </w:r>
          </w:p>
        </w:tc>
        <w:tc>
          <w:tcPr>
            <w:tcW w:w="7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86%</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41.75</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50,000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Roche</w:t>
            </w: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Brothers</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3"/>
                <w:szCs w:val="13"/>
                <w:color w:val="auto"/>
                <w:w w:val="86"/>
              </w:rPr>
              <w:t>Supermarkets</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0" w:type="dxa"/>
            <w:vAlign w:val="bottom"/>
            <w:gridSpan w:val="5"/>
          </w:tcPr>
          <w:p>
            <w:pPr>
              <w:spacing w:after="0" w:line="145" w:lineRule="exact"/>
              <w:rPr>
                <w:sz w:val="20"/>
                <w:szCs w:val="20"/>
                <w:color w:val="auto"/>
              </w:rPr>
            </w:pPr>
            <w:r>
              <w:rPr>
                <w:rFonts w:ascii="Arial" w:cs="Arial" w:eastAsia="Arial" w:hAnsi="Arial"/>
                <w:sz w:val="13"/>
                <w:szCs w:val="13"/>
                <w:color w:val="auto"/>
                <w:w w:val="99"/>
              </w:rPr>
              <w:t>North Dartmouth</w:t>
            </w:r>
          </w:p>
        </w:tc>
        <w:tc>
          <w:tcPr>
            <w:tcW w:w="2660" w:type="dxa"/>
            <w:vAlign w:val="bottom"/>
            <w:gridSpan w:val="2"/>
          </w:tcPr>
          <w:p>
            <w:pPr>
              <w:ind w:left="300"/>
              <w:spacing w:after="0" w:line="145" w:lineRule="exact"/>
              <w:rPr>
                <w:sz w:val="20"/>
                <w:szCs w:val="20"/>
                <w:color w:val="auto"/>
              </w:rPr>
            </w:pPr>
            <w:r>
              <w:rPr>
                <w:rFonts w:ascii="Arial" w:cs="Arial" w:eastAsia="Arial" w:hAnsi="Arial"/>
                <w:sz w:val="13"/>
                <w:szCs w:val="13"/>
                <w:color w:val="auto"/>
              </w:rPr>
              <w:t>Boston-Cambridge-Quincy, MA-NH</w:t>
            </w:r>
          </w:p>
        </w:tc>
        <w:tc>
          <w:tcPr>
            <w:tcW w:w="7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2006</w:t>
            </w:r>
          </w:p>
        </w:tc>
        <w:tc>
          <w:tcPr>
            <w:tcW w:w="8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9,368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48,000</w:t>
            </w:r>
          </w:p>
        </w:tc>
        <w:tc>
          <w:tcPr>
            <w:tcW w:w="6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100%</w:t>
            </w: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100%</w:t>
            </w:r>
          </w:p>
        </w:tc>
        <w:tc>
          <w:tcPr>
            <w:tcW w:w="6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13.80</w:t>
            </w:r>
          </w:p>
        </w:tc>
        <w:tc>
          <w:tcPr>
            <w:tcW w:w="480" w:type="dxa"/>
            <w:vAlign w:val="bottom"/>
          </w:tcPr>
          <w:p>
            <w:pPr>
              <w:jc w:val="right"/>
              <w:spacing w:after="0" w:line="145" w:lineRule="exact"/>
              <w:rPr>
                <w:sz w:val="20"/>
                <w:szCs w:val="20"/>
                <w:color w:val="auto"/>
              </w:rPr>
            </w:pPr>
            <w:r>
              <w:rPr>
                <w:rFonts w:ascii="Arial" w:cs="Arial" w:eastAsia="Arial" w:hAnsi="Arial"/>
                <w:sz w:val="13"/>
                <w:szCs w:val="13"/>
                <w:color w:val="auto"/>
              </w:rPr>
              <w:t>48,000</w:t>
            </w:r>
          </w:p>
        </w:tc>
        <w:tc>
          <w:tcPr>
            <w:tcW w:w="60" w:type="dxa"/>
            <w:vAlign w:val="bottom"/>
          </w:tcPr>
          <w:p>
            <w:pPr>
              <w:spacing w:after="0"/>
              <w:rPr>
                <w:sz w:val="12"/>
                <w:szCs w:val="12"/>
                <w:color w:val="auto"/>
              </w:rPr>
            </w:pPr>
          </w:p>
        </w:tc>
        <w:tc>
          <w:tcPr>
            <w:tcW w:w="720" w:type="dxa"/>
            <w:vAlign w:val="bottom"/>
          </w:tcPr>
          <w:p>
            <w:pPr>
              <w:spacing w:after="0" w:line="145" w:lineRule="exact"/>
              <w:rPr>
                <w:sz w:val="20"/>
                <w:szCs w:val="20"/>
                <w:color w:val="auto"/>
              </w:rPr>
            </w:pPr>
            <w:r>
              <w:rPr>
                <w:rFonts w:ascii="Arial" w:cs="Arial" w:eastAsia="Arial" w:hAnsi="Arial"/>
                <w:sz w:val="13"/>
                <w:szCs w:val="13"/>
                <w:color w:val="auto"/>
                <w:w w:val="95"/>
              </w:rPr>
              <w:t>Stop &amp; Shop</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1000" w:type="dxa"/>
            <w:vAlign w:val="bottom"/>
            <w:gridSpan w:val="5"/>
          </w:tcPr>
          <w:p>
            <w:pPr>
              <w:spacing w:after="0" w:line="145" w:lineRule="exact"/>
              <w:rPr>
                <w:sz w:val="20"/>
                <w:szCs w:val="20"/>
                <w:color w:val="auto"/>
              </w:rPr>
            </w:pPr>
            <w:r>
              <w:rPr>
                <w:rFonts w:ascii="Arial" w:cs="Arial" w:eastAsia="Arial" w:hAnsi="Arial"/>
                <w:sz w:val="13"/>
                <w:szCs w:val="13"/>
                <w:color w:val="auto"/>
                <w:w w:val="87"/>
              </w:rPr>
              <w:t>Queen Anne Plaza</w:t>
            </w:r>
          </w:p>
        </w:tc>
        <w:tc>
          <w:tcPr>
            <w:tcW w:w="2660" w:type="dxa"/>
            <w:vAlign w:val="bottom"/>
            <w:gridSpan w:val="2"/>
          </w:tcPr>
          <w:p>
            <w:pPr>
              <w:ind w:left="300"/>
              <w:spacing w:after="0" w:line="145" w:lineRule="exact"/>
              <w:rPr>
                <w:sz w:val="20"/>
                <w:szCs w:val="20"/>
                <w:color w:val="auto"/>
              </w:rPr>
            </w:pPr>
            <w:r>
              <w:rPr>
                <w:rFonts w:ascii="Arial" w:cs="Arial" w:eastAsia="Arial" w:hAnsi="Arial"/>
                <w:sz w:val="13"/>
                <w:szCs w:val="13"/>
                <w:color w:val="auto"/>
              </w:rPr>
              <w:t>Boston-Cambridge-Quincy, MA-NH</w:t>
            </w:r>
          </w:p>
        </w:tc>
        <w:tc>
          <w:tcPr>
            <w:tcW w:w="7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1994</w:t>
            </w:r>
          </w:p>
        </w:tc>
        <w:tc>
          <w:tcPr>
            <w:tcW w:w="8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15,661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149,000</w:t>
            </w:r>
          </w:p>
        </w:tc>
        <w:tc>
          <w:tcPr>
            <w:tcW w:w="6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100%</w:t>
            </w: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100%</w:t>
            </w:r>
          </w:p>
        </w:tc>
        <w:tc>
          <w:tcPr>
            <w:tcW w:w="6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15.04</w:t>
            </w:r>
          </w:p>
        </w:tc>
        <w:tc>
          <w:tcPr>
            <w:tcW w:w="480" w:type="dxa"/>
            <w:vAlign w:val="bottom"/>
          </w:tcPr>
          <w:p>
            <w:pPr>
              <w:jc w:val="right"/>
              <w:spacing w:after="0" w:line="145" w:lineRule="exact"/>
              <w:rPr>
                <w:sz w:val="20"/>
                <w:szCs w:val="20"/>
                <w:color w:val="auto"/>
              </w:rPr>
            </w:pPr>
            <w:r>
              <w:rPr>
                <w:rFonts w:ascii="Arial" w:cs="Arial" w:eastAsia="Arial" w:hAnsi="Arial"/>
                <w:sz w:val="13"/>
                <w:szCs w:val="13"/>
                <w:color w:val="auto"/>
              </w:rPr>
              <w:t>50,000</w:t>
            </w:r>
          </w:p>
        </w:tc>
        <w:tc>
          <w:tcPr>
            <w:tcW w:w="60" w:type="dxa"/>
            <w:vAlign w:val="bottom"/>
          </w:tcPr>
          <w:p>
            <w:pPr>
              <w:spacing w:after="0"/>
              <w:rPr>
                <w:sz w:val="12"/>
                <w:szCs w:val="12"/>
                <w:color w:val="auto"/>
              </w:rPr>
            </w:pPr>
          </w:p>
        </w:tc>
        <w:tc>
          <w:tcPr>
            <w:tcW w:w="720" w:type="dxa"/>
            <w:vAlign w:val="bottom"/>
          </w:tcPr>
          <w:p>
            <w:pPr>
              <w:spacing w:after="0" w:line="145" w:lineRule="exact"/>
              <w:rPr>
                <w:sz w:val="20"/>
                <w:szCs w:val="20"/>
                <w:color w:val="auto"/>
              </w:rPr>
            </w:pPr>
            <w:r>
              <w:rPr>
                <w:rFonts w:ascii="Arial" w:cs="Arial" w:eastAsia="Arial" w:hAnsi="Arial"/>
                <w:sz w:val="13"/>
                <w:szCs w:val="13"/>
                <w:color w:val="auto"/>
              </w:rPr>
              <w:t>Hannaford</w:t>
            </w:r>
          </w:p>
        </w:tc>
        <w:tc>
          <w:tcPr>
            <w:tcW w:w="80" w:type="dxa"/>
            <w:vAlign w:val="bottom"/>
          </w:tcPr>
          <w:p>
            <w:pPr>
              <w:spacing w:after="0"/>
              <w:rPr>
                <w:sz w:val="12"/>
                <w:szCs w:val="12"/>
                <w:color w:val="auto"/>
              </w:rPr>
            </w:pPr>
          </w:p>
        </w:tc>
        <w:tc>
          <w:tcPr>
            <w:tcW w:w="1360" w:type="dxa"/>
            <w:vAlign w:val="bottom"/>
          </w:tcPr>
          <w:p>
            <w:pPr>
              <w:spacing w:after="0" w:line="145"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right w:val="single" w:sz="8" w:color="CCEEFF"/>
            </w:tcBorders>
            <w:gridSpan w:val="5"/>
            <w:shd w:val="clear" w:color="auto" w:fill="CCEEFF"/>
          </w:tcPr>
          <w:p>
            <w:pPr>
              <w:spacing w:after="0" w:line="136" w:lineRule="exact"/>
              <w:rPr>
                <w:sz w:val="20"/>
                <w:szCs w:val="20"/>
                <w:color w:val="auto"/>
              </w:rPr>
            </w:pPr>
            <w:r>
              <w:rPr>
                <w:rFonts w:ascii="Arial" w:cs="Arial" w:eastAsia="Arial" w:hAnsi="Arial"/>
                <w:sz w:val="13"/>
                <w:szCs w:val="13"/>
                <w:color w:val="auto"/>
              </w:rPr>
              <w:t>Saugus Plaza</w:t>
            </w:r>
          </w:p>
        </w:tc>
        <w:tc>
          <w:tcPr>
            <w:tcW w:w="2660" w:type="dxa"/>
            <w:vAlign w:val="bottom"/>
            <w:gridSpan w:val="2"/>
            <w:shd w:val="clear" w:color="auto" w:fill="CCEEFF"/>
          </w:tcPr>
          <w:p>
            <w:pPr>
              <w:ind w:left="300"/>
              <w:spacing w:after="0" w:line="136" w:lineRule="exact"/>
              <w:rPr>
                <w:sz w:val="20"/>
                <w:szCs w:val="20"/>
                <w:color w:val="auto"/>
              </w:rPr>
            </w:pPr>
            <w:r>
              <w:rPr>
                <w:rFonts w:ascii="Arial" w:cs="Arial" w:eastAsia="Arial" w:hAnsi="Arial"/>
                <w:sz w:val="13"/>
                <w:szCs w:val="13"/>
                <w:color w:val="auto"/>
              </w:rPr>
              <w:t>Boston-Cambridge-Quincy, MA-NH</w:t>
            </w:r>
          </w:p>
        </w:tc>
        <w:tc>
          <w:tcPr>
            <w:tcW w:w="7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1996</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13,589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171,000</w:t>
            </w:r>
          </w:p>
        </w:tc>
        <w:tc>
          <w:tcPr>
            <w:tcW w:w="64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91%</w:t>
            </w:r>
          </w:p>
        </w:tc>
        <w:tc>
          <w:tcPr>
            <w:tcW w:w="7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91%</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10.57</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55,000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0"/>
              </w:rPr>
              <w:t>Super Stop &amp;</w:t>
            </w: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Kmart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3"/>
                <w:szCs w:val="13"/>
                <w:color w:val="auto"/>
              </w:rPr>
              <w:t>Shop</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60" w:type="dxa"/>
            <w:vAlign w:val="bottom"/>
            <w:gridSpan w:val="2"/>
          </w:tcPr>
          <w:p>
            <w:pPr>
              <w:ind w:left="300"/>
              <w:spacing w:after="0"/>
              <w:rPr>
                <w:sz w:val="20"/>
                <w:szCs w:val="20"/>
                <w:color w:val="auto"/>
              </w:rPr>
            </w:pPr>
            <w:r>
              <w:rPr>
                <w:rFonts w:ascii="Arial" w:cs="Arial" w:eastAsia="Arial" w:hAnsi="Arial"/>
                <w:sz w:val="13"/>
                <w:szCs w:val="13"/>
                <w:b w:val="1"/>
                <w:bCs w:val="1"/>
                <w:color w:val="auto"/>
              </w:rPr>
              <w:t>Total New England</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412,536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1,381,000</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96%</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93%</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17.99</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Borders>
              <w:right w:val="single" w:sz="8" w:color="CCEEFF"/>
            </w:tcBorders>
            <w:gridSpan w:val="5"/>
            <w:shd w:val="clear" w:color="auto" w:fill="CCEEFF"/>
          </w:tcPr>
          <w:p>
            <w:pPr>
              <w:ind w:left="200"/>
              <w:spacing w:after="0" w:line="132" w:lineRule="exact"/>
              <w:rPr>
                <w:sz w:val="20"/>
                <w:szCs w:val="20"/>
                <w:color w:val="auto"/>
              </w:rPr>
            </w:pPr>
            <w:r>
              <w:rPr>
                <w:rFonts w:ascii="Arial" w:cs="Arial" w:eastAsia="Arial" w:hAnsi="Arial"/>
                <w:sz w:val="13"/>
                <w:szCs w:val="13"/>
                <w:b w:val="1"/>
                <w:bCs w:val="1"/>
                <w:color w:val="auto"/>
              </w:rPr>
              <w:t>Baltimore</w:t>
            </w:r>
          </w:p>
        </w:tc>
        <w:tc>
          <w:tcPr>
            <w:tcW w:w="3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000" w:type="dxa"/>
            <w:vAlign w:val="bottom"/>
            <w:gridSpan w:val="5"/>
          </w:tcPr>
          <w:p>
            <w:pPr>
              <w:spacing w:after="0" w:line="129" w:lineRule="exact"/>
              <w:rPr>
                <w:sz w:val="20"/>
                <w:szCs w:val="20"/>
                <w:color w:val="auto"/>
              </w:rPr>
            </w:pPr>
            <w:r>
              <w:rPr>
                <w:rFonts w:ascii="Arial" w:cs="Arial" w:eastAsia="Arial" w:hAnsi="Arial"/>
                <w:sz w:val="13"/>
                <w:szCs w:val="13"/>
                <w:color w:val="auto"/>
              </w:rPr>
              <w:t>Governor Plaza</w:t>
            </w:r>
          </w:p>
        </w:tc>
        <w:tc>
          <w:tcPr>
            <w:tcW w:w="2660" w:type="dxa"/>
            <w:vAlign w:val="bottom"/>
            <w:gridSpan w:val="2"/>
          </w:tcPr>
          <w:p>
            <w:pPr>
              <w:ind w:left="300"/>
              <w:spacing w:after="0" w:line="129" w:lineRule="exact"/>
              <w:rPr>
                <w:sz w:val="20"/>
                <w:szCs w:val="20"/>
                <w:color w:val="auto"/>
              </w:rPr>
            </w:pPr>
            <w:r>
              <w:rPr>
                <w:rFonts w:ascii="Arial" w:cs="Arial" w:eastAsia="Arial" w:hAnsi="Arial"/>
                <w:sz w:val="13"/>
                <w:szCs w:val="13"/>
                <w:color w:val="auto"/>
              </w:rPr>
              <w:t>Baltimore, MD</w:t>
            </w:r>
          </w:p>
        </w:tc>
        <w:tc>
          <w:tcPr>
            <w:tcW w:w="720" w:type="dxa"/>
            <w:vAlign w:val="bottom"/>
            <w:gridSpan w:val="3"/>
          </w:tcPr>
          <w:p>
            <w:pPr>
              <w:jc w:val="right"/>
              <w:ind w:right="80"/>
              <w:spacing w:after="0" w:line="129" w:lineRule="exact"/>
              <w:rPr>
                <w:sz w:val="20"/>
                <w:szCs w:val="20"/>
                <w:color w:val="auto"/>
              </w:rPr>
            </w:pPr>
            <w:r>
              <w:rPr>
                <w:rFonts w:ascii="Arial" w:cs="Arial" w:eastAsia="Arial" w:hAnsi="Arial"/>
                <w:sz w:val="13"/>
                <w:szCs w:val="13"/>
                <w:color w:val="auto"/>
              </w:rPr>
              <w:t>1985</w:t>
            </w:r>
          </w:p>
        </w:tc>
        <w:tc>
          <w:tcPr>
            <w:tcW w:w="8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21,883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267,000</w:t>
            </w:r>
          </w:p>
        </w:tc>
        <w:tc>
          <w:tcPr>
            <w:tcW w:w="640" w:type="dxa"/>
            <w:vAlign w:val="bottom"/>
            <w:gridSpan w:val="3"/>
          </w:tcPr>
          <w:p>
            <w:pPr>
              <w:jc w:val="right"/>
              <w:ind w:right="100"/>
              <w:spacing w:after="0" w:line="129" w:lineRule="exact"/>
              <w:rPr>
                <w:sz w:val="20"/>
                <w:szCs w:val="20"/>
                <w:color w:val="auto"/>
              </w:rPr>
            </w:pPr>
            <w:r>
              <w:rPr>
                <w:rFonts w:ascii="Arial" w:cs="Arial" w:eastAsia="Arial" w:hAnsi="Arial"/>
                <w:sz w:val="13"/>
                <w:szCs w:val="13"/>
                <w:color w:val="auto"/>
              </w:rPr>
              <w:t>100%</w:t>
            </w: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100%</w:t>
            </w:r>
          </w:p>
        </w:tc>
        <w:tc>
          <w:tcPr>
            <w:tcW w:w="6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15.34</w:t>
            </w: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16,500</w:t>
            </w:r>
          </w:p>
        </w:tc>
        <w:tc>
          <w:tcPr>
            <w:tcW w:w="6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3"/>
                <w:szCs w:val="13"/>
                <w:color w:val="auto"/>
              </w:rPr>
              <w:t>Aldi</w:t>
            </w:r>
          </w:p>
        </w:tc>
        <w:tc>
          <w:tcPr>
            <w:tcW w:w="80" w:type="dxa"/>
            <w:vAlign w:val="bottom"/>
          </w:tcPr>
          <w:p>
            <w:pPr>
              <w:spacing w:after="0"/>
              <w:rPr>
                <w:sz w:val="11"/>
                <w:szCs w:val="11"/>
                <w:color w:val="auto"/>
              </w:rPr>
            </w:pPr>
          </w:p>
        </w:tc>
        <w:tc>
          <w:tcPr>
            <w:tcW w:w="1360" w:type="dxa"/>
            <w:vAlign w:val="bottom"/>
          </w:tcPr>
          <w:p>
            <w:pPr>
              <w:spacing w:after="0" w:line="129" w:lineRule="exact"/>
              <w:rPr>
                <w:sz w:val="20"/>
                <w:szCs w:val="20"/>
                <w:color w:val="auto"/>
              </w:rPr>
            </w:pPr>
            <w:r>
              <w:rPr>
                <w:rFonts w:ascii="Arial" w:cs="Arial" w:eastAsia="Arial" w:hAnsi="Arial"/>
                <w:sz w:val="13"/>
                <w:szCs w:val="13"/>
                <w:color w:val="auto"/>
              </w:rPr>
              <w:t>Bally Total Fitness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Office Depot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right w:val="single" w:sz="8" w:color="CCEEFF"/>
            </w:tcBorders>
            <w:gridSpan w:val="5"/>
            <w:shd w:val="clear" w:color="auto" w:fill="CCEEFF"/>
          </w:tcPr>
          <w:p>
            <w:pPr>
              <w:spacing w:after="0" w:line="136" w:lineRule="exact"/>
              <w:rPr>
                <w:sz w:val="20"/>
                <w:szCs w:val="20"/>
                <w:color w:val="auto"/>
              </w:rPr>
            </w:pPr>
            <w:r>
              <w:rPr>
                <w:rFonts w:ascii="Arial" w:cs="Arial" w:eastAsia="Arial" w:hAnsi="Arial"/>
                <w:sz w:val="13"/>
                <w:szCs w:val="13"/>
                <w:color w:val="auto"/>
              </w:rPr>
              <w:t>Perring Plaza</w:t>
            </w:r>
          </w:p>
        </w:tc>
        <w:tc>
          <w:tcPr>
            <w:tcW w:w="2660" w:type="dxa"/>
            <w:vAlign w:val="bottom"/>
            <w:gridSpan w:val="2"/>
            <w:shd w:val="clear" w:color="auto" w:fill="CCEEFF"/>
          </w:tcPr>
          <w:p>
            <w:pPr>
              <w:ind w:left="300"/>
              <w:spacing w:after="0" w:line="136" w:lineRule="exact"/>
              <w:rPr>
                <w:sz w:val="20"/>
                <w:szCs w:val="20"/>
                <w:color w:val="auto"/>
              </w:rPr>
            </w:pPr>
            <w:r>
              <w:rPr>
                <w:rFonts w:ascii="Arial" w:cs="Arial" w:eastAsia="Arial" w:hAnsi="Arial"/>
                <w:sz w:val="13"/>
                <w:szCs w:val="13"/>
                <w:color w:val="auto"/>
              </w:rPr>
              <w:t>Baltimore, MD</w:t>
            </w:r>
          </w:p>
        </w:tc>
        <w:tc>
          <w:tcPr>
            <w:tcW w:w="7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1985</w:t>
            </w:r>
          </w:p>
        </w:tc>
        <w:tc>
          <w:tcPr>
            <w:tcW w:w="86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27,111</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401,000</w:t>
            </w:r>
          </w:p>
        </w:tc>
        <w:tc>
          <w:tcPr>
            <w:tcW w:w="64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98%</w:t>
            </w:r>
          </w:p>
        </w:tc>
        <w:tc>
          <w:tcPr>
            <w:tcW w:w="7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98%</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12.22</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58,000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Shoppers</w:t>
            </w: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94"/>
              </w:rPr>
              <w:t>Home Depot / Burlington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Food</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Coat Factory / Jo-Ann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3"/>
                <w:szCs w:val="13"/>
                <w:color w:val="auto"/>
              </w:rPr>
              <w:t>Warehouse</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Stores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gridSpan w:val="5"/>
          </w:tcPr>
          <w:p>
            <w:pPr>
              <w:spacing w:after="0" w:line="136" w:lineRule="exact"/>
              <w:rPr>
                <w:sz w:val="20"/>
                <w:szCs w:val="20"/>
                <w:color w:val="auto"/>
              </w:rPr>
            </w:pPr>
            <w:r>
              <w:rPr>
                <w:rFonts w:ascii="Arial" w:cs="Arial" w:eastAsia="Arial" w:hAnsi="Arial"/>
                <w:sz w:val="13"/>
                <w:szCs w:val="13"/>
                <w:color w:val="auto"/>
                <w:w w:val="98"/>
              </w:rPr>
              <w:t>THE AVENUE at</w:t>
            </w:r>
          </w:p>
        </w:tc>
        <w:tc>
          <w:tcPr>
            <w:tcW w:w="26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(10) Baltimore, MD</w:t>
            </w:r>
          </w:p>
        </w:tc>
        <w:tc>
          <w:tcPr>
            <w:tcW w:w="7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2007</w:t>
            </w:r>
          </w:p>
        </w:tc>
        <w:tc>
          <w:tcPr>
            <w:tcW w:w="8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94,527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58,939</w:t>
            </w:r>
          </w:p>
        </w:tc>
        <w:tc>
          <w:tcPr>
            <w:tcW w:w="6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298,000</w:t>
            </w:r>
          </w:p>
        </w:tc>
        <w:tc>
          <w:tcPr>
            <w:tcW w:w="640" w:type="dxa"/>
            <w:vAlign w:val="bottom"/>
            <w:gridSpan w:val="3"/>
          </w:tcPr>
          <w:p>
            <w:pPr>
              <w:jc w:val="right"/>
              <w:ind w:right="100"/>
              <w:spacing w:after="0" w:line="136" w:lineRule="exact"/>
              <w:rPr>
                <w:sz w:val="20"/>
                <w:szCs w:val="20"/>
                <w:color w:val="auto"/>
              </w:rPr>
            </w:pPr>
            <w:r>
              <w:rPr>
                <w:rFonts w:ascii="Arial" w:cs="Arial" w:eastAsia="Arial" w:hAnsi="Arial"/>
                <w:sz w:val="13"/>
                <w:szCs w:val="13"/>
                <w:color w:val="auto"/>
              </w:rPr>
              <w:t>94%</w:t>
            </w:r>
          </w:p>
        </w:tc>
        <w:tc>
          <w:tcPr>
            <w:tcW w:w="7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94%</w:t>
            </w:r>
          </w:p>
        </w:tc>
        <w:tc>
          <w:tcPr>
            <w:tcW w:w="6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20.92</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line="136" w:lineRule="exact"/>
              <w:rPr>
                <w:sz w:val="20"/>
                <w:szCs w:val="20"/>
                <w:color w:val="auto"/>
              </w:rPr>
            </w:pPr>
            <w:r>
              <w:rPr>
                <w:rFonts w:ascii="Arial" w:cs="Arial" w:eastAsia="Arial" w:hAnsi="Arial"/>
                <w:sz w:val="13"/>
                <w:szCs w:val="13"/>
                <w:color w:val="auto"/>
                <w:w w:val="99"/>
              </w:rPr>
              <w:t>AMC Loews / Old Navy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0" w:type="dxa"/>
            <w:vAlign w:val="bottom"/>
            <w:gridSpan w:val="5"/>
          </w:tcPr>
          <w:p>
            <w:pPr>
              <w:ind w:left="200"/>
              <w:spacing w:after="0" w:line="145" w:lineRule="exact"/>
              <w:rPr>
                <w:sz w:val="20"/>
                <w:szCs w:val="20"/>
                <w:color w:val="auto"/>
              </w:rPr>
            </w:pPr>
            <w:r>
              <w:rPr>
                <w:rFonts w:ascii="Arial" w:cs="Arial" w:eastAsia="Arial" w:hAnsi="Arial"/>
                <w:sz w:val="13"/>
                <w:szCs w:val="13"/>
                <w:color w:val="auto"/>
              </w:rPr>
              <w:t>White Marsh</w:t>
            </w:r>
          </w:p>
        </w:tc>
        <w:tc>
          <w:tcPr>
            <w:tcW w:w="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line="145" w:lineRule="exact"/>
              <w:rPr>
                <w:sz w:val="20"/>
                <w:szCs w:val="20"/>
                <w:color w:val="auto"/>
              </w:rPr>
            </w:pPr>
            <w:r>
              <w:rPr>
                <w:rFonts w:ascii="Arial" w:cs="Arial" w:eastAsia="Arial" w:hAnsi="Arial"/>
                <w:sz w:val="13"/>
                <w:szCs w:val="13"/>
                <w:color w:val="auto"/>
              </w:rPr>
              <w:t>/ Barnes &amp; Noble / AC</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Moore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right w:val="single" w:sz="8" w:color="CCEEFF"/>
            </w:tcBorders>
            <w:gridSpan w:val="5"/>
            <w:shd w:val="clear" w:color="auto" w:fill="CCEEFF"/>
          </w:tcPr>
          <w:p>
            <w:pPr>
              <w:spacing w:after="0" w:line="136" w:lineRule="exact"/>
              <w:rPr>
                <w:sz w:val="20"/>
                <w:szCs w:val="20"/>
                <w:color w:val="auto"/>
              </w:rPr>
            </w:pPr>
            <w:r>
              <w:rPr>
                <w:rFonts w:ascii="Arial" w:cs="Arial" w:eastAsia="Arial" w:hAnsi="Arial"/>
                <w:sz w:val="13"/>
                <w:szCs w:val="13"/>
                <w:color w:val="auto"/>
              </w:rPr>
              <w:t>The Shoppes at</w:t>
            </w:r>
          </w:p>
        </w:tc>
        <w:tc>
          <w:tcPr>
            <w:tcW w:w="2660" w:type="dxa"/>
            <w:vAlign w:val="bottom"/>
            <w:gridSpan w:val="2"/>
            <w:shd w:val="clear" w:color="auto" w:fill="CCEEFF"/>
          </w:tcPr>
          <w:p>
            <w:pPr>
              <w:ind w:left="300"/>
              <w:spacing w:after="0" w:line="136" w:lineRule="exact"/>
              <w:rPr>
                <w:sz w:val="20"/>
                <w:szCs w:val="20"/>
                <w:color w:val="auto"/>
              </w:rPr>
            </w:pPr>
            <w:r>
              <w:rPr>
                <w:rFonts w:ascii="Arial" w:cs="Arial" w:eastAsia="Arial" w:hAnsi="Arial"/>
                <w:sz w:val="13"/>
                <w:szCs w:val="13"/>
                <w:color w:val="auto"/>
              </w:rPr>
              <w:t>Baltimore, MD</w:t>
            </w:r>
          </w:p>
        </w:tc>
        <w:tc>
          <w:tcPr>
            <w:tcW w:w="7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2007</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27,569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53,000</w:t>
            </w:r>
          </w:p>
        </w:tc>
        <w:tc>
          <w:tcPr>
            <w:tcW w:w="64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100%</w:t>
            </w:r>
          </w:p>
        </w:tc>
        <w:tc>
          <w:tcPr>
            <w:tcW w:w="7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100%</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31.61</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0" w:type="dxa"/>
            <w:vAlign w:val="bottom"/>
            <w:tcBorders>
              <w:right w:val="single" w:sz="8" w:color="CCEEFF"/>
            </w:tcBorders>
            <w:gridSpan w:val="5"/>
            <w:shd w:val="clear" w:color="auto" w:fill="CCEEFF"/>
          </w:tcPr>
          <w:p>
            <w:pPr>
              <w:ind w:left="200"/>
              <w:spacing w:after="0" w:line="145" w:lineRule="exact"/>
              <w:rPr>
                <w:sz w:val="20"/>
                <w:szCs w:val="20"/>
                <w:color w:val="auto"/>
              </w:rPr>
            </w:pPr>
            <w:r>
              <w:rPr>
                <w:rFonts w:ascii="Arial" w:cs="Arial" w:eastAsia="Arial" w:hAnsi="Arial"/>
                <w:sz w:val="13"/>
                <w:szCs w:val="13"/>
                <w:color w:val="auto"/>
              </w:rPr>
              <w:t>Nottingham</w:t>
            </w:r>
          </w:p>
        </w:tc>
        <w:tc>
          <w:tcPr>
            <w:tcW w:w="3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3"/>
                <w:szCs w:val="13"/>
                <w:color w:val="auto"/>
              </w:rPr>
              <w:t>Square</w:t>
            </w:r>
          </w:p>
        </w:tc>
        <w:tc>
          <w:tcPr>
            <w:tcW w:w="3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gridSpan w:val="5"/>
          </w:tcPr>
          <w:p>
            <w:pPr>
              <w:spacing w:after="0" w:line="136" w:lineRule="exact"/>
              <w:rPr>
                <w:sz w:val="20"/>
                <w:szCs w:val="20"/>
                <w:color w:val="auto"/>
              </w:rPr>
            </w:pPr>
            <w:r>
              <w:rPr>
                <w:rFonts w:ascii="Arial" w:cs="Arial" w:eastAsia="Arial" w:hAnsi="Arial"/>
                <w:sz w:val="13"/>
                <w:szCs w:val="13"/>
                <w:color w:val="auto"/>
              </w:rPr>
              <w:t>White Marsh</w:t>
            </w:r>
          </w:p>
        </w:tc>
        <w:tc>
          <w:tcPr>
            <w:tcW w:w="2660" w:type="dxa"/>
            <w:vAlign w:val="bottom"/>
            <w:gridSpan w:val="2"/>
          </w:tcPr>
          <w:p>
            <w:pPr>
              <w:ind w:left="300"/>
              <w:spacing w:after="0" w:line="136" w:lineRule="exact"/>
              <w:rPr>
                <w:sz w:val="20"/>
                <w:szCs w:val="20"/>
                <w:color w:val="auto"/>
              </w:rPr>
            </w:pPr>
            <w:r>
              <w:rPr>
                <w:rFonts w:ascii="Arial" w:cs="Arial" w:eastAsia="Arial" w:hAnsi="Arial"/>
                <w:sz w:val="13"/>
                <w:szCs w:val="13"/>
                <w:color w:val="auto"/>
              </w:rPr>
              <w:t>Baltimore, MD</w:t>
            </w:r>
          </w:p>
        </w:tc>
        <w:tc>
          <w:tcPr>
            <w:tcW w:w="7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2007</w:t>
            </w:r>
          </w:p>
        </w:tc>
        <w:tc>
          <w:tcPr>
            <w:tcW w:w="8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24,957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9,859</w:t>
            </w:r>
          </w:p>
        </w:tc>
        <w:tc>
          <w:tcPr>
            <w:tcW w:w="6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80,000</w:t>
            </w:r>
          </w:p>
        </w:tc>
        <w:tc>
          <w:tcPr>
            <w:tcW w:w="640" w:type="dxa"/>
            <w:vAlign w:val="bottom"/>
            <w:gridSpan w:val="3"/>
          </w:tcPr>
          <w:p>
            <w:pPr>
              <w:jc w:val="right"/>
              <w:ind w:right="100"/>
              <w:spacing w:after="0" w:line="136" w:lineRule="exact"/>
              <w:rPr>
                <w:sz w:val="20"/>
                <w:szCs w:val="20"/>
                <w:color w:val="auto"/>
              </w:rPr>
            </w:pPr>
            <w:r>
              <w:rPr>
                <w:rFonts w:ascii="Arial" w:cs="Arial" w:eastAsia="Arial" w:hAnsi="Arial"/>
                <w:sz w:val="13"/>
                <w:szCs w:val="13"/>
                <w:color w:val="auto"/>
              </w:rPr>
              <w:t>98%</w:t>
            </w:r>
          </w:p>
        </w:tc>
        <w:tc>
          <w:tcPr>
            <w:tcW w:w="7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98%</w:t>
            </w:r>
          </w:p>
        </w:tc>
        <w:tc>
          <w:tcPr>
            <w:tcW w:w="6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19.37</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54,000</w:t>
            </w:r>
          </w:p>
        </w:tc>
        <w:tc>
          <w:tcPr>
            <w:tcW w:w="6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3"/>
                <w:szCs w:val="13"/>
                <w:color w:val="auto"/>
              </w:rPr>
              <w:t>Giant Food</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0" w:type="dxa"/>
            <w:vAlign w:val="bottom"/>
            <w:gridSpan w:val="5"/>
          </w:tcPr>
          <w:p>
            <w:pPr>
              <w:ind w:left="200"/>
              <w:spacing w:after="0"/>
              <w:rPr>
                <w:sz w:val="20"/>
                <w:szCs w:val="20"/>
                <w:color w:val="auto"/>
              </w:rPr>
            </w:pPr>
            <w:r>
              <w:rPr>
                <w:rFonts w:ascii="Arial" w:cs="Arial" w:eastAsia="Arial" w:hAnsi="Arial"/>
                <w:sz w:val="13"/>
                <w:szCs w:val="13"/>
                <w:color w:val="auto"/>
              </w:rPr>
              <w:t>Plaza</w:t>
            </w:r>
          </w:p>
        </w:tc>
        <w:tc>
          <w:tcPr>
            <w:tcW w:w="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right w:val="single" w:sz="8" w:color="CCEEFF"/>
            </w:tcBorders>
            <w:gridSpan w:val="5"/>
            <w:shd w:val="clear" w:color="auto" w:fill="CCEEFF"/>
          </w:tcPr>
          <w:p>
            <w:pPr>
              <w:spacing w:after="0" w:line="136" w:lineRule="exact"/>
              <w:rPr>
                <w:sz w:val="20"/>
                <w:szCs w:val="20"/>
                <w:color w:val="auto"/>
              </w:rPr>
            </w:pPr>
            <w:r>
              <w:rPr>
                <w:rFonts w:ascii="Arial" w:cs="Arial" w:eastAsia="Arial" w:hAnsi="Arial"/>
                <w:sz w:val="13"/>
                <w:szCs w:val="13"/>
                <w:color w:val="auto"/>
              </w:rPr>
              <w:t>White Marsh</w:t>
            </w:r>
          </w:p>
        </w:tc>
        <w:tc>
          <w:tcPr>
            <w:tcW w:w="2660" w:type="dxa"/>
            <w:vAlign w:val="bottom"/>
            <w:gridSpan w:val="2"/>
            <w:shd w:val="clear" w:color="auto" w:fill="CCEEFF"/>
          </w:tcPr>
          <w:p>
            <w:pPr>
              <w:ind w:left="300"/>
              <w:spacing w:after="0" w:line="136" w:lineRule="exact"/>
              <w:rPr>
                <w:sz w:val="20"/>
                <w:szCs w:val="20"/>
                <w:color w:val="auto"/>
              </w:rPr>
            </w:pPr>
            <w:r>
              <w:rPr>
                <w:rFonts w:ascii="Arial" w:cs="Arial" w:eastAsia="Arial" w:hAnsi="Arial"/>
                <w:sz w:val="13"/>
                <w:szCs w:val="13"/>
                <w:color w:val="auto"/>
              </w:rPr>
              <w:t>Baltimore, MD</w:t>
            </w:r>
          </w:p>
        </w:tc>
        <w:tc>
          <w:tcPr>
            <w:tcW w:w="7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2007</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28,857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49,000</w:t>
            </w:r>
          </w:p>
        </w:tc>
        <w:tc>
          <w:tcPr>
            <w:tcW w:w="64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100%</w:t>
            </w:r>
          </w:p>
        </w:tc>
        <w:tc>
          <w:tcPr>
            <w:tcW w:w="7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100%</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34.00</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3"/>
                <w:szCs w:val="13"/>
                <w:color w:val="auto"/>
              </w:rPr>
              <w:t>Other</w:t>
            </w:r>
          </w:p>
        </w:tc>
        <w:tc>
          <w:tcPr>
            <w:tcW w:w="3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60" w:type="dxa"/>
            <w:vAlign w:val="bottom"/>
            <w:gridSpan w:val="2"/>
          </w:tcPr>
          <w:p>
            <w:pPr>
              <w:ind w:left="300"/>
              <w:spacing w:after="0"/>
              <w:rPr>
                <w:sz w:val="20"/>
                <w:szCs w:val="20"/>
                <w:color w:val="auto"/>
              </w:rPr>
            </w:pPr>
            <w:r>
              <w:rPr>
                <w:rFonts w:ascii="Arial" w:cs="Arial" w:eastAsia="Arial" w:hAnsi="Arial"/>
                <w:sz w:val="13"/>
                <w:szCs w:val="13"/>
                <w:b w:val="1"/>
                <w:bCs w:val="1"/>
                <w:color w:val="auto"/>
              </w:rPr>
              <w:t>Total Baltimore</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224,904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1,148,000</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97%</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97%</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17.48</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Borders>
              <w:right w:val="single" w:sz="8" w:color="CCEEFF"/>
            </w:tcBorders>
            <w:gridSpan w:val="5"/>
            <w:shd w:val="clear" w:color="auto" w:fill="CCEEFF"/>
          </w:tcPr>
          <w:p>
            <w:pPr>
              <w:ind w:left="200"/>
              <w:spacing w:after="0" w:line="132" w:lineRule="exact"/>
              <w:rPr>
                <w:sz w:val="20"/>
                <w:szCs w:val="20"/>
                <w:color w:val="auto"/>
              </w:rPr>
            </w:pPr>
            <w:r>
              <w:rPr>
                <w:rFonts w:ascii="Arial" w:cs="Arial" w:eastAsia="Arial" w:hAnsi="Arial"/>
                <w:sz w:val="13"/>
                <w:szCs w:val="13"/>
                <w:b w:val="1"/>
                <w:bCs w:val="1"/>
                <w:color w:val="auto"/>
              </w:rPr>
              <w:t>Chicago</w:t>
            </w:r>
          </w:p>
        </w:tc>
        <w:tc>
          <w:tcPr>
            <w:tcW w:w="3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1000" w:type="dxa"/>
            <w:vAlign w:val="bottom"/>
            <w:gridSpan w:val="5"/>
          </w:tcPr>
          <w:p>
            <w:pPr>
              <w:spacing w:after="0" w:line="138" w:lineRule="exact"/>
              <w:rPr>
                <w:sz w:val="20"/>
                <w:szCs w:val="20"/>
                <w:color w:val="auto"/>
              </w:rPr>
            </w:pPr>
            <w:r>
              <w:rPr>
                <w:rFonts w:ascii="Arial" w:cs="Arial" w:eastAsia="Arial" w:hAnsi="Arial"/>
                <w:sz w:val="13"/>
                <w:szCs w:val="13"/>
                <w:color w:val="auto"/>
              </w:rPr>
              <w:t>Crossroads</w:t>
            </w:r>
          </w:p>
        </w:tc>
        <w:tc>
          <w:tcPr>
            <w:tcW w:w="2660" w:type="dxa"/>
            <w:vAlign w:val="bottom"/>
            <w:gridSpan w:val="2"/>
          </w:tcPr>
          <w:p>
            <w:pPr>
              <w:ind w:left="300"/>
              <w:spacing w:after="0" w:line="138" w:lineRule="exact"/>
              <w:rPr>
                <w:sz w:val="20"/>
                <w:szCs w:val="20"/>
                <w:color w:val="auto"/>
              </w:rPr>
            </w:pPr>
            <w:r>
              <w:rPr>
                <w:rFonts w:ascii="Arial" w:cs="Arial" w:eastAsia="Arial" w:hAnsi="Arial"/>
                <w:sz w:val="13"/>
                <w:szCs w:val="13"/>
                <w:color w:val="auto"/>
              </w:rPr>
              <w:t>Chicago, IL</w:t>
            </w:r>
          </w:p>
        </w:tc>
        <w:tc>
          <w:tcPr>
            <w:tcW w:w="720" w:type="dxa"/>
            <w:vAlign w:val="bottom"/>
            <w:gridSpan w:val="3"/>
          </w:tcPr>
          <w:p>
            <w:pPr>
              <w:jc w:val="right"/>
              <w:ind w:right="80"/>
              <w:spacing w:after="0" w:line="138" w:lineRule="exact"/>
              <w:rPr>
                <w:sz w:val="20"/>
                <w:szCs w:val="20"/>
                <w:color w:val="auto"/>
              </w:rPr>
            </w:pPr>
            <w:r>
              <w:rPr>
                <w:rFonts w:ascii="Arial" w:cs="Arial" w:eastAsia="Arial" w:hAnsi="Arial"/>
                <w:sz w:val="13"/>
                <w:szCs w:val="13"/>
                <w:color w:val="auto"/>
              </w:rPr>
              <w:t>1993</w:t>
            </w:r>
          </w:p>
        </w:tc>
        <w:tc>
          <w:tcPr>
            <w:tcW w:w="8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23,962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168,000</w:t>
            </w:r>
          </w:p>
        </w:tc>
        <w:tc>
          <w:tcPr>
            <w:tcW w:w="64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94%</w:t>
            </w:r>
          </w:p>
        </w:tc>
        <w:tc>
          <w:tcPr>
            <w:tcW w:w="76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72%</w:t>
            </w:r>
          </w:p>
        </w:tc>
        <w:tc>
          <w:tcPr>
            <w:tcW w:w="6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20.81</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line="138" w:lineRule="exact"/>
              <w:rPr>
                <w:sz w:val="20"/>
                <w:szCs w:val="20"/>
                <w:color w:val="auto"/>
              </w:rPr>
            </w:pPr>
            <w:r>
              <w:rPr>
                <w:rFonts w:ascii="Arial" w:cs="Arial" w:eastAsia="Arial" w:hAnsi="Arial"/>
                <w:sz w:val="13"/>
                <w:szCs w:val="13"/>
                <w:color w:val="auto"/>
                <w:w w:val="93"/>
              </w:rPr>
              <w:t>Golfsmith / Guitar Center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right w:val="single" w:sz="8" w:color="CCEEFF"/>
            </w:tcBorders>
            <w:gridSpan w:val="5"/>
            <w:shd w:val="clear" w:color="auto" w:fill="CCEEFF"/>
          </w:tcPr>
          <w:p>
            <w:pPr>
              <w:spacing w:after="0" w:line="136" w:lineRule="exact"/>
              <w:rPr>
                <w:sz w:val="20"/>
                <w:szCs w:val="20"/>
                <w:color w:val="auto"/>
              </w:rPr>
            </w:pPr>
            <w:r>
              <w:rPr>
                <w:rFonts w:ascii="Arial" w:cs="Arial" w:eastAsia="Arial" w:hAnsi="Arial"/>
                <w:sz w:val="13"/>
                <w:szCs w:val="13"/>
                <w:color w:val="auto"/>
              </w:rPr>
              <w:t>Finley Square</w:t>
            </w:r>
          </w:p>
        </w:tc>
        <w:tc>
          <w:tcPr>
            <w:tcW w:w="2660" w:type="dxa"/>
            <w:vAlign w:val="bottom"/>
            <w:gridSpan w:val="2"/>
            <w:shd w:val="clear" w:color="auto" w:fill="CCEEFF"/>
          </w:tcPr>
          <w:p>
            <w:pPr>
              <w:ind w:left="300"/>
              <w:spacing w:after="0" w:line="136" w:lineRule="exact"/>
              <w:rPr>
                <w:sz w:val="20"/>
                <w:szCs w:val="20"/>
                <w:color w:val="auto"/>
              </w:rPr>
            </w:pPr>
            <w:r>
              <w:rPr>
                <w:rFonts w:ascii="Arial" w:cs="Arial" w:eastAsia="Arial" w:hAnsi="Arial"/>
                <w:sz w:val="13"/>
                <w:szCs w:val="13"/>
                <w:color w:val="auto"/>
              </w:rPr>
              <w:t>Chicago, IL</w:t>
            </w:r>
          </w:p>
        </w:tc>
        <w:tc>
          <w:tcPr>
            <w:tcW w:w="7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1995</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31,807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315,000</w:t>
            </w:r>
          </w:p>
        </w:tc>
        <w:tc>
          <w:tcPr>
            <w:tcW w:w="64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99%</w:t>
            </w:r>
          </w:p>
        </w:tc>
        <w:tc>
          <w:tcPr>
            <w:tcW w:w="7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99%</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10.59</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w w:val="92"/>
              </w:rPr>
              <w:t>Buy Buy Baby / Petsmart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0" w:type="dxa"/>
            <w:vAlign w:val="bottom"/>
            <w:gridSpan w:val="5"/>
          </w:tcPr>
          <w:p>
            <w:pPr>
              <w:spacing w:after="0" w:line="145" w:lineRule="exact"/>
              <w:rPr>
                <w:sz w:val="20"/>
                <w:szCs w:val="20"/>
                <w:color w:val="auto"/>
              </w:rPr>
            </w:pPr>
            <w:r>
              <w:rPr>
                <w:rFonts w:ascii="Arial" w:cs="Arial" w:eastAsia="Arial" w:hAnsi="Arial"/>
                <w:sz w:val="13"/>
                <w:szCs w:val="13"/>
                <w:color w:val="auto"/>
              </w:rPr>
              <w:t>Garden Market</w:t>
            </w:r>
          </w:p>
        </w:tc>
        <w:tc>
          <w:tcPr>
            <w:tcW w:w="2660" w:type="dxa"/>
            <w:vAlign w:val="bottom"/>
            <w:gridSpan w:val="2"/>
          </w:tcPr>
          <w:p>
            <w:pPr>
              <w:ind w:left="300"/>
              <w:spacing w:after="0" w:line="145" w:lineRule="exact"/>
              <w:rPr>
                <w:sz w:val="20"/>
                <w:szCs w:val="20"/>
                <w:color w:val="auto"/>
              </w:rPr>
            </w:pPr>
            <w:r>
              <w:rPr>
                <w:rFonts w:ascii="Arial" w:cs="Arial" w:eastAsia="Arial" w:hAnsi="Arial"/>
                <w:sz w:val="13"/>
                <w:szCs w:val="13"/>
                <w:color w:val="auto"/>
              </w:rPr>
              <w:t>Chicago, IL</w:t>
            </w:r>
          </w:p>
        </w:tc>
        <w:tc>
          <w:tcPr>
            <w:tcW w:w="7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1994</w:t>
            </w:r>
          </w:p>
        </w:tc>
        <w:tc>
          <w:tcPr>
            <w:tcW w:w="8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12,028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140,000</w:t>
            </w:r>
          </w:p>
        </w:tc>
        <w:tc>
          <w:tcPr>
            <w:tcW w:w="6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96%</w:t>
            </w: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96%</w:t>
            </w:r>
          </w:p>
        </w:tc>
        <w:tc>
          <w:tcPr>
            <w:tcW w:w="6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12.45</w:t>
            </w:r>
          </w:p>
        </w:tc>
        <w:tc>
          <w:tcPr>
            <w:tcW w:w="480" w:type="dxa"/>
            <w:vAlign w:val="bottom"/>
          </w:tcPr>
          <w:p>
            <w:pPr>
              <w:jc w:val="right"/>
              <w:spacing w:after="0" w:line="145" w:lineRule="exact"/>
              <w:rPr>
                <w:sz w:val="20"/>
                <w:szCs w:val="20"/>
                <w:color w:val="auto"/>
              </w:rPr>
            </w:pPr>
            <w:r>
              <w:rPr>
                <w:rFonts w:ascii="Arial" w:cs="Arial" w:eastAsia="Arial" w:hAnsi="Arial"/>
                <w:sz w:val="13"/>
                <w:szCs w:val="13"/>
                <w:color w:val="auto"/>
              </w:rPr>
              <w:t>63,000</w:t>
            </w:r>
          </w:p>
        </w:tc>
        <w:tc>
          <w:tcPr>
            <w:tcW w:w="60" w:type="dxa"/>
            <w:vAlign w:val="bottom"/>
          </w:tcPr>
          <w:p>
            <w:pPr>
              <w:spacing w:after="0"/>
              <w:rPr>
                <w:sz w:val="12"/>
                <w:szCs w:val="12"/>
                <w:color w:val="auto"/>
              </w:rPr>
            </w:pPr>
          </w:p>
        </w:tc>
        <w:tc>
          <w:tcPr>
            <w:tcW w:w="720" w:type="dxa"/>
            <w:vAlign w:val="bottom"/>
          </w:tcPr>
          <w:p>
            <w:pPr>
              <w:spacing w:after="0" w:line="145" w:lineRule="exact"/>
              <w:rPr>
                <w:sz w:val="20"/>
                <w:szCs w:val="20"/>
                <w:color w:val="auto"/>
              </w:rPr>
            </w:pPr>
            <w:r>
              <w:rPr>
                <w:rFonts w:ascii="Arial" w:cs="Arial" w:eastAsia="Arial" w:hAnsi="Arial"/>
                <w:sz w:val="13"/>
                <w:szCs w:val="13"/>
                <w:color w:val="auto"/>
              </w:rPr>
              <w:t>Dominick’s</w:t>
            </w:r>
          </w:p>
        </w:tc>
        <w:tc>
          <w:tcPr>
            <w:tcW w:w="80" w:type="dxa"/>
            <w:vAlign w:val="bottom"/>
          </w:tcPr>
          <w:p>
            <w:pPr>
              <w:spacing w:after="0"/>
              <w:rPr>
                <w:sz w:val="12"/>
                <w:szCs w:val="12"/>
                <w:color w:val="auto"/>
              </w:rPr>
            </w:pPr>
          </w:p>
        </w:tc>
        <w:tc>
          <w:tcPr>
            <w:tcW w:w="1360" w:type="dxa"/>
            <w:vAlign w:val="bottom"/>
          </w:tcPr>
          <w:p>
            <w:pPr>
              <w:spacing w:after="0" w:line="145"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right w:val="single" w:sz="8" w:color="CCEEFF"/>
            </w:tcBorders>
            <w:gridSpan w:val="5"/>
            <w:shd w:val="clear" w:color="auto" w:fill="CCEEFF"/>
          </w:tcPr>
          <w:p>
            <w:pPr>
              <w:spacing w:after="0" w:line="136" w:lineRule="exact"/>
              <w:rPr>
                <w:sz w:val="20"/>
                <w:szCs w:val="20"/>
                <w:color w:val="auto"/>
              </w:rPr>
            </w:pPr>
            <w:r>
              <w:rPr>
                <w:rFonts w:ascii="Arial" w:cs="Arial" w:eastAsia="Arial" w:hAnsi="Arial"/>
                <w:sz w:val="13"/>
                <w:szCs w:val="13"/>
                <w:color w:val="auto"/>
              </w:rPr>
              <w:t>North Lake</w:t>
            </w:r>
          </w:p>
        </w:tc>
        <w:tc>
          <w:tcPr>
            <w:tcW w:w="2660" w:type="dxa"/>
            <w:vAlign w:val="bottom"/>
            <w:gridSpan w:val="2"/>
            <w:shd w:val="clear" w:color="auto" w:fill="CCEEFF"/>
          </w:tcPr>
          <w:p>
            <w:pPr>
              <w:ind w:left="300"/>
              <w:spacing w:after="0" w:line="136" w:lineRule="exact"/>
              <w:rPr>
                <w:sz w:val="20"/>
                <w:szCs w:val="20"/>
                <w:color w:val="auto"/>
              </w:rPr>
            </w:pPr>
            <w:r>
              <w:rPr>
                <w:rFonts w:ascii="Arial" w:cs="Arial" w:eastAsia="Arial" w:hAnsi="Arial"/>
                <w:sz w:val="13"/>
                <w:szCs w:val="13"/>
                <w:color w:val="auto"/>
              </w:rPr>
              <w:t>Chicago, IL</w:t>
            </w:r>
          </w:p>
        </w:tc>
        <w:tc>
          <w:tcPr>
            <w:tcW w:w="7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1994</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13,939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129,000</w:t>
            </w:r>
          </w:p>
        </w:tc>
        <w:tc>
          <w:tcPr>
            <w:tcW w:w="64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89%</w:t>
            </w:r>
          </w:p>
        </w:tc>
        <w:tc>
          <w:tcPr>
            <w:tcW w:w="7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89%</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13.25</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77,000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Dominick’s</w:t>
            </w: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0" w:type="dxa"/>
            <w:vAlign w:val="bottom"/>
            <w:tcBorders>
              <w:right w:val="single" w:sz="8" w:color="CCEEFF"/>
            </w:tcBorders>
            <w:gridSpan w:val="5"/>
            <w:shd w:val="clear" w:color="auto" w:fill="CCEEFF"/>
          </w:tcPr>
          <w:p>
            <w:pPr>
              <w:ind w:left="200"/>
              <w:spacing w:after="0"/>
              <w:rPr>
                <w:sz w:val="20"/>
                <w:szCs w:val="20"/>
                <w:color w:val="auto"/>
              </w:rPr>
            </w:pPr>
            <w:r>
              <w:rPr>
                <w:rFonts w:ascii="Arial" w:cs="Arial" w:eastAsia="Arial" w:hAnsi="Arial"/>
                <w:sz w:val="13"/>
                <w:szCs w:val="13"/>
                <w:color w:val="auto"/>
              </w:rPr>
              <w:t>Commons</w:t>
            </w:r>
          </w:p>
        </w:tc>
        <w:tc>
          <w:tcPr>
            <w:tcW w:w="3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60" w:type="dxa"/>
            <w:vAlign w:val="bottom"/>
            <w:gridSpan w:val="2"/>
          </w:tcPr>
          <w:p>
            <w:pPr>
              <w:ind w:left="300"/>
              <w:spacing w:after="0"/>
              <w:rPr>
                <w:sz w:val="20"/>
                <w:szCs w:val="20"/>
                <w:color w:val="auto"/>
              </w:rPr>
            </w:pPr>
            <w:r>
              <w:rPr>
                <w:rFonts w:ascii="Arial" w:cs="Arial" w:eastAsia="Arial" w:hAnsi="Arial"/>
                <w:sz w:val="13"/>
                <w:szCs w:val="13"/>
                <w:b w:val="1"/>
                <w:bCs w:val="1"/>
                <w:color w:val="auto"/>
              </w:rPr>
              <w:t>Total Chicago</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81,736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752,000</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96%</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91%</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13.23</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Borders>
              <w:right w:val="single" w:sz="8" w:color="CCEEFF"/>
            </w:tcBorders>
            <w:gridSpan w:val="5"/>
            <w:shd w:val="clear" w:color="auto" w:fill="CCEEFF"/>
          </w:tcPr>
          <w:p>
            <w:pPr>
              <w:ind w:left="200"/>
              <w:spacing w:after="0" w:line="132" w:lineRule="exact"/>
              <w:rPr>
                <w:sz w:val="20"/>
                <w:szCs w:val="20"/>
                <w:color w:val="auto"/>
              </w:rPr>
            </w:pPr>
            <w:r>
              <w:rPr>
                <w:rFonts w:ascii="Arial" w:cs="Arial" w:eastAsia="Arial" w:hAnsi="Arial"/>
                <w:sz w:val="13"/>
                <w:szCs w:val="13"/>
                <w:b w:val="1"/>
                <w:bCs w:val="1"/>
                <w:color w:val="auto"/>
                <w:w w:val="90"/>
              </w:rPr>
              <w:t>South Florida</w:t>
            </w:r>
          </w:p>
        </w:tc>
        <w:tc>
          <w:tcPr>
            <w:tcW w:w="3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2"/>
                <w:szCs w:val="12"/>
                <w:color w:val="auto"/>
              </w:rPr>
            </w:pPr>
          </w:p>
        </w:tc>
        <w:tc>
          <w:tcPr>
            <w:tcW w:w="1000" w:type="dxa"/>
            <w:vAlign w:val="bottom"/>
            <w:gridSpan w:val="5"/>
          </w:tcPr>
          <w:p>
            <w:pPr>
              <w:spacing w:after="0" w:line="138" w:lineRule="exact"/>
              <w:rPr>
                <w:sz w:val="20"/>
                <w:szCs w:val="20"/>
                <w:color w:val="auto"/>
              </w:rPr>
            </w:pPr>
            <w:r>
              <w:rPr>
                <w:rFonts w:ascii="Arial" w:cs="Arial" w:eastAsia="Arial" w:hAnsi="Arial"/>
                <w:sz w:val="13"/>
                <w:szCs w:val="13"/>
                <w:color w:val="auto"/>
                <w:w w:val="98"/>
              </w:rPr>
              <w:t>Courtyard Shops</w:t>
            </w:r>
          </w:p>
        </w:tc>
        <w:tc>
          <w:tcPr>
            <w:tcW w:w="2660" w:type="dxa"/>
            <w:vAlign w:val="bottom"/>
            <w:gridSpan w:val="2"/>
          </w:tcPr>
          <w:p>
            <w:pPr>
              <w:ind w:left="300"/>
              <w:spacing w:after="0" w:line="138" w:lineRule="exact"/>
              <w:rPr>
                <w:sz w:val="20"/>
                <w:szCs w:val="20"/>
                <w:color w:val="auto"/>
              </w:rPr>
            </w:pPr>
            <w:r>
              <w:rPr>
                <w:rFonts w:ascii="Arial" w:cs="Arial" w:eastAsia="Arial" w:hAnsi="Arial"/>
                <w:sz w:val="13"/>
                <w:szCs w:val="13"/>
                <w:color w:val="auto"/>
              </w:rPr>
              <w:t>Miami-Ft Lauderdale</w:t>
            </w:r>
          </w:p>
        </w:tc>
        <w:tc>
          <w:tcPr>
            <w:tcW w:w="720" w:type="dxa"/>
            <w:vAlign w:val="bottom"/>
            <w:gridSpan w:val="3"/>
          </w:tcPr>
          <w:p>
            <w:pPr>
              <w:jc w:val="right"/>
              <w:ind w:right="80"/>
              <w:spacing w:after="0" w:line="138" w:lineRule="exact"/>
              <w:rPr>
                <w:sz w:val="20"/>
                <w:szCs w:val="20"/>
                <w:color w:val="auto"/>
              </w:rPr>
            </w:pPr>
            <w:r>
              <w:rPr>
                <w:rFonts w:ascii="Arial" w:cs="Arial" w:eastAsia="Arial" w:hAnsi="Arial"/>
                <w:sz w:val="13"/>
                <w:szCs w:val="13"/>
                <w:color w:val="auto"/>
              </w:rPr>
              <w:t>2008</w:t>
            </w:r>
          </w:p>
        </w:tc>
        <w:tc>
          <w:tcPr>
            <w:tcW w:w="8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38,891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7,518</w:t>
            </w:r>
          </w:p>
        </w:tc>
        <w:tc>
          <w:tcPr>
            <w:tcW w:w="62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130,000</w:t>
            </w:r>
          </w:p>
        </w:tc>
        <w:tc>
          <w:tcPr>
            <w:tcW w:w="640" w:type="dxa"/>
            <w:vAlign w:val="bottom"/>
            <w:gridSpan w:val="3"/>
          </w:tcPr>
          <w:p>
            <w:pPr>
              <w:jc w:val="right"/>
              <w:ind w:right="100"/>
              <w:spacing w:after="0" w:line="138" w:lineRule="exact"/>
              <w:rPr>
                <w:sz w:val="20"/>
                <w:szCs w:val="20"/>
                <w:color w:val="auto"/>
              </w:rPr>
            </w:pPr>
            <w:r>
              <w:rPr>
                <w:rFonts w:ascii="Arial" w:cs="Arial" w:eastAsia="Arial" w:hAnsi="Arial"/>
                <w:sz w:val="13"/>
                <w:szCs w:val="13"/>
                <w:color w:val="auto"/>
              </w:rPr>
              <w:t>92%</w:t>
            </w:r>
          </w:p>
        </w:tc>
        <w:tc>
          <w:tcPr>
            <w:tcW w:w="76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92%</w:t>
            </w:r>
          </w:p>
        </w:tc>
        <w:tc>
          <w:tcPr>
            <w:tcW w:w="60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18.21</w:t>
            </w:r>
          </w:p>
        </w:tc>
        <w:tc>
          <w:tcPr>
            <w:tcW w:w="480" w:type="dxa"/>
            <w:vAlign w:val="bottom"/>
          </w:tcPr>
          <w:p>
            <w:pPr>
              <w:jc w:val="right"/>
              <w:spacing w:after="0" w:line="138" w:lineRule="exact"/>
              <w:rPr>
                <w:sz w:val="20"/>
                <w:szCs w:val="20"/>
                <w:color w:val="auto"/>
              </w:rPr>
            </w:pPr>
            <w:r>
              <w:rPr>
                <w:rFonts w:ascii="Arial" w:cs="Arial" w:eastAsia="Arial" w:hAnsi="Arial"/>
                <w:sz w:val="13"/>
                <w:szCs w:val="13"/>
                <w:color w:val="auto"/>
              </w:rPr>
              <w:t>49,000</w:t>
            </w:r>
          </w:p>
        </w:tc>
        <w:tc>
          <w:tcPr>
            <w:tcW w:w="60" w:type="dxa"/>
            <w:vAlign w:val="bottom"/>
          </w:tcPr>
          <w:p>
            <w:pPr>
              <w:spacing w:after="0"/>
              <w:rPr>
                <w:sz w:val="12"/>
                <w:szCs w:val="12"/>
                <w:color w:val="auto"/>
              </w:rPr>
            </w:pPr>
          </w:p>
        </w:tc>
        <w:tc>
          <w:tcPr>
            <w:tcW w:w="720" w:type="dxa"/>
            <w:vAlign w:val="bottom"/>
          </w:tcPr>
          <w:p>
            <w:pPr>
              <w:spacing w:after="0" w:line="138" w:lineRule="exact"/>
              <w:rPr>
                <w:sz w:val="20"/>
                <w:szCs w:val="20"/>
                <w:color w:val="auto"/>
              </w:rPr>
            </w:pPr>
            <w:r>
              <w:rPr>
                <w:rFonts w:ascii="Arial" w:cs="Arial" w:eastAsia="Arial" w:hAnsi="Arial"/>
                <w:sz w:val="13"/>
                <w:szCs w:val="13"/>
                <w:color w:val="auto"/>
              </w:rPr>
              <w:t>Publix</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0" w:type="dxa"/>
            <w:vAlign w:val="bottom"/>
            <w:tcBorders>
              <w:right w:val="single" w:sz="8" w:color="CCEEFF"/>
            </w:tcBorders>
            <w:gridSpan w:val="5"/>
            <w:shd w:val="clear" w:color="auto" w:fill="CCEEFF"/>
          </w:tcPr>
          <w:p>
            <w:pPr>
              <w:spacing w:after="0" w:line="145" w:lineRule="exact"/>
              <w:rPr>
                <w:sz w:val="20"/>
                <w:szCs w:val="20"/>
                <w:color w:val="auto"/>
              </w:rPr>
            </w:pPr>
            <w:r>
              <w:rPr>
                <w:rFonts w:ascii="Arial" w:cs="Arial" w:eastAsia="Arial" w:hAnsi="Arial"/>
                <w:sz w:val="13"/>
                <w:szCs w:val="13"/>
                <w:color w:val="auto"/>
              </w:rPr>
              <w:t>Del Mar Village</w:t>
            </w:r>
          </w:p>
        </w:tc>
        <w:tc>
          <w:tcPr>
            <w:tcW w:w="266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3"/>
                <w:szCs w:val="13"/>
                <w:color w:val="auto"/>
              </w:rPr>
              <w:t>Miami-Ft Lauderdale</w:t>
            </w:r>
          </w:p>
        </w:tc>
        <w:tc>
          <w:tcPr>
            <w:tcW w:w="72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2008</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54,449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178,000</w:t>
            </w:r>
          </w:p>
        </w:tc>
        <w:tc>
          <w:tcPr>
            <w:tcW w:w="64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95%</w:t>
            </w:r>
          </w:p>
        </w:tc>
        <w:tc>
          <w:tcPr>
            <w:tcW w:w="7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94%</w:t>
            </w:r>
          </w:p>
        </w:tc>
        <w:tc>
          <w:tcPr>
            <w:tcW w:w="6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16.</w:t>
            </w:r>
            <w:r>
              <w:rPr>
                <w:rFonts w:ascii="Arial" w:cs="Arial" w:eastAsia="Arial" w:hAnsi="Arial"/>
                <w:sz w:val="13"/>
                <w:szCs w:val="13"/>
                <w:u w:val="single" w:color="auto"/>
                <w:color w:val="auto"/>
              </w:rPr>
              <w:t>93</w:t>
            </w: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44,000</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Winn Dixie</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Total South Florida</w:t>
            </w: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93,340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308,000</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94%</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93%</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17.45</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tcBorders>
              <w:right w:val="single" w:sz="8" w:color="CCEEFF"/>
            </w:tcBorders>
            <w:gridSpan w:val="5"/>
            <w:shd w:val="clear" w:color="auto" w:fill="CCEEFF"/>
          </w:tcPr>
          <w:p>
            <w:pPr>
              <w:ind w:left="200"/>
              <w:spacing w:after="0" w:line="132" w:lineRule="exact"/>
              <w:rPr>
                <w:sz w:val="20"/>
                <w:szCs w:val="20"/>
                <w:color w:val="auto"/>
              </w:rPr>
            </w:pPr>
            <w:r>
              <w:rPr>
                <w:rFonts w:ascii="Arial" w:cs="Arial" w:eastAsia="Arial" w:hAnsi="Arial"/>
                <w:sz w:val="13"/>
                <w:szCs w:val="13"/>
                <w:b w:val="1"/>
                <w:bCs w:val="1"/>
                <w:color w:val="auto"/>
              </w:rPr>
              <w:t>Other</w:t>
            </w:r>
          </w:p>
        </w:tc>
        <w:tc>
          <w:tcPr>
            <w:tcW w:w="3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000" w:type="dxa"/>
            <w:vAlign w:val="bottom"/>
            <w:gridSpan w:val="5"/>
          </w:tcPr>
          <w:p>
            <w:pPr>
              <w:spacing w:after="0" w:line="129" w:lineRule="exact"/>
              <w:rPr>
                <w:sz w:val="20"/>
                <w:szCs w:val="20"/>
                <w:color w:val="auto"/>
              </w:rPr>
            </w:pPr>
            <w:r>
              <w:rPr>
                <w:rFonts w:ascii="Arial" w:cs="Arial" w:eastAsia="Arial" w:hAnsi="Arial"/>
                <w:sz w:val="13"/>
                <w:szCs w:val="13"/>
                <w:color w:val="auto"/>
              </w:rPr>
              <w:t>Barracks Road</w:t>
            </w:r>
          </w:p>
        </w:tc>
        <w:tc>
          <w:tcPr>
            <w:tcW w:w="2660" w:type="dxa"/>
            <w:vAlign w:val="bottom"/>
            <w:gridSpan w:val="2"/>
          </w:tcPr>
          <w:p>
            <w:pPr>
              <w:ind w:left="300"/>
              <w:spacing w:after="0" w:line="129" w:lineRule="exact"/>
              <w:rPr>
                <w:sz w:val="20"/>
                <w:szCs w:val="20"/>
                <w:color w:val="auto"/>
              </w:rPr>
            </w:pPr>
            <w:r>
              <w:rPr>
                <w:rFonts w:ascii="Arial" w:cs="Arial" w:eastAsia="Arial" w:hAnsi="Arial"/>
                <w:sz w:val="13"/>
                <w:szCs w:val="13"/>
                <w:color w:val="auto"/>
              </w:rPr>
              <w:t>Charlottesville, VA</w:t>
            </w:r>
          </w:p>
        </w:tc>
        <w:tc>
          <w:tcPr>
            <w:tcW w:w="720" w:type="dxa"/>
            <w:vAlign w:val="bottom"/>
            <w:gridSpan w:val="3"/>
          </w:tcPr>
          <w:p>
            <w:pPr>
              <w:jc w:val="right"/>
              <w:ind w:right="80"/>
              <w:spacing w:after="0" w:line="129" w:lineRule="exact"/>
              <w:rPr>
                <w:sz w:val="20"/>
                <w:szCs w:val="20"/>
                <w:color w:val="auto"/>
              </w:rPr>
            </w:pPr>
            <w:r>
              <w:rPr>
                <w:rFonts w:ascii="Arial" w:cs="Arial" w:eastAsia="Arial" w:hAnsi="Arial"/>
                <w:sz w:val="13"/>
                <w:szCs w:val="13"/>
                <w:color w:val="auto"/>
              </w:rPr>
              <w:t>1985</w:t>
            </w:r>
          </w:p>
        </w:tc>
        <w:tc>
          <w:tcPr>
            <w:tcW w:w="8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47,911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40,639</w:t>
            </w:r>
          </w:p>
        </w:tc>
        <w:tc>
          <w:tcPr>
            <w:tcW w:w="62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487,000</w:t>
            </w:r>
          </w:p>
        </w:tc>
        <w:tc>
          <w:tcPr>
            <w:tcW w:w="640" w:type="dxa"/>
            <w:vAlign w:val="bottom"/>
            <w:gridSpan w:val="3"/>
          </w:tcPr>
          <w:p>
            <w:pPr>
              <w:jc w:val="right"/>
              <w:ind w:right="100"/>
              <w:spacing w:after="0" w:line="129" w:lineRule="exact"/>
              <w:rPr>
                <w:sz w:val="20"/>
                <w:szCs w:val="20"/>
                <w:color w:val="auto"/>
              </w:rPr>
            </w:pPr>
            <w:r>
              <w:rPr>
                <w:rFonts w:ascii="Arial" w:cs="Arial" w:eastAsia="Arial" w:hAnsi="Arial"/>
                <w:sz w:val="13"/>
                <w:szCs w:val="13"/>
                <w:color w:val="auto"/>
              </w:rPr>
              <w:t>96%</w:t>
            </w: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93%</w:t>
            </w:r>
          </w:p>
        </w:tc>
        <w:tc>
          <w:tcPr>
            <w:tcW w:w="6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20.47</w:t>
            </w: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99,000</w:t>
            </w:r>
          </w:p>
        </w:tc>
        <w:tc>
          <w:tcPr>
            <w:tcW w:w="6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3"/>
                <w:szCs w:val="13"/>
                <w:color w:val="auto"/>
                <w:w w:val="92"/>
              </w:rPr>
              <w:t>Harris Teeter</w:t>
            </w:r>
          </w:p>
        </w:tc>
        <w:tc>
          <w:tcPr>
            <w:tcW w:w="80" w:type="dxa"/>
            <w:vAlign w:val="bottom"/>
          </w:tcPr>
          <w:p>
            <w:pPr>
              <w:spacing w:after="0"/>
              <w:rPr>
                <w:sz w:val="11"/>
                <w:szCs w:val="11"/>
                <w:color w:val="auto"/>
              </w:rPr>
            </w:pPr>
          </w:p>
        </w:tc>
        <w:tc>
          <w:tcPr>
            <w:tcW w:w="1360" w:type="dxa"/>
            <w:vAlign w:val="bottom"/>
          </w:tcPr>
          <w:p>
            <w:pPr>
              <w:spacing w:after="0" w:line="129"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line="145" w:lineRule="exact"/>
              <w:rPr>
                <w:sz w:val="20"/>
                <w:szCs w:val="20"/>
                <w:color w:val="auto"/>
              </w:rPr>
            </w:pPr>
            <w:r>
              <w:rPr>
                <w:rFonts w:ascii="Arial" w:cs="Arial" w:eastAsia="Arial" w:hAnsi="Arial"/>
                <w:sz w:val="13"/>
                <w:szCs w:val="13"/>
                <w:color w:val="auto"/>
              </w:rPr>
              <w:t>/ Kroger</w:t>
            </w:r>
          </w:p>
        </w:tc>
        <w:tc>
          <w:tcPr>
            <w:tcW w:w="80" w:type="dxa"/>
            <w:vAlign w:val="bottom"/>
          </w:tcPr>
          <w:p>
            <w:pPr>
              <w:spacing w:after="0"/>
              <w:rPr>
                <w:sz w:val="12"/>
                <w:szCs w:val="12"/>
                <w:color w:val="auto"/>
              </w:rPr>
            </w:pPr>
          </w:p>
        </w:tc>
        <w:tc>
          <w:tcPr>
            <w:tcW w:w="1360" w:type="dxa"/>
            <w:vAlign w:val="bottom"/>
          </w:tcPr>
          <w:p>
            <w:pPr>
              <w:spacing w:after="0" w:line="145" w:lineRule="exact"/>
              <w:rPr>
                <w:sz w:val="20"/>
                <w:szCs w:val="20"/>
                <w:color w:val="auto"/>
              </w:rPr>
            </w:pPr>
            <w:r>
              <w:rPr>
                <w:rFonts w:ascii="Arial" w:cs="Arial" w:eastAsia="Arial" w:hAnsi="Arial"/>
                <w:sz w:val="13"/>
                <w:szCs w:val="13"/>
                <w:color w:val="auto"/>
              </w:rPr>
              <w:t>Barnes &amp; Noble / Old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Navy / Michaels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0" w:type="dxa"/>
            <w:vAlign w:val="bottom"/>
            <w:tcBorders>
              <w:right w:val="single" w:sz="8" w:color="CCEEFF"/>
            </w:tcBorders>
            <w:gridSpan w:val="5"/>
            <w:shd w:val="clear" w:color="auto" w:fill="CCEEFF"/>
          </w:tcPr>
          <w:p>
            <w:pPr>
              <w:spacing w:after="0" w:line="145" w:lineRule="exact"/>
              <w:rPr>
                <w:sz w:val="20"/>
                <w:szCs w:val="20"/>
                <w:color w:val="auto"/>
              </w:rPr>
            </w:pPr>
            <w:r>
              <w:rPr>
                <w:rFonts w:ascii="Arial" w:cs="Arial" w:eastAsia="Arial" w:hAnsi="Arial"/>
                <w:sz w:val="13"/>
                <w:szCs w:val="13"/>
                <w:color w:val="auto"/>
              </w:rPr>
              <w:t>Bristol Plaza</w:t>
            </w:r>
          </w:p>
        </w:tc>
        <w:tc>
          <w:tcPr>
            <w:tcW w:w="266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3"/>
                <w:szCs w:val="13"/>
                <w:color w:val="auto"/>
              </w:rPr>
              <w:t>Hartford, CT</w:t>
            </w:r>
          </w:p>
        </w:tc>
        <w:tc>
          <w:tcPr>
            <w:tcW w:w="72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1995</w:t>
            </w:r>
          </w:p>
        </w:tc>
        <w:tc>
          <w:tcPr>
            <w:tcW w:w="8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27,585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272,000</w:t>
            </w:r>
          </w:p>
        </w:tc>
        <w:tc>
          <w:tcPr>
            <w:tcW w:w="64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85%</w:t>
            </w:r>
          </w:p>
        </w:tc>
        <w:tc>
          <w:tcPr>
            <w:tcW w:w="7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84%</w:t>
            </w:r>
          </w:p>
        </w:tc>
        <w:tc>
          <w:tcPr>
            <w:tcW w:w="6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12.32</w:t>
            </w: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74,000</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w w:val="95"/>
              </w:rPr>
              <w:t>Stop &amp; Shop</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0" w:type="dxa"/>
            <w:vAlign w:val="bottom"/>
            <w:gridSpan w:val="5"/>
          </w:tcPr>
          <w:p>
            <w:pPr>
              <w:spacing w:after="0" w:line="145" w:lineRule="exact"/>
              <w:rPr>
                <w:sz w:val="20"/>
                <w:szCs w:val="20"/>
                <w:color w:val="auto"/>
              </w:rPr>
            </w:pPr>
            <w:r>
              <w:rPr>
                <w:rFonts w:ascii="Arial" w:cs="Arial" w:eastAsia="Arial" w:hAnsi="Arial"/>
                <w:sz w:val="13"/>
                <w:szCs w:val="13"/>
                <w:color w:val="auto"/>
              </w:rPr>
              <w:t>Eastgate</w:t>
            </w:r>
          </w:p>
        </w:tc>
        <w:tc>
          <w:tcPr>
            <w:tcW w:w="2660" w:type="dxa"/>
            <w:vAlign w:val="bottom"/>
            <w:gridSpan w:val="2"/>
          </w:tcPr>
          <w:p>
            <w:pPr>
              <w:ind w:left="300"/>
              <w:spacing w:after="0" w:line="145" w:lineRule="exact"/>
              <w:rPr>
                <w:sz w:val="20"/>
                <w:szCs w:val="20"/>
                <w:color w:val="auto"/>
              </w:rPr>
            </w:pPr>
            <w:r>
              <w:rPr>
                <w:rFonts w:ascii="Arial" w:cs="Arial" w:eastAsia="Arial" w:hAnsi="Arial"/>
                <w:sz w:val="13"/>
                <w:szCs w:val="13"/>
                <w:color w:val="auto"/>
              </w:rPr>
              <w:t>Raleigh-Durham-Chapel Hill, NC</w:t>
            </w:r>
          </w:p>
        </w:tc>
        <w:tc>
          <w:tcPr>
            <w:tcW w:w="7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1986</w:t>
            </w:r>
          </w:p>
        </w:tc>
        <w:tc>
          <w:tcPr>
            <w:tcW w:w="8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26,033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153,000</w:t>
            </w:r>
          </w:p>
        </w:tc>
        <w:tc>
          <w:tcPr>
            <w:tcW w:w="6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99%</w:t>
            </w: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99%</w:t>
            </w:r>
          </w:p>
        </w:tc>
        <w:tc>
          <w:tcPr>
            <w:tcW w:w="6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20.07</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line="145" w:lineRule="exact"/>
              <w:rPr>
                <w:sz w:val="20"/>
                <w:szCs w:val="20"/>
                <w:color w:val="auto"/>
              </w:rPr>
            </w:pPr>
            <w:r>
              <w:rPr>
                <w:rFonts w:ascii="Arial" w:cs="Arial" w:eastAsia="Arial" w:hAnsi="Arial"/>
                <w:sz w:val="13"/>
                <w:szCs w:val="13"/>
                <w:color w:val="auto"/>
                <w:w w:val="94"/>
              </w:rPr>
              <w:t>Stein Mart / Trader Joe’s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right w:val="single" w:sz="8" w:color="CCEEFF"/>
            </w:tcBorders>
            <w:gridSpan w:val="5"/>
            <w:shd w:val="clear" w:color="auto" w:fill="CCEEFF"/>
          </w:tcPr>
          <w:p>
            <w:pPr>
              <w:spacing w:after="0" w:line="136" w:lineRule="exact"/>
              <w:rPr>
                <w:sz w:val="20"/>
                <w:szCs w:val="20"/>
                <w:color w:val="auto"/>
              </w:rPr>
            </w:pPr>
            <w:r>
              <w:rPr>
                <w:rFonts w:ascii="Arial" w:cs="Arial" w:eastAsia="Arial" w:hAnsi="Arial"/>
                <w:sz w:val="13"/>
                <w:szCs w:val="13"/>
                <w:color w:val="auto"/>
              </w:rPr>
              <w:t>Gratiot Plaza</w:t>
            </w:r>
          </w:p>
        </w:tc>
        <w:tc>
          <w:tcPr>
            <w:tcW w:w="2660" w:type="dxa"/>
            <w:vAlign w:val="bottom"/>
            <w:gridSpan w:val="2"/>
            <w:shd w:val="clear" w:color="auto" w:fill="CCEEFF"/>
          </w:tcPr>
          <w:p>
            <w:pPr>
              <w:ind w:left="300"/>
              <w:spacing w:after="0" w:line="136" w:lineRule="exact"/>
              <w:rPr>
                <w:sz w:val="20"/>
                <w:szCs w:val="20"/>
                <w:color w:val="auto"/>
              </w:rPr>
            </w:pPr>
            <w:r>
              <w:rPr>
                <w:rFonts w:ascii="Arial" w:cs="Arial" w:eastAsia="Arial" w:hAnsi="Arial"/>
                <w:sz w:val="13"/>
                <w:szCs w:val="13"/>
                <w:color w:val="auto"/>
              </w:rPr>
              <w:t>Detroit, MI</w:t>
            </w:r>
          </w:p>
        </w:tc>
        <w:tc>
          <w:tcPr>
            <w:tcW w:w="7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1973</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18,687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217,000</w:t>
            </w:r>
          </w:p>
        </w:tc>
        <w:tc>
          <w:tcPr>
            <w:tcW w:w="64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99%</w:t>
            </w:r>
          </w:p>
        </w:tc>
        <w:tc>
          <w:tcPr>
            <w:tcW w:w="7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99%</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11.57</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69,000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Kroger</w:t>
            </w: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Best Buy / DSW</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gridSpan w:val="5"/>
          </w:tcPr>
          <w:p>
            <w:pPr>
              <w:spacing w:after="0" w:line="136" w:lineRule="exact"/>
              <w:rPr>
                <w:sz w:val="20"/>
                <w:szCs w:val="20"/>
                <w:color w:val="auto"/>
              </w:rPr>
            </w:pPr>
            <w:r>
              <w:rPr>
                <w:rFonts w:ascii="Arial" w:cs="Arial" w:eastAsia="Arial" w:hAnsi="Arial"/>
                <w:sz w:val="13"/>
                <w:szCs w:val="13"/>
                <w:color w:val="auto"/>
              </w:rPr>
              <w:t>Greenwich</w:t>
            </w:r>
          </w:p>
        </w:tc>
        <w:tc>
          <w:tcPr>
            <w:tcW w:w="2660" w:type="dxa"/>
            <w:vAlign w:val="bottom"/>
            <w:gridSpan w:val="2"/>
          </w:tcPr>
          <w:p>
            <w:pPr>
              <w:ind w:left="300"/>
              <w:spacing w:after="0" w:line="136" w:lineRule="exact"/>
              <w:rPr>
                <w:sz w:val="20"/>
                <w:szCs w:val="20"/>
                <w:color w:val="auto"/>
              </w:rPr>
            </w:pPr>
            <w:r>
              <w:rPr>
                <w:rFonts w:ascii="Arial" w:cs="Arial" w:eastAsia="Arial" w:hAnsi="Arial"/>
                <w:sz w:val="13"/>
                <w:szCs w:val="13"/>
                <w:color w:val="auto"/>
                <w:w w:val="92"/>
              </w:rPr>
              <w:t>New Haven-Bridgeport-Stamford-Waterbury</w:t>
            </w:r>
          </w:p>
        </w:tc>
        <w:tc>
          <w:tcPr>
            <w:tcW w:w="7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1995</w:t>
            </w:r>
          </w:p>
        </w:tc>
        <w:tc>
          <w:tcPr>
            <w:tcW w:w="8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13,972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36,000</w:t>
            </w:r>
          </w:p>
        </w:tc>
        <w:tc>
          <w:tcPr>
            <w:tcW w:w="640" w:type="dxa"/>
            <w:vAlign w:val="bottom"/>
            <w:gridSpan w:val="3"/>
          </w:tcPr>
          <w:p>
            <w:pPr>
              <w:jc w:val="right"/>
              <w:ind w:right="100"/>
              <w:spacing w:after="0" w:line="136" w:lineRule="exact"/>
              <w:rPr>
                <w:sz w:val="20"/>
                <w:szCs w:val="20"/>
                <w:color w:val="auto"/>
              </w:rPr>
            </w:pPr>
            <w:r>
              <w:rPr>
                <w:rFonts w:ascii="Arial" w:cs="Arial" w:eastAsia="Arial" w:hAnsi="Arial"/>
                <w:sz w:val="13"/>
                <w:szCs w:val="13"/>
                <w:color w:val="auto"/>
              </w:rPr>
              <w:t>100%</w:t>
            </w:r>
          </w:p>
        </w:tc>
        <w:tc>
          <w:tcPr>
            <w:tcW w:w="7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100%</w:t>
            </w:r>
          </w:p>
        </w:tc>
        <w:tc>
          <w:tcPr>
            <w:tcW w:w="6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53.00</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line="136" w:lineRule="exact"/>
              <w:rPr>
                <w:sz w:val="20"/>
                <w:szCs w:val="20"/>
                <w:color w:val="auto"/>
              </w:rPr>
            </w:pPr>
            <w:r>
              <w:rPr>
                <w:rFonts w:ascii="Arial" w:cs="Arial" w:eastAsia="Arial" w:hAnsi="Arial"/>
                <w:sz w:val="13"/>
                <w:szCs w:val="13"/>
                <w:color w:val="auto"/>
              </w:rPr>
              <w:t>Saks Fifth Avenue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0" w:type="dxa"/>
            <w:vAlign w:val="bottom"/>
            <w:gridSpan w:val="5"/>
          </w:tcPr>
          <w:p>
            <w:pPr>
              <w:ind w:left="200"/>
              <w:spacing w:after="0"/>
              <w:rPr>
                <w:sz w:val="20"/>
                <w:szCs w:val="20"/>
                <w:color w:val="auto"/>
              </w:rPr>
            </w:pPr>
            <w:r>
              <w:rPr>
                <w:rFonts w:ascii="Arial" w:cs="Arial" w:eastAsia="Arial" w:hAnsi="Arial"/>
                <w:sz w:val="13"/>
                <w:szCs w:val="13"/>
                <w:color w:val="auto"/>
              </w:rPr>
              <w:t>Avenue</w:t>
            </w:r>
          </w:p>
        </w:tc>
        <w:tc>
          <w:tcPr>
            <w:tcW w:w="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tcBorders>
              <w:right w:val="single" w:sz="8" w:color="CCEEFF"/>
            </w:tcBorders>
            <w:gridSpan w:val="5"/>
            <w:shd w:val="clear" w:color="auto" w:fill="CCEEFF"/>
          </w:tcPr>
          <w:p>
            <w:pPr>
              <w:spacing w:after="0" w:line="136" w:lineRule="exact"/>
              <w:rPr>
                <w:sz w:val="20"/>
                <w:szCs w:val="20"/>
                <w:color w:val="auto"/>
              </w:rPr>
            </w:pPr>
            <w:r>
              <w:rPr>
                <w:rFonts w:ascii="Arial" w:cs="Arial" w:eastAsia="Arial" w:hAnsi="Arial"/>
                <w:sz w:val="13"/>
                <w:szCs w:val="13"/>
                <w:color w:val="auto"/>
              </w:rPr>
              <w:t>Houston St</w:t>
            </w:r>
          </w:p>
        </w:tc>
        <w:tc>
          <w:tcPr>
            <w:tcW w:w="2660" w:type="dxa"/>
            <w:vAlign w:val="bottom"/>
            <w:gridSpan w:val="2"/>
            <w:shd w:val="clear" w:color="auto" w:fill="CCEEFF"/>
          </w:tcPr>
          <w:p>
            <w:pPr>
              <w:ind w:left="300"/>
              <w:spacing w:after="0" w:line="136" w:lineRule="exact"/>
              <w:rPr>
                <w:sz w:val="20"/>
                <w:szCs w:val="20"/>
                <w:color w:val="auto"/>
              </w:rPr>
            </w:pPr>
            <w:r>
              <w:rPr>
                <w:rFonts w:ascii="Arial" w:cs="Arial" w:eastAsia="Arial" w:hAnsi="Arial"/>
                <w:sz w:val="13"/>
                <w:szCs w:val="13"/>
                <w:color w:val="auto"/>
              </w:rPr>
              <w:t>San Antonio, TX</w:t>
            </w:r>
          </w:p>
        </w:tc>
        <w:tc>
          <w:tcPr>
            <w:tcW w:w="7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1998</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69,797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196,000</w:t>
            </w:r>
          </w:p>
        </w:tc>
        <w:tc>
          <w:tcPr>
            <w:tcW w:w="64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82%</w:t>
            </w:r>
          </w:p>
        </w:tc>
        <w:tc>
          <w:tcPr>
            <w:tcW w:w="7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82%</w:t>
            </w: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20.35</w:t>
            </w: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Hotel Valencia /</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0" w:type="dxa"/>
            <w:vAlign w:val="bottom"/>
            <w:gridSpan w:val="5"/>
          </w:tcPr>
          <w:p>
            <w:pPr>
              <w:spacing w:after="0" w:line="145" w:lineRule="exact"/>
              <w:rPr>
                <w:sz w:val="20"/>
                <w:szCs w:val="20"/>
                <w:color w:val="auto"/>
              </w:rPr>
            </w:pPr>
            <w:r>
              <w:rPr>
                <w:rFonts w:ascii="Arial" w:cs="Arial" w:eastAsia="Arial" w:hAnsi="Arial"/>
                <w:sz w:val="13"/>
                <w:szCs w:val="13"/>
                <w:color w:val="auto"/>
              </w:rPr>
              <w:t>Lancaster</w:t>
            </w:r>
          </w:p>
        </w:tc>
        <w:tc>
          <w:tcPr>
            <w:tcW w:w="2660" w:type="dxa"/>
            <w:vAlign w:val="bottom"/>
            <w:gridSpan w:val="2"/>
          </w:tcPr>
          <w:p>
            <w:pPr>
              <w:ind w:left="20"/>
              <w:spacing w:after="0" w:line="145" w:lineRule="exact"/>
              <w:rPr>
                <w:sz w:val="20"/>
                <w:szCs w:val="20"/>
                <w:color w:val="auto"/>
              </w:rPr>
            </w:pPr>
            <w:r>
              <w:rPr>
                <w:rFonts w:ascii="Arial" w:cs="Arial" w:eastAsia="Arial" w:hAnsi="Arial"/>
                <w:sz w:val="13"/>
                <w:szCs w:val="13"/>
                <w:color w:val="auto"/>
              </w:rPr>
              <w:t>(11) Lancaster, PA</w:t>
            </w:r>
          </w:p>
        </w:tc>
        <w:tc>
          <w:tcPr>
            <w:tcW w:w="72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1980</w:t>
            </w:r>
          </w:p>
        </w:tc>
        <w:tc>
          <w:tcPr>
            <w:tcW w:w="8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11,427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4,907</w:t>
            </w:r>
          </w:p>
        </w:tc>
        <w:tc>
          <w:tcPr>
            <w:tcW w:w="62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107,000</w:t>
            </w:r>
          </w:p>
        </w:tc>
        <w:tc>
          <w:tcPr>
            <w:tcW w:w="64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98%</w:t>
            </w:r>
          </w:p>
        </w:tc>
        <w:tc>
          <w:tcPr>
            <w:tcW w:w="76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98%</w:t>
            </w:r>
          </w:p>
        </w:tc>
        <w:tc>
          <w:tcPr>
            <w:tcW w:w="6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16.35</w:t>
            </w:r>
          </w:p>
        </w:tc>
        <w:tc>
          <w:tcPr>
            <w:tcW w:w="480" w:type="dxa"/>
            <w:vAlign w:val="bottom"/>
          </w:tcPr>
          <w:p>
            <w:pPr>
              <w:jc w:val="right"/>
              <w:spacing w:after="0" w:line="145" w:lineRule="exact"/>
              <w:rPr>
                <w:sz w:val="20"/>
                <w:szCs w:val="20"/>
                <w:color w:val="auto"/>
              </w:rPr>
            </w:pPr>
            <w:r>
              <w:rPr>
                <w:rFonts w:ascii="Arial" w:cs="Arial" w:eastAsia="Arial" w:hAnsi="Arial"/>
                <w:sz w:val="13"/>
                <w:szCs w:val="13"/>
                <w:color w:val="auto"/>
              </w:rPr>
              <w:t>39,000</w:t>
            </w:r>
          </w:p>
        </w:tc>
        <w:tc>
          <w:tcPr>
            <w:tcW w:w="60" w:type="dxa"/>
            <w:vAlign w:val="bottom"/>
          </w:tcPr>
          <w:p>
            <w:pPr>
              <w:spacing w:after="0"/>
              <w:rPr>
                <w:sz w:val="12"/>
                <w:szCs w:val="12"/>
                <w:color w:val="auto"/>
              </w:rPr>
            </w:pPr>
          </w:p>
        </w:tc>
        <w:tc>
          <w:tcPr>
            <w:tcW w:w="720" w:type="dxa"/>
            <w:vAlign w:val="bottom"/>
          </w:tcPr>
          <w:p>
            <w:pPr>
              <w:spacing w:after="0" w:line="145" w:lineRule="exact"/>
              <w:rPr>
                <w:sz w:val="20"/>
                <w:szCs w:val="20"/>
                <w:color w:val="auto"/>
              </w:rPr>
            </w:pPr>
            <w:r>
              <w:rPr>
                <w:rFonts w:ascii="Arial" w:cs="Arial" w:eastAsia="Arial" w:hAnsi="Arial"/>
                <w:sz w:val="13"/>
                <w:szCs w:val="13"/>
                <w:color w:val="auto"/>
              </w:rPr>
              <w:t>Giant Food</w:t>
            </w:r>
          </w:p>
        </w:tc>
        <w:tc>
          <w:tcPr>
            <w:tcW w:w="80" w:type="dxa"/>
            <w:vAlign w:val="bottom"/>
          </w:tcPr>
          <w:p>
            <w:pPr>
              <w:spacing w:after="0"/>
              <w:rPr>
                <w:sz w:val="12"/>
                <w:szCs w:val="12"/>
                <w:color w:val="auto"/>
              </w:rPr>
            </w:pPr>
          </w:p>
        </w:tc>
        <w:tc>
          <w:tcPr>
            <w:tcW w:w="1360" w:type="dxa"/>
            <w:vAlign w:val="bottom"/>
          </w:tcPr>
          <w:p>
            <w:pPr>
              <w:spacing w:after="0" w:line="145" w:lineRule="exact"/>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0" w:type="dxa"/>
            <w:vAlign w:val="bottom"/>
            <w:tcBorders>
              <w:right w:val="single" w:sz="8" w:color="CCEEFF"/>
            </w:tcBorders>
            <w:gridSpan w:val="5"/>
            <w:shd w:val="clear" w:color="auto" w:fill="CCEEFF"/>
          </w:tcPr>
          <w:p>
            <w:pPr>
              <w:spacing w:after="0" w:line="145" w:lineRule="exact"/>
              <w:rPr>
                <w:sz w:val="20"/>
                <w:szCs w:val="20"/>
                <w:color w:val="auto"/>
              </w:rPr>
            </w:pPr>
            <w:r>
              <w:rPr>
                <w:rFonts w:ascii="Arial" w:cs="Arial" w:eastAsia="Arial" w:hAnsi="Arial"/>
                <w:sz w:val="13"/>
                <w:szCs w:val="13"/>
                <w:color w:val="auto"/>
                <w:w w:val="99"/>
              </w:rPr>
              <w:t>Shoppers’ World</w:t>
            </w:r>
          </w:p>
        </w:tc>
        <w:tc>
          <w:tcPr>
            <w:tcW w:w="266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3"/>
                <w:szCs w:val="13"/>
                <w:color w:val="auto"/>
              </w:rPr>
              <w:t>Charlottesville, VA</w:t>
            </w:r>
          </w:p>
        </w:tc>
        <w:tc>
          <w:tcPr>
            <w:tcW w:w="72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2007</w:t>
            </w:r>
          </w:p>
        </w:tc>
        <w:tc>
          <w:tcPr>
            <w:tcW w:w="8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30,050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5,733</w:t>
            </w:r>
          </w:p>
        </w:tc>
        <w:tc>
          <w:tcPr>
            <w:tcW w:w="62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169,000</w:t>
            </w:r>
          </w:p>
        </w:tc>
        <w:tc>
          <w:tcPr>
            <w:tcW w:w="64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95%</w:t>
            </w:r>
          </w:p>
        </w:tc>
        <w:tc>
          <w:tcPr>
            <w:tcW w:w="7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95%</w:t>
            </w:r>
          </w:p>
        </w:tc>
        <w:tc>
          <w:tcPr>
            <w:tcW w:w="6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11.64</w:t>
            </w:r>
          </w:p>
        </w:tc>
        <w:tc>
          <w:tcPr>
            <w:tcW w:w="4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28,000</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w w:val="91"/>
              </w:rPr>
              <w:t>Whole Foods</w:t>
            </w: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0" w:type="dxa"/>
            <w:vAlign w:val="bottom"/>
            <w:gridSpan w:val="5"/>
          </w:tcPr>
          <w:p>
            <w:pPr>
              <w:spacing w:after="0" w:line="136" w:lineRule="exact"/>
              <w:rPr>
                <w:sz w:val="20"/>
                <w:szCs w:val="20"/>
                <w:color w:val="auto"/>
              </w:rPr>
            </w:pPr>
            <w:r>
              <w:rPr>
                <w:rFonts w:ascii="Arial" w:cs="Arial" w:eastAsia="Arial" w:hAnsi="Arial"/>
                <w:sz w:val="13"/>
                <w:szCs w:val="13"/>
                <w:color w:val="auto"/>
              </w:rPr>
              <w:t>Shops at Willow</w:t>
            </w:r>
          </w:p>
        </w:tc>
        <w:tc>
          <w:tcPr>
            <w:tcW w:w="2660" w:type="dxa"/>
            <w:vAlign w:val="bottom"/>
            <w:gridSpan w:val="2"/>
          </w:tcPr>
          <w:p>
            <w:pPr>
              <w:ind w:left="300"/>
              <w:spacing w:after="0" w:line="136" w:lineRule="exact"/>
              <w:rPr>
                <w:sz w:val="20"/>
                <w:szCs w:val="20"/>
                <w:color w:val="auto"/>
              </w:rPr>
            </w:pPr>
            <w:r>
              <w:rPr>
                <w:rFonts w:ascii="Arial" w:cs="Arial" w:eastAsia="Arial" w:hAnsi="Arial"/>
                <w:sz w:val="13"/>
                <w:szCs w:val="13"/>
                <w:color w:val="auto"/>
              </w:rPr>
              <w:t>Richmond-Petersburg, VA</w:t>
            </w:r>
          </w:p>
        </w:tc>
        <w:tc>
          <w:tcPr>
            <w:tcW w:w="7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1983</w:t>
            </w:r>
          </w:p>
        </w:tc>
        <w:tc>
          <w:tcPr>
            <w:tcW w:w="8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76,350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476,000</w:t>
            </w:r>
          </w:p>
        </w:tc>
        <w:tc>
          <w:tcPr>
            <w:tcW w:w="640" w:type="dxa"/>
            <w:vAlign w:val="bottom"/>
            <w:gridSpan w:val="3"/>
          </w:tcPr>
          <w:p>
            <w:pPr>
              <w:jc w:val="right"/>
              <w:ind w:right="100"/>
              <w:spacing w:after="0" w:line="136" w:lineRule="exact"/>
              <w:rPr>
                <w:sz w:val="20"/>
                <w:szCs w:val="20"/>
                <w:color w:val="auto"/>
              </w:rPr>
            </w:pPr>
            <w:r>
              <w:rPr>
                <w:rFonts w:ascii="Arial" w:cs="Arial" w:eastAsia="Arial" w:hAnsi="Arial"/>
                <w:sz w:val="13"/>
                <w:szCs w:val="13"/>
                <w:color w:val="auto"/>
              </w:rPr>
              <w:t>87%</w:t>
            </w:r>
          </w:p>
        </w:tc>
        <w:tc>
          <w:tcPr>
            <w:tcW w:w="76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87%</w:t>
            </w:r>
          </w:p>
        </w:tc>
        <w:tc>
          <w:tcPr>
            <w:tcW w:w="6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16.07</w:t>
            </w:r>
          </w:p>
        </w:tc>
        <w:tc>
          <w:tcPr>
            <w:tcW w:w="480" w:type="dxa"/>
            <w:vAlign w:val="bottom"/>
          </w:tcPr>
          <w:p>
            <w:pPr>
              <w:jc w:val="right"/>
              <w:spacing w:after="0" w:line="136" w:lineRule="exact"/>
              <w:rPr>
                <w:sz w:val="20"/>
                <w:szCs w:val="20"/>
                <w:color w:val="auto"/>
              </w:rPr>
            </w:pPr>
            <w:r>
              <w:rPr>
                <w:rFonts w:ascii="Arial" w:cs="Arial" w:eastAsia="Arial" w:hAnsi="Arial"/>
                <w:sz w:val="13"/>
                <w:szCs w:val="13"/>
                <w:color w:val="auto"/>
              </w:rPr>
              <w:t>60,000</w:t>
            </w:r>
          </w:p>
        </w:tc>
        <w:tc>
          <w:tcPr>
            <w:tcW w:w="60" w:type="dxa"/>
            <w:vAlign w:val="bottom"/>
          </w:tcPr>
          <w:p>
            <w:pPr>
              <w:spacing w:after="0"/>
              <w:rPr>
                <w:sz w:val="11"/>
                <w:szCs w:val="11"/>
                <w:color w:val="auto"/>
              </w:rPr>
            </w:pPr>
          </w:p>
        </w:tc>
        <w:tc>
          <w:tcPr>
            <w:tcW w:w="720" w:type="dxa"/>
            <w:vAlign w:val="bottom"/>
          </w:tcPr>
          <w:p>
            <w:pPr>
              <w:spacing w:after="0" w:line="136" w:lineRule="exact"/>
              <w:rPr>
                <w:sz w:val="20"/>
                <w:szCs w:val="20"/>
                <w:color w:val="auto"/>
              </w:rPr>
            </w:pPr>
            <w:r>
              <w:rPr>
                <w:rFonts w:ascii="Arial" w:cs="Arial" w:eastAsia="Arial" w:hAnsi="Arial"/>
                <w:sz w:val="13"/>
                <w:szCs w:val="13"/>
                <w:color w:val="auto"/>
              </w:rPr>
              <w:t>Kroger</w:t>
            </w:r>
          </w:p>
        </w:tc>
        <w:tc>
          <w:tcPr>
            <w:tcW w:w="80" w:type="dxa"/>
            <w:vAlign w:val="bottom"/>
          </w:tcPr>
          <w:p>
            <w:pPr>
              <w:spacing w:after="0"/>
              <w:rPr>
                <w:sz w:val="11"/>
                <w:szCs w:val="11"/>
                <w:color w:val="auto"/>
              </w:rPr>
            </w:pPr>
          </w:p>
        </w:tc>
        <w:tc>
          <w:tcPr>
            <w:tcW w:w="1360" w:type="dxa"/>
            <w:vAlign w:val="bottom"/>
          </w:tcPr>
          <w:p>
            <w:pPr>
              <w:spacing w:after="0" w:line="136" w:lineRule="exact"/>
              <w:rPr>
                <w:sz w:val="20"/>
                <w:szCs w:val="20"/>
                <w:color w:val="auto"/>
              </w:rPr>
            </w:pPr>
            <w:r>
              <w:rPr>
                <w:rFonts w:ascii="Arial" w:cs="Arial" w:eastAsia="Arial" w:hAnsi="Arial"/>
                <w:sz w:val="13"/>
                <w:szCs w:val="13"/>
                <w:color w:val="auto"/>
                <w:w w:val="90"/>
              </w:rPr>
              <w:t>Old Navy / Staples / Ross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gridSpan w:val="5"/>
          </w:tcPr>
          <w:p>
            <w:pPr>
              <w:ind w:left="200"/>
              <w:spacing w:after="0"/>
              <w:rPr>
                <w:sz w:val="20"/>
                <w:szCs w:val="20"/>
                <w:color w:val="auto"/>
              </w:rPr>
            </w:pPr>
            <w:r>
              <w:rPr>
                <w:rFonts w:ascii="Arial" w:cs="Arial" w:eastAsia="Arial" w:hAnsi="Arial"/>
                <w:sz w:val="13"/>
                <w:szCs w:val="13"/>
                <w:color w:val="auto"/>
              </w:rPr>
              <w:t>Lawn</w:t>
            </w:r>
          </w:p>
        </w:tc>
        <w:tc>
          <w:tcPr>
            <w:tcW w:w="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660" w:type="dxa"/>
            <w:vAlign w:val="bottom"/>
            <w:gridSpan w:val="2"/>
            <w:shd w:val="clear" w:color="auto" w:fill="CCEEFF"/>
          </w:tcPr>
          <w:p>
            <w:pPr>
              <w:ind w:left="300"/>
              <w:spacing w:after="0" w:line="145" w:lineRule="exact"/>
              <w:rPr>
                <w:sz w:val="20"/>
                <w:szCs w:val="20"/>
                <w:color w:val="auto"/>
              </w:rPr>
            </w:pPr>
            <w:r>
              <w:rPr>
                <w:rFonts w:ascii="Arial" w:cs="Arial" w:eastAsia="Arial" w:hAnsi="Arial"/>
                <w:sz w:val="13"/>
                <w:szCs w:val="13"/>
                <w:b w:val="1"/>
                <w:bCs w:val="1"/>
                <w:color w:val="auto"/>
              </w:rPr>
              <w:t>Total Other</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321,812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w w:val="96"/>
              </w:rPr>
              <w:t>2,113,000</w:t>
            </w:r>
          </w:p>
        </w:tc>
        <w:tc>
          <w:tcPr>
            <w:tcW w:w="640" w:type="dxa"/>
            <w:vAlign w:val="bottom"/>
            <w:gridSpan w:val="3"/>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92%</w:t>
            </w:r>
          </w:p>
        </w:tc>
        <w:tc>
          <w:tcPr>
            <w:tcW w:w="76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91%</w:t>
            </w:r>
          </w:p>
        </w:tc>
        <w:tc>
          <w:tcPr>
            <w:tcW w:w="6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17.19</w:t>
            </w: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Grand Total</w:t>
            </w:r>
          </w:p>
        </w:tc>
        <w:tc>
          <w:tcPr>
            <w:tcW w:w="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20" w:type="dxa"/>
            <w:vAlign w:val="bottom"/>
            <w:gridSpan w:val="6"/>
            <w:vMerge w:val="continue"/>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rPr>
              <w:t>$   3,759,234</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40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602,310 18,169,000</w:t>
            </w:r>
          </w:p>
        </w:tc>
        <w:tc>
          <w:tcPr>
            <w:tcW w:w="6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95%</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93%</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   22.14</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83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right="520" w:hanging="455"/>
        <w:spacing w:after="0" w:line="25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mortgage or capital lease obligations differ from the total reported on the consolidated balance sheet due to the unamortized discount or premium on certain mortgage payables.</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Excludes newly created redevelopment square footage not yet in service, as well as residential and hotel square footage.</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Grocery anchor is defined as a grocery tenant leasing 15,000 square feet or more.</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Portion of property subject to capital lease obligation.</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Trust has a 64.1% ownership interest in the property.</w:t>
      </w:r>
    </w:p>
    <w:p>
      <w:pPr>
        <w:spacing w:after="0" w:line="15" w:lineRule="exact"/>
        <w:rPr>
          <w:rFonts w:ascii="Arial" w:cs="Arial" w:eastAsia="Arial" w:hAnsi="Arial"/>
          <w:sz w:val="17"/>
          <w:szCs w:val="17"/>
          <w:color w:val="auto"/>
        </w:rPr>
      </w:pPr>
    </w:p>
    <w:p>
      <w:pPr>
        <w:ind w:left="460" w:right="480" w:hanging="455"/>
        <w:spacing w:after="0" w:line="25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Property owned in a “downreit” partnership, of which a wholly owned subsidiary of the Trust is the sole general partner, with third party partners holding operating partnership units.</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Trust has a 70% ownership interest in the property.</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Trust has a 90% ownership interest in the property.</w:t>
      </w:r>
    </w:p>
    <w:p>
      <w:pPr>
        <w:spacing w:after="0" w:line="15" w:lineRule="exact"/>
        <w:rPr>
          <w:rFonts w:ascii="Arial" w:cs="Arial" w:eastAsia="Arial" w:hAnsi="Arial"/>
          <w:sz w:val="17"/>
          <w:szCs w:val="17"/>
          <w:color w:val="auto"/>
        </w:rPr>
      </w:pPr>
    </w:p>
    <w:p>
      <w:pPr>
        <w:ind w:left="460" w:right="60" w:hanging="455"/>
        <w:spacing w:after="0" w:line="275"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ind w:left="460" w:right="360" w:hanging="455"/>
        <w:spacing w:after="0" w:line="25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50% of the ownership of this property is in a “downreit” partnership, of which a wholly owned subsidiary of the Trust is the sole general partner, with third party partners holding operating partnership units.</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Property subject to capital lease obligation.</w:t>
      </w:r>
    </w:p>
    <w:p>
      <w:pPr>
        <w:sectPr>
          <w:pgSz w:w="11900" w:h="16838" w:orient="portrait"/>
          <w:cols w:equalWidth="0" w:num="1">
            <w:col w:w="11460"/>
          </w:cols>
          <w:pgMar w:left="240" w:top="270" w:right="199" w:bottom="837" w:gutter="0" w:footer="0" w:header="0"/>
        </w:sectPr>
      </w:pP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60"/>
          </w:cols>
          <w:pgMar w:left="240" w:top="270" w:right="199" w:bottom="837"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Leasing Summary (1)</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Comparable (2)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Straight-</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2"/>
              </w:rPr>
              <w:t>lined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87"/>
              </w:rPr>
              <w:t>Cash</w:t>
            </w:r>
          </w:p>
        </w:tc>
        <w:tc>
          <w:tcPr>
            <w:tcW w:w="86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2"/>
              </w:rPr>
              <w:t>Basis %</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w w:val="97"/>
              </w:rPr>
              <w:t>Number</w:t>
            </w: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3"/>
                <w:szCs w:val="13"/>
                <w:b w:val="1"/>
                <w:bCs w:val="1"/>
                <w:color w:val="auto"/>
                <w:w w:val="94"/>
              </w:rPr>
              <w:t>% of</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140"/>
              <w:spacing w:after="0" w:line="145" w:lineRule="exact"/>
              <w:rPr>
                <w:sz w:val="20"/>
                <w:szCs w:val="20"/>
                <w:color w:val="auto"/>
              </w:rPr>
            </w:pPr>
            <w:r>
              <w:rPr>
                <w:rFonts w:ascii="Arial" w:cs="Arial" w:eastAsia="Arial" w:hAnsi="Arial"/>
                <w:sz w:val="13"/>
                <w:szCs w:val="13"/>
                <w:b w:val="1"/>
                <w:bCs w:val="1"/>
                <w:color w:val="auto"/>
                <w:w w:val="98"/>
              </w:rPr>
              <w:t>Prior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2"/>
              </w:rPr>
              <w:t>Basis %</w:t>
            </w:r>
          </w:p>
        </w:tc>
        <w:tc>
          <w:tcPr>
            <w:tcW w:w="86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0"/>
              </w:rPr>
              <w:t>Increase</w:t>
            </w:r>
          </w:p>
        </w:tc>
        <w:tc>
          <w:tcPr>
            <w:tcW w:w="540" w:type="dxa"/>
            <w:vAlign w:val="bottom"/>
          </w:tcPr>
          <w:p>
            <w:pPr>
              <w:jc w:val="right"/>
              <w:spacing w:after="0" w:line="145" w:lineRule="exact"/>
              <w:rPr>
                <w:sz w:val="20"/>
                <w:szCs w:val="20"/>
                <w:color w:val="auto"/>
              </w:rPr>
            </w:pPr>
            <w:r>
              <w:rPr>
                <w:rFonts w:ascii="Arial" w:cs="Arial" w:eastAsia="Arial" w:hAnsi="Arial"/>
                <w:sz w:val="13"/>
                <w:szCs w:val="13"/>
                <w:b w:val="1"/>
                <w:bCs w:val="1"/>
                <w:color w:val="auto"/>
                <w:w w:val="88"/>
              </w:rPr>
              <w:t>Weighted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w w:val="97"/>
              </w:rPr>
              <w:t>of</w:t>
            </w: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3"/>
                <w:szCs w:val="13"/>
                <w:b w:val="1"/>
                <w:bCs w:val="1"/>
                <w:color w:val="auto"/>
                <w:w w:val="93"/>
              </w:rPr>
              <w:t>Comparable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Contractual</w:t>
            </w:r>
          </w:p>
        </w:tc>
        <w:tc>
          <w:tcPr>
            <w:tcW w:w="64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w w:val="90"/>
              </w:rPr>
              <w:t>Rent (4)</w:t>
            </w: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5" w:lineRule="exact"/>
              <w:rPr>
                <w:sz w:val="20"/>
                <w:szCs w:val="20"/>
                <w:color w:val="auto"/>
              </w:rPr>
            </w:pPr>
            <w:r>
              <w:rPr>
                <w:rFonts w:ascii="Arial" w:cs="Arial" w:eastAsia="Arial" w:hAnsi="Arial"/>
                <w:sz w:val="13"/>
                <w:szCs w:val="13"/>
                <w:b w:val="1"/>
                <w:bCs w:val="1"/>
                <w:color w:val="auto"/>
                <w:w w:val="95"/>
              </w:rPr>
              <w:t>Annual</w:t>
            </w:r>
          </w:p>
        </w:tc>
        <w:tc>
          <w:tcPr>
            <w:tcW w:w="94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0"/>
              </w:rPr>
              <w:t>Increase</w:t>
            </w:r>
          </w:p>
        </w:tc>
        <w:tc>
          <w:tcPr>
            <w:tcW w:w="86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4"/>
              </w:rPr>
              <w:t>Over</w:t>
            </w:r>
          </w:p>
        </w:tc>
        <w:tc>
          <w:tcPr>
            <w:tcW w:w="540" w:type="dxa"/>
            <w:vAlign w:val="bottom"/>
          </w:tcPr>
          <w:p>
            <w:pPr>
              <w:ind w:left="40"/>
              <w:spacing w:after="0" w:line="145" w:lineRule="exact"/>
              <w:rPr>
                <w:sz w:val="20"/>
                <w:szCs w:val="20"/>
                <w:color w:val="auto"/>
              </w:rPr>
            </w:pPr>
            <w:r>
              <w:rPr>
                <w:rFonts w:ascii="Arial" w:cs="Arial" w:eastAsia="Arial" w:hAnsi="Arial"/>
                <w:sz w:val="13"/>
                <w:szCs w:val="13"/>
                <w:b w:val="1"/>
                <w:bCs w:val="1"/>
                <w:color w:val="auto"/>
                <w:w w:val="93"/>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5" w:lineRule="exact"/>
              <w:rPr>
                <w:sz w:val="20"/>
                <w:szCs w:val="20"/>
                <w:color w:val="auto"/>
              </w:rPr>
            </w:pPr>
            <w:r>
              <w:rPr>
                <w:rFonts w:ascii="Arial" w:cs="Arial" w:eastAsia="Arial" w:hAnsi="Arial"/>
                <w:sz w:val="13"/>
                <w:szCs w:val="13"/>
                <w:b w:val="1"/>
                <w:bCs w:val="1"/>
                <w:color w:val="auto"/>
                <w:w w:val="93"/>
              </w:rPr>
              <w:t>Tenant</w:t>
            </w:r>
          </w:p>
        </w:tc>
        <w:tc>
          <w:tcPr>
            <w:tcW w:w="84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w w:val="92"/>
              </w:rPr>
              <w:t>Improvements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4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w w:val="81"/>
              </w:rPr>
              <w:t>Leases</w:t>
            </w: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3"/>
                <w:szCs w:val="13"/>
                <w:b w:val="1"/>
                <w:bCs w:val="1"/>
                <w:color w:val="auto"/>
                <w:w w:val="86"/>
              </w:rPr>
              <w:t>Leases</w:t>
            </w: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rPr>
              <w:t>GLA</w:t>
            </w: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5" w:lineRule="exact"/>
              <w:rPr>
                <w:sz w:val="20"/>
                <w:szCs w:val="20"/>
                <w:color w:val="auto"/>
              </w:rPr>
            </w:pPr>
            <w:r>
              <w:rPr>
                <w:rFonts w:ascii="Arial" w:cs="Arial" w:eastAsia="Arial" w:hAnsi="Arial"/>
                <w:sz w:val="13"/>
                <w:szCs w:val="13"/>
                <w:b w:val="1"/>
                <w:bCs w:val="1"/>
                <w:color w:val="auto"/>
                <w:w w:val="94"/>
              </w:rPr>
              <w:t>Rent (3)</w:t>
            </w:r>
          </w:p>
        </w:tc>
        <w:tc>
          <w:tcPr>
            <w:tcW w:w="64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w w:val="89"/>
              </w:rPr>
              <w:t>Per Sq.</w:t>
            </w:r>
          </w:p>
        </w:tc>
        <w:tc>
          <w:tcPr>
            <w:tcW w:w="940" w:type="dxa"/>
            <w:vAlign w:val="bottom"/>
            <w:gridSpan w:val="3"/>
          </w:tcPr>
          <w:p>
            <w:pPr>
              <w:jc w:val="center"/>
              <w:ind w:right="160"/>
              <w:spacing w:after="0" w:line="145" w:lineRule="exact"/>
              <w:rPr>
                <w:sz w:val="20"/>
                <w:szCs w:val="20"/>
                <w:color w:val="auto"/>
              </w:rPr>
            </w:pPr>
            <w:r>
              <w:rPr>
                <w:rFonts w:ascii="Arial" w:cs="Arial" w:eastAsia="Arial" w:hAnsi="Arial"/>
                <w:sz w:val="13"/>
                <w:szCs w:val="13"/>
                <w:b w:val="1"/>
                <w:bCs w:val="1"/>
                <w:color w:val="auto"/>
                <w:w w:val="91"/>
              </w:rPr>
              <w:t>Increase in</w:t>
            </w:r>
          </w:p>
        </w:tc>
        <w:tc>
          <w:tcPr>
            <w:tcW w:w="94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4"/>
              </w:rPr>
              <w:t>Over</w:t>
            </w:r>
          </w:p>
        </w:tc>
        <w:tc>
          <w:tcPr>
            <w:tcW w:w="86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8"/>
              </w:rPr>
              <w:t>Prior</w:t>
            </w:r>
          </w:p>
        </w:tc>
        <w:tc>
          <w:tcPr>
            <w:tcW w:w="540" w:type="dxa"/>
            <w:vAlign w:val="bottom"/>
          </w:tcPr>
          <w:p>
            <w:pPr>
              <w:jc w:val="right"/>
              <w:ind w:right="23"/>
              <w:spacing w:after="0" w:line="145" w:lineRule="exact"/>
              <w:rPr>
                <w:sz w:val="20"/>
                <w:szCs w:val="20"/>
                <w:color w:val="auto"/>
              </w:rPr>
            </w:pPr>
            <w:r>
              <w:rPr>
                <w:rFonts w:ascii="Arial" w:cs="Arial" w:eastAsia="Arial" w:hAnsi="Arial"/>
                <w:sz w:val="13"/>
                <w:szCs w:val="13"/>
                <w:b w:val="1"/>
                <w:bCs w:val="1"/>
                <w:color w:val="auto"/>
              </w:rPr>
              <w:t>Lease</w:t>
            </w: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5" w:lineRule="exact"/>
              <w:rPr>
                <w:sz w:val="20"/>
                <w:szCs w:val="20"/>
                <w:color w:val="auto"/>
              </w:rPr>
            </w:pPr>
            <w:r>
              <w:rPr>
                <w:rFonts w:ascii="Arial" w:cs="Arial" w:eastAsia="Arial" w:hAnsi="Arial"/>
                <w:sz w:val="13"/>
                <w:szCs w:val="13"/>
                <w:b w:val="1"/>
                <w:bCs w:val="1"/>
                <w:color w:val="auto"/>
                <w:w w:val="89"/>
              </w:rPr>
              <w:t>Improvements</w:t>
            </w:r>
          </w:p>
        </w:tc>
        <w:tc>
          <w:tcPr>
            <w:tcW w:w="840" w:type="dxa"/>
            <w:vAlign w:val="bottom"/>
            <w:gridSpan w:val="3"/>
          </w:tcPr>
          <w:p>
            <w:pPr>
              <w:jc w:val="center"/>
              <w:ind w:right="20"/>
              <w:spacing w:after="0" w:line="145"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8"/>
        </w:trPr>
        <w:tc>
          <w:tcPr>
            <w:tcW w:w="2060" w:type="dxa"/>
            <w:vAlign w:val="bottom"/>
            <w:gridSpan w:val="3"/>
          </w:tcPr>
          <w:p>
            <w:pPr>
              <w:spacing w:after="0"/>
              <w:rPr>
                <w:sz w:val="20"/>
                <w:szCs w:val="20"/>
                <w:color w:val="auto"/>
              </w:rPr>
            </w:pPr>
            <w:r>
              <w:rPr>
                <w:rFonts w:ascii="Arial" w:cs="Arial" w:eastAsia="Arial" w:hAnsi="Arial"/>
                <w:sz w:val="13"/>
                <w:szCs w:val="13"/>
                <w:b w:val="1"/>
                <w:bCs w:val="1"/>
                <w:color w:val="auto"/>
              </w:rPr>
              <w:t>Quarter</w:t>
            </w:r>
          </w:p>
        </w:tc>
        <w:tc>
          <w:tcPr>
            <w:tcW w:w="6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Signed</w:t>
            </w: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Signed</w:t>
            </w:r>
          </w:p>
        </w:tc>
        <w:tc>
          <w:tcPr>
            <w:tcW w:w="10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Signed</w:t>
            </w:r>
          </w:p>
        </w:tc>
        <w:tc>
          <w:tcPr>
            <w:tcW w:w="8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3"/>
              </w:rPr>
              <w:t>Per Sq. Ft.</w:t>
            </w: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Ft.</w:t>
            </w:r>
          </w:p>
        </w:tc>
        <w:tc>
          <w:tcPr>
            <w:tcW w:w="10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Rent</w:t>
            </w:r>
          </w:p>
        </w:tc>
        <w:tc>
          <w:tcPr>
            <w:tcW w:w="9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Prior Rent</w:t>
            </w: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Rent</w:t>
            </w:r>
          </w:p>
        </w:tc>
        <w:tc>
          <w:tcPr>
            <w:tcW w:w="1780" w:type="dxa"/>
            <w:vAlign w:val="bottom"/>
            <w:gridSpan w:val="5"/>
          </w:tcPr>
          <w:p>
            <w:pPr>
              <w:ind w:left="40"/>
              <w:spacing w:after="0"/>
              <w:rPr>
                <w:sz w:val="20"/>
                <w:szCs w:val="20"/>
                <w:color w:val="auto"/>
              </w:rPr>
            </w:pPr>
            <w:r>
              <w:rPr>
                <w:rFonts w:ascii="Arial" w:cs="Arial" w:eastAsia="Arial" w:hAnsi="Arial"/>
                <w:sz w:val="13"/>
                <w:szCs w:val="13"/>
                <w:b w:val="1"/>
                <w:bCs w:val="1"/>
                <w:color w:val="auto"/>
              </w:rPr>
              <w:t>Term (5)   &amp; Incentives (6)</w:t>
            </w:r>
          </w:p>
        </w:tc>
        <w:tc>
          <w:tcPr>
            <w:tcW w:w="10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4th Quarter 2009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360,218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27.58</w:t>
            </w:r>
          </w:p>
        </w:tc>
        <w:tc>
          <w:tcPr>
            <w:tcW w:w="64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2"/>
              </w:rPr>
              <w:t>$26.64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337,501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4,550,199</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auto"/>
              </w:rPr>
              <w:t>3rd Quarter 2009</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90</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334,690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29.38</w:t>
            </w:r>
          </w:p>
        </w:tc>
        <w:tc>
          <w:tcPr>
            <w:tcW w:w="640" w:type="dxa"/>
            <w:vAlign w:val="bottom"/>
            <w:gridSpan w:val="2"/>
          </w:tcPr>
          <w:p>
            <w:pPr>
              <w:jc w:val="center"/>
              <w:ind w:right="160"/>
              <w:spacing w:after="0"/>
              <w:rPr>
                <w:sz w:val="20"/>
                <w:szCs w:val="20"/>
                <w:color w:val="auto"/>
              </w:rPr>
            </w:pPr>
            <w:r>
              <w:rPr>
                <w:rFonts w:ascii="Arial" w:cs="Arial" w:eastAsia="Arial" w:hAnsi="Arial"/>
                <w:sz w:val="17"/>
                <w:szCs w:val="17"/>
                <w:color w:val="auto"/>
                <w:w w:val="92"/>
              </w:rPr>
              <w:t>$27.00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794,017</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9%</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17%</w:t>
            </w:r>
          </w:p>
        </w:tc>
        <w:tc>
          <w:tcPr>
            <w:tcW w:w="540" w:type="dxa"/>
            <w:vAlign w:val="bottom"/>
          </w:tcPr>
          <w:p>
            <w:pPr>
              <w:jc w:val="right"/>
              <w:spacing w:after="0"/>
              <w:rPr>
                <w:sz w:val="20"/>
                <w:szCs w:val="20"/>
                <w:color w:val="auto"/>
              </w:rPr>
            </w:pPr>
            <w:r>
              <w:rPr>
                <w:rFonts w:ascii="Arial" w:cs="Arial" w:eastAsia="Arial" w:hAnsi="Arial"/>
                <w:sz w:val="17"/>
                <w:szCs w:val="17"/>
                <w:color w:val="auto"/>
              </w:rPr>
              <w:t>7.5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3,684,641</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2nd Quarter 2009</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315,214</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26.87</w:t>
            </w:r>
          </w:p>
        </w:tc>
        <w:tc>
          <w:tcPr>
            <w:tcW w:w="64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2"/>
              </w:rPr>
              <w:t>$23.25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7"/>
              </w:rPr>
              <w:t>1,141,114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1,194,192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auto"/>
              </w:rPr>
              <w:t>1st Quarter 2009</w:t>
            </w:r>
          </w:p>
        </w:tc>
        <w:tc>
          <w:tcPr>
            <w:tcW w:w="480" w:type="dxa"/>
            <w:vAlign w:val="bottom"/>
          </w:tcPr>
          <w:p>
            <w:pPr>
              <w:jc w:val="right"/>
              <w:spacing w:after="0"/>
              <w:rPr>
                <w:sz w:val="20"/>
                <w:szCs w:val="20"/>
                <w:color w:val="auto"/>
              </w:rPr>
            </w:pPr>
            <w:r>
              <w:rPr>
                <w:rFonts w:ascii="Arial" w:cs="Arial" w:eastAsia="Arial" w:hAnsi="Arial"/>
                <w:sz w:val="17"/>
                <w:szCs w:val="17"/>
                <w:color w:val="auto"/>
              </w:rPr>
              <w:t>68</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232,105</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31.42</w:t>
            </w:r>
          </w:p>
        </w:tc>
        <w:tc>
          <w:tcPr>
            <w:tcW w:w="640" w:type="dxa"/>
            <w:vAlign w:val="bottom"/>
            <w:gridSpan w:val="2"/>
          </w:tcPr>
          <w:p>
            <w:pPr>
              <w:jc w:val="center"/>
              <w:ind w:right="16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26.99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w w:val="87"/>
              </w:rPr>
              <w:t>1,029,234</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16%</w:t>
            </w: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26%</w:t>
            </w:r>
          </w:p>
        </w:tc>
        <w:tc>
          <w:tcPr>
            <w:tcW w:w="540" w:type="dxa"/>
            <w:vAlign w:val="bottom"/>
          </w:tcPr>
          <w:p>
            <w:pPr>
              <w:jc w:val="right"/>
              <w:spacing w:after="0"/>
              <w:rPr>
                <w:sz w:val="20"/>
                <w:szCs w:val="20"/>
                <w:color w:val="auto"/>
              </w:rPr>
            </w:pPr>
            <w:r>
              <w:rPr>
                <w:rFonts w:ascii="Arial" w:cs="Arial" w:eastAsia="Arial" w:hAnsi="Arial"/>
                <w:sz w:val="17"/>
                <w:szCs w:val="17"/>
                <w:color w:val="auto"/>
              </w:rPr>
              <w:t>6.1</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2,413,756</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1,242,227</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w:t>
            </w:r>
            <w:r>
              <w:rPr>
                <w:rFonts w:ascii="Arial" w:cs="Arial" w:eastAsia="Arial" w:hAnsi="Arial"/>
                <w:sz w:val="17"/>
                <w:szCs w:val="17"/>
                <w:u w:val="single" w:color="auto"/>
                <w:color w:val="auto"/>
              </w:rPr>
              <w:t>60</w:t>
            </w:r>
          </w:p>
        </w:tc>
        <w:tc>
          <w:tcPr>
            <w:tcW w:w="64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25.94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7"/>
              </w:rPr>
              <w:t>3,301,866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11,842,788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Lease Summary - Comparable (2)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5"/>
              </w:rPr>
              <w:t>Straight-</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ind w:right="500"/>
              <w:spacing w:after="0" w:line="145" w:lineRule="exact"/>
              <w:rPr>
                <w:sz w:val="20"/>
                <w:szCs w:val="20"/>
                <w:color w:val="auto"/>
              </w:rPr>
            </w:pPr>
            <w:r>
              <w:rPr>
                <w:rFonts w:ascii="Arial" w:cs="Arial" w:eastAsia="Arial" w:hAnsi="Arial"/>
                <w:sz w:val="13"/>
                <w:szCs w:val="13"/>
                <w:b w:val="1"/>
                <w:bCs w:val="1"/>
                <w:color w:val="auto"/>
                <w:w w:val="92"/>
              </w:rPr>
              <w:t>lined</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540"/>
              <w:spacing w:after="0" w:line="145" w:lineRule="exact"/>
              <w:rPr>
                <w:sz w:val="20"/>
                <w:szCs w:val="20"/>
                <w:color w:val="auto"/>
              </w:rPr>
            </w:pPr>
            <w:r>
              <w:rPr>
                <w:rFonts w:ascii="Arial" w:cs="Arial" w:eastAsia="Arial" w:hAnsi="Arial"/>
                <w:sz w:val="13"/>
                <w:szCs w:val="13"/>
                <w:b w:val="1"/>
                <w:bCs w:val="1"/>
                <w:color w:val="auto"/>
                <w:w w:val="87"/>
              </w:rPr>
              <w:t>Cash</w:t>
            </w:r>
          </w:p>
        </w:tc>
        <w:tc>
          <w:tcPr>
            <w:tcW w:w="900" w:type="dxa"/>
            <w:vAlign w:val="bottom"/>
            <w:gridSpan w:val="2"/>
          </w:tcPr>
          <w:p>
            <w:pPr>
              <w:jc w:val="center"/>
              <w:ind w:right="460"/>
              <w:spacing w:after="0" w:line="145" w:lineRule="exact"/>
              <w:rPr>
                <w:sz w:val="20"/>
                <w:szCs w:val="20"/>
                <w:color w:val="auto"/>
              </w:rPr>
            </w:pPr>
            <w:r>
              <w:rPr>
                <w:rFonts w:ascii="Arial" w:cs="Arial" w:eastAsia="Arial" w:hAnsi="Arial"/>
                <w:sz w:val="13"/>
                <w:szCs w:val="13"/>
                <w:b w:val="1"/>
                <w:bCs w:val="1"/>
                <w:color w:val="auto"/>
                <w:w w:val="88"/>
              </w:rPr>
              <w:t>Basis %</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gridSpan w:val="4"/>
          </w:tcPr>
          <w:p>
            <w:pPr>
              <w:jc w:val="center"/>
              <w:ind w:right="200"/>
              <w:spacing w:after="0" w:line="145" w:lineRule="exact"/>
              <w:rPr>
                <w:sz w:val="20"/>
                <w:szCs w:val="20"/>
                <w:color w:val="auto"/>
              </w:rPr>
            </w:pPr>
            <w:r>
              <w:rPr>
                <w:rFonts w:ascii="Arial" w:cs="Arial" w:eastAsia="Arial" w:hAnsi="Arial"/>
                <w:sz w:val="13"/>
                <w:szCs w:val="13"/>
                <w:b w:val="1"/>
                <w:bCs w:val="1"/>
                <w:color w:val="auto"/>
                <w:w w:val="97"/>
              </w:rPr>
              <w:t>Number</w:t>
            </w:r>
          </w:p>
        </w:tc>
        <w:tc>
          <w:tcPr>
            <w:tcW w:w="80" w:type="dxa"/>
            <w:vAlign w:val="bottom"/>
          </w:tcPr>
          <w:p>
            <w:pPr>
              <w:spacing w:after="0"/>
              <w:rPr>
                <w:sz w:val="12"/>
                <w:szCs w:val="12"/>
                <w:color w:val="auto"/>
              </w:rPr>
            </w:pPr>
          </w:p>
        </w:tc>
        <w:tc>
          <w:tcPr>
            <w:tcW w:w="1100" w:type="dxa"/>
            <w:vAlign w:val="bottom"/>
            <w:gridSpan w:val="3"/>
          </w:tcPr>
          <w:p>
            <w:pPr>
              <w:jc w:val="center"/>
              <w:ind w:right="540"/>
              <w:spacing w:after="0" w:line="145"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center"/>
              <w:ind w:right="280"/>
              <w:spacing w:after="0" w:line="145" w:lineRule="exact"/>
              <w:rPr>
                <w:sz w:val="20"/>
                <w:szCs w:val="20"/>
                <w:color w:val="auto"/>
              </w:rPr>
            </w:pPr>
            <w:r>
              <w:rPr>
                <w:rFonts w:ascii="Arial" w:cs="Arial" w:eastAsia="Arial" w:hAnsi="Arial"/>
                <w:sz w:val="13"/>
                <w:szCs w:val="13"/>
                <w:b w:val="1"/>
                <w:bCs w:val="1"/>
                <w:color w:val="auto"/>
                <w:w w:val="98"/>
              </w:rPr>
              <w:t>Prior</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jc w:val="center"/>
              <w:ind w:right="440"/>
              <w:spacing w:after="0" w:line="145" w:lineRule="exact"/>
              <w:rPr>
                <w:sz w:val="20"/>
                <w:szCs w:val="20"/>
                <w:color w:val="auto"/>
              </w:rPr>
            </w:pPr>
            <w:r>
              <w:rPr>
                <w:rFonts w:ascii="Arial" w:cs="Arial" w:eastAsia="Arial" w:hAnsi="Arial"/>
                <w:sz w:val="13"/>
                <w:szCs w:val="13"/>
                <w:b w:val="1"/>
                <w:bCs w:val="1"/>
                <w:color w:val="auto"/>
                <w:w w:val="92"/>
              </w:rPr>
              <w:t>Basis %</w:t>
            </w:r>
          </w:p>
        </w:tc>
        <w:tc>
          <w:tcPr>
            <w:tcW w:w="900" w:type="dxa"/>
            <w:vAlign w:val="bottom"/>
            <w:gridSpan w:val="2"/>
          </w:tcPr>
          <w:p>
            <w:pPr>
              <w:jc w:val="center"/>
              <w:ind w:right="460"/>
              <w:spacing w:after="0" w:line="145" w:lineRule="exact"/>
              <w:rPr>
                <w:sz w:val="20"/>
                <w:szCs w:val="20"/>
                <w:color w:val="auto"/>
              </w:rPr>
            </w:pPr>
            <w:r>
              <w:rPr>
                <w:rFonts w:ascii="Arial" w:cs="Arial" w:eastAsia="Arial" w:hAnsi="Arial"/>
                <w:sz w:val="13"/>
                <w:szCs w:val="13"/>
                <w:b w:val="1"/>
                <w:bCs w:val="1"/>
                <w:color w:val="auto"/>
                <w:w w:val="83"/>
              </w:rPr>
              <w:t>Increase</w:t>
            </w:r>
          </w:p>
        </w:tc>
        <w:tc>
          <w:tcPr>
            <w:tcW w:w="740" w:type="dxa"/>
            <w:vAlign w:val="bottom"/>
            <w:gridSpan w:val="2"/>
          </w:tcPr>
          <w:p>
            <w:pPr>
              <w:jc w:val="center"/>
              <w:ind w:right="240"/>
              <w:spacing w:after="0" w:line="145" w:lineRule="exact"/>
              <w:rPr>
                <w:sz w:val="20"/>
                <w:szCs w:val="20"/>
                <w:color w:val="auto"/>
              </w:rPr>
            </w:pPr>
            <w:r>
              <w:rPr>
                <w:rFonts w:ascii="Arial" w:cs="Arial" w:eastAsia="Arial" w:hAnsi="Arial"/>
                <w:sz w:val="13"/>
                <w:szCs w:val="13"/>
                <w:b w:val="1"/>
                <w:bCs w:val="1"/>
                <w:color w:val="auto"/>
                <w:w w:val="85"/>
              </w:rPr>
              <w:t>Weighted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center"/>
              <w:ind w:right="300"/>
              <w:spacing w:after="0" w:line="145" w:lineRule="exact"/>
              <w:rPr>
                <w:sz w:val="20"/>
                <w:szCs w:val="20"/>
                <w:color w:val="auto"/>
              </w:rPr>
            </w:pPr>
            <w:r>
              <w:rPr>
                <w:rFonts w:ascii="Arial" w:cs="Arial" w:eastAsia="Arial" w:hAnsi="Arial"/>
                <w:sz w:val="13"/>
                <w:szCs w:val="13"/>
                <w:b w:val="1"/>
                <w:bCs w:val="1"/>
                <w:color w:val="auto"/>
                <w:w w:val="97"/>
              </w:rPr>
              <w:t>of</w:t>
            </w:r>
          </w:p>
        </w:tc>
        <w:tc>
          <w:tcPr>
            <w:tcW w:w="1180" w:type="dxa"/>
            <w:vAlign w:val="bottom"/>
            <w:gridSpan w:val="4"/>
          </w:tcPr>
          <w:p>
            <w:pPr>
              <w:jc w:val="center"/>
              <w:ind w:right="440"/>
              <w:spacing w:after="0" w:line="145" w:lineRule="exact"/>
              <w:rPr>
                <w:sz w:val="20"/>
                <w:szCs w:val="20"/>
                <w:color w:val="auto"/>
              </w:rPr>
            </w:pPr>
            <w:r>
              <w:rPr>
                <w:rFonts w:ascii="Arial" w:cs="Arial" w:eastAsia="Arial" w:hAnsi="Arial"/>
                <w:sz w:val="13"/>
                <w:szCs w:val="13"/>
                <w:b w:val="1"/>
                <w:bCs w:val="1"/>
                <w:color w:val="auto"/>
                <w:w w:val="93"/>
              </w:rPr>
              <w:t>Comparable</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4"/>
          </w:tcPr>
          <w:p>
            <w:pPr>
              <w:spacing w:after="0" w:line="145" w:lineRule="exact"/>
              <w:rPr>
                <w:sz w:val="20"/>
                <w:szCs w:val="20"/>
                <w:color w:val="auto"/>
              </w:rPr>
            </w:pPr>
            <w:r>
              <w:rPr>
                <w:rFonts w:ascii="Arial" w:cs="Arial" w:eastAsia="Arial" w:hAnsi="Arial"/>
                <w:sz w:val="13"/>
                <w:szCs w:val="13"/>
                <w:b w:val="1"/>
                <w:bCs w:val="1"/>
                <w:color w:val="auto"/>
              </w:rPr>
              <w:t>Contractual</w:t>
            </w:r>
          </w:p>
        </w:tc>
        <w:tc>
          <w:tcPr>
            <w:tcW w:w="700" w:type="dxa"/>
            <w:vAlign w:val="bottom"/>
            <w:gridSpan w:val="2"/>
          </w:tcPr>
          <w:p>
            <w:pPr>
              <w:jc w:val="center"/>
              <w:ind w:right="260"/>
              <w:spacing w:after="0" w:line="145" w:lineRule="exact"/>
              <w:rPr>
                <w:sz w:val="20"/>
                <w:szCs w:val="20"/>
                <w:color w:val="auto"/>
              </w:rPr>
            </w:pPr>
            <w:r>
              <w:rPr>
                <w:rFonts w:ascii="Arial" w:cs="Arial" w:eastAsia="Arial" w:hAnsi="Arial"/>
                <w:sz w:val="13"/>
                <w:szCs w:val="13"/>
                <w:b w:val="1"/>
                <w:bCs w:val="1"/>
                <w:color w:val="auto"/>
                <w:w w:val="90"/>
              </w:rPr>
              <w:t>Rent (4)</w:t>
            </w:r>
          </w:p>
        </w:tc>
        <w:tc>
          <w:tcPr>
            <w:tcW w:w="80" w:type="dxa"/>
            <w:vAlign w:val="bottom"/>
          </w:tcPr>
          <w:p>
            <w:pPr>
              <w:spacing w:after="0"/>
              <w:rPr>
                <w:sz w:val="12"/>
                <w:szCs w:val="12"/>
                <w:color w:val="auto"/>
              </w:rPr>
            </w:pPr>
          </w:p>
        </w:tc>
        <w:tc>
          <w:tcPr>
            <w:tcW w:w="900" w:type="dxa"/>
            <w:vAlign w:val="bottom"/>
            <w:gridSpan w:val="3"/>
          </w:tcPr>
          <w:p>
            <w:pPr>
              <w:jc w:val="right"/>
              <w:ind w:right="440"/>
              <w:spacing w:after="0" w:line="145" w:lineRule="exact"/>
              <w:rPr>
                <w:sz w:val="20"/>
                <w:szCs w:val="20"/>
                <w:color w:val="auto"/>
              </w:rPr>
            </w:pPr>
            <w:r>
              <w:rPr>
                <w:rFonts w:ascii="Arial" w:cs="Arial" w:eastAsia="Arial" w:hAnsi="Arial"/>
                <w:sz w:val="13"/>
                <w:szCs w:val="13"/>
                <w:b w:val="1"/>
                <w:bCs w:val="1"/>
                <w:color w:val="auto"/>
                <w:w w:val="99"/>
              </w:rPr>
              <w:t>Annual</w:t>
            </w:r>
          </w:p>
        </w:tc>
        <w:tc>
          <w:tcPr>
            <w:tcW w:w="1060" w:type="dxa"/>
            <w:vAlign w:val="bottom"/>
            <w:gridSpan w:val="4"/>
          </w:tcPr>
          <w:p>
            <w:pPr>
              <w:jc w:val="center"/>
              <w:ind w:right="460"/>
              <w:spacing w:after="0" w:line="145" w:lineRule="exact"/>
              <w:rPr>
                <w:sz w:val="20"/>
                <w:szCs w:val="20"/>
                <w:color w:val="auto"/>
              </w:rPr>
            </w:pPr>
            <w:r>
              <w:rPr>
                <w:rFonts w:ascii="Arial" w:cs="Arial" w:eastAsia="Arial" w:hAnsi="Arial"/>
                <w:sz w:val="13"/>
                <w:szCs w:val="13"/>
                <w:b w:val="1"/>
                <w:bCs w:val="1"/>
                <w:color w:val="auto"/>
                <w:w w:val="90"/>
              </w:rPr>
              <w:t>Increase</w:t>
            </w:r>
          </w:p>
        </w:tc>
        <w:tc>
          <w:tcPr>
            <w:tcW w:w="900" w:type="dxa"/>
            <w:vAlign w:val="bottom"/>
            <w:gridSpan w:val="2"/>
          </w:tcPr>
          <w:p>
            <w:pPr>
              <w:jc w:val="center"/>
              <w:ind w:right="500"/>
              <w:spacing w:after="0" w:line="145" w:lineRule="exact"/>
              <w:rPr>
                <w:sz w:val="20"/>
                <w:szCs w:val="20"/>
                <w:color w:val="auto"/>
              </w:rPr>
            </w:pPr>
            <w:r>
              <w:rPr>
                <w:rFonts w:ascii="Arial" w:cs="Arial" w:eastAsia="Arial" w:hAnsi="Arial"/>
                <w:sz w:val="13"/>
                <w:szCs w:val="13"/>
                <w:b w:val="1"/>
                <w:bCs w:val="1"/>
                <w:color w:val="auto"/>
                <w:w w:val="94"/>
              </w:rPr>
              <w:t>Over</w:t>
            </w:r>
          </w:p>
        </w:tc>
        <w:tc>
          <w:tcPr>
            <w:tcW w:w="740" w:type="dxa"/>
            <w:vAlign w:val="bottom"/>
            <w:gridSpan w:val="2"/>
          </w:tcPr>
          <w:p>
            <w:pPr>
              <w:jc w:val="center"/>
              <w:ind w:right="280"/>
              <w:spacing w:after="0" w:line="145" w:lineRule="exact"/>
              <w:rPr>
                <w:sz w:val="20"/>
                <w:szCs w:val="20"/>
                <w:color w:val="auto"/>
              </w:rPr>
            </w:pPr>
            <w:r>
              <w:rPr>
                <w:rFonts w:ascii="Arial" w:cs="Arial" w:eastAsia="Arial" w:hAnsi="Arial"/>
                <w:sz w:val="13"/>
                <w:szCs w:val="13"/>
                <w:b w:val="1"/>
                <w:bCs w:val="1"/>
                <w:color w:val="auto"/>
                <w:w w:val="89"/>
              </w:rPr>
              <w:t>Average</w:t>
            </w:r>
          </w:p>
        </w:tc>
        <w:tc>
          <w:tcPr>
            <w:tcW w:w="140" w:type="dxa"/>
            <w:vAlign w:val="bottom"/>
          </w:tcPr>
          <w:p>
            <w:pPr>
              <w:spacing w:after="0"/>
              <w:rPr>
                <w:sz w:val="12"/>
                <w:szCs w:val="12"/>
                <w:color w:val="auto"/>
              </w:rPr>
            </w:pPr>
          </w:p>
        </w:tc>
        <w:tc>
          <w:tcPr>
            <w:tcW w:w="980" w:type="dxa"/>
            <w:vAlign w:val="bottom"/>
            <w:gridSpan w:val="2"/>
          </w:tcPr>
          <w:p>
            <w:pPr>
              <w:ind w:left="100"/>
              <w:spacing w:after="0" w:line="145" w:lineRule="exact"/>
              <w:rPr>
                <w:sz w:val="20"/>
                <w:szCs w:val="20"/>
                <w:color w:val="auto"/>
              </w:rPr>
            </w:pPr>
            <w:r>
              <w:rPr>
                <w:rFonts w:ascii="Arial" w:cs="Arial" w:eastAsia="Arial" w:hAnsi="Arial"/>
                <w:sz w:val="13"/>
                <w:szCs w:val="13"/>
                <w:b w:val="1"/>
                <w:bCs w:val="1"/>
                <w:color w:val="auto"/>
              </w:rPr>
              <w:t>Tenant</w:t>
            </w:r>
          </w:p>
        </w:tc>
        <w:tc>
          <w:tcPr>
            <w:tcW w:w="84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w w:val="92"/>
              </w:rPr>
              <w:t>Improvements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gridSpan w:val="4"/>
          </w:tcPr>
          <w:p>
            <w:pPr>
              <w:jc w:val="center"/>
              <w:ind w:right="200"/>
              <w:spacing w:after="0" w:line="145" w:lineRule="exact"/>
              <w:rPr>
                <w:sz w:val="20"/>
                <w:szCs w:val="20"/>
                <w:color w:val="auto"/>
              </w:rPr>
            </w:pPr>
            <w:r>
              <w:rPr>
                <w:rFonts w:ascii="Arial" w:cs="Arial" w:eastAsia="Arial" w:hAnsi="Arial"/>
                <w:sz w:val="13"/>
                <w:szCs w:val="13"/>
                <w:b w:val="1"/>
                <w:bCs w:val="1"/>
                <w:color w:val="auto"/>
                <w:w w:val="81"/>
              </w:rPr>
              <w:t>Leases</w:t>
            </w:r>
          </w:p>
        </w:tc>
        <w:tc>
          <w:tcPr>
            <w:tcW w:w="80" w:type="dxa"/>
            <w:vAlign w:val="bottom"/>
          </w:tcPr>
          <w:p>
            <w:pPr>
              <w:spacing w:after="0"/>
              <w:rPr>
                <w:sz w:val="12"/>
                <w:szCs w:val="12"/>
                <w:color w:val="auto"/>
              </w:rPr>
            </w:pPr>
          </w:p>
        </w:tc>
        <w:tc>
          <w:tcPr>
            <w:tcW w:w="1100" w:type="dxa"/>
            <w:vAlign w:val="bottom"/>
            <w:gridSpan w:val="3"/>
          </w:tcPr>
          <w:p>
            <w:pPr>
              <w:jc w:val="center"/>
              <w:ind w:right="540"/>
              <w:spacing w:after="0" w:line="145" w:lineRule="exact"/>
              <w:rPr>
                <w:sz w:val="20"/>
                <w:szCs w:val="20"/>
                <w:color w:val="auto"/>
              </w:rPr>
            </w:pPr>
            <w:r>
              <w:rPr>
                <w:rFonts w:ascii="Arial" w:cs="Arial" w:eastAsia="Arial" w:hAnsi="Arial"/>
                <w:sz w:val="13"/>
                <w:szCs w:val="13"/>
                <w:b w:val="1"/>
                <w:bCs w:val="1"/>
                <w:color w:val="auto"/>
                <w:w w:val="81"/>
              </w:rPr>
              <w:t>Leases</w:t>
            </w:r>
          </w:p>
        </w:tc>
        <w:tc>
          <w:tcPr>
            <w:tcW w:w="720" w:type="dxa"/>
            <w:vAlign w:val="bottom"/>
            <w:gridSpan w:val="2"/>
          </w:tcPr>
          <w:p>
            <w:pPr>
              <w:jc w:val="center"/>
              <w:ind w:right="280"/>
              <w:spacing w:after="0" w:line="145" w:lineRule="exact"/>
              <w:rPr>
                <w:sz w:val="20"/>
                <w:szCs w:val="20"/>
                <w:color w:val="auto"/>
              </w:rPr>
            </w:pPr>
            <w:r>
              <w:rPr>
                <w:rFonts w:ascii="Arial" w:cs="Arial" w:eastAsia="Arial" w:hAnsi="Arial"/>
                <w:sz w:val="13"/>
                <w:szCs w:val="13"/>
                <w:b w:val="1"/>
                <w:bCs w:val="1"/>
                <w:color w:val="auto"/>
              </w:rPr>
              <w:t>GLA</w:t>
            </w:r>
          </w:p>
        </w:tc>
        <w:tc>
          <w:tcPr>
            <w:tcW w:w="40" w:type="dxa"/>
            <w:vAlign w:val="bottom"/>
          </w:tcPr>
          <w:p>
            <w:pPr>
              <w:spacing w:after="0"/>
              <w:rPr>
                <w:sz w:val="12"/>
                <w:szCs w:val="12"/>
                <w:color w:val="auto"/>
              </w:rPr>
            </w:pPr>
          </w:p>
        </w:tc>
        <w:tc>
          <w:tcPr>
            <w:tcW w:w="880" w:type="dxa"/>
            <w:vAlign w:val="bottom"/>
            <w:gridSpan w:val="3"/>
          </w:tcPr>
          <w:p>
            <w:pPr>
              <w:jc w:val="right"/>
              <w:ind w:right="360"/>
              <w:spacing w:after="0" w:line="145" w:lineRule="exact"/>
              <w:rPr>
                <w:sz w:val="20"/>
                <w:szCs w:val="20"/>
                <w:color w:val="auto"/>
              </w:rPr>
            </w:pPr>
            <w:r>
              <w:rPr>
                <w:rFonts w:ascii="Arial" w:cs="Arial" w:eastAsia="Arial" w:hAnsi="Arial"/>
                <w:sz w:val="13"/>
                <w:szCs w:val="13"/>
                <w:b w:val="1"/>
                <w:bCs w:val="1"/>
                <w:color w:val="auto"/>
              </w:rPr>
              <w:t>Rent (3)</w:t>
            </w:r>
          </w:p>
        </w:tc>
        <w:tc>
          <w:tcPr>
            <w:tcW w:w="700" w:type="dxa"/>
            <w:vAlign w:val="bottom"/>
            <w:gridSpan w:val="2"/>
          </w:tcPr>
          <w:p>
            <w:pPr>
              <w:jc w:val="center"/>
              <w:ind w:right="280"/>
              <w:spacing w:after="0" w:line="145" w:lineRule="exact"/>
              <w:rPr>
                <w:sz w:val="20"/>
                <w:szCs w:val="20"/>
                <w:color w:val="auto"/>
              </w:rPr>
            </w:pPr>
            <w:r>
              <w:rPr>
                <w:rFonts w:ascii="Arial" w:cs="Arial" w:eastAsia="Arial" w:hAnsi="Arial"/>
                <w:sz w:val="13"/>
                <w:szCs w:val="13"/>
                <w:b w:val="1"/>
                <w:bCs w:val="1"/>
                <w:color w:val="auto"/>
                <w:w w:val="93"/>
              </w:rPr>
              <w:t>Per Sq.</w:t>
            </w:r>
          </w:p>
        </w:tc>
        <w:tc>
          <w:tcPr>
            <w:tcW w:w="980" w:type="dxa"/>
            <w:vAlign w:val="bottom"/>
            <w:gridSpan w:val="4"/>
          </w:tcPr>
          <w:p>
            <w:pPr>
              <w:ind w:left="20"/>
              <w:spacing w:after="0" w:line="145" w:lineRule="exact"/>
              <w:rPr>
                <w:sz w:val="20"/>
                <w:szCs w:val="20"/>
                <w:color w:val="auto"/>
              </w:rPr>
            </w:pPr>
            <w:r>
              <w:rPr>
                <w:rFonts w:ascii="Arial" w:cs="Arial" w:eastAsia="Arial" w:hAnsi="Arial"/>
                <w:sz w:val="13"/>
                <w:szCs w:val="13"/>
                <w:b w:val="1"/>
                <w:bCs w:val="1"/>
                <w:color w:val="auto"/>
              </w:rPr>
              <w:t>Increase in</w:t>
            </w:r>
          </w:p>
        </w:tc>
        <w:tc>
          <w:tcPr>
            <w:tcW w:w="80" w:type="dxa"/>
            <w:vAlign w:val="bottom"/>
          </w:tcPr>
          <w:p>
            <w:pPr>
              <w:spacing w:after="0"/>
              <w:rPr>
                <w:sz w:val="12"/>
                <w:szCs w:val="12"/>
                <w:color w:val="auto"/>
              </w:rPr>
            </w:pPr>
          </w:p>
        </w:tc>
        <w:tc>
          <w:tcPr>
            <w:tcW w:w="980" w:type="dxa"/>
            <w:vAlign w:val="bottom"/>
            <w:gridSpan w:val="3"/>
          </w:tcPr>
          <w:p>
            <w:pPr>
              <w:jc w:val="center"/>
              <w:ind w:right="540"/>
              <w:spacing w:after="0" w:line="145" w:lineRule="exact"/>
              <w:rPr>
                <w:sz w:val="20"/>
                <w:szCs w:val="20"/>
                <w:color w:val="auto"/>
              </w:rPr>
            </w:pPr>
            <w:r>
              <w:rPr>
                <w:rFonts w:ascii="Arial" w:cs="Arial" w:eastAsia="Arial" w:hAnsi="Arial"/>
                <w:sz w:val="13"/>
                <w:szCs w:val="13"/>
                <w:b w:val="1"/>
                <w:bCs w:val="1"/>
                <w:color w:val="auto"/>
                <w:w w:val="94"/>
              </w:rPr>
              <w:t>Over</w:t>
            </w:r>
          </w:p>
        </w:tc>
        <w:tc>
          <w:tcPr>
            <w:tcW w:w="900" w:type="dxa"/>
            <w:vAlign w:val="bottom"/>
            <w:gridSpan w:val="2"/>
          </w:tcPr>
          <w:p>
            <w:pPr>
              <w:jc w:val="center"/>
              <w:ind w:right="480"/>
              <w:spacing w:after="0" w:line="145" w:lineRule="exact"/>
              <w:rPr>
                <w:sz w:val="20"/>
                <w:szCs w:val="20"/>
                <w:color w:val="auto"/>
              </w:rPr>
            </w:pPr>
            <w:r>
              <w:rPr>
                <w:rFonts w:ascii="Arial" w:cs="Arial" w:eastAsia="Arial" w:hAnsi="Arial"/>
                <w:sz w:val="13"/>
                <w:szCs w:val="13"/>
                <w:b w:val="1"/>
                <w:bCs w:val="1"/>
                <w:color w:val="auto"/>
                <w:w w:val="98"/>
              </w:rPr>
              <w:t>Prior</w:t>
            </w:r>
          </w:p>
        </w:tc>
        <w:tc>
          <w:tcPr>
            <w:tcW w:w="740" w:type="dxa"/>
            <w:vAlign w:val="bottom"/>
            <w:gridSpan w:val="2"/>
          </w:tcPr>
          <w:p>
            <w:pPr>
              <w:jc w:val="center"/>
              <w:ind w:right="260"/>
              <w:spacing w:after="0" w:line="145" w:lineRule="exact"/>
              <w:rPr>
                <w:sz w:val="20"/>
                <w:szCs w:val="20"/>
                <w:color w:val="auto"/>
              </w:rPr>
            </w:pPr>
            <w:r>
              <w:rPr>
                <w:rFonts w:ascii="Arial" w:cs="Arial" w:eastAsia="Arial" w:hAnsi="Arial"/>
                <w:sz w:val="13"/>
                <w:szCs w:val="13"/>
                <w:b w:val="1"/>
                <w:bCs w:val="1"/>
                <w:color w:val="auto"/>
                <w:w w:val="86"/>
              </w:rPr>
              <w:t>Lease</w:t>
            </w:r>
          </w:p>
        </w:tc>
        <w:tc>
          <w:tcPr>
            <w:tcW w:w="1120" w:type="dxa"/>
            <w:vAlign w:val="bottom"/>
            <w:gridSpan w:val="3"/>
          </w:tcPr>
          <w:p>
            <w:pPr>
              <w:ind w:left="20"/>
              <w:spacing w:after="0" w:line="145" w:lineRule="exact"/>
              <w:rPr>
                <w:sz w:val="20"/>
                <w:szCs w:val="20"/>
                <w:color w:val="auto"/>
              </w:rPr>
            </w:pPr>
            <w:r>
              <w:rPr>
                <w:rFonts w:ascii="Arial" w:cs="Arial" w:eastAsia="Arial" w:hAnsi="Arial"/>
                <w:sz w:val="13"/>
                <w:szCs w:val="13"/>
                <w:b w:val="1"/>
                <w:bCs w:val="1"/>
                <w:color w:val="auto"/>
              </w:rPr>
              <w:t>Improvements</w:t>
            </w:r>
          </w:p>
        </w:tc>
        <w:tc>
          <w:tcPr>
            <w:tcW w:w="840" w:type="dxa"/>
            <w:vAlign w:val="bottom"/>
            <w:gridSpan w:val="3"/>
          </w:tcPr>
          <w:p>
            <w:pPr>
              <w:jc w:val="center"/>
              <w:ind w:right="20"/>
              <w:spacing w:after="0" w:line="145"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8"/>
        </w:trPr>
        <w:tc>
          <w:tcPr>
            <w:tcW w:w="1600" w:type="dxa"/>
            <w:vAlign w:val="bottom"/>
            <w:gridSpan w:val="3"/>
          </w:tcPr>
          <w:p>
            <w:pPr>
              <w:spacing w:after="0"/>
              <w:rPr>
                <w:sz w:val="20"/>
                <w:szCs w:val="20"/>
                <w:color w:val="auto"/>
              </w:rPr>
            </w:pPr>
            <w:r>
              <w:rPr>
                <w:rFonts w:ascii="Arial" w:cs="Arial" w:eastAsia="Arial" w:hAnsi="Arial"/>
                <w:sz w:val="13"/>
                <w:szCs w:val="13"/>
                <w:b w:val="1"/>
                <w:bCs w:val="1"/>
                <w:color w:val="auto"/>
              </w:rPr>
              <w:t>Quarter</w:t>
            </w:r>
          </w:p>
        </w:tc>
        <w:tc>
          <w:tcPr>
            <w:tcW w:w="6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7"/>
              </w:rPr>
              <w:t>Signed</w:t>
            </w:r>
          </w:p>
        </w:tc>
        <w:tc>
          <w:tcPr>
            <w:tcW w:w="80" w:type="dxa"/>
            <w:vAlign w:val="bottom"/>
          </w:tcPr>
          <w:p>
            <w:pPr>
              <w:spacing w:after="0"/>
              <w:rPr>
                <w:sz w:val="13"/>
                <w:szCs w:val="13"/>
                <w:color w:val="auto"/>
              </w:rPr>
            </w:pPr>
          </w:p>
        </w:tc>
        <w:tc>
          <w:tcPr>
            <w:tcW w:w="110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87"/>
              </w:rPr>
              <w:t>Signed</w:t>
            </w:r>
          </w:p>
        </w:tc>
        <w:tc>
          <w:tcPr>
            <w:tcW w:w="7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Signed</w:t>
            </w:r>
          </w:p>
        </w:tc>
        <w:tc>
          <w:tcPr>
            <w:tcW w:w="920" w:type="dxa"/>
            <w:vAlign w:val="bottom"/>
            <w:gridSpan w:val="4"/>
          </w:tcPr>
          <w:p>
            <w:pPr>
              <w:ind w:left="40"/>
              <w:spacing w:after="0"/>
              <w:rPr>
                <w:sz w:val="20"/>
                <w:szCs w:val="20"/>
                <w:color w:val="auto"/>
              </w:rPr>
            </w:pPr>
            <w:r>
              <w:rPr>
                <w:rFonts w:ascii="Arial" w:cs="Arial" w:eastAsia="Arial" w:hAnsi="Arial"/>
                <w:sz w:val="13"/>
                <w:szCs w:val="13"/>
                <w:b w:val="1"/>
                <w:bCs w:val="1"/>
                <w:color w:val="auto"/>
              </w:rPr>
              <w:t>Per Sq. Ft.</w:t>
            </w: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Ft.</w:t>
            </w:r>
          </w:p>
        </w:tc>
        <w:tc>
          <w:tcPr>
            <w:tcW w:w="80" w:type="dxa"/>
            <w:vAlign w:val="bottom"/>
          </w:tcPr>
          <w:p>
            <w:pPr>
              <w:spacing w:after="0"/>
              <w:rPr>
                <w:sz w:val="13"/>
                <w:szCs w:val="13"/>
                <w:color w:val="auto"/>
              </w:rPr>
            </w:pPr>
          </w:p>
        </w:tc>
        <w:tc>
          <w:tcPr>
            <w:tcW w:w="90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rPr>
              <w:t>Rent</w:t>
            </w:r>
          </w:p>
        </w:tc>
        <w:tc>
          <w:tcPr>
            <w:tcW w:w="1060" w:type="dxa"/>
            <w:vAlign w:val="bottom"/>
            <w:gridSpan w:val="4"/>
          </w:tcPr>
          <w:p>
            <w:pPr>
              <w:jc w:val="center"/>
              <w:ind w:right="460"/>
              <w:spacing w:after="0"/>
              <w:rPr>
                <w:sz w:val="20"/>
                <w:szCs w:val="20"/>
                <w:color w:val="auto"/>
              </w:rPr>
            </w:pPr>
            <w:r>
              <w:rPr>
                <w:rFonts w:ascii="Arial" w:cs="Arial" w:eastAsia="Arial" w:hAnsi="Arial"/>
                <w:sz w:val="13"/>
                <w:szCs w:val="13"/>
                <w:b w:val="1"/>
                <w:bCs w:val="1"/>
                <w:color w:val="auto"/>
                <w:w w:val="95"/>
              </w:rPr>
              <w:t>Prior Rent</w:t>
            </w:r>
          </w:p>
        </w:tc>
        <w:tc>
          <w:tcPr>
            <w:tcW w:w="9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6"/>
              </w:rPr>
              <w:t>Rent</w:t>
            </w:r>
          </w:p>
        </w:tc>
        <w:tc>
          <w:tcPr>
            <w:tcW w:w="1860" w:type="dxa"/>
            <w:vAlign w:val="bottom"/>
            <w:gridSpan w:val="5"/>
          </w:tcPr>
          <w:p>
            <w:pPr>
              <w:spacing w:after="0"/>
              <w:rPr>
                <w:sz w:val="20"/>
                <w:szCs w:val="20"/>
                <w:color w:val="auto"/>
              </w:rPr>
            </w:pPr>
            <w:r>
              <w:rPr>
                <w:rFonts w:ascii="Arial" w:cs="Arial" w:eastAsia="Arial" w:hAnsi="Arial"/>
                <w:sz w:val="13"/>
                <w:szCs w:val="13"/>
                <w:b w:val="1"/>
                <w:bCs w:val="1"/>
                <w:color w:val="auto"/>
              </w:rPr>
              <w:t>Term (5)    &amp; Incentives (6)</w:t>
            </w:r>
          </w:p>
        </w:tc>
        <w:tc>
          <w:tcPr>
            <w:tcW w:w="10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4th Quarter 2009</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7"/>
                <w:szCs w:val="17"/>
                <w:color w:val="auto"/>
              </w:rPr>
              <w:t>39%</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8"/>
              </w:rPr>
              <w:t>176,966</w:t>
            </w: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24.89</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$24.77</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4"/>
            <w:shd w:val="clear" w:color="auto" w:fill="CCEEFF"/>
          </w:tcPr>
          <w:p>
            <w:pPr>
              <w:ind w:left="520"/>
              <w:spacing w:after="0"/>
              <w:rPr>
                <w:sz w:val="20"/>
                <w:szCs w:val="20"/>
                <w:color w:val="auto"/>
              </w:rPr>
            </w:pPr>
            <w:r>
              <w:rPr>
                <w:rFonts w:ascii="Arial" w:cs="Arial" w:eastAsia="Arial" w:hAnsi="Arial"/>
                <w:sz w:val="17"/>
                <w:szCs w:val="17"/>
                <w:color w:val="auto"/>
              </w:rPr>
              <w:t>0%</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4,328,199</w:t>
            </w: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7"/>
                <w:szCs w:val="17"/>
                <w:color w:val="auto"/>
              </w:rPr>
              <w:t>3rd Quarter 2009</w:t>
            </w:r>
          </w:p>
        </w:tc>
        <w:tc>
          <w:tcPr>
            <w:tcW w:w="560" w:type="dxa"/>
            <w:vAlign w:val="bottom"/>
            <w:gridSpan w:val="3"/>
          </w:tcPr>
          <w:p>
            <w:pPr>
              <w:jc w:val="right"/>
              <w:ind w:right="80"/>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8"/>
                <w:szCs w:val="18"/>
                <w:color w:val="auto"/>
              </w:rPr>
            </w:pPr>
          </w:p>
        </w:tc>
        <w:tc>
          <w:tcPr>
            <w:tcW w:w="1180" w:type="dxa"/>
            <w:vAlign w:val="bottom"/>
            <w:gridSpan w:val="4"/>
          </w:tcPr>
          <w:p>
            <w:pPr>
              <w:jc w:val="right"/>
              <w:ind w:right="320"/>
              <w:spacing w:after="0"/>
              <w:rPr>
                <w:sz w:val="20"/>
                <w:szCs w:val="20"/>
                <w:color w:val="auto"/>
              </w:rPr>
            </w:pPr>
            <w:r>
              <w:rPr>
                <w:rFonts w:ascii="Arial" w:cs="Arial" w:eastAsia="Arial" w:hAnsi="Arial"/>
                <w:sz w:val="17"/>
                <w:szCs w:val="17"/>
                <w:color w:val="auto"/>
              </w:rPr>
              <w:t>42%</w:t>
            </w:r>
          </w:p>
        </w:tc>
        <w:tc>
          <w:tcPr>
            <w:tcW w:w="500" w:type="dxa"/>
            <w:vAlign w:val="bottom"/>
          </w:tcPr>
          <w:p>
            <w:pPr>
              <w:jc w:val="right"/>
              <w:spacing w:after="0"/>
              <w:rPr>
                <w:sz w:val="20"/>
                <w:szCs w:val="20"/>
                <w:color w:val="auto"/>
              </w:rPr>
            </w:pPr>
            <w:r>
              <w:rPr>
                <w:rFonts w:ascii="Arial" w:cs="Arial" w:eastAsia="Arial" w:hAnsi="Arial"/>
                <w:sz w:val="17"/>
                <w:szCs w:val="17"/>
                <w:color w:val="auto"/>
                <w:w w:val="78"/>
              </w:rPr>
              <w:t>187,140</w:t>
            </w:r>
          </w:p>
        </w:tc>
        <w:tc>
          <w:tcPr>
            <w:tcW w:w="22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27.25</w:t>
            </w:r>
          </w:p>
        </w:tc>
        <w:tc>
          <w:tcPr>
            <w:tcW w:w="2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8"/>
              </w:rPr>
              <w:t>$22.62</w:t>
            </w:r>
          </w:p>
        </w:tc>
        <w:tc>
          <w:tcPr>
            <w:tcW w:w="2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866,840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4"/>
          </w:tcPr>
          <w:p>
            <w:pPr>
              <w:jc w:val="right"/>
              <w:ind w:right="300"/>
              <w:spacing w:after="0"/>
              <w:rPr>
                <w:sz w:val="20"/>
                <w:szCs w:val="20"/>
                <w:color w:val="auto"/>
              </w:rPr>
            </w:pPr>
            <w:r>
              <w:rPr>
                <w:rFonts w:ascii="Arial" w:cs="Arial" w:eastAsia="Arial" w:hAnsi="Arial"/>
                <w:sz w:val="17"/>
                <w:szCs w:val="17"/>
                <w:color w:val="auto"/>
              </w:rPr>
              <w:t>20%</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30%</w:t>
            </w:r>
          </w:p>
        </w:tc>
        <w:tc>
          <w:tcPr>
            <w:tcW w:w="500" w:type="dxa"/>
            <w:vAlign w:val="bottom"/>
          </w:tcPr>
          <w:p>
            <w:pPr>
              <w:jc w:val="right"/>
              <w:spacing w:after="0"/>
              <w:rPr>
                <w:sz w:val="20"/>
                <w:szCs w:val="20"/>
                <w:color w:val="auto"/>
              </w:rPr>
            </w:pPr>
            <w:r>
              <w:rPr>
                <w:rFonts w:ascii="Arial" w:cs="Arial" w:eastAsia="Arial" w:hAnsi="Arial"/>
                <w:sz w:val="17"/>
                <w:szCs w:val="17"/>
                <w:color w:val="auto"/>
              </w:rPr>
              <w:t>9.8</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3,622,041</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2nd Quarter 2009</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7"/>
                <w:szCs w:val="17"/>
                <w:color w:val="auto"/>
              </w:rPr>
              <w:t>38%</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73,693</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24.27</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$27.68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2"/>
              </w:rPr>
              <w:t>$(251,200)</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7"/>
                <w:szCs w:val="17"/>
                <w:color w:val="auto"/>
              </w:rPr>
              <w:t>-12%</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1,194,192</w:t>
            </w: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7"/>
                <w:szCs w:val="17"/>
                <w:color w:val="auto"/>
              </w:rPr>
              <w:t>1st Quarter 2009</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right"/>
              <w:ind w:right="320"/>
              <w:spacing w:after="0"/>
              <w:rPr>
                <w:sz w:val="20"/>
                <w:szCs w:val="20"/>
                <w:color w:val="auto"/>
              </w:rPr>
            </w:pPr>
            <w:r>
              <w:rPr>
                <w:rFonts w:ascii="Arial" w:cs="Arial" w:eastAsia="Arial" w:hAnsi="Arial"/>
                <w:sz w:val="17"/>
                <w:szCs w:val="17"/>
                <w:color w:val="auto"/>
              </w:rPr>
              <w:t>35%</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73,535</w:t>
            </w:r>
          </w:p>
        </w:tc>
        <w:tc>
          <w:tcPr>
            <w:tcW w:w="22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32.54</w:t>
            </w:r>
          </w:p>
        </w:tc>
        <w:tc>
          <w:tcPr>
            <w:tcW w:w="2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32.28</w:t>
            </w:r>
          </w:p>
        </w:tc>
        <w:tc>
          <w:tcPr>
            <w:tcW w:w="2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19,630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4"/>
          </w:tcPr>
          <w:p>
            <w:pPr>
              <w:ind w:left="520"/>
              <w:spacing w:after="0"/>
              <w:rPr>
                <w:sz w:val="20"/>
                <w:szCs w:val="20"/>
                <w:color w:val="auto"/>
              </w:rPr>
            </w:pPr>
            <w:r>
              <w:rPr>
                <w:rFonts w:ascii="Arial" w:cs="Arial" w:eastAsia="Arial" w:hAnsi="Arial"/>
                <w:sz w:val="17"/>
                <w:szCs w:val="17"/>
                <w:color w:val="auto"/>
              </w:rPr>
              <w:t>1%</w:t>
            </w: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12%</w:t>
            </w:r>
          </w:p>
        </w:tc>
        <w:tc>
          <w:tcPr>
            <w:tcW w:w="500" w:type="dxa"/>
            <w:vAlign w:val="bottom"/>
          </w:tcPr>
          <w:p>
            <w:pPr>
              <w:jc w:val="right"/>
              <w:spacing w:after="0"/>
              <w:rPr>
                <w:sz w:val="20"/>
                <w:szCs w:val="20"/>
                <w:color w:val="auto"/>
              </w:rPr>
            </w:pPr>
            <w:r>
              <w:rPr>
                <w:rFonts w:ascii="Arial" w:cs="Arial" w:eastAsia="Arial" w:hAnsi="Arial"/>
                <w:sz w:val="17"/>
                <w:szCs w:val="17"/>
                <w:color w:val="auto"/>
              </w:rPr>
              <w:t>9.2</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2,398,456</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7"/>
                <w:szCs w:val="17"/>
                <w:color w:val="auto"/>
              </w:rPr>
              <w:t>39%</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8"/>
              </w:rPr>
              <w:t>511,334</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25.48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655,735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ind w:left="520"/>
              <w:spacing w:after="0"/>
              <w:rPr>
                <w:sz w:val="20"/>
                <w:szCs w:val="20"/>
                <w:color w:val="auto"/>
              </w:rPr>
            </w:pPr>
            <w:r>
              <w:rPr>
                <w:rFonts w:ascii="Arial" w:cs="Arial" w:eastAsia="Arial" w:hAnsi="Arial"/>
                <w:sz w:val="17"/>
                <w:szCs w:val="17"/>
                <w:color w:val="auto"/>
              </w:rPr>
              <w:t>5%</w:t>
            </w:r>
          </w:p>
        </w:tc>
        <w:tc>
          <w:tcPr>
            <w:tcW w:w="90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6"/>
              </w:rPr>
              <w:t>$ 11,542,888</w:t>
            </w: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460" w:type="dxa"/>
            <w:vAlign w:val="bottom"/>
            <w:gridSpan w:val="11"/>
          </w:tcPr>
          <w:p>
            <w:pPr>
              <w:spacing w:after="0"/>
              <w:rPr>
                <w:sz w:val="20"/>
                <w:szCs w:val="20"/>
                <w:color w:val="auto"/>
              </w:rPr>
            </w:pPr>
            <w:r>
              <w:rPr>
                <w:rFonts w:ascii="Arial" w:cs="Arial" w:eastAsia="Arial" w:hAnsi="Arial"/>
                <w:sz w:val="17"/>
                <w:szCs w:val="17"/>
                <w:b w:val="1"/>
                <w:bCs w:val="1"/>
                <w:color w:val="auto"/>
                <w:w w:val="92"/>
              </w:rPr>
              <w:t>Renewal Lease Summary - Comparable (2) (7)</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3"/>
              </w:rPr>
              <w:t>Straight-</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92"/>
              </w:rPr>
              <w:t>lined</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380"/>
              <w:spacing w:after="0" w:line="145" w:lineRule="exact"/>
              <w:rPr>
                <w:sz w:val="20"/>
                <w:szCs w:val="20"/>
                <w:color w:val="auto"/>
              </w:rPr>
            </w:pPr>
            <w:r>
              <w:rPr>
                <w:rFonts w:ascii="Arial" w:cs="Arial" w:eastAsia="Arial" w:hAnsi="Arial"/>
                <w:sz w:val="13"/>
                <w:szCs w:val="13"/>
                <w:b w:val="1"/>
                <w:bCs w:val="1"/>
                <w:color w:val="auto"/>
                <w:w w:val="87"/>
              </w:rPr>
              <w:t>Cash</w:t>
            </w:r>
          </w:p>
        </w:tc>
        <w:tc>
          <w:tcPr>
            <w:tcW w:w="90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2"/>
              </w:rPr>
              <w:t>Basis %</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center"/>
              <w:ind w:right="120"/>
              <w:spacing w:after="0" w:line="145" w:lineRule="exact"/>
              <w:rPr>
                <w:sz w:val="20"/>
                <w:szCs w:val="20"/>
                <w:color w:val="auto"/>
              </w:rPr>
            </w:pPr>
            <w:r>
              <w:rPr>
                <w:rFonts w:ascii="Arial" w:cs="Arial" w:eastAsia="Arial" w:hAnsi="Arial"/>
                <w:sz w:val="13"/>
                <w:szCs w:val="13"/>
                <w:b w:val="1"/>
                <w:bCs w:val="1"/>
                <w:color w:val="auto"/>
                <w:w w:val="93"/>
              </w:rPr>
              <w:t>Number</w:t>
            </w:r>
          </w:p>
        </w:tc>
        <w:tc>
          <w:tcPr>
            <w:tcW w:w="80" w:type="dxa"/>
            <w:vAlign w:val="bottom"/>
          </w:tcPr>
          <w:p>
            <w:pPr>
              <w:spacing w:after="0"/>
              <w:rPr>
                <w:sz w:val="12"/>
                <w:szCs w:val="12"/>
                <w:color w:val="auto"/>
              </w:rPr>
            </w:pPr>
          </w:p>
        </w:tc>
        <w:tc>
          <w:tcPr>
            <w:tcW w:w="1100" w:type="dxa"/>
            <w:vAlign w:val="bottom"/>
            <w:gridSpan w:val="3"/>
          </w:tcPr>
          <w:p>
            <w:pPr>
              <w:jc w:val="center"/>
              <w:ind w:right="380"/>
              <w:spacing w:after="0" w:line="145"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w w:val="98"/>
              </w:rPr>
              <w:t>Prior</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360"/>
              <w:spacing w:after="0" w:line="145" w:lineRule="exact"/>
              <w:rPr>
                <w:sz w:val="20"/>
                <w:szCs w:val="20"/>
                <w:color w:val="auto"/>
              </w:rPr>
            </w:pPr>
            <w:r>
              <w:rPr>
                <w:rFonts w:ascii="Arial" w:cs="Arial" w:eastAsia="Arial" w:hAnsi="Arial"/>
                <w:sz w:val="13"/>
                <w:szCs w:val="13"/>
                <w:b w:val="1"/>
                <w:bCs w:val="1"/>
                <w:color w:val="auto"/>
                <w:w w:val="92"/>
              </w:rPr>
              <w:t>Basis %</w:t>
            </w:r>
          </w:p>
        </w:tc>
        <w:tc>
          <w:tcPr>
            <w:tcW w:w="90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87"/>
              </w:rPr>
              <w:t>Increase</w:t>
            </w:r>
          </w:p>
        </w:tc>
        <w:tc>
          <w:tcPr>
            <w:tcW w:w="740" w:type="dxa"/>
            <w:vAlign w:val="bottom"/>
            <w:gridSpan w:val="2"/>
          </w:tcPr>
          <w:p>
            <w:pPr>
              <w:jc w:val="right"/>
              <w:ind w:right="200"/>
              <w:spacing w:after="0" w:line="145" w:lineRule="exact"/>
              <w:rPr>
                <w:sz w:val="20"/>
                <w:szCs w:val="20"/>
                <w:color w:val="auto"/>
              </w:rPr>
            </w:pPr>
            <w:r>
              <w:rPr>
                <w:rFonts w:ascii="Arial" w:cs="Arial" w:eastAsia="Arial" w:hAnsi="Arial"/>
                <w:sz w:val="13"/>
                <w:szCs w:val="13"/>
                <w:b w:val="1"/>
                <w:bCs w:val="1"/>
                <w:color w:val="auto"/>
                <w:w w:val="88"/>
              </w:rPr>
              <w:t>Weighted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center"/>
              <w:ind w:right="120"/>
              <w:spacing w:after="0" w:line="145" w:lineRule="exact"/>
              <w:rPr>
                <w:sz w:val="20"/>
                <w:szCs w:val="20"/>
                <w:color w:val="auto"/>
              </w:rPr>
            </w:pPr>
            <w:r>
              <w:rPr>
                <w:rFonts w:ascii="Arial" w:cs="Arial" w:eastAsia="Arial" w:hAnsi="Arial"/>
                <w:sz w:val="13"/>
                <w:szCs w:val="13"/>
                <w:b w:val="1"/>
                <w:bCs w:val="1"/>
                <w:color w:val="auto"/>
                <w:w w:val="81"/>
              </w:rPr>
              <w:t>of</w:t>
            </w:r>
          </w:p>
        </w:tc>
        <w:tc>
          <w:tcPr>
            <w:tcW w:w="80" w:type="dxa"/>
            <w:vAlign w:val="bottom"/>
          </w:tcPr>
          <w:p>
            <w:pPr>
              <w:spacing w:after="0"/>
              <w:rPr>
                <w:sz w:val="12"/>
                <w:szCs w:val="12"/>
                <w:color w:val="auto"/>
              </w:rPr>
            </w:pPr>
          </w:p>
        </w:tc>
        <w:tc>
          <w:tcPr>
            <w:tcW w:w="1100" w:type="dxa"/>
            <w:vAlign w:val="bottom"/>
            <w:gridSpan w:val="3"/>
          </w:tcPr>
          <w:p>
            <w:pPr>
              <w:jc w:val="center"/>
              <w:ind w:right="380"/>
              <w:spacing w:after="0" w:line="145" w:lineRule="exact"/>
              <w:rPr>
                <w:sz w:val="20"/>
                <w:szCs w:val="20"/>
                <w:color w:val="auto"/>
              </w:rPr>
            </w:pPr>
            <w:r>
              <w:rPr>
                <w:rFonts w:ascii="Arial" w:cs="Arial" w:eastAsia="Arial" w:hAnsi="Arial"/>
                <w:sz w:val="13"/>
                <w:szCs w:val="13"/>
                <w:b w:val="1"/>
                <w:bCs w:val="1"/>
                <w:color w:val="auto"/>
                <w:w w:val="95"/>
              </w:rPr>
              <w:t>Comparable</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Contractual</w:t>
            </w:r>
          </w:p>
        </w:tc>
        <w:tc>
          <w:tcPr>
            <w:tcW w:w="70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w w:val="94"/>
              </w:rPr>
              <w:t>Rent (4)</w:t>
            </w:r>
          </w:p>
        </w:tc>
        <w:tc>
          <w:tcPr>
            <w:tcW w:w="80" w:type="dxa"/>
            <w:vAlign w:val="bottom"/>
          </w:tcPr>
          <w:p>
            <w:pPr>
              <w:spacing w:after="0"/>
              <w:rPr>
                <w:sz w:val="12"/>
                <w:szCs w:val="12"/>
                <w:color w:val="auto"/>
              </w:rPr>
            </w:pPr>
          </w:p>
        </w:tc>
        <w:tc>
          <w:tcPr>
            <w:tcW w:w="900" w:type="dxa"/>
            <w:vAlign w:val="bottom"/>
            <w:gridSpan w:val="3"/>
          </w:tcPr>
          <w:p>
            <w:pPr>
              <w:jc w:val="center"/>
              <w:ind w:right="280"/>
              <w:spacing w:after="0" w:line="145" w:lineRule="exact"/>
              <w:rPr>
                <w:sz w:val="20"/>
                <w:szCs w:val="20"/>
                <w:color w:val="auto"/>
              </w:rPr>
            </w:pPr>
            <w:r>
              <w:rPr>
                <w:rFonts w:ascii="Arial" w:cs="Arial" w:eastAsia="Arial" w:hAnsi="Arial"/>
                <w:sz w:val="13"/>
                <w:szCs w:val="13"/>
                <w:b w:val="1"/>
                <w:bCs w:val="1"/>
                <w:color w:val="auto"/>
                <w:w w:val="95"/>
              </w:rPr>
              <w:t>Annual</w:t>
            </w:r>
          </w:p>
        </w:tc>
        <w:tc>
          <w:tcPr>
            <w:tcW w:w="80" w:type="dxa"/>
            <w:vAlign w:val="bottom"/>
          </w:tcPr>
          <w:p>
            <w:pPr>
              <w:spacing w:after="0"/>
              <w:rPr>
                <w:sz w:val="12"/>
                <w:szCs w:val="12"/>
                <w:color w:val="auto"/>
              </w:rPr>
            </w:pPr>
          </w:p>
        </w:tc>
        <w:tc>
          <w:tcPr>
            <w:tcW w:w="980" w:type="dxa"/>
            <w:vAlign w:val="bottom"/>
            <w:gridSpan w:val="3"/>
          </w:tcPr>
          <w:p>
            <w:pPr>
              <w:jc w:val="center"/>
              <w:ind w:right="380"/>
              <w:spacing w:after="0" w:line="145" w:lineRule="exact"/>
              <w:rPr>
                <w:sz w:val="20"/>
                <w:szCs w:val="20"/>
                <w:color w:val="auto"/>
              </w:rPr>
            </w:pPr>
            <w:r>
              <w:rPr>
                <w:rFonts w:ascii="Arial" w:cs="Arial" w:eastAsia="Arial" w:hAnsi="Arial"/>
                <w:sz w:val="13"/>
                <w:szCs w:val="13"/>
                <w:b w:val="1"/>
                <w:bCs w:val="1"/>
                <w:color w:val="auto"/>
                <w:w w:val="90"/>
              </w:rPr>
              <w:t>Increase</w:t>
            </w:r>
          </w:p>
        </w:tc>
        <w:tc>
          <w:tcPr>
            <w:tcW w:w="90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94"/>
              </w:rPr>
              <w:t>Over</w:t>
            </w:r>
          </w:p>
        </w:tc>
        <w:tc>
          <w:tcPr>
            <w:tcW w:w="740" w:type="dxa"/>
            <w:vAlign w:val="bottom"/>
            <w:gridSpan w:val="2"/>
          </w:tcPr>
          <w:p>
            <w:pPr>
              <w:ind w:left="40"/>
              <w:spacing w:after="0" w:line="145" w:lineRule="exact"/>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2"/>
                <w:szCs w:val="12"/>
                <w:color w:val="auto"/>
              </w:rPr>
            </w:pPr>
          </w:p>
        </w:tc>
        <w:tc>
          <w:tcPr>
            <w:tcW w:w="98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3"/>
              </w:rPr>
              <w:t>Tenant</w:t>
            </w:r>
          </w:p>
        </w:tc>
        <w:tc>
          <w:tcPr>
            <w:tcW w:w="84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w w:val="92"/>
              </w:rPr>
              <w:t>Improvements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center"/>
              <w:ind w:right="120"/>
              <w:spacing w:after="0" w:line="145" w:lineRule="exact"/>
              <w:rPr>
                <w:sz w:val="20"/>
                <w:szCs w:val="20"/>
                <w:color w:val="auto"/>
              </w:rPr>
            </w:pPr>
            <w:r>
              <w:rPr>
                <w:rFonts w:ascii="Arial" w:cs="Arial" w:eastAsia="Arial" w:hAnsi="Arial"/>
                <w:sz w:val="13"/>
                <w:szCs w:val="13"/>
                <w:b w:val="1"/>
                <w:bCs w:val="1"/>
                <w:color w:val="auto"/>
                <w:w w:val="86"/>
              </w:rPr>
              <w:t>Leases</w:t>
            </w:r>
          </w:p>
        </w:tc>
        <w:tc>
          <w:tcPr>
            <w:tcW w:w="80" w:type="dxa"/>
            <w:vAlign w:val="bottom"/>
          </w:tcPr>
          <w:p>
            <w:pPr>
              <w:spacing w:after="0"/>
              <w:rPr>
                <w:sz w:val="12"/>
                <w:szCs w:val="12"/>
                <w:color w:val="auto"/>
              </w:rPr>
            </w:pPr>
          </w:p>
        </w:tc>
        <w:tc>
          <w:tcPr>
            <w:tcW w:w="1100" w:type="dxa"/>
            <w:vAlign w:val="bottom"/>
            <w:gridSpan w:val="3"/>
          </w:tcPr>
          <w:p>
            <w:pPr>
              <w:jc w:val="center"/>
              <w:ind w:right="380"/>
              <w:spacing w:after="0" w:line="145" w:lineRule="exact"/>
              <w:rPr>
                <w:sz w:val="20"/>
                <w:szCs w:val="20"/>
                <w:color w:val="auto"/>
              </w:rPr>
            </w:pPr>
            <w:r>
              <w:rPr>
                <w:rFonts w:ascii="Arial" w:cs="Arial" w:eastAsia="Arial" w:hAnsi="Arial"/>
                <w:sz w:val="13"/>
                <w:szCs w:val="13"/>
                <w:b w:val="1"/>
                <w:bCs w:val="1"/>
                <w:color w:val="auto"/>
                <w:w w:val="81"/>
              </w:rPr>
              <w:t>Leases</w:t>
            </w:r>
          </w:p>
        </w:tc>
        <w:tc>
          <w:tcPr>
            <w:tcW w:w="72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rPr>
              <w:t>GLA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5" w:lineRule="exact"/>
              <w:rPr>
                <w:sz w:val="20"/>
                <w:szCs w:val="20"/>
                <w:color w:val="auto"/>
              </w:rPr>
            </w:pPr>
            <w:r>
              <w:rPr>
                <w:rFonts w:ascii="Arial" w:cs="Arial" w:eastAsia="Arial" w:hAnsi="Arial"/>
                <w:sz w:val="13"/>
                <w:szCs w:val="13"/>
                <w:b w:val="1"/>
                <w:bCs w:val="1"/>
                <w:color w:val="auto"/>
                <w:w w:val="94"/>
              </w:rPr>
              <w:t>Rent (3)</w:t>
            </w:r>
          </w:p>
        </w:tc>
        <w:tc>
          <w:tcPr>
            <w:tcW w:w="70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w w:val="93"/>
              </w:rPr>
              <w:t>Per Sq.</w:t>
            </w:r>
          </w:p>
        </w:tc>
        <w:tc>
          <w:tcPr>
            <w:tcW w:w="980" w:type="dxa"/>
            <w:vAlign w:val="bottom"/>
            <w:gridSpan w:val="4"/>
          </w:tcPr>
          <w:p>
            <w:pPr>
              <w:jc w:val="center"/>
              <w:ind w:right="200"/>
              <w:spacing w:after="0" w:line="145" w:lineRule="exact"/>
              <w:rPr>
                <w:sz w:val="20"/>
                <w:szCs w:val="20"/>
                <w:color w:val="auto"/>
              </w:rPr>
            </w:pPr>
            <w:r>
              <w:rPr>
                <w:rFonts w:ascii="Arial" w:cs="Arial" w:eastAsia="Arial" w:hAnsi="Arial"/>
                <w:sz w:val="13"/>
                <w:szCs w:val="13"/>
                <w:b w:val="1"/>
                <w:bCs w:val="1"/>
                <w:color w:val="auto"/>
                <w:w w:val="91"/>
              </w:rPr>
              <w:t>Increase in</w:t>
            </w:r>
          </w:p>
        </w:tc>
        <w:tc>
          <w:tcPr>
            <w:tcW w:w="80" w:type="dxa"/>
            <w:vAlign w:val="bottom"/>
          </w:tcPr>
          <w:p>
            <w:pPr>
              <w:spacing w:after="0"/>
              <w:rPr>
                <w:sz w:val="12"/>
                <w:szCs w:val="12"/>
                <w:color w:val="auto"/>
              </w:rPr>
            </w:pPr>
          </w:p>
        </w:tc>
        <w:tc>
          <w:tcPr>
            <w:tcW w:w="980" w:type="dxa"/>
            <w:vAlign w:val="bottom"/>
            <w:gridSpan w:val="3"/>
          </w:tcPr>
          <w:p>
            <w:pPr>
              <w:jc w:val="center"/>
              <w:ind w:right="380"/>
              <w:spacing w:after="0" w:line="145" w:lineRule="exact"/>
              <w:rPr>
                <w:sz w:val="20"/>
                <w:szCs w:val="20"/>
                <w:color w:val="auto"/>
              </w:rPr>
            </w:pPr>
            <w:r>
              <w:rPr>
                <w:rFonts w:ascii="Arial" w:cs="Arial" w:eastAsia="Arial" w:hAnsi="Arial"/>
                <w:sz w:val="13"/>
                <w:szCs w:val="13"/>
                <w:b w:val="1"/>
                <w:bCs w:val="1"/>
                <w:color w:val="auto"/>
                <w:w w:val="94"/>
              </w:rPr>
              <w:t>Over</w:t>
            </w:r>
          </w:p>
        </w:tc>
        <w:tc>
          <w:tcPr>
            <w:tcW w:w="90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8"/>
              </w:rPr>
              <w:t>Prior</w:t>
            </w:r>
          </w:p>
        </w:tc>
        <w:tc>
          <w:tcPr>
            <w:tcW w:w="740" w:type="dxa"/>
            <w:vAlign w:val="bottom"/>
            <w:gridSpan w:val="2"/>
          </w:tcPr>
          <w:p>
            <w:pPr>
              <w:jc w:val="right"/>
              <w:ind w:right="300"/>
              <w:spacing w:after="0" w:line="145" w:lineRule="exact"/>
              <w:rPr>
                <w:sz w:val="20"/>
                <w:szCs w:val="20"/>
                <w:color w:val="auto"/>
              </w:rPr>
            </w:pPr>
            <w:r>
              <w:rPr>
                <w:rFonts w:ascii="Arial" w:cs="Arial" w:eastAsia="Arial" w:hAnsi="Arial"/>
                <w:sz w:val="13"/>
                <w:szCs w:val="13"/>
                <w:b w:val="1"/>
                <w:bCs w:val="1"/>
                <w:color w:val="auto"/>
              </w:rPr>
              <w:t>Lease</w:t>
            </w:r>
          </w:p>
        </w:tc>
        <w:tc>
          <w:tcPr>
            <w:tcW w:w="1120" w:type="dxa"/>
            <w:vAlign w:val="bottom"/>
            <w:gridSpan w:val="3"/>
          </w:tcPr>
          <w:p>
            <w:pPr>
              <w:jc w:val="center"/>
              <w:ind w:right="200"/>
              <w:spacing w:after="0" w:line="145" w:lineRule="exact"/>
              <w:rPr>
                <w:sz w:val="20"/>
                <w:szCs w:val="20"/>
                <w:color w:val="auto"/>
              </w:rPr>
            </w:pPr>
            <w:r>
              <w:rPr>
                <w:rFonts w:ascii="Arial" w:cs="Arial" w:eastAsia="Arial" w:hAnsi="Arial"/>
                <w:sz w:val="13"/>
                <w:szCs w:val="13"/>
                <w:b w:val="1"/>
                <w:bCs w:val="1"/>
                <w:color w:val="auto"/>
                <w:w w:val="89"/>
              </w:rPr>
              <w:t>Improvements</w:t>
            </w:r>
          </w:p>
        </w:tc>
        <w:tc>
          <w:tcPr>
            <w:tcW w:w="840" w:type="dxa"/>
            <w:vAlign w:val="bottom"/>
            <w:gridSpan w:val="3"/>
          </w:tcPr>
          <w:p>
            <w:pPr>
              <w:jc w:val="center"/>
              <w:ind w:right="20"/>
              <w:spacing w:after="0" w:line="145" w:lineRule="exact"/>
              <w:rPr>
                <w:sz w:val="20"/>
                <w:szCs w:val="20"/>
                <w:color w:val="auto"/>
              </w:rPr>
            </w:pPr>
            <w:r>
              <w:rPr>
                <w:rFonts w:ascii="Arial" w:cs="Arial" w:eastAsia="Arial" w:hAnsi="Arial"/>
                <w:sz w:val="13"/>
                <w:szCs w:val="13"/>
                <w:b w:val="1"/>
                <w:bCs w:val="1"/>
                <w:color w:val="auto"/>
                <w:w w:val="91"/>
              </w:rPr>
              <w:t>&amp; Incentives</w:t>
            </w:r>
          </w:p>
        </w:tc>
        <w:tc>
          <w:tcPr>
            <w:tcW w:w="0" w:type="dxa"/>
            <w:vAlign w:val="bottom"/>
          </w:tcPr>
          <w:p>
            <w:pPr>
              <w:spacing w:after="0"/>
              <w:rPr>
                <w:sz w:val="1"/>
                <w:szCs w:val="1"/>
                <w:color w:val="auto"/>
              </w:rPr>
            </w:pPr>
          </w:p>
        </w:tc>
      </w:tr>
      <w:tr>
        <w:trPr>
          <w:trHeight w:val="158"/>
        </w:trPr>
        <w:tc>
          <w:tcPr>
            <w:tcW w:w="1600" w:type="dxa"/>
            <w:vAlign w:val="bottom"/>
            <w:gridSpan w:val="3"/>
          </w:tcPr>
          <w:p>
            <w:pPr>
              <w:spacing w:after="0"/>
              <w:rPr>
                <w:sz w:val="20"/>
                <w:szCs w:val="20"/>
                <w:color w:val="auto"/>
              </w:rPr>
            </w:pPr>
            <w:r>
              <w:rPr>
                <w:rFonts w:ascii="Arial" w:cs="Arial" w:eastAsia="Arial" w:hAnsi="Arial"/>
                <w:sz w:val="13"/>
                <w:szCs w:val="13"/>
                <w:b w:val="1"/>
                <w:bCs w:val="1"/>
                <w:color w:val="auto"/>
              </w:rPr>
              <w:t>Quarter</w:t>
            </w:r>
          </w:p>
        </w:tc>
        <w:tc>
          <w:tcPr>
            <w:tcW w:w="100" w:type="dxa"/>
            <w:vAlign w:val="bottom"/>
          </w:tcPr>
          <w:p>
            <w:pPr>
              <w:spacing w:after="0"/>
              <w:rPr>
                <w:sz w:val="13"/>
                <w:szCs w:val="13"/>
                <w:color w:val="auto"/>
              </w:rPr>
            </w:pPr>
          </w:p>
        </w:tc>
        <w:tc>
          <w:tcPr>
            <w:tcW w:w="5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7"/>
              </w:rPr>
              <w:t>Signed</w:t>
            </w:r>
          </w:p>
        </w:tc>
        <w:tc>
          <w:tcPr>
            <w:tcW w:w="80" w:type="dxa"/>
            <w:vAlign w:val="bottom"/>
          </w:tcPr>
          <w:p>
            <w:pPr>
              <w:spacing w:after="0"/>
              <w:rPr>
                <w:sz w:val="13"/>
                <w:szCs w:val="13"/>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7"/>
              </w:rPr>
              <w:t>Signed</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Signed</w:t>
            </w:r>
          </w:p>
        </w:tc>
        <w:tc>
          <w:tcPr>
            <w:tcW w:w="4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6"/>
              </w:rPr>
              <w:t>Per Sq. Ft.</w:t>
            </w: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Ft.</w:t>
            </w:r>
          </w:p>
        </w:tc>
        <w:tc>
          <w:tcPr>
            <w:tcW w:w="80" w:type="dxa"/>
            <w:vAlign w:val="bottom"/>
          </w:tcPr>
          <w:p>
            <w:pPr>
              <w:spacing w:after="0"/>
              <w:rPr>
                <w:sz w:val="13"/>
                <w:szCs w:val="13"/>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6"/>
              </w:rPr>
              <w:t>Rent</w:t>
            </w:r>
          </w:p>
        </w:tc>
        <w:tc>
          <w:tcPr>
            <w:tcW w:w="80" w:type="dxa"/>
            <w:vAlign w:val="bottom"/>
          </w:tcPr>
          <w:p>
            <w:pPr>
              <w:spacing w:after="0"/>
              <w:rPr>
                <w:sz w:val="13"/>
                <w:szCs w:val="13"/>
                <w:color w:val="auto"/>
              </w:rPr>
            </w:pPr>
          </w:p>
        </w:tc>
        <w:tc>
          <w:tcPr>
            <w:tcW w:w="98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5"/>
              </w:rPr>
              <w:t>Prior Rent</w:t>
            </w:r>
          </w:p>
        </w:tc>
        <w:tc>
          <w:tcPr>
            <w:tcW w:w="9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Rent</w:t>
            </w:r>
          </w:p>
        </w:tc>
        <w:tc>
          <w:tcPr>
            <w:tcW w:w="1860" w:type="dxa"/>
            <w:vAlign w:val="bottom"/>
            <w:gridSpan w:val="5"/>
          </w:tcPr>
          <w:p>
            <w:pPr>
              <w:ind w:left="40"/>
              <w:spacing w:after="0"/>
              <w:rPr>
                <w:sz w:val="20"/>
                <w:szCs w:val="20"/>
                <w:color w:val="auto"/>
              </w:rPr>
            </w:pPr>
            <w:r>
              <w:rPr>
                <w:rFonts w:ascii="Arial" w:cs="Arial" w:eastAsia="Arial" w:hAnsi="Arial"/>
                <w:sz w:val="13"/>
                <w:szCs w:val="13"/>
                <w:b w:val="1"/>
                <w:bCs w:val="1"/>
                <w:color w:val="auto"/>
              </w:rPr>
              <w:t>Term (5)   &amp; Incentives (6)</w:t>
            </w:r>
          </w:p>
        </w:tc>
        <w:tc>
          <w:tcPr>
            <w:tcW w:w="10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4th Quarter 2009</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50</w:t>
            </w:r>
          </w:p>
        </w:tc>
        <w:tc>
          <w:tcPr>
            <w:tcW w:w="11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61%</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183,252</w:t>
            </w: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30.17</w:t>
            </w:r>
          </w:p>
        </w:tc>
        <w:tc>
          <w:tcPr>
            <w:tcW w:w="700" w:type="dxa"/>
            <w:vAlign w:val="bottom"/>
            <w:tcBorders>
              <w:right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6"/>
              </w:rPr>
              <w:t>$28.44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317,036</w:t>
            </w:r>
          </w:p>
        </w:tc>
        <w:tc>
          <w:tcPr>
            <w:tcW w:w="10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w:t>
            </w: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222,000</w:t>
            </w:r>
          </w:p>
        </w:tc>
        <w:tc>
          <w:tcPr>
            <w:tcW w:w="2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7"/>
                <w:szCs w:val="17"/>
                <w:color w:val="auto"/>
              </w:rPr>
              <w:t>3rd Quarter 2009</w:t>
            </w:r>
          </w:p>
        </w:tc>
        <w:tc>
          <w:tcPr>
            <w:tcW w:w="680" w:type="dxa"/>
            <w:vAlign w:val="bottom"/>
            <w:gridSpan w:val="4"/>
          </w:tcPr>
          <w:p>
            <w:pPr>
              <w:jc w:val="right"/>
              <w:ind w:right="120"/>
              <w:spacing w:after="0"/>
              <w:rPr>
                <w:sz w:val="20"/>
                <w:szCs w:val="20"/>
                <w:color w:val="auto"/>
              </w:rPr>
            </w:pPr>
            <w:r>
              <w:rPr>
                <w:rFonts w:ascii="Arial" w:cs="Arial" w:eastAsia="Arial" w:hAnsi="Arial"/>
                <w:sz w:val="17"/>
                <w:szCs w:val="17"/>
                <w:color w:val="auto"/>
              </w:rPr>
              <w:t>52</w:t>
            </w:r>
          </w:p>
        </w:tc>
        <w:tc>
          <w:tcPr>
            <w:tcW w:w="1180" w:type="dxa"/>
            <w:vAlign w:val="bottom"/>
            <w:gridSpan w:val="4"/>
          </w:tcPr>
          <w:p>
            <w:pPr>
              <w:jc w:val="right"/>
              <w:ind w:right="240"/>
              <w:spacing w:after="0"/>
              <w:rPr>
                <w:sz w:val="20"/>
                <w:szCs w:val="20"/>
                <w:color w:val="auto"/>
              </w:rPr>
            </w:pPr>
            <w:r>
              <w:rPr>
                <w:rFonts w:ascii="Arial" w:cs="Arial" w:eastAsia="Arial" w:hAnsi="Arial"/>
                <w:sz w:val="17"/>
                <w:szCs w:val="17"/>
                <w:color w:val="auto"/>
              </w:rPr>
              <w:t>58%</w:t>
            </w:r>
          </w:p>
        </w:tc>
        <w:tc>
          <w:tcPr>
            <w:tcW w:w="500" w:type="dxa"/>
            <w:vAlign w:val="bottom"/>
          </w:tcPr>
          <w:p>
            <w:pPr>
              <w:jc w:val="center"/>
              <w:spacing w:after="0"/>
              <w:rPr>
                <w:sz w:val="20"/>
                <w:szCs w:val="20"/>
                <w:color w:val="auto"/>
              </w:rPr>
            </w:pPr>
            <w:r>
              <w:rPr>
                <w:rFonts w:ascii="Arial" w:cs="Arial" w:eastAsia="Arial" w:hAnsi="Arial"/>
                <w:sz w:val="17"/>
                <w:szCs w:val="17"/>
                <w:color w:val="auto"/>
                <w:w w:val="91"/>
              </w:rPr>
              <w:t>147,550</w:t>
            </w:r>
          </w:p>
        </w:tc>
        <w:tc>
          <w:tcPr>
            <w:tcW w:w="22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32.08</w:t>
            </w:r>
          </w:p>
        </w:tc>
        <w:tc>
          <w:tcPr>
            <w:tcW w:w="700" w:type="dxa"/>
            <w:vAlign w:val="bottom"/>
            <w:gridSpan w:val="2"/>
          </w:tcPr>
          <w:p>
            <w:pPr>
              <w:jc w:val="center"/>
              <w:ind w:right="200"/>
              <w:spacing w:after="0"/>
              <w:rPr>
                <w:sz w:val="20"/>
                <w:szCs w:val="20"/>
                <w:color w:val="auto"/>
              </w:rPr>
            </w:pPr>
            <w:r>
              <w:rPr>
                <w:rFonts w:ascii="Arial" w:cs="Arial" w:eastAsia="Arial" w:hAnsi="Arial"/>
                <w:sz w:val="17"/>
                <w:szCs w:val="17"/>
                <w:color w:val="auto"/>
                <w:w w:val="96"/>
              </w:rPr>
              <w:t>$32.57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160"/>
              <w:spacing w:after="0"/>
              <w:rPr>
                <w:sz w:val="20"/>
                <w:szCs w:val="20"/>
                <w:color w:val="auto"/>
              </w:rPr>
            </w:pPr>
            <w:r>
              <w:rPr>
                <w:rFonts w:ascii="Arial" w:cs="Arial" w:eastAsia="Arial" w:hAnsi="Arial"/>
                <w:sz w:val="17"/>
                <w:szCs w:val="17"/>
                <w:color w:val="auto"/>
              </w:rPr>
              <w:t>(72,823)</w:t>
            </w:r>
          </w:p>
        </w:tc>
        <w:tc>
          <w:tcPr>
            <w:tcW w:w="1060" w:type="dxa"/>
            <w:vAlign w:val="bottom"/>
            <w:gridSpan w:val="4"/>
          </w:tcPr>
          <w:p>
            <w:pPr>
              <w:jc w:val="right"/>
              <w:ind w:right="220"/>
              <w:spacing w:after="0"/>
              <w:rPr>
                <w:sz w:val="20"/>
                <w:szCs w:val="20"/>
                <w:color w:val="auto"/>
              </w:rPr>
            </w:pPr>
            <w:r>
              <w:rPr>
                <w:rFonts w:ascii="Arial" w:cs="Arial" w:eastAsia="Arial" w:hAnsi="Arial"/>
                <w:sz w:val="17"/>
                <w:szCs w:val="17"/>
                <w:color w:val="auto"/>
              </w:rPr>
              <w:t>-2%</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5%</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5.1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62,600</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2nd Quarter 2009</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43</w:t>
            </w:r>
          </w:p>
        </w:tc>
        <w:tc>
          <w:tcPr>
            <w:tcW w:w="11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62%</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241,521</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27.66</w:t>
            </w:r>
          </w:p>
        </w:tc>
        <w:tc>
          <w:tcPr>
            <w:tcW w:w="700" w:type="dxa"/>
            <w:vAlign w:val="bottom"/>
            <w:tcBorders>
              <w:right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7"/>
                <w:szCs w:val="17"/>
                <w:color w:val="auto"/>
                <w:w w:val="96"/>
              </w:rPr>
              <w:t>$21.89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89"/>
              </w:rPr>
              <w:t>1,392,314</w:t>
            </w:r>
          </w:p>
        </w:tc>
        <w:tc>
          <w:tcPr>
            <w:tcW w:w="1060" w:type="dxa"/>
            <w:vAlign w:val="bottom"/>
            <w:tcBorders>
              <w:right w:val="single" w:sz="8" w:color="CCEEFF"/>
            </w:tcBorders>
            <w:gridSpan w:val="4"/>
            <w:shd w:val="clear" w:color="auto" w:fill="CCEEFF"/>
          </w:tcPr>
          <w:p>
            <w:pPr>
              <w:ind w:left="520"/>
              <w:spacing w:after="0"/>
              <w:rPr>
                <w:sz w:val="20"/>
                <w:szCs w:val="20"/>
                <w:color w:val="auto"/>
              </w:rPr>
            </w:pPr>
            <w:r>
              <w:rPr>
                <w:rFonts w:ascii="Arial" w:cs="Arial" w:eastAsia="Arial" w:hAnsi="Arial"/>
                <w:sz w:val="17"/>
                <w:szCs w:val="17"/>
                <w:color w:val="auto"/>
              </w:rPr>
              <w:t>26%</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w:t>
            </w: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7"/>
                <w:szCs w:val="17"/>
                <w:color w:val="auto"/>
              </w:rPr>
              <w:t>1st Quarter 2009</w:t>
            </w:r>
          </w:p>
        </w:tc>
        <w:tc>
          <w:tcPr>
            <w:tcW w:w="10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7"/>
                <w:szCs w:val="17"/>
                <w:color w:val="auto"/>
              </w:rPr>
              <w:t>44</w:t>
            </w:r>
          </w:p>
        </w:tc>
        <w:tc>
          <w:tcPr>
            <w:tcW w:w="1180" w:type="dxa"/>
            <w:vAlign w:val="bottom"/>
            <w:gridSpan w:val="4"/>
          </w:tcPr>
          <w:p>
            <w:pPr>
              <w:jc w:val="right"/>
              <w:ind w:right="240"/>
              <w:spacing w:after="0"/>
              <w:rPr>
                <w:sz w:val="20"/>
                <w:szCs w:val="20"/>
                <w:color w:val="auto"/>
              </w:rPr>
            </w:pPr>
            <w:r>
              <w:rPr>
                <w:rFonts w:ascii="Arial" w:cs="Arial" w:eastAsia="Arial" w:hAnsi="Arial"/>
                <w:sz w:val="17"/>
                <w:szCs w:val="17"/>
                <w:color w:val="auto"/>
              </w:rPr>
              <w:t>65%</w:t>
            </w:r>
          </w:p>
        </w:tc>
        <w:tc>
          <w:tcPr>
            <w:tcW w:w="500" w:type="dxa"/>
            <w:vAlign w:val="bottom"/>
          </w:tcPr>
          <w:p>
            <w:pPr>
              <w:jc w:val="center"/>
              <w:spacing w:after="0"/>
              <w:rPr>
                <w:sz w:val="20"/>
                <w:szCs w:val="20"/>
                <w:color w:val="auto"/>
              </w:rPr>
            </w:pPr>
            <w:r>
              <w:rPr>
                <w:rFonts w:ascii="Arial" w:cs="Arial" w:eastAsia="Arial" w:hAnsi="Arial"/>
                <w:sz w:val="17"/>
                <w:szCs w:val="17"/>
                <w:color w:val="auto"/>
                <w:w w:val="91"/>
              </w:rPr>
              <w:t>158,570</w:t>
            </w:r>
          </w:p>
        </w:tc>
        <w:tc>
          <w:tcPr>
            <w:tcW w:w="22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30.90</w:t>
            </w:r>
          </w:p>
        </w:tc>
        <w:tc>
          <w:tcPr>
            <w:tcW w:w="700" w:type="dxa"/>
            <w:vAlign w:val="bottom"/>
            <w:gridSpan w:val="2"/>
          </w:tcPr>
          <w:p>
            <w:pPr>
              <w:jc w:val="center"/>
              <w:ind w:right="200"/>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24.53</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3"/>
          </w:tcPr>
          <w:p>
            <w:pPr>
              <w:jc w:val="right"/>
              <w:ind w:right="200"/>
              <w:spacing w:after="0"/>
              <w:rPr>
                <w:sz w:val="20"/>
                <w:szCs w:val="20"/>
                <w:color w:val="auto"/>
              </w:rPr>
            </w:pPr>
            <w:r>
              <w:rPr>
                <w:rFonts w:ascii="Arial" w:cs="Arial" w:eastAsia="Arial" w:hAnsi="Arial"/>
                <w:sz w:val="17"/>
                <w:szCs w:val="17"/>
                <w:color w:val="auto"/>
                <w:w w:val="89"/>
              </w:rPr>
              <w:t>1,009,604</w:t>
            </w:r>
          </w:p>
        </w:tc>
        <w:tc>
          <w:tcPr>
            <w:tcW w:w="1060" w:type="dxa"/>
            <w:vAlign w:val="bottom"/>
            <w:gridSpan w:val="4"/>
          </w:tcPr>
          <w:p>
            <w:pPr>
              <w:ind w:left="520"/>
              <w:spacing w:after="0"/>
              <w:rPr>
                <w:sz w:val="20"/>
                <w:szCs w:val="20"/>
                <w:color w:val="auto"/>
              </w:rPr>
            </w:pPr>
            <w:r>
              <w:rPr>
                <w:rFonts w:ascii="Arial" w:cs="Arial" w:eastAsia="Arial" w:hAnsi="Arial"/>
                <w:sz w:val="17"/>
                <w:szCs w:val="17"/>
                <w:color w:val="auto"/>
              </w:rPr>
              <w:t>26%</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35%</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4.6</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15,300</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189</w:t>
            </w:r>
          </w:p>
        </w:tc>
        <w:tc>
          <w:tcPr>
            <w:tcW w:w="118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61%</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730,893</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29.88</w:t>
            </w:r>
          </w:p>
        </w:tc>
        <w:tc>
          <w:tcPr>
            <w:tcW w:w="700" w:type="dxa"/>
            <w:vAlign w:val="bottom"/>
            <w:tcBorders>
              <w:right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26.26</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89"/>
              </w:rPr>
              <w:t>2,646,131</w:t>
            </w:r>
          </w:p>
        </w:tc>
        <w:tc>
          <w:tcPr>
            <w:tcW w:w="1060" w:type="dxa"/>
            <w:vAlign w:val="bottom"/>
            <w:tcBorders>
              <w:right w:val="single" w:sz="8" w:color="CCEEFF"/>
            </w:tcBorders>
            <w:gridSpan w:val="4"/>
            <w:shd w:val="clear" w:color="auto" w:fill="CCEEFF"/>
          </w:tcPr>
          <w:p>
            <w:pPr>
              <w:ind w:left="520"/>
              <w:spacing w:after="0"/>
              <w:rPr>
                <w:sz w:val="20"/>
                <w:szCs w:val="20"/>
                <w:color w:val="auto"/>
              </w:rPr>
            </w:pPr>
            <w:r>
              <w:rPr>
                <w:rFonts w:ascii="Arial" w:cs="Arial" w:eastAsia="Arial" w:hAnsi="Arial"/>
                <w:sz w:val="17"/>
                <w:szCs w:val="17"/>
                <w:color w:val="auto"/>
              </w:rPr>
              <w:t>14%</w:t>
            </w:r>
          </w:p>
        </w:tc>
        <w:tc>
          <w:tcPr>
            <w:tcW w:w="9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w:t>
            </w: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299,900</w:t>
            </w: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Total Lease Summary - Comparable and Non-comparable (2)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20"/>
              <w:spacing w:after="0"/>
              <w:rPr>
                <w:sz w:val="20"/>
                <w:szCs w:val="20"/>
                <w:color w:val="auto"/>
              </w:rPr>
            </w:pPr>
            <w:r>
              <w:rPr>
                <w:rFonts w:ascii="Arial" w:cs="Arial" w:eastAsia="Arial" w:hAnsi="Arial"/>
                <w:sz w:val="13"/>
                <w:szCs w:val="13"/>
                <w:b w:val="1"/>
                <w:bCs w:val="1"/>
                <w:color w:val="auto"/>
                <w:w w:val="93"/>
              </w:rPr>
              <w:t>Tenant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91"/>
              </w:rPr>
              <w:t>Contractual</w:t>
            </w:r>
          </w:p>
        </w:tc>
        <w:tc>
          <w:tcPr>
            <w:tcW w:w="220" w:type="dxa"/>
            <w:vAlign w:val="bottom"/>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3"/>
              </w:rPr>
              <w:t>Tenant</w:t>
            </w:r>
          </w:p>
        </w:tc>
        <w:tc>
          <w:tcPr>
            <w:tcW w:w="840" w:type="dxa"/>
            <w:vAlign w:val="bottom"/>
            <w:gridSpan w:val="2"/>
          </w:tcPr>
          <w:p>
            <w:pPr>
              <w:ind w:left="20"/>
              <w:spacing w:after="0" w:line="145" w:lineRule="exact"/>
              <w:rPr>
                <w:sz w:val="20"/>
                <w:szCs w:val="20"/>
                <w:color w:val="auto"/>
              </w:rPr>
            </w:pPr>
            <w:r>
              <w:rPr>
                <w:rFonts w:ascii="Arial" w:cs="Arial" w:eastAsia="Arial" w:hAnsi="Arial"/>
                <w:sz w:val="13"/>
                <w:szCs w:val="13"/>
                <w:b w:val="1"/>
                <w:bCs w:val="1"/>
                <w:color w:val="auto"/>
                <w:w w:val="89"/>
              </w:rPr>
              <w:t>Improvements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w w:val="92"/>
              </w:rPr>
              <w:t>Number of</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8"/>
              <w:spacing w:after="0" w:line="145" w:lineRule="exact"/>
              <w:rPr>
                <w:sz w:val="20"/>
                <w:szCs w:val="20"/>
                <w:color w:val="auto"/>
              </w:rPr>
            </w:pPr>
            <w:r>
              <w:rPr>
                <w:rFonts w:ascii="Arial" w:cs="Arial" w:eastAsia="Arial" w:hAnsi="Arial"/>
                <w:sz w:val="13"/>
                <w:szCs w:val="13"/>
                <w:b w:val="1"/>
                <w:bCs w:val="1"/>
                <w:color w:val="auto"/>
                <w:w w:val="90"/>
              </w:rPr>
              <w:t>Rent (3)</w:t>
            </w:r>
          </w:p>
        </w:tc>
        <w:tc>
          <w:tcPr>
            <w:tcW w:w="220" w:type="dxa"/>
            <w:vAlign w:val="bottom"/>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3"/>
                <w:szCs w:val="13"/>
                <w:b w:val="1"/>
                <w:bCs w:val="1"/>
                <w:color w:val="auto"/>
                <w:w w:val="89"/>
              </w:rPr>
              <w:t>Average</w:t>
            </w:r>
          </w:p>
        </w:tc>
        <w:tc>
          <w:tcPr>
            <w:tcW w:w="1120" w:type="dxa"/>
            <w:vAlign w:val="bottom"/>
            <w:gridSpan w:val="3"/>
          </w:tcPr>
          <w:p>
            <w:pPr>
              <w:jc w:val="center"/>
              <w:ind w:right="180"/>
              <w:spacing w:after="0" w:line="145" w:lineRule="exact"/>
              <w:rPr>
                <w:sz w:val="20"/>
                <w:szCs w:val="20"/>
                <w:color w:val="auto"/>
              </w:rPr>
            </w:pPr>
            <w:r>
              <w:rPr>
                <w:rFonts w:ascii="Arial" w:cs="Arial" w:eastAsia="Arial" w:hAnsi="Arial"/>
                <w:sz w:val="13"/>
                <w:szCs w:val="13"/>
                <w:b w:val="1"/>
                <w:bCs w:val="1"/>
                <w:color w:val="auto"/>
                <w:w w:val="92"/>
              </w:rPr>
              <w:t>Improvements</w:t>
            </w:r>
          </w:p>
        </w:tc>
        <w:tc>
          <w:tcPr>
            <w:tcW w:w="84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93"/>
              </w:rPr>
              <w:t>&amp; Incentives</w:t>
            </w:r>
          </w:p>
        </w:tc>
        <w:tc>
          <w:tcPr>
            <w:tcW w:w="0" w:type="dxa"/>
            <w:vAlign w:val="bottom"/>
          </w:tcPr>
          <w:p>
            <w:pPr>
              <w:spacing w:after="0"/>
              <w:rPr>
                <w:sz w:val="1"/>
                <w:szCs w:val="1"/>
                <w:color w:val="auto"/>
              </w:rPr>
            </w:pPr>
          </w:p>
        </w:tc>
      </w:tr>
      <w:tr>
        <w:trPr>
          <w:trHeight w:val="158"/>
        </w:trPr>
        <w:tc>
          <w:tcPr>
            <w:tcW w:w="2400" w:type="dxa"/>
            <w:vAlign w:val="bottom"/>
            <w:gridSpan w:val="4"/>
          </w:tcPr>
          <w:p>
            <w:pPr>
              <w:spacing w:after="0"/>
              <w:rPr>
                <w:sz w:val="20"/>
                <w:szCs w:val="20"/>
                <w:color w:val="auto"/>
              </w:rPr>
            </w:pPr>
            <w:r>
              <w:rPr>
                <w:rFonts w:ascii="Arial" w:cs="Arial" w:eastAsia="Arial" w:hAnsi="Arial"/>
                <w:sz w:val="13"/>
                <w:szCs w:val="13"/>
                <w:b w:val="1"/>
                <w:bCs w:val="1"/>
                <w:color w:val="auto"/>
              </w:rPr>
              <w:t>Quarter</w:t>
            </w: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Leases Signed</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1"/>
              </w:rPr>
              <w:t>GLA Signed</w:t>
            </w: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w w:val="96"/>
              </w:rPr>
              <w:t>Per Sq. Ft.</w:t>
            </w:r>
          </w:p>
        </w:tc>
        <w:tc>
          <w:tcPr>
            <w:tcW w:w="22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9"/>
              </w:rPr>
              <w:t>Lease Term (5)</w:t>
            </w: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&amp; Incentives (6)</w:t>
            </w:r>
          </w:p>
        </w:tc>
        <w:tc>
          <w:tcPr>
            <w:tcW w:w="100" w:type="dxa"/>
            <w:vAlign w:val="bottom"/>
          </w:tcPr>
          <w:p>
            <w:pPr>
              <w:spacing w:after="0"/>
              <w:rPr>
                <w:sz w:val="13"/>
                <w:szCs w:val="13"/>
                <w:color w:val="auto"/>
              </w:rPr>
            </w:pPr>
          </w:p>
        </w:tc>
        <w:tc>
          <w:tcPr>
            <w:tcW w:w="740" w:type="dxa"/>
            <w:vAlign w:val="bottom"/>
          </w:tcPr>
          <w:p>
            <w:pPr>
              <w:jc w:val="center"/>
              <w:ind w:right="20"/>
              <w:spacing w:after="0"/>
              <w:rPr>
                <w:sz w:val="20"/>
                <w:szCs w:val="20"/>
                <w:color w:val="auto"/>
              </w:rPr>
            </w:pPr>
            <w:r>
              <w:rPr>
                <w:rFonts w:ascii="Arial" w:cs="Arial" w:eastAsia="Arial" w:hAnsi="Arial"/>
                <w:sz w:val="13"/>
                <w:szCs w:val="13"/>
                <w:b w:val="1"/>
                <w:bCs w:val="1"/>
                <w:color w:val="auto"/>
                <w:w w:val="93"/>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4th Quarter 2009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396,709</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27.12</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4,900,788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Arial" w:cs="Arial" w:eastAsia="Arial" w:hAnsi="Arial"/>
                <w:sz w:val="17"/>
                <w:szCs w:val="17"/>
                <w:color w:val="auto"/>
              </w:rPr>
              <w:t>3rd Quarter 2009</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94</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356,624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28.76</w:t>
            </w:r>
          </w:p>
        </w:tc>
        <w:tc>
          <w:tcPr>
            <w:tcW w:w="1260" w:type="dxa"/>
            <w:vAlign w:val="bottom"/>
            <w:gridSpan w:val="3"/>
          </w:tcPr>
          <w:p>
            <w:pPr>
              <w:jc w:val="right"/>
              <w:ind w:right="200"/>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4,703,184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13.19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2nd Quarter 2009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318,703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27.03</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1,503,836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Arial" w:cs="Arial" w:eastAsia="Arial" w:hAnsi="Arial"/>
                <w:sz w:val="17"/>
                <w:szCs w:val="17"/>
                <w:color w:val="auto"/>
              </w:rPr>
              <w:t>1st Quarter 2009</w:t>
            </w:r>
          </w:p>
        </w:tc>
        <w:tc>
          <w:tcPr>
            <w:tcW w:w="800" w:type="dxa"/>
            <w:vAlign w:val="bottom"/>
          </w:tcPr>
          <w:p>
            <w:pPr>
              <w:jc w:val="right"/>
              <w:spacing w:after="0"/>
              <w:rPr>
                <w:sz w:val="20"/>
                <w:szCs w:val="20"/>
                <w:color w:val="auto"/>
              </w:rPr>
            </w:pPr>
            <w:r>
              <w:rPr>
                <w:rFonts w:ascii="Arial" w:cs="Arial" w:eastAsia="Arial" w:hAnsi="Arial"/>
                <w:sz w:val="17"/>
                <w:szCs w:val="17"/>
                <w:color w:val="auto"/>
              </w:rPr>
              <w:t>69</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233,172</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31.35</w:t>
            </w:r>
          </w:p>
        </w:tc>
        <w:tc>
          <w:tcPr>
            <w:tcW w:w="1260" w:type="dxa"/>
            <w:vAlign w:val="bottom"/>
            <w:gridSpan w:val="3"/>
          </w:tcPr>
          <w:p>
            <w:pPr>
              <w:jc w:val="right"/>
              <w:ind w:right="200"/>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2,430,940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- 12 months</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1,305,208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28.30</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13,538,748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Leases on this report represent retail activity only; office and residential leases are not included.</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Comparable leases represent those leases signed on spaces for which there was a former tenant.</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Contractual rent represents contractual minimum rent under the new lease for the first 12 months of the term.</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Prior rent represents minimum rent and percentage rent, if any, paid by the prior tenant in the final 12 months of the term.</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Weighted average is determined on the basis of square footage.</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Renewal leases represent expiring leases rolling over with the same tenant in the same location. All other leases are categorized as new.</w:t>
      </w:r>
    </w:p>
    <w:p>
      <w:pPr>
        <w:sectPr>
          <w:pgSz w:w="11900" w:h="16838" w:orient="portrait"/>
          <w:cols w:equalWidth="0" w:num="1">
            <w:col w:w="11420"/>
          </w:cols>
          <w:pgMar w:left="240" w:top="270" w:right="239"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70"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Expirations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Assumes no exercise of lease options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Anchor Tenants (1)</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96"/>
              </w:rPr>
              <w:t>Small Shop Tenants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jc w:val="center"/>
              <w:ind w:right="440"/>
              <w:spacing w:after="0" w:line="126" w:lineRule="exact"/>
              <w:rPr>
                <w:sz w:val="20"/>
                <w:szCs w:val="20"/>
                <w:color w:val="auto"/>
              </w:rPr>
            </w:pPr>
            <w:r>
              <w:rPr>
                <w:rFonts w:ascii="Arial" w:cs="Arial" w:eastAsia="Arial" w:hAnsi="Arial"/>
                <w:sz w:val="13"/>
                <w:szCs w:val="13"/>
                <w:b w:val="1"/>
                <w:bCs w:val="1"/>
                <w:color w:val="auto"/>
              </w:rPr>
              <w:t>% of</w:t>
            </w:r>
          </w:p>
        </w:tc>
        <w:tc>
          <w:tcPr>
            <w:tcW w:w="88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w w:val="93"/>
              </w:rPr>
              <w:t>Minimum Rent</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440"/>
              <w:spacing w:after="0" w:line="126" w:lineRule="exact"/>
              <w:rPr>
                <w:sz w:val="20"/>
                <w:szCs w:val="20"/>
                <w:color w:val="auto"/>
              </w:rPr>
            </w:pPr>
            <w:r>
              <w:rPr>
                <w:rFonts w:ascii="Arial" w:cs="Arial" w:eastAsia="Arial" w:hAnsi="Arial"/>
                <w:sz w:val="13"/>
                <w:szCs w:val="13"/>
                <w:b w:val="1"/>
                <w:bCs w:val="1"/>
                <w:color w:val="auto"/>
                <w:w w:val="97"/>
              </w:rPr>
              <w:t>% of Small</w:t>
            </w:r>
          </w:p>
        </w:tc>
        <w:tc>
          <w:tcPr>
            <w:tcW w:w="20" w:type="dxa"/>
            <w:vAlign w:val="bottom"/>
          </w:tcPr>
          <w:p>
            <w:pPr>
              <w:spacing w:after="0"/>
              <w:rPr>
                <w:sz w:val="10"/>
                <w:szCs w:val="10"/>
                <w:color w:val="auto"/>
              </w:rPr>
            </w:pPr>
          </w:p>
        </w:tc>
        <w:tc>
          <w:tcPr>
            <w:tcW w:w="86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3"/>
              </w:rPr>
              <w:t>Minimum Rent</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3"/>
              </w:rPr>
              <w:t>Minimum Rent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74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260" w:type="dxa"/>
            <w:vAlign w:val="bottom"/>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1"/>
              </w:rPr>
              <w:t>Anchor SF</w:t>
            </w:r>
          </w:p>
        </w:tc>
        <w:tc>
          <w:tcPr>
            <w:tcW w:w="16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PSF (2)</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1"/>
              </w:rPr>
              <w:t>Expiring SF</w:t>
            </w:r>
          </w:p>
        </w:tc>
        <w:tc>
          <w:tcPr>
            <w:tcW w:w="160" w:type="dxa"/>
            <w:vAlign w:val="bottom"/>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Shop SF</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PSF (2)</w:t>
            </w:r>
          </w:p>
        </w:tc>
        <w:tc>
          <w:tcPr>
            <w:tcW w:w="11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1"/>
              </w:rPr>
              <w:t>Expiring SF (4)</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4"/>
              </w:rPr>
              <w:t>% of Total SF</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12.73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733,000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10%</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27.57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983,000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2011</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901,000</w:t>
            </w:r>
          </w:p>
        </w:tc>
        <w:tc>
          <w:tcPr>
            <w:tcW w:w="1340" w:type="dxa"/>
            <w:vAlign w:val="bottom"/>
            <w:gridSpan w:val="3"/>
          </w:tcPr>
          <w:p>
            <w:pPr>
              <w:jc w:val="right"/>
              <w:ind w:right="300"/>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13.99</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1,110,000</w:t>
            </w:r>
          </w:p>
        </w:tc>
        <w:tc>
          <w:tcPr>
            <w:tcW w:w="1240" w:type="dxa"/>
            <w:vAlign w:val="bottom"/>
            <w:gridSpan w:val="3"/>
          </w:tcPr>
          <w:p>
            <w:pPr>
              <w:jc w:val="right"/>
              <w:ind w:right="300"/>
              <w:spacing w:after="0"/>
              <w:rPr>
                <w:sz w:val="20"/>
                <w:szCs w:val="20"/>
                <w:color w:val="auto"/>
              </w:rPr>
            </w:pPr>
            <w:r>
              <w:rPr>
                <w:rFonts w:ascii="Arial" w:cs="Arial" w:eastAsia="Arial" w:hAnsi="Arial"/>
                <w:sz w:val="17"/>
                <w:szCs w:val="17"/>
                <w:color w:val="auto"/>
              </w:rPr>
              <w:t>15%</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29.99</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2,011,000</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3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978,000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7"/>
              </w:rPr>
              <w:t>1,150,000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16%</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30.65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2,128,000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2013</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1,067,000</w:t>
            </w:r>
          </w:p>
        </w:tc>
        <w:tc>
          <w:tcPr>
            <w:tcW w:w="1340" w:type="dxa"/>
            <w:vAlign w:val="bottom"/>
            <w:gridSpan w:val="3"/>
          </w:tcPr>
          <w:p>
            <w:pPr>
              <w:jc w:val="right"/>
              <w:ind w:right="30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15.30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996,000</w:t>
            </w:r>
          </w:p>
        </w:tc>
        <w:tc>
          <w:tcPr>
            <w:tcW w:w="1240" w:type="dxa"/>
            <w:vAlign w:val="bottom"/>
            <w:gridSpan w:val="3"/>
          </w:tcPr>
          <w:p>
            <w:pPr>
              <w:jc w:val="right"/>
              <w:ind w:right="300"/>
              <w:spacing w:after="0"/>
              <w:rPr>
                <w:sz w:val="20"/>
                <w:szCs w:val="20"/>
                <w:color w:val="auto"/>
              </w:rPr>
            </w:pPr>
            <w:r>
              <w:rPr>
                <w:rFonts w:ascii="Arial" w:cs="Arial" w:eastAsia="Arial" w:hAnsi="Arial"/>
                <w:sz w:val="17"/>
                <w:szCs w:val="17"/>
                <w:color w:val="auto"/>
              </w:rPr>
              <w:t>13%</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32.27</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2,063,000</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3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1,398,000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16.08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858,000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12%</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33.29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2,257,000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2015</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778,000</w:t>
            </w:r>
          </w:p>
        </w:tc>
        <w:tc>
          <w:tcPr>
            <w:tcW w:w="1340" w:type="dxa"/>
            <w:vAlign w:val="bottom"/>
            <w:gridSpan w:val="3"/>
          </w:tcPr>
          <w:p>
            <w:pPr>
              <w:jc w:val="right"/>
              <w:ind w:right="300"/>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13.86</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659,000</w:t>
            </w:r>
          </w:p>
        </w:tc>
        <w:tc>
          <w:tcPr>
            <w:tcW w:w="1240" w:type="dxa"/>
            <w:vAlign w:val="bottom"/>
            <w:gridSpan w:val="3"/>
          </w:tcPr>
          <w:p>
            <w:pPr>
              <w:jc w:val="right"/>
              <w:ind w:right="300"/>
              <w:spacing w:after="0"/>
              <w:rPr>
                <w:sz w:val="20"/>
                <w:szCs w:val="20"/>
                <w:color w:val="auto"/>
              </w:rPr>
            </w:pPr>
            <w:r>
              <w:rPr>
                <w:rFonts w:ascii="Arial" w:cs="Arial" w:eastAsia="Arial" w:hAnsi="Arial"/>
                <w:sz w:val="17"/>
                <w:szCs w:val="17"/>
                <w:color w:val="auto"/>
              </w:rPr>
              <w:t>9%</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28.46</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1,437,000</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3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508,000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17.52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506,000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31.00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1,014,000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2017</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620,000</w:t>
            </w:r>
          </w:p>
        </w:tc>
        <w:tc>
          <w:tcPr>
            <w:tcW w:w="1340" w:type="dxa"/>
            <w:vAlign w:val="bottom"/>
            <w:gridSpan w:val="3"/>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17.24</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415,000</w:t>
            </w:r>
          </w:p>
        </w:tc>
        <w:tc>
          <w:tcPr>
            <w:tcW w:w="1240" w:type="dxa"/>
            <w:vAlign w:val="bottom"/>
            <w:gridSpan w:val="3"/>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29.97</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1,034,000</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3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2018</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672,000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11.56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296,000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4%</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34.55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968,000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2019</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487,000</w:t>
            </w:r>
          </w:p>
        </w:tc>
        <w:tc>
          <w:tcPr>
            <w:tcW w:w="1340" w:type="dxa"/>
            <w:vAlign w:val="bottom"/>
            <w:gridSpan w:val="3"/>
          </w:tcPr>
          <w:p>
            <w:pPr>
              <w:jc w:val="right"/>
              <w:ind w:right="30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17.27</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198,000</w:t>
            </w:r>
          </w:p>
        </w:tc>
        <w:tc>
          <w:tcPr>
            <w:tcW w:w="1240" w:type="dxa"/>
            <w:vAlign w:val="bottom"/>
            <w:gridSpan w:val="3"/>
          </w:tcPr>
          <w:p>
            <w:pPr>
              <w:jc w:val="right"/>
              <w:ind w:right="300"/>
              <w:spacing w:after="0"/>
              <w:rPr>
                <w:sz w:val="20"/>
                <w:szCs w:val="20"/>
                <w:color w:val="auto"/>
              </w:rPr>
            </w:pPr>
            <w:r>
              <w:rPr>
                <w:rFonts w:ascii="Arial" w:cs="Arial" w:eastAsia="Arial" w:hAnsi="Arial"/>
                <w:sz w:val="17"/>
                <w:szCs w:val="17"/>
                <w:color w:val="auto"/>
              </w:rPr>
              <w:t>3%</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41.12</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685,000</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1,953,000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16.32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364,000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5%</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36.90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2,317,000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Total (3)</w:t>
            </w: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gridSpan w:val="4"/>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9,612,000</w:t>
            </w:r>
          </w:p>
        </w:tc>
        <w:tc>
          <w:tcPr>
            <w:tcW w:w="2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15.18</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7,285,000</w:t>
            </w:r>
          </w:p>
        </w:tc>
        <w:tc>
          <w:tcPr>
            <w:tcW w:w="1240" w:type="dxa"/>
            <w:vAlign w:val="bottom"/>
            <w:gridSpan w:val="3"/>
          </w:tcPr>
          <w:p>
            <w:pPr>
              <w:jc w:val="right"/>
              <w:ind w:right="300"/>
              <w:spacing w:after="0"/>
              <w:rPr>
                <w:sz w:val="20"/>
                <w:szCs w:val="20"/>
                <w:color w:val="auto"/>
              </w:rPr>
            </w:pPr>
            <w:r>
              <w:rPr>
                <w:rFonts w:ascii="Arial" w:cs="Arial" w:eastAsia="Arial" w:hAnsi="Arial"/>
                <w:sz w:val="17"/>
                <w:szCs w:val="17"/>
                <w:color w:val="auto"/>
              </w:rPr>
              <w:t>100%</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31.31</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16,897,000</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3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22.14</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780" w:type="dxa"/>
            <w:vAlign w:val="bottom"/>
            <w:gridSpan w:val="8"/>
          </w:tcPr>
          <w:p>
            <w:pPr>
              <w:spacing w:after="0"/>
              <w:rPr>
                <w:sz w:val="20"/>
                <w:szCs w:val="20"/>
                <w:color w:val="auto"/>
              </w:rPr>
            </w:pPr>
            <w:r>
              <w:rPr>
                <w:rFonts w:ascii="Arial" w:cs="Arial" w:eastAsia="Arial" w:hAnsi="Arial"/>
                <w:sz w:val="17"/>
                <w:szCs w:val="17"/>
                <w:b w:val="1"/>
                <w:bCs w:val="1"/>
                <w:color w:val="auto"/>
              </w:rPr>
              <w:t>Assumes all lease options are exercised</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Anchor Tenants (1)</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w w:val="96"/>
              </w:rPr>
              <w:t>Small Shop Tenants</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3"/>
                <w:szCs w:val="13"/>
                <w:b w:val="1"/>
                <w:bCs w:val="1"/>
                <w:color w:val="auto"/>
              </w:rPr>
              <w:t>Total</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jc w:val="center"/>
              <w:ind w:right="440"/>
              <w:spacing w:after="0" w:line="126" w:lineRule="exact"/>
              <w:rPr>
                <w:sz w:val="20"/>
                <w:szCs w:val="20"/>
                <w:color w:val="auto"/>
              </w:rPr>
            </w:pPr>
            <w:r>
              <w:rPr>
                <w:rFonts w:ascii="Arial" w:cs="Arial" w:eastAsia="Arial" w:hAnsi="Arial"/>
                <w:sz w:val="13"/>
                <w:szCs w:val="13"/>
                <w:b w:val="1"/>
                <w:bCs w:val="1"/>
                <w:color w:val="auto"/>
              </w:rPr>
              <w:t>% of</w:t>
            </w:r>
          </w:p>
        </w:tc>
        <w:tc>
          <w:tcPr>
            <w:tcW w:w="880" w:type="dxa"/>
            <w:vAlign w:val="bottom"/>
            <w:gridSpan w:val="2"/>
          </w:tcPr>
          <w:p>
            <w:pPr>
              <w:ind w:left="20"/>
              <w:spacing w:after="0" w:line="126" w:lineRule="exact"/>
              <w:rPr>
                <w:sz w:val="20"/>
                <w:szCs w:val="20"/>
                <w:color w:val="auto"/>
              </w:rPr>
            </w:pPr>
            <w:r>
              <w:rPr>
                <w:rFonts w:ascii="Arial" w:cs="Arial" w:eastAsia="Arial" w:hAnsi="Arial"/>
                <w:sz w:val="13"/>
                <w:szCs w:val="13"/>
                <w:b w:val="1"/>
                <w:bCs w:val="1"/>
                <w:color w:val="auto"/>
                <w:w w:val="93"/>
              </w:rPr>
              <w:t>Minimum Rent</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440"/>
              <w:spacing w:after="0" w:line="126" w:lineRule="exact"/>
              <w:rPr>
                <w:sz w:val="20"/>
                <w:szCs w:val="20"/>
                <w:color w:val="auto"/>
              </w:rPr>
            </w:pPr>
            <w:r>
              <w:rPr>
                <w:rFonts w:ascii="Arial" w:cs="Arial" w:eastAsia="Arial" w:hAnsi="Arial"/>
                <w:sz w:val="13"/>
                <w:szCs w:val="13"/>
                <w:b w:val="1"/>
                <w:bCs w:val="1"/>
                <w:color w:val="auto"/>
                <w:w w:val="97"/>
              </w:rPr>
              <w:t>% of Small</w:t>
            </w:r>
          </w:p>
        </w:tc>
        <w:tc>
          <w:tcPr>
            <w:tcW w:w="20" w:type="dxa"/>
            <w:vAlign w:val="bottom"/>
          </w:tcPr>
          <w:p>
            <w:pPr>
              <w:spacing w:after="0"/>
              <w:rPr>
                <w:sz w:val="10"/>
                <w:szCs w:val="10"/>
                <w:color w:val="auto"/>
              </w:rPr>
            </w:pPr>
          </w:p>
        </w:tc>
        <w:tc>
          <w:tcPr>
            <w:tcW w:w="86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3"/>
              </w:rPr>
              <w:t>Minimum Rent</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w w:val="93"/>
              </w:rPr>
              <w:t>Minimum Rent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740" w:type="dxa"/>
            <w:vAlign w:val="bottom"/>
            <w:gridSpan w:val="4"/>
          </w:tcPr>
          <w:p>
            <w:pPr>
              <w:spacing w:after="0"/>
              <w:rPr>
                <w:sz w:val="20"/>
                <w:szCs w:val="20"/>
                <w:color w:val="auto"/>
              </w:rPr>
            </w:pPr>
            <w:r>
              <w:rPr>
                <w:rFonts w:ascii="Arial" w:cs="Arial" w:eastAsia="Arial" w:hAnsi="Arial"/>
                <w:sz w:val="13"/>
                <w:szCs w:val="13"/>
                <w:b w:val="1"/>
                <w:bCs w:val="1"/>
                <w:color w:val="auto"/>
              </w:rPr>
              <w:t>Year</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94"/>
              </w:rPr>
              <w:t>Expiring SF</w:t>
            </w:r>
          </w:p>
        </w:tc>
        <w:tc>
          <w:tcPr>
            <w:tcW w:w="260" w:type="dxa"/>
            <w:vAlign w:val="bottom"/>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1"/>
              </w:rPr>
              <w:t>Anchor SF</w:t>
            </w:r>
          </w:p>
        </w:tc>
        <w:tc>
          <w:tcPr>
            <w:tcW w:w="16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PSF (2)</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1"/>
              </w:rPr>
              <w:t>Expiring SF</w:t>
            </w:r>
          </w:p>
        </w:tc>
        <w:tc>
          <w:tcPr>
            <w:tcW w:w="160" w:type="dxa"/>
            <w:vAlign w:val="bottom"/>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Shop SF</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PSF (2)</w:t>
            </w:r>
          </w:p>
        </w:tc>
        <w:tc>
          <w:tcPr>
            <w:tcW w:w="11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1"/>
              </w:rPr>
              <w:t>Expiring SF (4)</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4"/>
              </w:rPr>
              <w:t>% of Total SF</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144,000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11.31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517,000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27.63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661,000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2011</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241,000</w:t>
            </w:r>
          </w:p>
        </w:tc>
        <w:tc>
          <w:tcPr>
            <w:tcW w:w="1340" w:type="dxa"/>
            <w:vAlign w:val="bottom"/>
            <w:gridSpan w:val="3"/>
          </w:tcPr>
          <w:p>
            <w:pPr>
              <w:jc w:val="right"/>
              <w:ind w:right="30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10.35</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619,000</w:t>
            </w:r>
          </w:p>
        </w:tc>
        <w:tc>
          <w:tcPr>
            <w:tcW w:w="1240" w:type="dxa"/>
            <w:vAlign w:val="bottom"/>
            <w:gridSpan w:val="3"/>
          </w:tcPr>
          <w:p>
            <w:pPr>
              <w:jc w:val="right"/>
              <w:ind w:right="300"/>
              <w:spacing w:after="0"/>
              <w:rPr>
                <w:sz w:val="20"/>
                <w:szCs w:val="20"/>
                <w:color w:val="auto"/>
              </w:rPr>
            </w:pPr>
            <w:r>
              <w:rPr>
                <w:rFonts w:ascii="Arial" w:cs="Arial" w:eastAsia="Arial" w:hAnsi="Arial"/>
                <w:sz w:val="17"/>
                <w:szCs w:val="17"/>
                <w:color w:val="auto"/>
              </w:rPr>
              <w:t>9%</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29.46</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860,000</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3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2012</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218,000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16.15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660,000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9%</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31.51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878,000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2013</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173,000</w:t>
            </w:r>
          </w:p>
        </w:tc>
        <w:tc>
          <w:tcPr>
            <w:tcW w:w="1340" w:type="dxa"/>
            <w:vAlign w:val="bottom"/>
            <w:gridSpan w:val="3"/>
          </w:tcPr>
          <w:p>
            <w:pPr>
              <w:jc w:val="right"/>
              <w:ind w:right="30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16.00</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519,000</w:t>
            </w:r>
          </w:p>
        </w:tc>
        <w:tc>
          <w:tcPr>
            <w:tcW w:w="1240" w:type="dxa"/>
            <w:vAlign w:val="bottom"/>
            <w:gridSpan w:val="3"/>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32.77</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692,000</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10.24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527,000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34.72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752,000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2015</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134,000</w:t>
            </w:r>
          </w:p>
        </w:tc>
        <w:tc>
          <w:tcPr>
            <w:tcW w:w="1340" w:type="dxa"/>
            <w:vAlign w:val="bottom"/>
            <w:gridSpan w:val="3"/>
          </w:tcPr>
          <w:p>
            <w:pPr>
              <w:jc w:val="right"/>
              <w:ind w:right="30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18.04</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441,000</w:t>
            </w:r>
          </w:p>
        </w:tc>
        <w:tc>
          <w:tcPr>
            <w:tcW w:w="1240" w:type="dxa"/>
            <w:vAlign w:val="bottom"/>
            <w:gridSpan w:val="3"/>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28.39</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575,000</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3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205,000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18.70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463,000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30.20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668,000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2017</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152,000</w:t>
            </w:r>
          </w:p>
        </w:tc>
        <w:tc>
          <w:tcPr>
            <w:tcW w:w="1340" w:type="dxa"/>
            <w:vAlign w:val="bottom"/>
            <w:gridSpan w:val="3"/>
          </w:tcPr>
          <w:p>
            <w:pPr>
              <w:jc w:val="right"/>
              <w:ind w:right="300"/>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24.93</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530,000</w:t>
            </w:r>
          </w:p>
        </w:tc>
        <w:tc>
          <w:tcPr>
            <w:tcW w:w="1240" w:type="dxa"/>
            <w:vAlign w:val="bottom"/>
            <w:gridSpan w:val="3"/>
          </w:tcPr>
          <w:p>
            <w:pPr>
              <w:jc w:val="right"/>
              <w:ind w:right="300"/>
              <w:spacing w:after="0"/>
              <w:rPr>
                <w:sz w:val="20"/>
                <w:szCs w:val="20"/>
                <w:color w:val="auto"/>
              </w:rPr>
            </w:pPr>
            <w:r>
              <w:rPr>
                <w:rFonts w:ascii="Arial" w:cs="Arial" w:eastAsia="Arial" w:hAnsi="Arial"/>
                <w:sz w:val="17"/>
                <w:szCs w:val="17"/>
                <w:color w:val="auto"/>
              </w:rPr>
              <w:t>7%</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31.16</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683,000</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2018</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305,000</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13.91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426,000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6%</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36.21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731,000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b w:val="1"/>
                <w:bCs w:val="1"/>
                <w:color w:val="auto"/>
              </w:rPr>
              <w:t>2019</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353,000</w:t>
            </w:r>
          </w:p>
        </w:tc>
        <w:tc>
          <w:tcPr>
            <w:tcW w:w="1340" w:type="dxa"/>
            <w:vAlign w:val="bottom"/>
            <w:gridSpan w:val="3"/>
          </w:tcPr>
          <w:p>
            <w:pPr>
              <w:jc w:val="right"/>
              <w:ind w:right="30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19.06</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346,000</w:t>
            </w:r>
          </w:p>
        </w:tc>
        <w:tc>
          <w:tcPr>
            <w:tcW w:w="1240" w:type="dxa"/>
            <w:vAlign w:val="bottom"/>
            <w:gridSpan w:val="3"/>
          </w:tcPr>
          <w:p>
            <w:pPr>
              <w:jc w:val="right"/>
              <w:ind w:right="300"/>
              <w:spacing w:after="0"/>
              <w:rPr>
                <w:sz w:val="20"/>
                <w:szCs w:val="20"/>
                <w:color w:val="auto"/>
              </w:rPr>
            </w:pPr>
            <w:r>
              <w:rPr>
                <w:rFonts w:ascii="Arial" w:cs="Arial" w:eastAsia="Arial" w:hAnsi="Arial"/>
                <w:sz w:val="17"/>
                <w:szCs w:val="17"/>
                <w:color w:val="auto"/>
              </w:rPr>
              <w:t>5%</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33.95</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699,000</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3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7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Thereafter</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7,462,000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15.03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7"/>
              </w:rPr>
              <w:t>2,237,000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31%</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30.98</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9,698,000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Total (3)</w:t>
            </w: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gridSpan w:val="4"/>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9,612,000</w:t>
            </w:r>
          </w:p>
        </w:tc>
        <w:tc>
          <w:tcPr>
            <w:tcW w:w="2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15.18</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7,285,000</w:t>
            </w:r>
          </w:p>
        </w:tc>
        <w:tc>
          <w:tcPr>
            <w:tcW w:w="1240" w:type="dxa"/>
            <w:vAlign w:val="bottom"/>
            <w:gridSpan w:val="3"/>
          </w:tcPr>
          <w:p>
            <w:pPr>
              <w:jc w:val="right"/>
              <w:ind w:right="300"/>
              <w:spacing w:after="0"/>
              <w:rPr>
                <w:sz w:val="20"/>
                <w:szCs w:val="20"/>
                <w:color w:val="auto"/>
              </w:rPr>
            </w:pPr>
            <w:r>
              <w:rPr>
                <w:rFonts w:ascii="Arial" w:cs="Arial" w:eastAsia="Arial" w:hAnsi="Arial"/>
                <w:sz w:val="17"/>
                <w:szCs w:val="17"/>
                <w:color w:val="auto"/>
              </w:rPr>
              <w:t>100%</w:t>
            </w: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31.31</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16,897,000</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32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Anchor is defined as a tenant leasing 15,000 square feet or more.</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Minimum Rent reflects in-place contractual (cash-basis) rent as of December 31, 2009.</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occupied square footage as of December 31, 2009.</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Individual items may not add up to total due to rounding.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70"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Leased Statistics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Overall Portfolio Statistics (1)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Type</w:t>
            </w:r>
          </w:p>
        </w:tc>
        <w:tc>
          <w:tcPr>
            <w:tcW w:w="1980" w:type="dxa"/>
            <w:vAlign w:val="bottom"/>
            <w:tcBorders>
              <w:bottom w:val="single" w:sz="8" w:color="auto"/>
            </w:tcBorders>
            <w:gridSpan w:val="4"/>
          </w:tcPr>
          <w:p>
            <w:pPr>
              <w:ind w:left="660"/>
              <w:spacing w:after="0"/>
              <w:rPr>
                <w:sz w:val="20"/>
                <w:szCs w:val="20"/>
                <w:color w:val="auto"/>
              </w:rPr>
            </w:pPr>
            <w:r>
              <w:rPr>
                <w:rFonts w:ascii="Arial" w:cs="Arial" w:eastAsia="Arial" w:hAnsi="Arial"/>
                <w:sz w:val="13"/>
                <w:szCs w:val="13"/>
                <w:b w:val="1"/>
                <w:bCs w:val="1"/>
                <w:color w:val="auto"/>
                <w:w w:val="96"/>
              </w:rPr>
              <w:t>At December 31, 2009</w:t>
            </w:r>
          </w:p>
        </w:tc>
        <w:tc>
          <w:tcPr>
            <w:tcW w:w="5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9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rPr>
              <w:t>At December 31, 2008</w:t>
            </w:r>
          </w:p>
        </w:tc>
        <w:tc>
          <w:tcPr>
            <w:tcW w:w="5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720" w:type="dxa"/>
            <w:vAlign w:val="bottom"/>
            <w:gridSpan w:val="4"/>
            <w:vMerge w:val="continue"/>
          </w:tcPr>
          <w:p>
            <w:pPr>
              <w:spacing w:after="0"/>
              <w:rPr>
                <w:sz w:val="12"/>
                <w:szCs w:val="12"/>
                <w:color w:val="auto"/>
              </w:rPr>
            </w:pPr>
          </w:p>
        </w:tc>
        <w:tc>
          <w:tcPr>
            <w:tcW w:w="780" w:type="dxa"/>
            <w:vAlign w:val="bottom"/>
          </w:tcPr>
          <w:p>
            <w:pPr>
              <w:jc w:val="right"/>
              <w:ind w:right="204"/>
              <w:spacing w:after="0" w:line="138"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2"/>
                <w:szCs w:val="12"/>
                <w:color w:val="auto"/>
              </w:rPr>
            </w:pPr>
          </w:p>
        </w:tc>
        <w:tc>
          <w:tcPr>
            <w:tcW w:w="980" w:type="dxa"/>
            <w:vAlign w:val="bottom"/>
            <w:gridSpan w:val="2"/>
          </w:tcPr>
          <w:p>
            <w:pPr>
              <w:ind w:left="180"/>
              <w:spacing w:after="0" w:line="138" w:lineRule="exact"/>
              <w:rPr>
                <w:sz w:val="20"/>
                <w:szCs w:val="20"/>
                <w:color w:val="auto"/>
              </w:rPr>
            </w:pPr>
            <w:r>
              <w:rPr>
                <w:rFonts w:ascii="Arial" w:cs="Arial" w:eastAsia="Arial" w:hAnsi="Arial"/>
                <w:sz w:val="13"/>
                <w:szCs w:val="13"/>
                <w:b w:val="1"/>
                <w:bCs w:val="1"/>
                <w:color w:val="auto"/>
              </w:rPr>
              <w:t>Leased</w:t>
            </w:r>
          </w:p>
        </w:tc>
        <w:tc>
          <w:tcPr>
            <w:tcW w:w="580" w:type="dxa"/>
            <w:vAlign w:val="bottom"/>
          </w:tcPr>
          <w:p>
            <w:pPr>
              <w:spacing w:after="0" w:line="138" w:lineRule="exact"/>
              <w:rPr>
                <w:sz w:val="20"/>
                <w:szCs w:val="20"/>
                <w:color w:val="auto"/>
              </w:rPr>
            </w:pPr>
            <w:r>
              <w:rPr>
                <w:rFonts w:ascii="Arial" w:cs="Arial" w:eastAsia="Arial" w:hAnsi="Arial"/>
                <w:sz w:val="13"/>
                <w:szCs w:val="13"/>
                <w:b w:val="1"/>
                <w:bCs w:val="1"/>
                <w:color w:val="auto"/>
                <w:w w:val="93"/>
              </w:rPr>
              <w:t>Leased %</w:t>
            </w:r>
          </w:p>
        </w:tc>
        <w:tc>
          <w:tcPr>
            <w:tcW w:w="400" w:type="dxa"/>
            <w:vAlign w:val="bottom"/>
          </w:tcPr>
          <w:p>
            <w:pPr>
              <w:spacing w:after="0"/>
              <w:rPr>
                <w:sz w:val="12"/>
                <w:szCs w:val="12"/>
                <w:color w:val="auto"/>
              </w:rPr>
            </w:pPr>
          </w:p>
        </w:tc>
        <w:tc>
          <w:tcPr>
            <w:tcW w:w="980" w:type="dxa"/>
            <w:vAlign w:val="bottom"/>
            <w:gridSpan w:val="2"/>
          </w:tcPr>
          <w:p>
            <w:pPr>
              <w:ind w:left="280"/>
              <w:spacing w:after="0" w:line="138" w:lineRule="exact"/>
              <w:rPr>
                <w:sz w:val="20"/>
                <w:szCs w:val="20"/>
                <w:color w:val="auto"/>
              </w:rPr>
            </w:pPr>
            <w:r>
              <w:rPr>
                <w:rFonts w:ascii="Arial" w:cs="Arial" w:eastAsia="Arial" w:hAnsi="Arial"/>
                <w:sz w:val="13"/>
                <w:szCs w:val="13"/>
                <w:b w:val="1"/>
                <w:bCs w:val="1"/>
                <w:color w:val="auto"/>
              </w:rPr>
              <w:t>Size</w:t>
            </w:r>
          </w:p>
        </w:tc>
        <w:tc>
          <w:tcPr>
            <w:tcW w:w="1000" w:type="dxa"/>
            <w:vAlign w:val="bottom"/>
            <w:gridSpan w:val="2"/>
          </w:tcPr>
          <w:p>
            <w:pPr>
              <w:jc w:val="right"/>
              <w:ind w:right="400"/>
              <w:spacing w:after="0" w:line="138" w:lineRule="exact"/>
              <w:rPr>
                <w:sz w:val="20"/>
                <w:szCs w:val="20"/>
                <w:color w:val="auto"/>
              </w:rPr>
            </w:pPr>
            <w:r>
              <w:rPr>
                <w:rFonts w:ascii="Arial" w:cs="Arial" w:eastAsia="Arial" w:hAnsi="Arial"/>
                <w:sz w:val="13"/>
                <w:szCs w:val="13"/>
                <w:b w:val="1"/>
                <w:bCs w:val="1"/>
                <w:color w:val="auto"/>
              </w:rPr>
              <w:t>Leased</w:t>
            </w:r>
          </w:p>
        </w:tc>
        <w:tc>
          <w:tcPr>
            <w:tcW w:w="560" w:type="dxa"/>
            <w:vAlign w:val="bottom"/>
          </w:tcPr>
          <w:p>
            <w:pPr>
              <w:spacing w:after="0" w:line="138" w:lineRule="exact"/>
              <w:rPr>
                <w:sz w:val="20"/>
                <w:szCs w:val="20"/>
                <w:color w:val="auto"/>
              </w:rPr>
            </w:pPr>
            <w:r>
              <w:rPr>
                <w:rFonts w:ascii="Arial" w:cs="Arial" w:eastAsia="Arial" w:hAnsi="Arial"/>
                <w:sz w:val="13"/>
                <w:szCs w:val="13"/>
                <w:b w:val="1"/>
                <w:bCs w:val="1"/>
                <w:color w:val="auto"/>
                <w:w w:val="89"/>
              </w:rPr>
              <w:t>Leased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 Properties (2) (sf)</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18,169,000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17,167,000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94.5%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18,119,000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17,220,000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780" w:type="dxa"/>
            <w:vAlign w:val="bottom"/>
          </w:tcPr>
          <w:p>
            <w:pPr>
              <w:jc w:val="right"/>
              <w:spacing w:after="0"/>
              <w:rPr>
                <w:sz w:val="20"/>
                <w:szCs w:val="20"/>
                <w:color w:val="auto"/>
              </w:rPr>
            </w:pPr>
            <w:r>
              <w:rPr>
                <w:rFonts w:ascii="Arial" w:cs="Arial" w:eastAsia="Arial" w:hAnsi="Arial"/>
                <w:sz w:val="17"/>
                <w:szCs w:val="17"/>
                <w:color w:val="auto"/>
              </w:rPr>
              <w:t>903</w:t>
            </w: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auto"/>
              </w:rPr>
              <w:t>867</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96.0%</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903</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857</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94.9%</w:t>
            </w:r>
          </w:p>
        </w:tc>
        <w:tc>
          <w:tcPr>
            <w:tcW w:w="0" w:type="dxa"/>
            <w:vAlign w:val="bottom"/>
          </w:tcPr>
          <w:p>
            <w:pPr>
              <w:spacing w:after="0"/>
              <w:rPr>
                <w:sz w:val="1"/>
                <w:szCs w:val="1"/>
                <w:color w:val="auto"/>
              </w:rPr>
            </w:pPr>
          </w:p>
        </w:tc>
      </w:tr>
      <w:tr>
        <w:trPr>
          <w:trHeight w:val="482"/>
        </w:trPr>
        <w:tc>
          <w:tcPr>
            <w:tcW w:w="5720" w:type="dxa"/>
            <w:vAlign w:val="bottom"/>
            <w:gridSpan w:val="4"/>
          </w:tcPr>
          <w:p>
            <w:pPr>
              <w:spacing w:after="0"/>
              <w:rPr>
                <w:sz w:val="20"/>
                <w:szCs w:val="20"/>
                <w:color w:val="auto"/>
              </w:rPr>
            </w:pPr>
            <w:r>
              <w:rPr>
                <w:rFonts w:ascii="Arial" w:cs="Arial" w:eastAsia="Arial" w:hAnsi="Arial"/>
                <w:sz w:val="17"/>
                <w:szCs w:val="17"/>
                <w:b w:val="1"/>
                <w:bCs w:val="1"/>
                <w:color w:val="auto"/>
              </w:rPr>
              <w:t>Same Center Statistics (1)</w:t>
            </w:r>
          </w:p>
        </w:tc>
        <w:tc>
          <w:tcPr>
            <w:tcW w:w="1980" w:type="dxa"/>
            <w:vAlign w:val="bottom"/>
            <w:gridSpan w:val="4"/>
            <w:vMerge w:val="restart"/>
          </w:tcPr>
          <w:p>
            <w:pPr>
              <w:ind w:left="660"/>
              <w:spacing w:after="0"/>
              <w:rPr>
                <w:sz w:val="20"/>
                <w:szCs w:val="20"/>
                <w:color w:val="auto"/>
              </w:rPr>
            </w:pPr>
            <w:r>
              <w:rPr>
                <w:rFonts w:ascii="Arial" w:cs="Arial" w:eastAsia="Arial" w:hAnsi="Arial"/>
                <w:sz w:val="13"/>
                <w:szCs w:val="13"/>
                <w:b w:val="1"/>
                <w:bCs w:val="1"/>
                <w:color w:val="auto"/>
                <w:w w:val="96"/>
              </w:rPr>
              <w:t>At December 31, 2009</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4"/>
            <w:vMerge w:val="restart"/>
          </w:tcPr>
          <w:p>
            <w:pPr>
              <w:jc w:val="right"/>
              <w:ind w:right="80"/>
              <w:spacing w:after="0"/>
              <w:rPr>
                <w:sz w:val="20"/>
                <w:szCs w:val="20"/>
                <w:color w:val="auto"/>
              </w:rPr>
            </w:pPr>
            <w:r>
              <w:rPr>
                <w:rFonts w:ascii="Arial" w:cs="Arial" w:eastAsia="Arial" w:hAnsi="Arial"/>
                <w:sz w:val="13"/>
                <w:szCs w:val="13"/>
                <w:b w:val="1"/>
                <w:bCs w:val="1"/>
                <w:color w:val="auto"/>
              </w:rPr>
              <w:t>At December 31, 2008</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80" w:type="dxa"/>
            <w:vAlign w:val="bottom"/>
            <w:gridSpan w:val="4"/>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80" w:type="dxa"/>
            <w:vAlign w:val="bottom"/>
            <w:gridSpan w:val="4"/>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7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Type</w:t>
            </w:r>
          </w:p>
        </w:tc>
        <w:tc>
          <w:tcPr>
            <w:tcW w:w="1980" w:type="dxa"/>
            <w:vAlign w:val="bottom"/>
            <w:tcBorders>
              <w:bottom w:val="single" w:sz="8" w:color="auto"/>
            </w:tcBorders>
            <w:gridSpan w:val="4"/>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tcBorders>
              <w:bottom w:val="single" w:sz="8" w:color="auto"/>
            </w:tcBorders>
            <w:gridSpan w:val="4"/>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720" w:type="dxa"/>
            <w:vAlign w:val="bottom"/>
            <w:gridSpan w:val="4"/>
            <w:vMerge w:val="continue"/>
          </w:tcPr>
          <w:p>
            <w:pPr>
              <w:spacing w:after="0"/>
              <w:rPr>
                <w:sz w:val="12"/>
                <w:szCs w:val="12"/>
                <w:color w:val="auto"/>
              </w:rPr>
            </w:pPr>
          </w:p>
        </w:tc>
        <w:tc>
          <w:tcPr>
            <w:tcW w:w="780" w:type="dxa"/>
            <w:vAlign w:val="bottom"/>
          </w:tcPr>
          <w:p>
            <w:pPr>
              <w:jc w:val="right"/>
              <w:ind w:right="204"/>
              <w:spacing w:after="0" w:line="138" w:lineRule="exact"/>
              <w:rPr>
                <w:sz w:val="20"/>
                <w:szCs w:val="20"/>
                <w:color w:val="auto"/>
              </w:rPr>
            </w:pPr>
            <w:r>
              <w:rPr>
                <w:rFonts w:ascii="Arial" w:cs="Arial" w:eastAsia="Arial" w:hAnsi="Arial"/>
                <w:sz w:val="13"/>
                <w:szCs w:val="13"/>
                <w:b w:val="1"/>
                <w:bCs w:val="1"/>
                <w:color w:val="auto"/>
              </w:rPr>
              <w:t>Size</w:t>
            </w:r>
          </w:p>
        </w:tc>
        <w:tc>
          <w:tcPr>
            <w:tcW w:w="220" w:type="dxa"/>
            <w:vAlign w:val="bottom"/>
          </w:tcPr>
          <w:p>
            <w:pPr>
              <w:spacing w:after="0"/>
              <w:rPr>
                <w:sz w:val="12"/>
                <w:szCs w:val="12"/>
                <w:color w:val="auto"/>
              </w:rPr>
            </w:pPr>
          </w:p>
        </w:tc>
        <w:tc>
          <w:tcPr>
            <w:tcW w:w="980" w:type="dxa"/>
            <w:vAlign w:val="bottom"/>
            <w:gridSpan w:val="2"/>
          </w:tcPr>
          <w:p>
            <w:pPr>
              <w:ind w:left="180"/>
              <w:spacing w:after="0" w:line="138" w:lineRule="exact"/>
              <w:rPr>
                <w:sz w:val="20"/>
                <w:szCs w:val="20"/>
                <w:color w:val="auto"/>
              </w:rPr>
            </w:pPr>
            <w:r>
              <w:rPr>
                <w:rFonts w:ascii="Arial" w:cs="Arial" w:eastAsia="Arial" w:hAnsi="Arial"/>
                <w:sz w:val="13"/>
                <w:szCs w:val="13"/>
                <w:b w:val="1"/>
                <w:bCs w:val="1"/>
                <w:color w:val="auto"/>
              </w:rPr>
              <w:t>Leased</w:t>
            </w:r>
          </w:p>
        </w:tc>
        <w:tc>
          <w:tcPr>
            <w:tcW w:w="580" w:type="dxa"/>
            <w:vAlign w:val="bottom"/>
          </w:tcPr>
          <w:p>
            <w:pPr>
              <w:spacing w:after="0" w:line="138" w:lineRule="exact"/>
              <w:rPr>
                <w:sz w:val="20"/>
                <w:szCs w:val="20"/>
                <w:color w:val="auto"/>
              </w:rPr>
            </w:pPr>
            <w:r>
              <w:rPr>
                <w:rFonts w:ascii="Arial" w:cs="Arial" w:eastAsia="Arial" w:hAnsi="Arial"/>
                <w:sz w:val="13"/>
                <w:szCs w:val="13"/>
                <w:b w:val="1"/>
                <w:bCs w:val="1"/>
                <w:color w:val="auto"/>
                <w:w w:val="93"/>
              </w:rPr>
              <w:t>Leased %</w:t>
            </w:r>
          </w:p>
        </w:tc>
        <w:tc>
          <w:tcPr>
            <w:tcW w:w="400" w:type="dxa"/>
            <w:vAlign w:val="bottom"/>
          </w:tcPr>
          <w:p>
            <w:pPr>
              <w:spacing w:after="0"/>
              <w:rPr>
                <w:sz w:val="12"/>
                <w:szCs w:val="12"/>
                <w:color w:val="auto"/>
              </w:rPr>
            </w:pPr>
          </w:p>
        </w:tc>
        <w:tc>
          <w:tcPr>
            <w:tcW w:w="980" w:type="dxa"/>
            <w:vAlign w:val="bottom"/>
            <w:gridSpan w:val="2"/>
          </w:tcPr>
          <w:p>
            <w:pPr>
              <w:ind w:left="280"/>
              <w:spacing w:after="0" w:line="138" w:lineRule="exact"/>
              <w:rPr>
                <w:sz w:val="20"/>
                <w:szCs w:val="20"/>
                <w:color w:val="auto"/>
              </w:rPr>
            </w:pPr>
            <w:r>
              <w:rPr>
                <w:rFonts w:ascii="Arial" w:cs="Arial" w:eastAsia="Arial" w:hAnsi="Arial"/>
                <w:sz w:val="13"/>
                <w:szCs w:val="13"/>
                <w:b w:val="1"/>
                <w:bCs w:val="1"/>
                <w:color w:val="auto"/>
              </w:rPr>
              <w:t>Size</w:t>
            </w:r>
          </w:p>
        </w:tc>
        <w:tc>
          <w:tcPr>
            <w:tcW w:w="1000" w:type="dxa"/>
            <w:vAlign w:val="bottom"/>
            <w:gridSpan w:val="2"/>
          </w:tcPr>
          <w:p>
            <w:pPr>
              <w:jc w:val="right"/>
              <w:ind w:right="400"/>
              <w:spacing w:after="0" w:line="138" w:lineRule="exact"/>
              <w:rPr>
                <w:sz w:val="20"/>
                <w:szCs w:val="20"/>
                <w:color w:val="auto"/>
              </w:rPr>
            </w:pPr>
            <w:r>
              <w:rPr>
                <w:rFonts w:ascii="Arial" w:cs="Arial" w:eastAsia="Arial" w:hAnsi="Arial"/>
                <w:sz w:val="13"/>
                <w:szCs w:val="13"/>
                <w:b w:val="1"/>
                <w:bCs w:val="1"/>
                <w:color w:val="auto"/>
              </w:rPr>
              <w:t>Leased</w:t>
            </w:r>
          </w:p>
        </w:tc>
        <w:tc>
          <w:tcPr>
            <w:tcW w:w="560" w:type="dxa"/>
            <w:vAlign w:val="bottom"/>
          </w:tcPr>
          <w:p>
            <w:pPr>
              <w:spacing w:after="0" w:line="138" w:lineRule="exact"/>
              <w:rPr>
                <w:sz w:val="20"/>
                <w:szCs w:val="20"/>
                <w:color w:val="auto"/>
              </w:rPr>
            </w:pPr>
            <w:r>
              <w:rPr>
                <w:rFonts w:ascii="Arial" w:cs="Arial" w:eastAsia="Arial" w:hAnsi="Arial"/>
                <w:sz w:val="13"/>
                <w:szCs w:val="13"/>
                <w:b w:val="1"/>
                <w:bCs w:val="1"/>
                <w:color w:val="auto"/>
                <w:w w:val="89"/>
              </w:rPr>
              <w:t>Leased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Retail Properties (2) (4) (sf)</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17,502,000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16,557,000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94.6%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17,493,000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16,676,000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7"/>
                <w:szCs w:val="17"/>
                <w:color w:val="auto"/>
              </w:rPr>
              <w:t>Residential Properties (3) (units)</w:t>
            </w:r>
          </w:p>
        </w:tc>
        <w:tc>
          <w:tcPr>
            <w:tcW w:w="780" w:type="dxa"/>
            <w:vAlign w:val="bottom"/>
          </w:tcPr>
          <w:p>
            <w:pPr>
              <w:jc w:val="right"/>
              <w:spacing w:after="0"/>
              <w:rPr>
                <w:sz w:val="20"/>
                <w:szCs w:val="20"/>
                <w:color w:val="auto"/>
              </w:rPr>
            </w:pPr>
            <w:r>
              <w:rPr>
                <w:rFonts w:ascii="Arial" w:cs="Arial" w:eastAsia="Arial" w:hAnsi="Arial"/>
                <w:sz w:val="17"/>
                <w:szCs w:val="17"/>
                <w:color w:val="auto"/>
              </w:rPr>
              <w:t>723</w:t>
            </w: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auto"/>
              </w:rPr>
              <w:t>689</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95.3%</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723</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687</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83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Leasable square feet; excludes redevelopment square footage not yet placed in service.</w:t>
      </w:r>
    </w:p>
    <w:p>
      <w:pPr>
        <w:spacing w:after="0" w:line="15" w:lineRule="exact"/>
        <w:rPr>
          <w:rFonts w:ascii="Arial" w:cs="Arial" w:eastAsia="Arial" w:hAnsi="Arial"/>
          <w:sz w:val="17"/>
          <w:szCs w:val="17"/>
          <w:color w:val="auto"/>
        </w:rPr>
      </w:pPr>
    </w:p>
    <w:p>
      <w:pPr>
        <w:jc w:val="both"/>
        <w:ind w:left="460" w:hanging="455"/>
        <w:spacing w:after="0" w:line="25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Overall portfolio and Same Center statistics at December 31, 2009 and 2008 include Rollingwood, The Crest at Congressional and the residential rental units at Santana Row. Overall portfolio statistics as of December 31, 2009 and 2008 include the 180 residential units at Arlington East (Bethesda Row) which were first delivered in May 2008 and continued to be delivered through 2008.</w:t>
      </w:r>
    </w:p>
    <w:p>
      <w:pPr>
        <w:spacing w:after="0" w:line="2" w:lineRule="exact"/>
        <w:rPr>
          <w:rFonts w:ascii="Arial" w:cs="Arial" w:eastAsia="Arial" w:hAnsi="Arial"/>
          <w:sz w:val="17"/>
          <w:szCs w:val="17"/>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Excludes properties purchased, sold or under redevelopment.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70"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Top 25 Tenants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497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Percentage</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Number</w:t>
            </w:r>
          </w:p>
        </w:tc>
        <w:tc>
          <w:tcPr>
            <w:tcW w:w="0" w:type="dxa"/>
            <w:vAlign w:val="bottom"/>
          </w:tcPr>
          <w:p>
            <w:pPr>
              <w:spacing w:after="0"/>
              <w:rPr>
                <w:sz w:val="1"/>
                <w:szCs w:val="1"/>
                <w:color w:val="auto"/>
              </w:rPr>
            </w:pPr>
          </w:p>
        </w:tc>
      </w:tr>
      <w:tr>
        <w:trPr>
          <w:trHeight w:val="145"/>
        </w:trPr>
        <w:tc>
          <w:tcPr>
            <w:tcW w:w="5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jc w:val="center"/>
              <w:ind w:right="420"/>
              <w:spacing w:after="0" w:line="145" w:lineRule="exact"/>
              <w:rPr>
                <w:sz w:val="20"/>
                <w:szCs w:val="20"/>
                <w:color w:val="auto"/>
              </w:rPr>
            </w:pPr>
            <w:r>
              <w:rPr>
                <w:rFonts w:ascii="Arial" w:cs="Arial" w:eastAsia="Arial" w:hAnsi="Arial"/>
                <w:sz w:val="13"/>
                <w:szCs w:val="13"/>
                <w:b w:val="1"/>
                <w:bCs w:val="1"/>
                <w:color w:val="auto"/>
                <w:w w:val="93"/>
              </w:rPr>
              <w:t>of Total</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jc w:val="center"/>
              <w:ind w:right="420"/>
              <w:spacing w:after="0" w:line="145" w:lineRule="exact"/>
              <w:rPr>
                <w:sz w:val="20"/>
                <w:szCs w:val="20"/>
                <w:color w:val="auto"/>
              </w:rPr>
            </w:pPr>
            <w:r>
              <w:rPr>
                <w:rFonts w:ascii="Arial" w:cs="Arial" w:eastAsia="Arial" w:hAnsi="Arial"/>
                <w:sz w:val="13"/>
                <w:szCs w:val="13"/>
                <w:b w:val="1"/>
                <w:bCs w:val="1"/>
                <w:color w:val="auto"/>
                <w:w w:val="88"/>
              </w:rPr>
              <w:t>Percentage</w:t>
            </w:r>
          </w:p>
        </w:tc>
        <w:tc>
          <w:tcPr>
            <w:tcW w:w="50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81"/>
              </w:rPr>
              <w:t>of</w:t>
            </w:r>
          </w:p>
        </w:tc>
        <w:tc>
          <w:tcPr>
            <w:tcW w:w="0" w:type="dxa"/>
            <w:vAlign w:val="bottom"/>
          </w:tcPr>
          <w:p>
            <w:pPr>
              <w:spacing w:after="0"/>
              <w:rPr>
                <w:sz w:val="1"/>
                <w:szCs w:val="1"/>
                <w:color w:val="auto"/>
              </w:rPr>
            </w:pPr>
          </w:p>
        </w:tc>
      </w:tr>
      <w:tr>
        <w:trPr>
          <w:trHeight w:val="145"/>
        </w:trPr>
        <w:tc>
          <w:tcPr>
            <w:tcW w:w="540" w:type="dxa"/>
            <w:vAlign w:val="bottom"/>
          </w:tcPr>
          <w:p>
            <w:pPr>
              <w:spacing w:after="0"/>
              <w:rPr>
                <w:sz w:val="12"/>
                <w:szCs w:val="12"/>
                <w:color w:val="auto"/>
              </w:rPr>
            </w:pPr>
          </w:p>
        </w:tc>
        <w:tc>
          <w:tcPr>
            <w:tcW w:w="5260" w:type="dxa"/>
            <w:vAlign w:val="bottom"/>
            <w:vMerge w:val="restart"/>
          </w:tcPr>
          <w:p>
            <w:pPr>
              <w:ind w:left="2260"/>
              <w:spacing w:after="0"/>
              <w:rPr>
                <w:sz w:val="20"/>
                <w:szCs w:val="20"/>
                <w:color w:val="auto"/>
              </w:rPr>
            </w:pPr>
            <w:r>
              <w:rPr>
                <w:rFonts w:ascii="Arial" w:cs="Arial" w:eastAsia="Arial" w:hAnsi="Arial"/>
                <w:sz w:val="13"/>
                <w:szCs w:val="13"/>
                <w:b w:val="1"/>
                <w:bCs w:val="1"/>
                <w:color w:val="auto"/>
              </w:rPr>
              <w:t>Tenant Name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640"/>
              <w:spacing w:after="0" w:line="145" w:lineRule="exact"/>
              <w:rPr>
                <w:sz w:val="20"/>
                <w:szCs w:val="20"/>
                <w:color w:val="auto"/>
              </w:rPr>
            </w:pPr>
            <w:r>
              <w:rPr>
                <w:rFonts w:ascii="Arial" w:cs="Arial" w:eastAsia="Arial" w:hAnsi="Arial"/>
                <w:sz w:val="13"/>
                <w:szCs w:val="13"/>
                <w:b w:val="1"/>
                <w:bCs w:val="1"/>
                <w:color w:val="auto"/>
                <w:w w:val="97"/>
              </w:rPr>
              <w:t>Annualized</w:t>
            </w:r>
          </w:p>
        </w:tc>
        <w:tc>
          <w:tcPr>
            <w:tcW w:w="1180" w:type="dxa"/>
            <w:vAlign w:val="bottom"/>
            <w:gridSpan w:val="2"/>
          </w:tcPr>
          <w:p>
            <w:pPr>
              <w:jc w:val="center"/>
              <w:ind w:right="420"/>
              <w:spacing w:after="0" w:line="145" w:lineRule="exact"/>
              <w:rPr>
                <w:sz w:val="20"/>
                <w:szCs w:val="20"/>
                <w:color w:val="auto"/>
              </w:rPr>
            </w:pPr>
            <w:r>
              <w:rPr>
                <w:rFonts w:ascii="Arial" w:cs="Arial" w:eastAsia="Arial" w:hAnsi="Arial"/>
                <w:sz w:val="13"/>
                <w:szCs w:val="13"/>
                <w:b w:val="1"/>
                <w:bCs w:val="1"/>
                <w:color w:val="auto"/>
                <w:w w:val="92"/>
              </w:rPr>
              <w:t>Annualized</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2"/>
          </w:tcPr>
          <w:p>
            <w:pPr>
              <w:jc w:val="center"/>
              <w:ind w:right="420"/>
              <w:spacing w:after="0" w:line="145" w:lineRule="exact"/>
              <w:rPr>
                <w:sz w:val="20"/>
                <w:szCs w:val="20"/>
                <w:color w:val="auto"/>
              </w:rPr>
            </w:pPr>
            <w:r>
              <w:rPr>
                <w:rFonts w:ascii="Arial" w:cs="Arial" w:eastAsia="Arial" w:hAnsi="Arial"/>
                <w:sz w:val="13"/>
                <w:szCs w:val="13"/>
                <w:b w:val="1"/>
                <w:bCs w:val="1"/>
                <w:color w:val="auto"/>
                <w:w w:val="89"/>
              </w:rPr>
              <w:t>of Total</w:t>
            </w:r>
          </w:p>
        </w:tc>
        <w:tc>
          <w:tcPr>
            <w:tcW w:w="500" w:type="dxa"/>
            <w:vAlign w:val="bottom"/>
            <w:gridSpan w:val="2"/>
          </w:tcPr>
          <w:p>
            <w:pPr>
              <w:jc w:val="center"/>
              <w:spacing w:after="0" w:line="145" w:lineRule="exact"/>
              <w:rPr>
                <w:sz w:val="20"/>
                <w:szCs w:val="20"/>
                <w:color w:val="auto"/>
              </w:rPr>
            </w:pPr>
            <w:r>
              <w:rPr>
                <w:rFonts w:ascii="Arial" w:cs="Arial" w:eastAsia="Arial" w:hAnsi="Arial"/>
                <w:sz w:val="13"/>
                <w:szCs w:val="13"/>
                <w:b w:val="1"/>
                <w:bCs w:val="1"/>
                <w:color w:val="auto"/>
                <w:w w:val="83"/>
              </w:rPr>
              <w:t>Stores</w:t>
            </w:r>
          </w:p>
        </w:tc>
        <w:tc>
          <w:tcPr>
            <w:tcW w:w="0" w:type="dxa"/>
            <w:vAlign w:val="bottom"/>
          </w:tcPr>
          <w:p>
            <w:pPr>
              <w:spacing w:after="0"/>
              <w:rPr>
                <w:sz w:val="1"/>
                <w:szCs w:val="1"/>
                <w:color w:val="auto"/>
              </w:rPr>
            </w:pPr>
          </w:p>
        </w:tc>
      </w:tr>
      <w:tr>
        <w:trPr>
          <w:trHeight w:val="158"/>
        </w:trPr>
        <w:tc>
          <w:tcPr>
            <w:tcW w:w="540" w:type="dxa"/>
            <w:vAlign w:val="bottom"/>
          </w:tcPr>
          <w:p>
            <w:pPr>
              <w:jc w:val="right"/>
              <w:ind w:right="135"/>
              <w:spacing w:after="0"/>
              <w:rPr>
                <w:sz w:val="20"/>
                <w:szCs w:val="20"/>
                <w:color w:val="auto"/>
              </w:rPr>
            </w:pPr>
            <w:r>
              <w:rPr>
                <w:rFonts w:ascii="Arial" w:cs="Arial" w:eastAsia="Arial" w:hAnsi="Arial"/>
                <w:sz w:val="13"/>
                <w:szCs w:val="13"/>
                <w:b w:val="1"/>
                <w:bCs w:val="1"/>
                <w:color w:val="auto"/>
                <w:w w:val="94"/>
              </w:rPr>
              <w:t>Rank</w:t>
            </w:r>
          </w:p>
        </w:tc>
        <w:tc>
          <w:tcPr>
            <w:tcW w:w="526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Base Rent</w:t>
            </w:r>
          </w:p>
        </w:tc>
        <w:tc>
          <w:tcPr>
            <w:tcW w:w="48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Base Rent (4)</w:t>
            </w:r>
          </w:p>
        </w:tc>
        <w:tc>
          <w:tcPr>
            <w:tcW w:w="42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Tenant GLA</w:t>
            </w:r>
          </w:p>
        </w:tc>
        <w:tc>
          <w:tcPr>
            <w:tcW w:w="48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GLA (4)</w:t>
            </w:r>
          </w:p>
        </w:tc>
        <w:tc>
          <w:tcPr>
            <w:tcW w:w="420" w:type="dxa"/>
            <w:vAlign w:val="bottom"/>
          </w:tcPr>
          <w:p>
            <w:pPr>
              <w:spacing w:after="0"/>
              <w:rPr>
                <w:sz w:val="13"/>
                <w:szCs w:val="13"/>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Leased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Bed, Bath &amp; Beyond, Inc.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9,751,000</w:t>
            </w:r>
          </w:p>
        </w:tc>
        <w:tc>
          <w:tcPr>
            <w:tcW w:w="4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2.61%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647,000</w:t>
            </w:r>
          </w:p>
        </w:tc>
        <w:tc>
          <w:tcPr>
            <w:tcW w:w="4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3.56%</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0" w:type="dxa"/>
            <w:vAlign w:val="bottom"/>
          </w:tcPr>
          <w:p>
            <w:pPr>
              <w:jc w:val="right"/>
              <w:ind w:right="135"/>
              <w:spacing w:after="0"/>
              <w:rPr>
                <w:sz w:val="20"/>
                <w:szCs w:val="20"/>
                <w:color w:val="auto"/>
              </w:rPr>
            </w:pPr>
            <w:r>
              <w:rPr>
                <w:rFonts w:ascii="Arial" w:cs="Arial" w:eastAsia="Arial" w:hAnsi="Arial"/>
                <w:sz w:val="17"/>
                <w:szCs w:val="17"/>
                <w:color w:val="auto"/>
              </w:rPr>
              <w:t>2</w:t>
            </w:r>
          </w:p>
        </w:tc>
        <w:tc>
          <w:tcPr>
            <w:tcW w:w="5260" w:type="dxa"/>
            <w:vAlign w:val="bottom"/>
          </w:tcPr>
          <w:p>
            <w:pPr>
              <w:spacing w:after="0"/>
              <w:rPr>
                <w:sz w:val="20"/>
                <w:szCs w:val="20"/>
                <w:color w:val="auto"/>
              </w:rPr>
            </w:pPr>
            <w:r>
              <w:rPr>
                <w:rFonts w:ascii="Arial" w:cs="Arial" w:eastAsia="Arial" w:hAnsi="Arial"/>
                <w:sz w:val="17"/>
                <w:szCs w:val="17"/>
                <w:color w:val="auto"/>
              </w:rPr>
              <w:t>Ahold USA, Inc.</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8,407,000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2.25%</w:t>
            </w:r>
          </w:p>
        </w:tc>
        <w:tc>
          <w:tcPr>
            <w:tcW w:w="780" w:type="dxa"/>
            <w:vAlign w:val="bottom"/>
          </w:tcPr>
          <w:p>
            <w:pPr>
              <w:jc w:val="right"/>
              <w:spacing w:after="0"/>
              <w:rPr>
                <w:sz w:val="20"/>
                <w:szCs w:val="20"/>
                <w:color w:val="auto"/>
              </w:rPr>
            </w:pPr>
            <w:r>
              <w:rPr>
                <w:rFonts w:ascii="Arial" w:cs="Arial" w:eastAsia="Arial" w:hAnsi="Arial"/>
                <w:sz w:val="17"/>
                <w:szCs w:val="17"/>
                <w:color w:val="auto"/>
              </w:rPr>
              <w:t>571,000</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3.14%</w:t>
            </w:r>
          </w:p>
        </w:tc>
        <w:tc>
          <w:tcPr>
            <w:tcW w:w="48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w:t>
            </w: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TJX Companies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7,029,000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2.97%</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tcPr>
          <w:p>
            <w:pPr>
              <w:jc w:val="right"/>
              <w:ind w:right="135"/>
              <w:spacing w:after="0"/>
              <w:rPr>
                <w:sz w:val="20"/>
                <w:szCs w:val="20"/>
                <w:color w:val="auto"/>
              </w:rPr>
            </w:pPr>
            <w:r>
              <w:rPr>
                <w:rFonts w:ascii="Arial" w:cs="Arial" w:eastAsia="Arial" w:hAnsi="Arial"/>
                <w:sz w:val="17"/>
                <w:szCs w:val="17"/>
                <w:color w:val="auto"/>
              </w:rPr>
              <w:t>4</w:t>
            </w:r>
          </w:p>
        </w:tc>
        <w:tc>
          <w:tcPr>
            <w:tcW w:w="5260" w:type="dxa"/>
            <w:vAlign w:val="bottom"/>
          </w:tcPr>
          <w:p>
            <w:pPr>
              <w:spacing w:after="0"/>
              <w:rPr>
                <w:sz w:val="20"/>
                <w:szCs w:val="20"/>
                <w:color w:val="auto"/>
              </w:rPr>
            </w:pPr>
            <w:r>
              <w:rPr>
                <w:rFonts w:ascii="Arial" w:cs="Arial" w:eastAsia="Arial" w:hAnsi="Arial"/>
                <w:sz w:val="17"/>
                <w:szCs w:val="17"/>
                <w:color w:val="auto"/>
              </w:rPr>
              <w:t>Safeway, Inc.</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6,751,000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1.81%</w:t>
            </w:r>
          </w:p>
        </w:tc>
        <w:tc>
          <w:tcPr>
            <w:tcW w:w="780" w:type="dxa"/>
            <w:vAlign w:val="bottom"/>
          </w:tcPr>
          <w:p>
            <w:pPr>
              <w:jc w:val="right"/>
              <w:spacing w:after="0"/>
              <w:rPr>
                <w:sz w:val="20"/>
                <w:szCs w:val="20"/>
                <w:color w:val="auto"/>
              </w:rPr>
            </w:pPr>
            <w:r>
              <w:rPr>
                <w:rFonts w:ascii="Arial" w:cs="Arial" w:eastAsia="Arial" w:hAnsi="Arial"/>
                <w:sz w:val="17"/>
                <w:szCs w:val="17"/>
                <w:color w:val="auto"/>
              </w:rPr>
              <w:t>481,000</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2.65%</w:t>
            </w:r>
          </w:p>
        </w:tc>
        <w:tc>
          <w:tcPr>
            <w:tcW w:w="48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w:t>
            </w: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Gap, Inc.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6,664,000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1.21%</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tcPr>
          <w:p>
            <w:pPr>
              <w:jc w:val="right"/>
              <w:ind w:right="135"/>
              <w:spacing w:after="0"/>
              <w:rPr>
                <w:sz w:val="20"/>
                <w:szCs w:val="20"/>
                <w:color w:val="auto"/>
              </w:rPr>
            </w:pPr>
            <w:r>
              <w:rPr>
                <w:rFonts w:ascii="Arial" w:cs="Arial" w:eastAsia="Arial" w:hAnsi="Arial"/>
                <w:sz w:val="17"/>
                <w:szCs w:val="17"/>
                <w:color w:val="auto"/>
              </w:rPr>
              <w:t>6</w:t>
            </w:r>
          </w:p>
        </w:tc>
        <w:tc>
          <w:tcPr>
            <w:tcW w:w="5260" w:type="dxa"/>
            <w:vAlign w:val="bottom"/>
          </w:tcPr>
          <w:p>
            <w:pPr>
              <w:spacing w:after="0"/>
              <w:rPr>
                <w:sz w:val="20"/>
                <w:szCs w:val="20"/>
                <w:color w:val="auto"/>
              </w:rPr>
            </w:pPr>
            <w:r>
              <w:rPr>
                <w:rFonts w:ascii="Arial" w:cs="Arial" w:eastAsia="Arial" w:hAnsi="Arial"/>
                <w:sz w:val="17"/>
                <w:szCs w:val="17"/>
                <w:color w:val="auto"/>
              </w:rPr>
              <w:t>CVS Corporation</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6,219,000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1.66%</w:t>
            </w:r>
          </w:p>
        </w:tc>
        <w:tc>
          <w:tcPr>
            <w:tcW w:w="780" w:type="dxa"/>
            <w:vAlign w:val="bottom"/>
          </w:tcPr>
          <w:p>
            <w:pPr>
              <w:jc w:val="right"/>
              <w:spacing w:after="0"/>
              <w:rPr>
                <w:sz w:val="20"/>
                <w:szCs w:val="20"/>
                <w:color w:val="auto"/>
              </w:rPr>
            </w:pPr>
            <w:r>
              <w:rPr>
                <w:rFonts w:ascii="Arial" w:cs="Arial" w:eastAsia="Arial" w:hAnsi="Arial"/>
                <w:sz w:val="17"/>
                <w:szCs w:val="17"/>
                <w:color w:val="auto"/>
              </w:rPr>
              <w:t>205,000</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1.13%</w:t>
            </w:r>
          </w:p>
        </w:tc>
        <w:tc>
          <w:tcPr>
            <w:tcW w:w="480" w:type="dxa"/>
            <w:vAlign w:val="bottom"/>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w:t>
            </w: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Barnes &amp; Noble, Inc.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4,725,000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1.26%</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1.11%</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tcPr>
          <w:p>
            <w:pPr>
              <w:jc w:val="right"/>
              <w:ind w:right="135"/>
              <w:spacing w:after="0"/>
              <w:rPr>
                <w:sz w:val="20"/>
                <w:szCs w:val="20"/>
                <w:color w:val="auto"/>
              </w:rPr>
            </w:pPr>
            <w:r>
              <w:rPr>
                <w:rFonts w:ascii="Arial" w:cs="Arial" w:eastAsia="Arial" w:hAnsi="Arial"/>
                <w:sz w:val="17"/>
                <w:szCs w:val="17"/>
                <w:color w:val="auto"/>
              </w:rPr>
              <w:t>8</w:t>
            </w:r>
          </w:p>
        </w:tc>
        <w:tc>
          <w:tcPr>
            <w:tcW w:w="5260" w:type="dxa"/>
            <w:vAlign w:val="bottom"/>
          </w:tcPr>
          <w:p>
            <w:pPr>
              <w:spacing w:after="0"/>
              <w:rPr>
                <w:sz w:val="20"/>
                <w:szCs w:val="20"/>
                <w:color w:val="auto"/>
              </w:rPr>
            </w:pPr>
            <w:r>
              <w:rPr>
                <w:rFonts w:ascii="Arial" w:cs="Arial" w:eastAsia="Arial" w:hAnsi="Arial"/>
                <w:sz w:val="17"/>
                <w:szCs w:val="17"/>
                <w:color w:val="auto"/>
              </w:rPr>
              <w:t>OPNET Technologies, Inc.</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3,754,000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1.00%</w:t>
            </w:r>
          </w:p>
        </w:tc>
        <w:tc>
          <w:tcPr>
            <w:tcW w:w="780" w:type="dxa"/>
            <w:vAlign w:val="bottom"/>
          </w:tcPr>
          <w:p>
            <w:pPr>
              <w:jc w:val="right"/>
              <w:spacing w:after="0"/>
              <w:rPr>
                <w:sz w:val="20"/>
                <w:szCs w:val="20"/>
                <w:color w:val="auto"/>
              </w:rPr>
            </w:pPr>
            <w:r>
              <w:rPr>
                <w:rFonts w:ascii="Arial" w:cs="Arial" w:eastAsia="Arial" w:hAnsi="Arial"/>
                <w:sz w:val="17"/>
                <w:szCs w:val="17"/>
                <w:color w:val="auto"/>
              </w:rPr>
              <w:t>83,000</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0.46%</w:t>
            </w:r>
          </w:p>
        </w:tc>
        <w:tc>
          <w:tcPr>
            <w:tcW w:w="48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9</w:t>
            </w: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Staples, Inc.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3,479,000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0.93%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187,000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1.03%</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tcPr>
          <w:p>
            <w:pPr>
              <w:jc w:val="right"/>
              <w:ind w:right="135"/>
              <w:spacing w:after="0"/>
              <w:rPr>
                <w:sz w:val="20"/>
                <w:szCs w:val="20"/>
                <w:color w:val="auto"/>
              </w:rPr>
            </w:pPr>
            <w:r>
              <w:rPr>
                <w:rFonts w:ascii="Arial" w:cs="Arial" w:eastAsia="Arial" w:hAnsi="Arial"/>
                <w:sz w:val="17"/>
                <w:szCs w:val="17"/>
                <w:color w:val="auto"/>
              </w:rPr>
              <w:t>10</w:t>
            </w:r>
          </w:p>
        </w:tc>
        <w:tc>
          <w:tcPr>
            <w:tcW w:w="5260" w:type="dxa"/>
            <w:vAlign w:val="bottom"/>
          </w:tcPr>
          <w:p>
            <w:pPr>
              <w:spacing w:after="0"/>
              <w:rPr>
                <w:sz w:val="20"/>
                <w:szCs w:val="20"/>
                <w:color w:val="auto"/>
              </w:rPr>
            </w:pPr>
            <w:r>
              <w:rPr>
                <w:rFonts w:ascii="Arial" w:cs="Arial" w:eastAsia="Arial" w:hAnsi="Arial"/>
                <w:sz w:val="17"/>
                <w:szCs w:val="17"/>
                <w:color w:val="auto"/>
              </w:rPr>
              <w:t>Best Buy Stores, L.P.</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3,455,000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0.92%</w:t>
            </w:r>
          </w:p>
        </w:tc>
        <w:tc>
          <w:tcPr>
            <w:tcW w:w="780" w:type="dxa"/>
            <w:vAlign w:val="bottom"/>
          </w:tcPr>
          <w:p>
            <w:pPr>
              <w:jc w:val="right"/>
              <w:spacing w:after="0"/>
              <w:rPr>
                <w:sz w:val="20"/>
                <w:szCs w:val="20"/>
                <w:color w:val="auto"/>
              </w:rPr>
            </w:pPr>
            <w:r>
              <w:rPr>
                <w:rFonts w:ascii="Arial" w:cs="Arial" w:eastAsia="Arial" w:hAnsi="Arial"/>
                <w:sz w:val="17"/>
                <w:szCs w:val="17"/>
                <w:color w:val="auto"/>
              </w:rPr>
              <w:t>99,000</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0.54%</w:t>
            </w:r>
          </w:p>
        </w:tc>
        <w:tc>
          <w:tcPr>
            <w:tcW w:w="48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11</w:t>
            </w: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DSW, Inc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3,294,000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0.88%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0.69%</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tcPr>
          <w:p>
            <w:pPr>
              <w:jc w:val="right"/>
              <w:ind w:right="135"/>
              <w:spacing w:after="0"/>
              <w:rPr>
                <w:sz w:val="20"/>
                <w:szCs w:val="20"/>
                <w:color w:val="auto"/>
              </w:rPr>
            </w:pPr>
            <w:r>
              <w:rPr>
                <w:rFonts w:ascii="Arial" w:cs="Arial" w:eastAsia="Arial" w:hAnsi="Arial"/>
                <w:sz w:val="17"/>
                <w:szCs w:val="17"/>
                <w:color w:val="auto"/>
              </w:rPr>
              <w:t>12</w:t>
            </w:r>
          </w:p>
        </w:tc>
        <w:tc>
          <w:tcPr>
            <w:tcW w:w="5260" w:type="dxa"/>
            <w:vAlign w:val="bottom"/>
          </w:tcPr>
          <w:p>
            <w:pPr>
              <w:spacing w:after="0"/>
              <w:rPr>
                <w:sz w:val="20"/>
                <w:szCs w:val="20"/>
                <w:color w:val="auto"/>
              </w:rPr>
            </w:pPr>
            <w:r>
              <w:rPr>
                <w:rFonts w:ascii="Arial" w:cs="Arial" w:eastAsia="Arial" w:hAnsi="Arial"/>
                <w:sz w:val="17"/>
                <w:szCs w:val="17"/>
                <w:color w:val="auto"/>
              </w:rPr>
              <w:t>Wells Fargo Bank, N.A. (includes Wachovia Corporation)</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3,241,000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0.87%</w:t>
            </w:r>
          </w:p>
        </w:tc>
        <w:tc>
          <w:tcPr>
            <w:tcW w:w="780" w:type="dxa"/>
            <w:vAlign w:val="bottom"/>
          </w:tcPr>
          <w:p>
            <w:pPr>
              <w:jc w:val="right"/>
              <w:spacing w:after="0"/>
              <w:rPr>
                <w:sz w:val="20"/>
                <w:szCs w:val="20"/>
                <w:color w:val="auto"/>
              </w:rPr>
            </w:pPr>
            <w:r>
              <w:rPr>
                <w:rFonts w:ascii="Arial" w:cs="Arial" w:eastAsia="Arial" w:hAnsi="Arial"/>
                <w:sz w:val="17"/>
                <w:szCs w:val="17"/>
                <w:color w:val="auto"/>
              </w:rPr>
              <w:t>70,000</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0.39%</w:t>
            </w:r>
          </w:p>
        </w:tc>
        <w:tc>
          <w:tcPr>
            <w:tcW w:w="480" w:type="dxa"/>
            <w:vAlign w:val="bottom"/>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13</w:t>
            </w: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Supervalu Inc. (Acme/Sav-A-Lot/Star Mkt/Shoppers Food)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3,227,000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0.86%</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338,000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1.86%</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tcPr>
          <w:p>
            <w:pPr>
              <w:jc w:val="right"/>
              <w:ind w:right="135"/>
              <w:spacing w:after="0"/>
              <w:rPr>
                <w:sz w:val="20"/>
                <w:szCs w:val="20"/>
                <w:color w:val="auto"/>
              </w:rPr>
            </w:pPr>
            <w:r>
              <w:rPr>
                <w:rFonts w:ascii="Arial" w:cs="Arial" w:eastAsia="Arial" w:hAnsi="Arial"/>
                <w:sz w:val="17"/>
                <w:szCs w:val="17"/>
                <w:color w:val="auto"/>
              </w:rPr>
              <w:t>14</w:t>
            </w:r>
          </w:p>
        </w:tc>
        <w:tc>
          <w:tcPr>
            <w:tcW w:w="5260" w:type="dxa"/>
            <w:vAlign w:val="bottom"/>
          </w:tcPr>
          <w:p>
            <w:pPr>
              <w:spacing w:after="0"/>
              <w:rPr>
                <w:sz w:val="20"/>
                <w:szCs w:val="20"/>
                <w:color w:val="auto"/>
              </w:rPr>
            </w:pPr>
            <w:r>
              <w:rPr>
                <w:rFonts w:ascii="Arial" w:cs="Arial" w:eastAsia="Arial" w:hAnsi="Arial"/>
                <w:sz w:val="17"/>
                <w:szCs w:val="17"/>
                <w:color w:val="auto"/>
              </w:rPr>
              <w:t>L.A. Fitness International LLC</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3,144,000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0.84%</w:t>
            </w:r>
          </w:p>
        </w:tc>
        <w:tc>
          <w:tcPr>
            <w:tcW w:w="780" w:type="dxa"/>
            <w:vAlign w:val="bottom"/>
          </w:tcPr>
          <w:p>
            <w:pPr>
              <w:jc w:val="right"/>
              <w:spacing w:after="0"/>
              <w:rPr>
                <w:sz w:val="20"/>
                <w:szCs w:val="20"/>
                <w:color w:val="auto"/>
              </w:rPr>
            </w:pPr>
            <w:r>
              <w:rPr>
                <w:rFonts w:ascii="Arial" w:cs="Arial" w:eastAsia="Arial" w:hAnsi="Arial"/>
                <w:sz w:val="17"/>
                <w:szCs w:val="17"/>
                <w:color w:val="auto"/>
              </w:rPr>
              <w:t>178,000</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0.98%</w:t>
            </w:r>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15</w:t>
            </w: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Ross Stores, Inc.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2,895,000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0.82%</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tcPr>
          <w:p>
            <w:pPr>
              <w:jc w:val="right"/>
              <w:ind w:right="135"/>
              <w:spacing w:after="0"/>
              <w:rPr>
                <w:sz w:val="20"/>
                <w:szCs w:val="20"/>
                <w:color w:val="auto"/>
              </w:rPr>
            </w:pPr>
            <w:r>
              <w:rPr>
                <w:rFonts w:ascii="Arial" w:cs="Arial" w:eastAsia="Arial" w:hAnsi="Arial"/>
                <w:sz w:val="17"/>
                <w:szCs w:val="17"/>
                <w:color w:val="auto"/>
              </w:rPr>
              <w:t>16</w:t>
            </w:r>
          </w:p>
        </w:tc>
        <w:tc>
          <w:tcPr>
            <w:tcW w:w="5260" w:type="dxa"/>
            <w:vAlign w:val="bottom"/>
          </w:tcPr>
          <w:p>
            <w:pPr>
              <w:spacing w:after="0"/>
              <w:rPr>
                <w:sz w:val="20"/>
                <w:szCs w:val="20"/>
                <w:color w:val="auto"/>
              </w:rPr>
            </w:pPr>
            <w:r>
              <w:rPr>
                <w:rFonts w:ascii="Arial" w:cs="Arial" w:eastAsia="Arial" w:hAnsi="Arial"/>
                <w:sz w:val="17"/>
                <w:szCs w:val="17"/>
                <w:color w:val="auto"/>
              </w:rPr>
              <w:t>Home Depot, Inc.</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2,832,000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0.76%</w:t>
            </w:r>
          </w:p>
        </w:tc>
        <w:tc>
          <w:tcPr>
            <w:tcW w:w="780" w:type="dxa"/>
            <w:vAlign w:val="bottom"/>
          </w:tcPr>
          <w:p>
            <w:pPr>
              <w:jc w:val="right"/>
              <w:spacing w:after="0"/>
              <w:rPr>
                <w:sz w:val="20"/>
                <w:szCs w:val="20"/>
                <w:color w:val="auto"/>
              </w:rPr>
            </w:pPr>
            <w:r>
              <w:rPr>
                <w:rFonts w:ascii="Arial" w:cs="Arial" w:eastAsia="Arial" w:hAnsi="Arial"/>
                <w:sz w:val="17"/>
                <w:szCs w:val="17"/>
                <w:color w:val="auto"/>
              </w:rPr>
              <w:t>335,000</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1.84%</w:t>
            </w:r>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17</w:t>
            </w: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Bank of America, N.A.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2,821,000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0.75%</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0.35%</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tcPr>
          <w:p>
            <w:pPr>
              <w:jc w:val="right"/>
              <w:ind w:right="135"/>
              <w:spacing w:after="0"/>
              <w:rPr>
                <w:sz w:val="20"/>
                <w:szCs w:val="20"/>
                <w:color w:val="auto"/>
              </w:rPr>
            </w:pPr>
            <w:r>
              <w:rPr>
                <w:rFonts w:ascii="Arial" w:cs="Arial" w:eastAsia="Arial" w:hAnsi="Arial"/>
                <w:sz w:val="17"/>
                <w:szCs w:val="17"/>
                <w:color w:val="auto"/>
              </w:rPr>
              <w:t>18</w:t>
            </w:r>
          </w:p>
        </w:tc>
        <w:tc>
          <w:tcPr>
            <w:tcW w:w="5260" w:type="dxa"/>
            <w:vAlign w:val="bottom"/>
          </w:tcPr>
          <w:p>
            <w:pPr>
              <w:spacing w:after="0"/>
              <w:rPr>
                <w:sz w:val="20"/>
                <w:szCs w:val="20"/>
                <w:color w:val="auto"/>
              </w:rPr>
            </w:pPr>
            <w:r>
              <w:rPr>
                <w:rFonts w:ascii="Arial" w:cs="Arial" w:eastAsia="Arial" w:hAnsi="Arial"/>
                <w:sz w:val="17"/>
                <w:szCs w:val="17"/>
                <w:color w:val="auto"/>
              </w:rPr>
              <w:t>Kohl's Corporation</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2,793,000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0.75%</w:t>
            </w:r>
          </w:p>
        </w:tc>
        <w:tc>
          <w:tcPr>
            <w:tcW w:w="780" w:type="dxa"/>
            <w:vAlign w:val="bottom"/>
          </w:tcPr>
          <w:p>
            <w:pPr>
              <w:jc w:val="right"/>
              <w:spacing w:after="0"/>
              <w:rPr>
                <w:sz w:val="20"/>
                <w:szCs w:val="20"/>
                <w:color w:val="auto"/>
              </w:rPr>
            </w:pPr>
            <w:r>
              <w:rPr>
                <w:rFonts w:ascii="Arial" w:cs="Arial" w:eastAsia="Arial" w:hAnsi="Arial"/>
                <w:sz w:val="17"/>
                <w:szCs w:val="17"/>
                <w:color w:val="auto"/>
              </w:rPr>
              <w:t>322,000</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1.77%</w:t>
            </w:r>
          </w:p>
        </w:tc>
        <w:tc>
          <w:tcPr>
            <w:tcW w:w="48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19</w:t>
            </w: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Wakefern Food Corporation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2,783,000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0.75%</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tcPr>
          <w:p>
            <w:pPr>
              <w:jc w:val="right"/>
              <w:ind w:right="135"/>
              <w:spacing w:after="0"/>
              <w:rPr>
                <w:sz w:val="20"/>
                <w:szCs w:val="20"/>
                <w:color w:val="auto"/>
              </w:rPr>
            </w:pPr>
            <w:r>
              <w:rPr>
                <w:rFonts w:ascii="Arial" w:cs="Arial" w:eastAsia="Arial" w:hAnsi="Arial"/>
                <w:sz w:val="17"/>
                <w:szCs w:val="17"/>
                <w:color w:val="auto"/>
              </w:rPr>
              <w:t>20</w:t>
            </w:r>
          </w:p>
        </w:tc>
        <w:tc>
          <w:tcPr>
            <w:tcW w:w="5260" w:type="dxa"/>
            <w:vAlign w:val="bottom"/>
          </w:tcPr>
          <w:p>
            <w:pPr>
              <w:spacing w:after="0"/>
              <w:rPr>
                <w:sz w:val="20"/>
                <w:szCs w:val="20"/>
                <w:color w:val="auto"/>
              </w:rPr>
            </w:pPr>
            <w:r>
              <w:rPr>
                <w:rFonts w:ascii="Arial" w:cs="Arial" w:eastAsia="Arial" w:hAnsi="Arial"/>
                <w:sz w:val="17"/>
                <w:szCs w:val="17"/>
                <w:color w:val="auto"/>
              </w:rPr>
              <w:t>Bally Total Fitness Corporation</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2,608,000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0.70%</w:t>
            </w:r>
          </w:p>
        </w:tc>
        <w:tc>
          <w:tcPr>
            <w:tcW w:w="780" w:type="dxa"/>
            <w:vAlign w:val="bottom"/>
          </w:tcPr>
          <w:p>
            <w:pPr>
              <w:jc w:val="right"/>
              <w:spacing w:after="0"/>
              <w:rPr>
                <w:sz w:val="20"/>
                <w:szCs w:val="20"/>
                <w:color w:val="auto"/>
              </w:rPr>
            </w:pPr>
            <w:r>
              <w:rPr>
                <w:rFonts w:ascii="Arial" w:cs="Arial" w:eastAsia="Arial" w:hAnsi="Arial"/>
                <w:sz w:val="17"/>
                <w:szCs w:val="17"/>
                <w:color w:val="auto"/>
              </w:rPr>
              <w:t>156,000</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0.86%</w:t>
            </w:r>
          </w:p>
        </w:tc>
        <w:tc>
          <w:tcPr>
            <w:tcW w:w="48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21</w:t>
            </w: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Great Atlantic &amp; Pacific Tea Co</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2,517,000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217,000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1.19%</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tcPr>
          <w:p>
            <w:pPr>
              <w:jc w:val="right"/>
              <w:ind w:right="135"/>
              <w:spacing w:after="0"/>
              <w:rPr>
                <w:sz w:val="20"/>
                <w:szCs w:val="20"/>
                <w:color w:val="auto"/>
              </w:rPr>
            </w:pPr>
            <w:r>
              <w:rPr>
                <w:rFonts w:ascii="Arial" w:cs="Arial" w:eastAsia="Arial" w:hAnsi="Arial"/>
                <w:sz w:val="17"/>
                <w:szCs w:val="17"/>
                <w:color w:val="auto"/>
              </w:rPr>
              <w:t>22</w:t>
            </w:r>
          </w:p>
        </w:tc>
        <w:tc>
          <w:tcPr>
            <w:tcW w:w="5260" w:type="dxa"/>
            <w:vAlign w:val="bottom"/>
          </w:tcPr>
          <w:p>
            <w:pPr>
              <w:spacing w:after="0"/>
              <w:rPr>
                <w:sz w:val="20"/>
                <w:szCs w:val="20"/>
                <w:color w:val="auto"/>
              </w:rPr>
            </w:pPr>
            <w:r>
              <w:rPr>
                <w:rFonts w:ascii="Arial" w:cs="Arial" w:eastAsia="Arial" w:hAnsi="Arial"/>
                <w:sz w:val="17"/>
                <w:szCs w:val="17"/>
                <w:color w:val="auto"/>
              </w:rPr>
              <w:t>Container Store, Inc.</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2,496,000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0.67%</w:t>
            </w:r>
          </w:p>
        </w:tc>
        <w:tc>
          <w:tcPr>
            <w:tcW w:w="780" w:type="dxa"/>
            <w:vAlign w:val="bottom"/>
          </w:tcPr>
          <w:p>
            <w:pPr>
              <w:jc w:val="right"/>
              <w:spacing w:after="0"/>
              <w:rPr>
                <w:sz w:val="20"/>
                <w:szCs w:val="20"/>
                <w:color w:val="auto"/>
              </w:rPr>
            </w:pPr>
            <w:r>
              <w:rPr>
                <w:rFonts w:ascii="Arial" w:cs="Arial" w:eastAsia="Arial" w:hAnsi="Arial"/>
                <w:sz w:val="17"/>
                <w:szCs w:val="17"/>
                <w:color w:val="auto"/>
              </w:rPr>
              <w:t>52,000</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0.29%</w:t>
            </w:r>
          </w:p>
        </w:tc>
        <w:tc>
          <w:tcPr>
            <w:tcW w:w="48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23</w:t>
            </w: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A.C. Moore, Inc.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0.66%</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0.78%</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tcPr>
          <w:p>
            <w:pPr>
              <w:jc w:val="right"/>
              <w:ind w:right="135"/>
              <w:spacing w:after="0"/>
              <w:rPr>
                <w:sz w:val="20"/>
                <w:szCs w:val="20"/>
                <w:color w:val="auto"/>
              </w:rPr>
            </w:pPr>
            <w:r>
              <w:rPr>
                <w:rFonts w:ascii="Arial" w:cs="Arial" w:eastAsia="Arial" w:hAnsi="Arial"/>
                <w:sz w:val="17"/>
                <w:szCs w:val="17"/>
                <w:color w:val="auto"/>
              </w:rPr>
              <w:t>24</w:t>
            </w:r>
          </w:p>
        </w:tc>
        <w:tc>
          <w:tcPr>
            <w:tcW w:w="5260" w:type="dxa"/>
            <w:vAlign w:val="bottom"/>
          </w:tcPr>
          <w:p>
            <w:pPr>
              <w:spacing w:after="0"/>
              <w:rPr>
                <w:sz w:val="20"/>
                <w:szCs w:val="20"/>
                <w:color w:val="auto"/>
              </w:rPr>
            </w:pPr>
            <w:r>
              <w:rPr>
                <w:rFonts w:ascii="Arial" w:cs="Arial" w:eastAsia="Arial" w:hAnsi="Arial"/>
                <w:sz w:val="17"/>
                <w:szCs w:val="17"/>
                <w:color w:val="auto"/>
              </w:rPr>
              <w:t>AMC Entertainment Inc.</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2,378,000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0.64%</w:t>
            </w:r>
          </w:p>
        </w:tc>
        <w:tc>
          <w:tcPr>
            <w:tcW w:w="780" w:type="dxa"/>
            <w:vAlign w:val="bottom"/>
          </w:tcPr>
          <w:p>
            <w:pPr>
              <w:jc w:val="right"/>
              <w:spacing w:after="0"/>
              <w:rPr>
                <w:sz w:val="20"/>
                <w:szCs w:val="20"/>
                <w:color w:val="auto"/>
              </w:rPr>
            </w:pPr>
            <w:r>
              <w:rPr>
                <w:rFonts w:ascii="Arial" w:cs="Arial" w:eastAsia="Arial" w:hAnsi="Arial"/>
                <w:sz w:val="17"/>
                <w:szCs w:val="17"/>
                <w:color w:val="auto"/>
              </w:rPr>
              <w:t>166,000</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0.91%</w:t>
            </w:r>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25</w:t>
            </w: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Dollar Tree Stores, Inc.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2,357,000</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0.63%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158,000</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0.87%</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260" w:type="dxa"/>
            <w:vAlign w:val="bottom"/>
            <w:vMerge w:val="restart"/>
          </w:tcPr>
          <w:p>
            <w:pPr>
              <w:spacing w:after="0"/>
              <w:rPr>
                <w:sz w:val="20"/>
                <w:szCs w:val="20"/>
                <w:color w:val="auto"/>
              </w:rPr>
            </w:pPr>
            <w:r>
              <w:rPr>
                <w:rFonts w:ascii="Arial" w:cs="Arial" w:eastAsia="Arial" w:hAnsi="Arial"/>
                <w:sz w:val="17"/>
                <w:szCs w:val="17"/>
                <w:color w:val="auto"/>
              </w:rPr>
              <w:t>Totals – Top 25 Tenants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tcPr>
          <w:p>
            <w:pPr>
              <w:spacing w:after="0"/>
              <w:rPr>
                <w:sz w:val="18"/>
                <w:szCs w:val="18"/>
                <w:color w:val="auto"/>
              </w:rPr>
            </w:pPr>
          </w:p>
        </w:tc>
        <w:tc>
          <w:tcPr>
            <w:tcW w:w="5260" w:type="dxa"/>
            <w:vAlign w:val="bottom"/>
            <w:vMerge w:val="continue"/>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102,103,000</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27.31%</w:t>
            </w:r>
          </w:p>
        </w:tc>
        <w:tc>
          <w:tcPr>
            <w:tcW w:w="780" w:type="dxa"/>
            <w:vAlign w:val="bottom"/>
          </w:tcPr>
          <w:p>
            <w:pPr>
              <w:jc w:val="right"/>
              <w:spacing w:after="0"/>
              <w:rPr>
                <w:sz w:val="20"/>
                <w:szCs w:val="20"/>
                <w:color w:val="auto"/>
              </w:rPr>
            </w:pPr>
            <w:r>
              <w:rPr>
                <w:rFonts w:ascii="Arial" w:cs="Arial" w:eastAsia="Arial" w:hAnsi="Arial"/>
                <w:sz w:val="17"/>
                <w:szCs w:val="17"/>
                <w:color w:val="auto"/>
              </w:rPr>
              <w:t>5,841,000</w:t>
            </w:r>
          </w:p>
        </w:tc>
        <w:tc>
          <w:tcPr>
            <w:tcW w:w="4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32.15%</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8"/>
        </w:trPr>
        <w:tc>
          <w:tcPr>
            <w:tcW w:w="5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Total: (1)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0"/>
              </w:rPr>
              <w:t>373,910,000(2)</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0"/>
              </w:rPr>
              <w:t>18,169,000(3)</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83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Does not include amounts related to leases these tenants have with our partnership with a discretionary fund created and advised by ING Clarion Partners.</w:t>
      </w:r>
    </w:p>
    <w:p>
      <w:pPr>
        <w:spacing w:after="0" w:line="26" w:lineRule="exact"/>
        <w:rPr>
          <w:rFonts w:ascii="Arial" w:cs="Arial" w:eastAsia="Arial" w:hAnsi="Arial"/>
          <w:sz w:val="16"/>
          <w:szCs w:val="16"/>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Reflects annual in-place contractual (cash-basis) rent as of December 31, 2009.</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Excludes redevelopment square footage not yet placed in service.</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Individual items may not add up to total due to rounding.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0"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Income to FFO Guidance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497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center"/>
              <w:ind w:left="117"/>
              <w:spacing w:after="0"/>
              <w:rPr>
                <w:sz w:val="20"/>
                <w:szCs w:val="20"/>
                <w:color w:val="auto"/>
              </w:rPr>
            </w:pPr>
            <w:r>
              <w:rPr>
                <w:rFonts w:ascii="Arial" w:cs="Arial" w:eastAsia="Arial" w:hAnsi="Arial"/>
                <w:sz w:val="13"/>
                <w:szCs w:val="13"/>
                <w:b w:val="1"/>
                <w:bCs w:val="1"/>
                <w:color w:val="auto"/>
                <w:w w:val="91"/>
              </w:rPr>
              <w:t>2010 Guidance</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580" w:type="dxa"/>
            <w:vAlign w:val="bottom"/>
            <w:gridSpan w:val="6"/>
          </w:tcPr>
          <w:p>
            <w:pPr>
              <w:jc w:val="center"/>
              <w:spacing w:after="0" w:line="126" w:lineRule="exact"/>
              <w:rPr>
                <w:sz w:val="20"/>
                <w:szCs w:val="20"/>
                <w:color w:val="auto"/>
              </w:rPr>
            </w:pPr>
            <w:r>
              <w:rPr>
                <w:rFonts w:ascii="Arial" w:cs="Arial" w:eastAsia="Arial" w:hAnsi="Arial"/>
                <w:sz w:val="13"/>
                <w:szCs w:val="13"/>
                <w:b w:val="1"/>
                <w:bCs w:val="1"/>
                <w:color w:val="auto"/>
                <w:w w:val="92"/>
              </w:rPr>
              <w:t>(Dollars in million 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91"/>
              </w:rPr>
              <w:t>per share amounts) (1)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40" w:type="dxa"/>
            <w:vAlign w:val="bottom"/>
            <w:gridSpan w:val="3"/>
            <w:shd w:val="clear" w:color="auto" w:fill="CCEEFF"/>
          </w:tcPr>
          <w:p>
            <w:pPr>
              <w:spacing w:after="0" w:line="172" w:lineRule="exact"/>
              <w:rPr>
                <w:sz w:val="20"/>
                <w:szCs w:val="20"/>
                <w:color w:val="auto"/>
              </w:rPr>
            </w:pPr>
            <w:r>
              <w:rPr>
                <w:rFonts w:ascii="Arial" w:cs="Arial" w:eastAsia="Arial" w:hAnsi="Arial"/>
                <w:sz w:val="17"/>
                <w:szCs w:val="17"/>
                <w:color w:val="auto"/>
              </w:rPr>
              <w:t>Funds from Operations available for common shareholders (FFO)</w:t>
            </w:r>
          </w:p>
        </w:tc>
        <w:tc>
          <w:tcPr>
            <w:tcW w:w="2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Net income</w:t>
            </w:r>
          </w:p>
        </w:tc>
        <w:tc>
          <w:tcPr>
            <w:tcW w:w="294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123</w:t>
            </w:r>
          </w:p>
        </w:tc>
        <w:tc>
          <w:tcPr>
            <w:tcW w:w="2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 attributable to noncontrolling interests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7"/>
                <w:szCs w:val="17"/>
                <w:color w:val="auto"/>
              </w:rPr>
              <w:t>Gain on sale of real estate</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Depreciation and amortization of real estate &amp; real estate partnership assets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7"/>
                <w:szCs w:val="17"/>
                <w:color w:val="auto"/>
              </w:rPr>
              <w:t>Amortization of initial direct costs of leases</w:t>
            </w:r>
          </w:p>
        </w:tc>
        <w:tc>
          <w:tcPr>
            <w:tcW w:w="2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7"/>
                <w:szCs w:val="17"/>
                <w:color w:val="auto"/>
              </w:rPr>
              <w:t>Dividends on preferred shares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Income attributable to operating partnership units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7"/>
                <w:szCs w:val="17"/>
                <w:color w:val="auto"/>
              </w:rPr>
              <w:t>Income attributable to unvested shares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FFO</w:t>
            </w:r>
          </w:p>
        </w:tc>
        <w:tc>
          <w:tcPr>
            <w:tcW w:w="2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7"/>
                <w:szCs w:val="17"/>
                <w:color w:val="auto"/>
              </w:rPr>
              <w:t>Litigation provision (2)</w:t>
            </w:r>
          </w:p>
        </w:tc>
        <w:tc>
          <w:tcPr>
            <w:tcW w:w="2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FFO excluding litigation provision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7460" w:type="dxa"/>
            <w:vAlign w:val="bottom"/>
            <w:gridSpan w:val="4"/>
          </w:tcPr>
          <w:p>
            <w:pPr>
              <w:spacing w:after="0"/>
              <w:rPr>
                <w:sz w:val="20"/>
                <w:szCs w:val="20"/>
                <w:color w:val="auto"/>
              </w:rPr>
            </w:pPr>
            <w:r>
              <w:rPr>
                <w:rFonts w:ascii="Arial" w:cs="Arial" w:eastAsia="Arial" w:hAnsi="Arial"/>
                <w:sz w:val="17"/>
                <w:szCs w:val="17"/>
                <w:color w:val="auto"/>
              </w:rPr>
              <w:t>Weighted average number of common shares, diluted</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61.7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6"/>
              </w:rPr>
              <w:t>61.7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FFO per diluted share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7"/>
                <w:szCs w:val="17"/>
                <w:color w:val="auto"/>
              </w:rPr>
              <w:t>Litigation provision (2)</w:t>
            </w:r>
          </w:p>
        </w:tc>
        <w:tc>
          <w:tcPr>
            <w:tcW w:w="2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FFO per diluted share excluding litigation provision</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29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Individual items may not add up to total due to rounding.</w:t>
      </w:r>
    </w:p>
    <w:p>
      <w:pPr>
        <w:spacing w:after="0" w:line="15" w:lineRule="exact"/>
        <w:rPr>
          <w:rFonts w:ascii="Arial" w:cs="Arial" w:eastAsia="Arial" w:hAnsi="Arial"/>
          <w:sz w:val="17"/>
          <w:szCs w:val="17"/>
          <w:color w:val="auto"/>
        </w:rPr>
      </w:pPr>
    </w:p>
    <w:p>
      <w:pPr>
        <w:ind w:left="460" w:right="200" w:hanging="455"/>
        <w:spacing w:after="0" w:line="277"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Amount represents a charge for litigation regarding a parcel of land located adjacent to Santana Row as well as other costs related to the litigation and appeal process.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70"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Summarized Income Statements and Balance Sheets—Joint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49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CONSOLIDATED INCOME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4"/>
          </w:tcPr>
          <w:p>
            <w:pPr>
              <w:jc w:val="right"/>
              <w:spacing w:after="0"/>
              <w:rPr>
                <w:sz w:val="20"/>
                <w:szCs w:val="20"/>
                <w:color w:val="auto"/>
              </w:rPr>
            </w:pPr>
            <w:r>
              <w:rPr>
                <w:rFonts w:ascii="Arial" w:cs="Arial" w:eastAsia="Arial" w:hAnsi="Arial"/>
                <w:sz w:val="13"/>
                <w:szCs w:val="13"/>
                <w:b w:val="1"/>
                <w:bCs w:val="1"/>
                <w:color w:val="auto"/>
                <w:w w:val="90"/>
              </w:rPr>
              <w:t>Three months ended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7"/>
          </w:tcPr>
          <w:p>
            <w:pPr>
              <w:jc w:val="center"/>
              <w:ind w:right="340"/>
              <w:spacing w:after="0"/>
              <w:rPr>
                <w:sz w:val="20"/>
                <w:szCs w:val="20"/>
                <w:color w:val="auto"/>
              </w:rPr>
            </w:pPr>
            <w:r>
              <w:rPr>
                <w:rFonts w:ascii="Arial" w:cs="Arial" w:eastAsia="Arial" w:hAnsi="Arial"/>
                <w:sz w:val="13"/>
                <w:szCs w:val="13"/>
                <w:b w:val="1"/>
                <w:bCs w:val="1"/>
                <w:color w:val="auto"/>
                <w:w w:val="88"/>
              </w:rPr>
              <w:t>Year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4"/>
          </w:tcPr>
          <w:p>
            <w:pPr>
              <w:jc w:val="right"/>
              <w:ind w:right="161"/>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7"/>
          </w:tcPr>
          <w:p>
            <w:pPr>
              <w:jc w:val="center"/>
              <w:ind w:right="34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0"/>
              <w:spacing w:after="0" w:line="138" w:lineRule="exact"/>
              <w:rPr>
                <w:sz w:val="20"/>
                <w:szCs w:val="20"/>
                <w:color w:val="auto"/>
              </w:rPr>
            </w:pPr>
            <w:r>
              <w:rPr>
                <w:rFonts w:ascii="Arial" w:cs="Arial" w:eastAsia="Arial" w:hAnsi="Arial"/>
                <w:sz w:val="13"/>
                <w:szCs w:val="13"/>
                <w:b w:val="1"/>
                <w:bCs w:val="1"/>
                <w:color w:val="auto"/>
              </w:rPr>
              <w:t>2009</w:t>
            </w:r>
          </w:p>
        </w:tc>
        <w:tc>
          <w:tcPr>
            <w:tcW w:w="30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2008</w:t>
            </w: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94"/>
              <w:spacing w:after="0" w:line="138" w:lineRule="exact"/>
              <w:rPr>
                <w:sz w:val="20"/>
                <w:szCs w:val="20"/>
                <w:color w:val="auto"/>
              </w:rPr>
            </w:pPr>
            <w:r>
              <w:rPr>
                <w:rFonts w:ascii="Arial" w:cs="Arial" w:eastAsia="Arial" w:hAnsi="Arial"/>
                <w:sz w:val="13"/>
                <w:szCs w:val="13"/>
                <w:b w:val="1"/>
                <w:bCs w:val="1"/>
                <w:color w:val="auto"/>
              </w:rPr>
              <w:t>2009</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38"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20"/>
              <w:spacing w:after="0" w:line="138" w:lineRule="exact"/>
              <w:rPr>
                <w:sz w:val="20"/>
                <w:szCs w:val="20"/>
                <w:color w:val="auto"/>
              </w:rPr>
            </w:pPr>
            <w:r>
              <w:rPr>
                <w:rFonts w:ascii="Arial" w:cs="Arial" w:eastAsia="Arial" w:hAnsi="Arial"/>
                <w:sz w:val="13"/>
                <w:szCs w:val="13"/>
                <w:b w:val="1"/>
                <w:bCs w:val="1"/>
                <w:color w:val="auto"/>
              </w:rPr>
              <w:t>(in</w:t>
            </w:r>
          </w:p>
        </w:tc>
        <w:tc>
          <w:tcPr>
            <w:tcW w:w="780" w:type="dxa"/>
            <w:vAlign w:val="bottom"/>
            <w:gridSpan w:val="3"/>
          </w:tcPr>
          <w:p>
            <w:pPr>
              <w:jc w:val="right"/>
              <w:ind w:right="141"/>
              <w:spacing w:after="0" w:line="138" w:lineRule="exact"/>
              <w:rPr>
                <w:sz w:val="20"/>
                <w:szCs w:val="20"/>
                <w:color w:val="auto"/>
              </w:rPr>
            </w:pPr>
            <w:r>
              <w:rPr>
                <w:rFonts w:ascii="Arial" w:cs="Arial" w:eastAsia="Arial" w:hAnsi="Arial"/>
                <w:sz w:val="13"/>
                <w:szCs w:val="13"/>
                <w:b w:val="1"/>
                <w:bCs w:val="1"/>
                <w:color w:val="auto"/>
                <w:w w:val="77"/>
              </w:rPr>
              <w:t>thousands)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ind w:right="34"/>
              <w:spacing w:after="0" w:line="138" w:lineRule="exact"/>
              <w:rPr>
                <w:sz w:val="20"/>
                <w:szCs w:val="20"/>
                <w:color w:val="auto"/>
              </w:rPr>
            </w:pPr>
            <w:r>
              <w:rPr>
                <w:rFonts w:ascii="Arial" w:cs="Arial" w:eastAsia="Arial" w:hAnsi="Arial"/>
                <w:sz w:val="13"/>
                <w:szCs w:val="13"/>
                <w:b w:val="1"/>
                <w:bCs w:val="1"/>
                <w:color w:val="auto"/>
              </w:rPr>
              <w:t>(in</w:t>
            </w:r>
          </w:p>
        </w:tc>
        <w:tc>
          <w:tcPr>
            <w:tcW w:w="880" w:type="dxa"/>
            <w:vAlign w:val="bottom"/>
            <w:gridSpan w:val="5"/>
          </w:tcPr>
          <w:p>
            <w:pPr>
              <w:jc w:val="right"/>
              <w:ind w:right="236"/>
              <w:spacing w:after="0" w:line="138" w:lineRule="exact"/>
              <w:rPr>
                <w:sz w:val="20"/>
                <w:szCs w:val="20"/>
                <w:color w:val="auto"/>
              </w:rPr>
            </w:pPr>
            <w:r>
              <w:rPr>
                <w:rFonts w:ascii="Arial" w:cs="Arial" w:eastAsia="Arial" w:hAnsi="Arial"/>
                <w:sz w:val="13"/>
                <w:szCs w:val="13"/>
                <w:b w:val="1"/>
                <w:bCs w:val="1"/>
                <w:color w:val="auto"/>
                <w:w w:val="77"/>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2"/>
          </w:tcPr>
          <w:p>
            <w:pPr>
              <w:ind w:left="400"/>
              <w:spacing w:after="0"/>
              <w:rPr>
                <w:sz w:val="20"/>
                <w:szCs w:val="20"/>
                <w:color w:val="auto"/>
              </w:rPr>
            </w:pPr>
            <w:r>
              <w:rPr>
                <w:rFonts w:ascii="Arial" w:cs="Arial" w:eastAsia="Arial" w:hAnsi="Arial"/>
                <w:sz w:val="17"/>
                <w:szCs w:val="17"/>
                <w:color w:val="auto"/>
              </w:rPr>
              <w:t>Rental income</w:t>
            </w:r>
          </w:p>
        </w:tc>
        <w:tc>
          <w:tcPr>
            <w:tcW w:w="3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34"/>
              <w:spacing w:after="0"/>
              <w:rPr>
                <w:sz w:val="20"/>
                <w:szCs w:val="20"/>
                <w:color w:val="auto"/>
              </w:rPr>
            </w:pPr>
            <w:r>
              <w:rPr>
                <w:rFonts w:ascii="Arial" w:cs="Arial" w:eastAsia="Arial" w:hAnsi="Arial"/>
                <w:sz w:val="17"/>
                <w:szCs w:val="17"/>
                <w:color w:val="auto"/>
              </w:rPr>
              <w:t>4,577</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95"/>
              </w:rPr>
              <w:t>$ 4,789</w:t>
            </w:r>
          </w:p>
        </w:tc>
        <w:tc>
          <w:tcPr>
            <w:tcW w:w="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14"/>
              <w:spacing w:after="0"/>
              <w:rPr>
                <w:sz w:val="20"/>
                <w:szCs w:val="20"/>
                <w:color w:val="auto"/>
              </w:rPr>
            </w:pPr>
            <w:r>
              <w:rPr>
                <w:rFonts w:ascii="Arial" w:cs="Arial" w:eastAsia="Arial" w:hAnsi="Arial"/>
                <w:sz w:val="17"/>
                <w:szCs w:val="17"/>
                <w:color w:val="auto"/>
                <w:w w:val="88"/>
              </w:rPr>
              <w:t>18,409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18,896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Other property income</w:t>
            </w:r>
          </w:p>
        </w:tc>
        <w:tc>
          <w:tcPr>
            <w:tcW w:w="3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4"/>
              <w:spacing w:after="0"/>
              <w:rPr>
                <w:sz w:val="20"/>
                <w:szCs w:val="20"/>
                <w:color w:val="auto"/>
              </w:rPr>
            </w:pPr>
            <w:r>
              <w:rPr>
                <w:rFonts w:ascii="Arial" w:cs="Arial" w:eastAsia="Arial" w:hAnsi="Arial"/>
                <w:sz w:val="17"/>
                <w:szCs w:val="17"/>
                <w:color w:val="auto"/>
              </w:rPr>
              <w:t>4,586</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4,838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4"/>
              <w:spacing w:after="0"/>
              <w:rPr>
                <w:sz w:val="20"/>
                <w:szCs w:val="20"/>
                <w:color w:val="auto"/>
              </w:rPr>
            </w:pPr>
            <w:r>
              <w:rPr>
                <w:rFonts w:ascii="Arial" w:cs="Arial" w:eastAsia="Arial" w:hAnsi="Arial"/>
                <w:sz w:val="17"/>
                <w:szCs w:val="17"/>
                <w:color w:val="auto"/>
                <w:w w:val="88"/>
              </w:rPr>
              <w:t>19,109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19,111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Expenses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2"/>
          </w:tcPr>
          <w:p>
            <w:pPr>
              <w:ind w:left="400"/>
              <w:spacing w:after="0"/>
              <w:rPr>
                <w:sz w:val="20"/>
                <w:szCs w:val="20"/>
                <w:color w:val="auto"/>
              </w:rPr>
            </w:pPr>
            <w:r>
              <w:rPr>
                <w:rFonts w:ascii="Arial" w:cs="Arial" w:eastAsia="Arial" w:hAnsi="Arial"/>
                <w:sz w:val="17"/>
                <w:szCs w:val="17"/>
                <w:color w:val="auto"/>
              </w:rPr>
              <w:t>Rental</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4"/>
              <w:spacing w:after="0"/>
              <w:rPr>
                <w:sz w:val="20"/>
                <w:szCs w:val="20"/>
                <w:color w:val="auto"/>
              </w:rPr>
            </w:pPr>
            <w:r>
              <w:rPr>
                <w:rFonts w:ascii="Arial" w:cs="Arial" w:eastAsia="Arial" w:hAnsi="Arial"/>
                <w:sz w:val="17"/>
                <w:szCs w:val="17"/>
                <w:color w:val="auto"/>
              </w:rPr>
              <w:t>1,114</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917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4"/>
              <w:spacing w:after="0"/>
              <w:rPr>
                <w:sz w:val="20"/>
                <w:szCs w:val="20"/>
                <w:color w:val="auto"/>
              </w:rPr>
            </w:pPr>
            <w:r>
              <w:rPr>
                <w:rFonts w:ascii="Arial" w:cs="Arial" w:eastAsia="Arial" w:hAnsi="Arial"/>
                <w:sz w:val="17"/>
                <w:szCs w:val="17"/>
                <w:color w:val="auto"/>
              </w:rPr>
              <w:t>3,760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Real estate taxes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4"/>
              <w:spacing w:after="0"/>
              <w:rPr>
                <w:sz w:val="20"/>
                <w:szCs w:val="20"/>
                <w:color w:val="auto"/>
              </w:rPr>
            </w:pPr>
            <w:r>
              <w:rPr>
                <w:rFonts w:ascii="Arial" w:cs="Arial" w:eastAsia="Arial" w:hAnsi="Arial"/>
                <w:sz w:val="17"/>
                <w:szCs w:val="17"/>
                <w:color w:val="auto"/>
              </w:rPr>
              <w:t>598</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2,259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gridSpan w:val="2"/>
          </w:tcPr>
          <w:p>
            <w:pPr>
              <w:ind w:left="400"/>
              <w:spacing w:after="0"/>
              <w:rPr>
                <w:sz w:val="20"/>
                <w:szCs w:val="20"/>
                <w:color w:val="auto"/>
              </w:rPr>
            </w:pPr>
            <w:r>
              <w:rPr>
                <w:rFonts w:ascii="Arial" w:cs="Arial" w:eastAsia="Arial" w:hAnsi="Arial"/>
                <w:sz w:val="17"/>
                <w:szCs w:val="17"/>
                <w:color w:val="auto"/>
              </w:rPr>
              <w:t>Depreciation and amortization</w:t>
            </w:r>
          </w:p>
        </w:tc>
        <w:tc>
          <w:tcPr>
            <w:tcW w:w="3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1,234</w:t>
            </w:r>
          </w:p>
        </w:tc>
        <w:tc>
          <w:tcPr>
            <w:tcW w:w="300" w:type="dxa"/>
            <w:vAlign w:val="bottom"/>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1,222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4,998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2,946</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2,660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11,017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tcPr>
          <w:p>
            <w:pPr>
              <w:ind w:left="400"/>
              <w:spacing w:after="0"/>
              <w:rPr>
                <w:sz w:val="20"/>
                <w:szCs w:val="20"/>
                <w:color w:val="auto"/>
              </w:rPr>
            </w:pPr>
            <w:r>
              <w:rPr>
                <w:rFonts w:ascii="Arial" w:cs="Arial" w:eastAsia="Arial" w:hAnsi="Arial"/>
                <w:sz w:val="17"/>
                <w:szCs w:val="17"/>
                <w:color w:val="auto"/>
              </w:rPr>
              <w:t>Operating income</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4"/>
              <w:spacing w:after="0"/>
              <w:rPr>
                <w:sz w:val="20"/>
                <w:szCs w:val="20"/>
                <w:color w:val="auto"/>
              </w:rPr>
            </w:pPr>
            <w:r>
              <w:rPr>
                <w:rFonts w:ascii="Arial" w:cs="Arial" w:eastAsia="Arial" w:hAnsi="Arial"/>
                <w:sz w:val="17"/>
                <w:szCs w:val="17"/>
                <w:color w:val="auto"/>
              </w:rPr>
              <w:t>1,640</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2,178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4"/>
              <w:spacing w:after="0"/>
              <w:rPr>
                <w:sz w:val="20"/>
                <w:szCs w:val="20"/>
                <w:color w:val="auto"/>
              </w:rPr>
            </w:pPr>
            <w:r>
              <w:rPr>
                <w:rFonts w:ascii="Arial" w:cs="Arial" w:eastAsia="Arial" w:hAnsi="Arial"/>
                <w:sz w:val="17"/>
                <w:szCs w:val="17"/>
                <w:color w:val="auto"/>
              </w:rPr>
              <w:t>8,092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w w:val="92"/>
              </w:rPr>
              <w:t>(1,034)</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(1,133)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6"/>
              </w:rPr>
              <w:t>(4,430)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(4,537)</w:t>
            </w: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7"/>
                <w:szCs w:val="17"/>
                <w:color w:val="auto"/>
              </w:rPr>
              <w:t>Net income</w:t>
            </w:r>
          </w:p>
        </w:tc>
        <w:tc>
          <w:tcPr>
            <w:tcW w:w="3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80" w:type="dxa"/>
            <w:vAlign w:val="bottom"/>
            <w:gridSpan w:val="3"/>
            <w:vMerge w:val="continue"/>
          </w:tcPr>
          <w:p>
            <w:pPr>
              <w:spacing w:after="0"/>
              <w:rPr>
                <w:sz w:val="18"/>
                <w:szCs w:val="18"/>
                <w:color w:val="auto"/>
              </w:rPr>
            </w:pPr>
          </w:p>
        </w:tc>
        <w:tc>
          <w:tcPr>
            <w:tcW w:w="3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34"/>
              <w:spacing w:after="0"/>
              <w:rPr>
                <w:sz w:val="20"/>
                <w:szCs w:val="20"/>
                <w:color w:val="auto"/>
              </w:rPr>
            </w:pPr>
            <w:r>
              <w:rPr>
                <w:rFonts w:ascii="Arial" w:cs="Arial" w:eastAsia="Arial" w:hAnsi="Arial"/>
                <w:sz w:val="17"/>
                <w:szCs w:val="17"/>
                <w:color w:val="auto"/>
              </w:rPr>
              <w:t>606</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w w:val="95"/>
              </w:rPr>
              <w:t>$ 1,045</w:t>
            </w:r>
          </w:p>
        </w:tc>
        <w:tc>
          <w:tcPr>
            <w:tcW w:w="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14"/>
              <w:spacing w:after="0"/>
              <w:rPr>
                <w:sz w:val="20"/>
                <w:szCs w:val="20"/>
                <w:color w:val="auto"/>
              </w:rPr>
            </w:pPr>
            <w:r>
              <w:rPr>
                <w:rFonts w:ascii="Arial" w:cs="Arial" w:eastAsia="Arial" w:hAnsi="Arial"/>
                <w:sz w:val="17"/>
                <w:szCs w:val="17"/>
                <w:color w:val="auto"/>
              </w:rPr>
              <w:t>3,662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4,597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7"/>
                <w:szCs w:val="17"/>
                <w:color w:val="auto"/>
              </w:rPr>
              <w:t>CONSOLIDATED BALANCE SHEETS</w:t>
            </w:r>
          </w:p>
        </w:tc>
        <w:tc>
          <w:tcPr>
            <w:tcW w:w="3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680" w:type="dxa"/>
            <w:vAlign w:val="bottom"/>
            <w:gridSpan w:val="3"/>
            <w:vMerge w:val="continue"/>
          </w:tcPr>
          <w:p>
            <w:pPr>
              <w:spacing w:after="0"/>
              <w:rPr>
                <w:sz w:val="24"/>
                <w:szCs w:val="24"/>
                <w:color w:val="auto"/>
              </w:rPr>
            </w:pPr>
          </w:p>
        </w:tc>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8"/>
          </w:tcPr>
          <w:p>
            <w:pPr>
              <w:jc w:val="center"/>
              <w:ind w:right="334"/>
              <w:spacing w:after="0"/>
              <w:rPr>
                <w:sz w:val="20"/>
                <w:szCs w:val="20"/>
                <w:color w:val="auto"/>
              </w:rPr>
            </w:pPr>
            <w:r>
              <w:rPr>
                <w:rFonts w:ascii="Arial" w:cs="Arial" w:eastAsia="Arial" w:hAnsi="Arial"/>
                <w:sz w:val="13"/>
                <w:szCs w:val="13"/>
                <w:b w:val="1"/>
                <w:bCs w:val="1"/>
                <w:color w:val="auto"/>
                <w:w w:val="89"/>
              </w:rPr>
              <w:t>December 31,</w:t>
            </w:r>
          </w:p>
        </w:tc>
        <w:tc>
          <w:tcPr>
            <w:tcW w:w="20" w:type="dxa"/>
            <w:vAlign w:val="bottom"/>
          </w:tcPr>
          <w:p>
            <w:pPr>
              <w:spacing w:after="0"/>
              <w:rPr>
                <w:sz w:val="24"/>
                <w:szCs w:val="2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2009</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3"/>
                <w:szCs w:val="13"/>
                <w:b w:val="1"/>
                <w:bCs w:val="1"/>
                <w:color w:val="auto"/>
                <w:w w:val="96"/>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gridSpan w:val="2"/>
          </w:tcPr>
          <w:p>
            <w:pPr>
              <w:ind w:left="60"/>
              <w:spacing w:after="0" w:line="138"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4"/>
          </w:tcPr>
          <w:p>
            <w:pPr>
              <w:spacing w:after="0" w:line="138" w:lineRule="exact"/>
              <w:rPr>
                <w:sz w:val="20"/>
                <w:szCs w:val="20"/>
                <w:color w:val="auto"/>
              </w:rPr>
            </w:pPr>
            <w:r>
              <w:rPr>
                <w:rFonts w:ascii="Arial" w:cs="Arial" w:eastAsia="Arial" w:hAnsi="Arial"/>
                <w:sz w:val="13"/>
                <w:szCs w:val="13"/>
                <w:b w:val="1"/>
                <w:bCs w:val="1"/>
                <w:color w:val="auto"/>
                <w:w w:val="91"/>
              </w:rPr>
              <w:t>thousands)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7"/>
                <w:szCs w:val="17"/>
                <w:color w:val="auto"/>
              </w:rPr>
              <w:t>Real estate, at cost</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6"/>
          </w:tcPr>
          <w:p>
            <w:pPr>
              <w:jc w:val="right"/>
              <w:ind w:right="274"/>
              <w:spacing w:after="0"/>
              <w:rPr>
                <w:sz w:val="20"/>
                <w:szCs w:val="20"/>
                <w:color w:val="auto"/>
              </w:rPr>
            </w:pPr>
            <w:r>
              <w:rPr>
                <w:rFonts w:ascii="Arial" w:cs="Arial" w:eastAsia="Arial" w:hAnsi="Arial"/>
                <w:sz w:val="17"/>
                <w:szCs w:val="17"/>
                <w:color w:val="auto"/>
                <w:w w:val="97"/>
              </w:rPr>
              <w:t>203,122</w:t>
            </w:r>
          </w:p>
        </w:tc>
        <w:tc>
          <w:tcPr>
            <w:tcW w:w="80" w:type="dxa"/>
            <w:vAlign w:val="bottom"/>
          </w:tcPr>
          <w:p>
            <w:pPr>
              <w:spacing w:after="0"/>
              <w:rPr>
                <w:sz w:val="18"/>
                <w:szCs w:val="18"/>
                <w:color w:val="auto"/>
              </w:rPr>
            </w:pPr>
          </w:p>
        </w:tc>
        <w:tc>
          <w:tcPr>
            <w:tcW w:w="240" w:type="dxa"/>
            <w:vAlign w:val="bottom"/>
            <w:gridSpan w:val="2"/>
          </w:tcPr>
          <w:p>
            <w:pPr>
              <w:jc w:val="center"/>
              <w:ind w:right="54"/>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87"/>
              </w:rPr>
              <w:t>202,519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Less accumulated depreciation and amortization</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214"/>
              <w:spacing w:after="0"/>
              <w:rPr>
                <w:sz w:val="20"/>
                <w:szCs w:val="20"/>
                <w:color w:val="auto"/>
              </w:rPr>
            </w:pPr>
            <w:r>
              <w:rPr>
                <w:rFonts w:ascii="Arial" w:cs="Arial" w:eastAsia="Arial" w:hAnsi="Arial"/>
                <w:sz w:val="17"/>
                <w:szCs w:val="17"/>
                <w:color w:val="auto"/>
              </w:rPr>
              <w:t>(19,365)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w w:val="94"/>
              </w:rPr>
              <w:t>(14,609)</w:t>
            </w: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7"/>
                <w:szCs w:val="17"/>
                <w:color w:val="auto"/>
              </w:rPr>
              <w:t>Net real estate</w:t>
            </w: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80" w:type="dxa"/>
            <w:vAlign w:val="bottom"/>
            <w:gridSpan w:val="3"/>
            <w:vMerge w:val="continue"/>
          </w:tcPr>
          <w:p>
            <w:pPr>
              <w:spacing w:after="0"/>
              <w:rPr>
                <w:sz w:val="18"/>
                <w:szCs w:val="18"/>
                <w:color w:val="auto"/>
              </w:rPr>
            </w:pP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6"/>
          </w:tcPr>
          <w:p>
            <w:pPr>
              <w:jc w:val="right"/>
              <w:ind w:right="274"/>
              <w:spacing w:after="0"/>
              <w:rPr>
                <w:sz w:val="20"/>
                <w:szCs w:val="20"/>
                <w:color w:val="auto"/>
              </w:rPr>
            </w:pPr>
            <w:r>
              <w:rPr>
                <w:rFonts w:ascii="Arial" w:cs="Arial" w:eastAsia="Arial" w:hAnsi="Arial"/>
                <w:sz w:val="17"/>
                <w:szCs w:val="17"/>
                <w:color w:val="auto"/>
                <w:w w:val="97"/>
              </w:rPr>
              <w:t>183,757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87"/>
              </w:rPr>
              <w:t>187,910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74"/>
              <w:spacing w:after="0"/>
              <w:rPr>
                <w:sz w:val="20"/>
                <w:szCs w:val="20"/>
                <w:color w:val="auto"/>
              </w:rPr>
            </w:pPr>
            <w:r>
              <w:rPr>
                <w:rFonts w:ascii="Arial" w:cs="Arial" w:eastAsia="Arial" w:hAnsi="Arial"/>
                <w:sz w:val="17"/>
                <w:szCs w:val="17"/>
                <w:color w:val="auto"/>
              </w:rPr>
              <w:t>2,959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ind w:right="274"/>
              <w:spacing w:after="0"/>
              <w:rPr>
                <w:sz w:val="20"/>
                <w:szCs w:val="20"/>
                <w:color w:val="auto"/>
              </w:rPr>
            </w:pPr>
            <w:r>
              <w:rPr>
                <w:rFonts w:ascii="Arial" w:cs="Arial" w:eastAsia="Arial" w:hAnsi="Arial"/>
                <w:sz w:val="17"/>
                <w:szCs w:val="17"/>
                <w:color w:val="auto"/>
              </w:rPr>
              <w:t>6,853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6"/>
            <w:shd w:val="clear" w:color="auto" w:fill="CCEEFF"/>
          </w:tcPr>
          <w:p>
            <w:pPr>
              <w:jc w:val="right"/>
              <w:ind w:right="274"/>
              <w:spacing w:after="0"/>
              <w:rPr>
                <w:sz w:val="20"/>
                <w:szCs w:val="20"/>
                <w:color w:val="auto"/>
              </w:rPr>
            </w:pPr>
            <w:r>
              <w:rPr>
                <w:rFonts w:ascii="Arial" w:cs="Arial" w:eastAsia="Arial" w:hAnsi="Arial"/>
                <w:sz w:val="17"/>
                <w:szCs w:val="17"/>
                <w:color w:val="auto"/>
                <w:w w:val="97"/>
              </w:rPr>
              <w:t>193,569</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right="54"/>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7"/>
              </w:rPr>
              <w:t>197,580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7"/>
                <w:szCs w:val="17"/>
                <w:color w:val="auto"/>
              </w:rPr>
              <w:t>LIABILITIES AND PARTNERS’ CAPITAL</w:t>
            </w: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80" w:type="dxa"/>
            <w:vAlign w:val="bottom"/>
            <w:gridSpan w:val="3"/>
            <w:vMerge w:val="continue"/>
          </w:tcPr>
          <w:p>
            <w:pPr>
              <w:spacing w:after="0"/>
              <w:rPr>
                <w:sz w:val="17"/>
                <w:szCs w:val="17"/>
                <w:color w:val="auto"/>
              </w:rPr>
            </w:pPr>
          </w:p>
        </w:tc>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Liabilities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2"/>
          </w:tcPr>
          <w:p>
            <w:pPr>
              <w:ind w:left="400"/>
              <w:spacing w:after="0"/>
              <w:rPr>
                <w:sz w:val="20"/>
                <w:szCs w:val="20"/>
                <w:color w:val="auto"/>
              </w:rPr>
            </w:pPr>
            <w:r>
              <w:rPr>
                <w:rFonts w:ascii="Arial" w:cs="Arial" w:eastAsia="Arial" w:hAnsi="Arial"/>
                <w:sz w:val="17"/>
                <w:szCs w:val="17"/>
                <w:color w:val="auto"/>
              </w:rPr>
              <w:t>Mortgages payable</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ind w:right="274"/>
              <w:spacing w:after="0"/>
              <w:rPr>
                <w:sz w:val="20"/>
                <w:szCs w:val="20"/>
                <w:color w:val="auto"/>
              </w:rPr>
            </w:pPr>
            <w:r>
              <w:rPr>
                <w:rFonts w:ascii="Arial" w:cs="Arial" w:eastAsia="Arial" w:hAnsi="Arial"/>
                <w:sz w:val="17"/>
                <w:szCs w:val="17"/>
                <w:color w:val="auto"/>
                <w:w w:val="88"/>
              </w:rPr>
              <w:t>57,780</w:t>
            </w:r>
          </w:p>
        </w:tc>
        <w:tc>
          <w:tcPr>
            <w:tcW w:w="80" w:type="dxa"/>
            <w:vAlign w:val="bottom"/>
          </w:tcPr>
          <w:p>
            <w:pPr>
              <w:spacing w:after="0"/>
              <w:rPr>
                <w:sz w:val="18"/>
                <w:szCs w:val="18"/>
                <w:color w:val="auto"/>
              </w:rPr>
            </w:pPr>
          </w:p>
        </w:tc>
        <w:tc>
          <w:tcPr>
            <w:tcW w:w="240" w:type="dxa"/>
            <w:vAlign w:val="bottom"/>
            <w:gridSpan w:val="2"/>
          </w:tcPr>
          <w:p>
            <w:pPr>
              <w:jc w:val="center"/>
              <w:ind w:right="54"/>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81,365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6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Other liabilities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74"/>
              <w:spacing w:after="0"/>
              <w:rPr>
                <w:sz w:val="20"/>
                <w:szCs w:val="20"/>
                <w:color w:val="auto"/>
              </w:rPr>
            </w:pPr>
            <w:r>
              <w:rPr>
                <w:rFonts w:ascii="Arial" w:cs="Arial" w:eastAsia="Arial" w:hAnsi="Arial"/>
                <w:sz w:val="17"/>
                <w:szCs w:val="17"/>
                <w:color w:val="auto"/>
              </w:rPr>
              <w:t>6,101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7"/>
                <w:szCs w:val="17"/>
                <w:color w:val="auto"/>
              </w:rPr>
              <w:t>Total liabilities</w:t>
            </w: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80" w:type="dxa"/>
            <w:vAlign w:val="bottom"/>
            <w:gridSpan w:val="3"/>
            <w:vMerge w:val="continue"/>
          </w:tcPr>
          <w:p>
            <w:pPr>
              <w:spacing w:after="0"/>
              <w:rPr>
                <w:sz w:val="18"/>
                <w:szCs w:val="18"/>
                <w:color w:val="auto"/>
              </w:rPr>
            </w:pP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ind w:right="274"/>
              <w:spacing w:after="0"/>
              <w:rPr>
                <w:sz w:val="20"/>
                <w:szCs w:val="20"/>
                <w:color w:val="auto"/>
              </w:rPr>
            </w:pPr>
            <w:r>
              <w:rPr>
                <w:rFonts w:ascii="Arial" w:cs="Arial" w:eastAsia="Arial" w:hAnsi="Arial"/>
                <w:sz w:val="17"/>
                <w:szCs w:val="17"/>
                <w:color w:val="auto"/>
                <w:w w:val="88"/>
              </w:rPr>
              <w:t>63,881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88,728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Partners’ capital</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274"/>
              <w:spacing w:after="0"/>
              <w:rPr>
                <w:sz w:val="20"/>
                <w:szCs w:val="20"/>
                <w:color w:val="auto"/>
              </w:rPr>
            </w:pPr>
            <w:r>
              <w:rPr>
                <w:rFonts w:ascii="Arial" w:cs="Arial" w:eastAsia="Arial" w:hAnsi="Arial"/>
                <w:sz w:val="17"/>
                <w:szCs w:val="17"/>
                <w:color w:val="auto"/>
                <w:w w:val="97"/>
              </w:rPr>
              <w:t>129,688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7"/>
              </w:rPr>
              <w:t>108,852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7"/>
                <w:szCs w:val="17"/>
                <w:color w:val="auto"/>
              </w:rPr>
              <w:t>TOTAL LIABILITIES AND PARTNERS’ CAPITAL</w:t>
            </w:r>
          </w:p>
        </w:tc>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80" w:type="dxa"/>
            <w:vAlign w:val="bottom"/>
            <w:gridSpan w:val="3"/>
            <w:vMerge w:val="continue"/>
          </w:tcPr>
          <w:p>
            <w:pPr>
              <w:spacing w:after="0"/>
              <w:rPr>
                <w:sz w:val="18"/>
                <w:szCs w:val="18"/>
                <w:color w:val="auto"/>
              </w:rPr>
            </w:pP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6"/>
          </w:tcPr>
          <w:p>
            <w:pPr>
              <w:jc w:val="right"/>
              <w:ind w:right="274"/>
              <w:spacing w:after="0"/>
              <w:rPr>
                <w:sz w:val="20"/>
                <w:szCs w:val="20"/>
                <w:color w:val="auto"/>
              </w:rPr>
            </w:pPr>
            <w:r>
              <w:rPr>
                <w:rFonts w:ascii="Arial" w:cs="Arial" w:eastAsia="Arial" w:hAnsi="Arial"/>
                <w:sz w:val="17"/>
                <w:szCs w:val="17"/>
                <w:color w:val="auto"/>
                <w:w w:val="97"/>
              </w:rPr>
              <w:t>193,569</w:t>
            </w:r>
          </w:p>
        </w:tc>
        <w:tc>
          <w:tcPr>
            <w:tcW w:w="80" w:type="dxa"/>
            <w:vAlign w:val="bottom"/>
          </w:tcPr>
          <w:p>
            <w:pPr>
              <w:spacing w:after="0"/>
              <w:rPr>
                <w:sz w:val="18"/>
                <w:szCs w:val="18"/>
                <w:color w:val="auto"/>
              </w:rPr>
            </w:pPr>
          </w:p>
        </w:tc>
        <w:tc>
          <w:tcPr>
            <w:tcW w:w="240" w:type="dxa"/>
            <w:vAlign w:val="bottom"/>
            <w:gridSpan w:val="2"/>
          </w:tcPr>
          <w:p>
            <w:pPr>
              <w:jc w:val="center"/>
              <w:ind w:right="54"/>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87"/>
              </w:rPr>
              <w:t>197,580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480" w:type="dxa"/>
            <w:vAlign w:val="bottom"/>
            <w:vMerge w:val="restart"/>
          </w:tcPr>
          <w:p>
            <w:pPr>
              <w:jc w:val="right"/>
              <w:ind w:right="2274"/>
              <w:spacing w:after="0"/>
              <w:rPr>
                <w:sz w:val="20"/>
                <w:szCs w:val="20"/>
                <w:color w:val="auto"/>
              </w:rPr>
            </w:pPr>
            <w:r>
              <w:rPr>
                <w:rFonts w:ascii="Arial" w:cs="Arial" w:eastAsia="Arial" w:hAnsi="Arial"/>
                <w:sz w:val="17"/>
                <w:szCs w:val="17"/>
                <w:color w:val="auto"/>
              </w:rPr>
              <w:t>22</w:t>
            </w: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Outstanding Debt and Debt Maturities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497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auto"/>
        </w:rPr>
        <w:t>OUTSTANDING DEBT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90"/>
              </w:rPr>
              <w:t>Stated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5"/>
        </w:trPr>
        <w:tc>
          <w:tcPr>
            <w:tcW w:w="12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0" w:type="dxa"/>
            <w:vAlign w:val="bottom"/>
            <w:gridSpan w:val="2"/>
          </w:tcPr>
          <w:p>
            <w:pPr>
              <w:jc w:val="center"/>
              <w:ind w:right="1140"/>
              <w:spacing w:after="0" w:line="145" w:lineRule="exact"/>
              <w:rPr>
                <w:sz w:val="20"/>
                <w:szCs w:val="20"/>
                <w:color w:val="auto"/>
              </w:rPr>
            </w:pPr>
            <w:r>
              <w:rPr>
                <w:rFonts w:ascii="Arial" w:cs="Arial" w:eastAsia="Arial" w:hAnsi="Arial"/>
                <w:sz w:val="13"/>
                <w:szCs w:val="13"/>
                <w:b w:val="1"/>
                <w:bCs w:val="1"/>
                <w:color w:val="auto"/>
                <w:w w:val="90"/>
              </w:rPr>
              <w:t>Interest Rate as of</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8"/>
        </w:trPr>
        <w:tc>
          <w:tcPr>
            <w:tcW w:w="12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08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8"/>
              </w:rPr>
              <w:t>Maturity</w:t>
            </w:r>
          </w:p>
        </w:tc>
        <w:tc>
          <w:tcPr>
            <w:tcW w:w="22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0"/>
              </w:rPr>
              <w:t>December 31, 2009</w:t>
            </w: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Balance</w:t>
            </w:r>
          </w:p>
        </w:tc>
      </w:tr>
      <w:tr>
        <w:trPr>
          <w:trHeight w:val="138"/>
        </w:trPr>
        <w:tc>
          <w:tcPr>
            <w:tcW w:w="12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20" w:type="dxa"/>
            <w:vAlign w:val="bottom"/>
          </w:tcPr>
          <w:p>
            <w:pPr>
              <w:spacing w:after="0"/>
              <w:rPr>
                <w:sz w:val="12"/>
                <w:szCs w:val="12"/>
                <w:color w:val="auto"/>
              </w:rPr>
            </w:pPr>
          </w:p>
        </w:tc>
      </w:tr>
      <w:tr>
        <w:trPr>
          <w:trHeight w:val="171"/>
        </w:trPr>
        <w:tc>
          <w:tcPr>
            <w:tcW w:w="634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Mortgage Loans</w:t>
            </w:r>
          </w:p>
        </w:tc>
        <w:tc>
          <w:tcPr>
            <w:tcW w:w="15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40"/>
        </w:trPr>
        <w:tc>
          <w:tcPr>
            <w:tcW w:w="1200" w:type="dxa"/>
            <w:vAlign w:val="bottom"/>
            <w:shd w:val="clear" w:color="auto" w:fill="000000"/>
          </w:tcPr>
          <w:p>
            <w:pPr>
              <w:spacing w:after="0"/>
              <w:rPr>
                <w:sz w:val="3"/>
                <w:szCs w:val="3"/>
                <w:color w:val="auto"/>
              </w:rPr>
            </w:pPr>
          </w:p>
        </w:tc>
        <w:tc>
          <w:tcPr>
            <w:tcW w:w="514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11"/>
        </w:trPr>
        <w:tc>
          <w:tcPr>
            <w:tcW w:w="6340" w:type="dxa"/>
            <w:vAlign w:val="bottom"/>
            <w:gridSpan w:val="2"/>
          </w:tcPr>
          <w:p>
            <w:pPr>
              <w:ind w:left="420"/>
              <w:spacing w:after="0"/>
              <w:rPr>
                <w:sz w:val="20"/>
                <w:szCs w:val="20"/>
                <w:color w:val="auto"/>
              </w:rPr>
            </w:pPr>
            <w:r>
              <w:rPr>
                <w:rFonts w:ascii="Arial" w:cs="Arial" w:eastAsia="Arial" w:hAnsi="Arial"/>
                <w:sz w:val="17"/>
                <w:szCs w:val="17"/>
                <w:i w:val="1"/>
                <w:iCs w:val="1"/>
                <w:color w:val="auto"/>
              </w:rPr>
              <w:t>Secured Fixed Rate</w:t>
            </w: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63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Plaza del Mercado</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07/05/14</w:t>
            </w: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5.770%(a)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12,895</w:t>
            </w:r>
          </w:p>
        </w:tc>
        <w:tc>
          <w:tcPr>
            <w:tcW w:w="20" w:type="dxa"/>
            <w:vAlign w:val="bottom"/>
          </w:tcPr>
          <w:p>
            <w:pPr>
              <w:spacing w:after="0"/>
              <w:rPr>
                <w:sz w:val="18"/>
                <w:szCs w:val="18"/>
                <w:color w:val="auto"/>
              </w:rPr>
            </w:pPr>
          </w:p>
        </w:tc>
      </w:tr>
      <w:tr>
        <w:trPr>
          <w:trHeight w:val="211"/>
        </w:trPr>
        <w:tc>
          <w:tcPr>
            <w:tcW w:w="6340" w:type="dxa"/>
            <w:vAlign w:val="bottom"/>
            <w:gridSpan w:val="2"/>
          </w:tcPr>
          <w:p>
            <w:pPr>
              <w:ind w:left="420"/>
              <w:spacing w:after="0"/>
              <w:rPr>
                <w:sz w:val="20"/>
                <w:szCs w:val="20"/>
                <w:color w:val="auto"/>
              </w:rPr>
            </w:pPr>
            <w:r>
              <w:rPr>
                <w:rFonts w:ascii="Arial" w:cs="Arial" w:eastAsia="Arial" w:hAnsi="Arial"/>
                <w:sz w:val="17"/>
                <w:szCs w:val="17"/>
                <w:color w:val="auto"/>
              </w:rPr>
              <w:t>Atlantic Plaza</w:t>
            </w:r>
          </w:p>
        </w:tc>
        <w:tc>
          <w:tcPr>
            <w:tcW w:w="1500" w:type="dxa"/>
            <w:vAlign w:val="bottom"/>
          </w:tcPr>
          <w:p>
            <w:pPr>
              <w:jc w:val="center"/>
              <w:spacing w:after="0"/>
              <w:rPr>
                <w:sz w:val="20"/>
                <w:szCs w:val="20"/>
                <w:color w:val="auto"/>
              </w:rPr>
            </w:pPr>
            <w:r>
              <w:rPr>
                <w:rFonts w:ascii="Arial" w:cs="Arial" w:eastAsia="Arial" w:hAnsi="Arial"/>
                <w:sz w:val="17"/>
                <w:szCs w:val="17"/>
                <w:color w:val="auto"/>
                <w:w w:val="93"/>
              </w:rPr>
              <w:t>12/01/14</w:t>
            </w:r>
          </w:p>
        </w:tc>
        <w:tc>
          <w:tcPr>
            <w:tcW w:w="580" w:type="dxa"/>
            <w:vAlign w:val="bottom"/>
          </w:tcPr>
          <w:p>
            <w:pPr>
              <w:spacing w:after="0"/>
              <w:rPr>
                <w:sz w:val="18"/>
                <w:szCs w:val="18"/>
                <w:color w:val="auto"/>
              </w:rPr>
            </w:pPr>
          </w:p>
        </w:tc>
        <w:tc>
          <w:tcPr>
            <w:tcW w:w="2200" w:type="dxa"/>
            <w:vAlign w:val="bottom"/>
            <w:gridSpan w:val="2"/>
          </w:tcPr>
          <w:p>
            <w:pPr>
              <w:ind w:left="680"/>
              <w:spacing w:after="0"/>
              <w:rPr>
                <w:sz w:val="20"/>
                <w:szCs w:val="20"/>
                <w:color w:val="auto"/>
              </w:rPr>
            </w:pPr>
            <w:r>
              <w:rPr>
                <w:rFonts w:ascii="Arial" w:cs="Arial" w:eastAsia="Arial" w:hAnsi="Arial"/>
                <w:sz w:val="17"/>
                <w:szCs w:val="17"/>
                <w:color w:val="auto"/>
              </w:rPr>
              <w:t>5.120%(b)</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10,500</w:t>
            </w:r>
          </w:p>
        </w:tc>
        <w:tc>
          <w:tcPr>
            <w:tcW w:w="20" w:type="dxa"/>
            <w:vAlign w:val="bottom"/>
          </w:tcPr>
          <w:p>
            <w:pPr>
              <w:spacing w:after="0"/>
              <w:rPr>
                <w:sz w:val="18"/>
                <w:szCs w:val="18"/>
                <w:color w:val="auto"/>
              </w:rPr>
            </w:pPr>
          </w:p>
        </w:tc>
      </w:tr>
      <w:tr>
        <w:trPr>
          <w:trHeight w:val="211"/>
        </w:trPr>
        <w:tc>
          <w:tcPr>
            <w:tcW w:w="63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Barcroft Plaza</w:t>
            </w:r>
          </w:p>
        </w:tc>
        <w:tc>
          <w:tcPr>
            <w:tcW w:w="1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07/01/16</w:t>
            </w:r>
          </w:p>
        </w:tc>
        <w:tc>
          <w:tcPr>
            <w:tcW w:w="5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680"/>
              <w:spacing w:after="0"/>
              <w:rPr>
                <w:sz w:val="20"/>
                <w:szCs w:val="20"/>
                <w:color w:val="auto"/>
              </w:rPr>
            </w:pPr>
            <w:r>
              <w:rPr>
                <w:rFonts w:ascii="Arial" w:cs="Arial" w:eastAsia="Arial" w:hAnsi="Arial"/>
                <w:sz w:val="17"/>
                <w:szCs w:val="17"/>
                <w:color w:val="auto"/>
              </w:rPr>
              <w:t>5.990%(b)(c)</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20,785</w:t>
            </w:r>
          </w:p>
        </w:tc>
        <w:tc>
          <w:tcPr>
            <w:tcW w:w="20" w:type="dxa"/>
            <w:vAlign w:val="bottom"/>
          </w:tcPr>
          <w:p>
            <w:pPr>
              <w:spacing w:after="0"/>
              <w:rPr>
                <w:sz w:val="18"/>
                <w:szCs w:val="18"/>
                <w:color w:val="auto"/>
              </w:rPr>
            </w:pPr>
          </w:p>
        </w:tc>
      </w:tr>
      <w:tr>
        <w:trPr>
          <w:trHeight w:val="217"/>
        </w:trPr>
        <w:tc>
          <w:tcPr>
            <w:tcW w:w="6340" w:type="dxa"/>
            <w:vAlign w:val="bottom"/>
            <w:gridSpan w:val="2"/>
          </w:tcPr>
          <w:p>
            <w:pPr>
              <w:ind w:left="420"/>
              <w:spacing w:after="0"/>
              <w:rPr>
                <w:sz w:val="20"/>
                <w:szCs w:val="20"/>
                <w:color w:val="auto"/>
              </w:rPr>
            </w:pPr>
            <w:r>
              <w:rPr>
                <w:rFonts w:ascii="Arial" w:cs="Arial" w:eastAsia="Arial" w:hAnsi="Arial"/>
                <w:sz w:val="17"/>
                <w:szCs w:val="17"/>
                <w:color w:val="auto"/>
              </w:rPr>
              <w:t>Greenlawn Plaza</w:t>
            </w:r>
          </w:p>
        </w:tc>
        <w:tc>
          <w:tcPr>
            <w:tcW w:w="1500" w:type="dxa"/>
            <w:vAlign w:val="bottom"/>
          </w:tcPr>
          <w:p>
            <w:pPr>
              <w:jc w:val="center"/>
              <w:spacing w:after="0"/>
              <w:rPr>
                <w:sz w:val="20"/>
                <w:szCs w:val="20"/>
                <w:color w:val="auto"/>
              </w:rPr>
            </w:pPr>
            <w:r>
              <w:rPr>
                <w:rFonts w:ascii="Arial" w:cs="Arial" w:eastAsia="Arial" w:hAnsi="Arial"/>
                <w:sz w:val="17"/>
                <w:szCs w:val="17"/>
                <w:color w:val="auto"/>
                <w:w w:val="93"/>
              </w:rPr>
              <w:t>07/01/16</w:t>
            </w:r>
          </w:p>
        </w:tc>
        <w:tc>
          <w:tcPr>
            <w:tcW w:w="580" w:type="dxa"/>
            <w:vAlign w:val="bottom"/>
          </w:tcPr>
          <w:p>
            <w:pPr>
              <w:spacing w:after="0"/>
              <w:rPr>
                <w:sz w:val="18"/>
                <w:szCs w:val="18"/>
                <w:color w:val="auto"/>
              </w:rPr>
            </w:pPr>
          </w:p>
        </w:tc>
        <w:tc>
          <w:tcPr>
            <w:tcW w:w="2200" w:type="dxa"/>
            <w:vAlign w:val="bottom"/>
            <w:gridSpan w:val="2"/>
          </w:tcPr>
          <w:p>
            <w:pPr>
              <w:ind w:left="680"/>
              <w:spacing w:after="0"/>
              <w:rPr>
                <w:sz w:val="20"/>
                <w:szCs w:val="20"/>
                <w:color w:val="auto"/>
              </w:rPr>
            </w:pPr>
            <w:r>
              <w:rPr>
                <w:rFonts w:ascii="Arial" w:cs="Arial" w:eastAsia="Arial" w:hAnsi="Arial"/>
                <w:sz w:val="17"/>
                <w:szCs w:val="17"/>
                <w:color w:val="auto"/>
              </w:rPr>
              <w:t>5.900%(b)</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13,600</w:t>
            </w:r>
          </w:p>
        </w:tc>
        <w:tc>
          <w:tcPr>
            <w:tcW w:w="20" w:type="dxa"/>
            <w:vAlign w:val="bottom"/>
          </w:tcPr>
          <w:p>
            <w:pPr>
              <w:spacing w:after="0"/>
              <w:rPr>
                <w:sz w:val="18"/>
                <w:szCs w:val="18"/>
                <w:color w:val="auto"/>
              </w:rPr>
            </w:pPr>
          </w:p>
        </w:tc>
      </w:tr>
      <w:tr>
        <w:trPr>
          <w:trHeight w:val="211"/>
        </w:trPr>
        <w:tc>
          <w:tcPr>
            <w:tcW w:w="12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560"/>
              <w:spacing w:after="0"/>
              <w:rPr>
                <w:sz w:val="20"/>
                <w:szCs w:val="20"/>
                <w:color w:val="auto"/>
              </w:rPr>
            </w:pPr>
            <w:r>
              <w:rPr>
                <w:rFonts w:ascii="Arial" w:cs="Arial" w:eastAsia="Arial" w:hAnsi="Arial"/>
                <w:sz w:val="17"/>
                <w:szCs w:val="17"/>
                <w:color w:val="auto"/>
                <w:w w:val="91"/>
              </w:rPr>
              <w:t>Total Fixed Rate Debt</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57,780</w:t>
            </w:r>
          </w:p>
        </w:tc>
        <w:tc>
          <w:tcPr>
            <w:tcW w:w="2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Debt Maturities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Cumulative</w:t>
            </w:r>
          </w:p>
        </w:tc>
        <w:tc>
          <w:tcPr>
            <w:tcW w:w="0" w:type="dxa"/>
            <w:vAlign w:val="bottom"/>
          </w:tcPr>
          <w:p>
            <w:pPr>
              <w:spacing w:after="0"/>
              <w:rPr>
                <w:sz w:val="1"/>
                <w:szCs w:val="1"/>
                <w:color w:val="auto"/>
              </w:rPr>
            </w:pPr>
          </w:p>
        </w:tc>
      </w:tr>
      <w:tr>
        <w:trPr>
          <w:trHeight w:val="145"/>
        </w:trPr>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Scheduled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120" w:type="dxa"/>
            <w:vAlign w:val="bottom"/>
            <w:gridSpan w:val="2"/>
          </w:tcPr>
          <w:p>
            <w:pPr>
              <w:jc w:val="center"/>
              <w:ind w:right="1260"/>
              <w:spacing w:after="0" w:line="145" w:lineRule="exact"/>
              <w:rPr>
                <w:sz w:val="20"/>
                <w:szCs w:val="20"/>
                <w:color w:val="auto"/>
              </w:rPr>
            </w:pPr>
            <w:r>
              <w:rPr>
                <w:rFonts w:ascii="Arial" w:cs="Arial" w:eastAsia="Arial" w:hAnsi="Arial"/>
                <w:sz w:val="13"/>
                <w:szCs w:val="13"/>
                <w:b w:val="1"/>
                <w:bCs w:val="1"/>
                <w:color w:val="auto"/>
                <w:w w:val="91"/>
              </w:rPr>
              <w:t>Percent of</w:t>
            </w:r>
          </w:p>
        </w:tc>
        <w:tc>
          <w:tcPr>
            <w:tcW w:w="1060" w:type="dxa"/>
            <w:vAlign w:val="bottom"/>
            <w:gridSpan w:val="2"/>
          </w:tcPr>
          <w:p>
            <w:pPr>
              <w:jc w:val="center"/>
              <w:ind w:right="180"/>
              <w:spacing w:after="0" w:line="145" w:lineRule="exact"/>
              <w:rPr>
                <w:sz w:val="20"/>
                <w:szCs w:val="20"/>
                <w:color w:val="auto"/>
              </w:rPr>
            </w:pPr>
            <w:r>
              <w:rPr>
                <w:rFonts w:ascii="Arial" w:cs="Arial" w:eastAsia="Arial" w:hAnsi="Arial"/>
                <w:sz w:val="13"/>
                <w:szCs w:val="13"/>
                <w:b w:val="1"/>
                <w:bCs w:val="1"/>
                <w:color w:val="auto"/>
                <w:w w:val="88"/>
              </w:rPr>
              <w:t>Percent of</w:t>
            </w:r>
          </w:p>
        </w:tc>
        <w:tc>
          <w:tcPr>
            <w:tcW w:w="0" w:type="dxa"/>
            <w:vAlign w:val="bottom"/>
          </w:tcPr>
          <w:p>
            <w:pPr>
              <w:spacing w:after="0"/>
              <w:rPr>
                <w:sz w:val="1"/>
                <w:szCs w:val="1"/>
                <w:color w:val="auto"/>
              </w:rPr>
            </w:pPr>
          </w:p>
        </w:tc>
      </w:tr>
      <w:tr>
        <w:trPr>
          <w:trHeight w:val="158"/>
        </w:trPr>
        <w:tc>
          <w:tcPr>
            <w:tcW w:w="880" w:type="dxa"/>
            <w:vAlign w:val="bottom"/>
          </w:tcPr>
          <w:p>
            <w:pPr>
              <w:spacing w:after="0"/>
              <w:rPr>
                <w:sz w:val="13"/>
                <w:szCs w:val="13"/>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Year</w:t>
            </w:r>
          </w:p>
        </w:tc>
        <w:tc>
          <w:tcPr>
            <w:tcW w:w="1940" w:type="dxa"/>
            <w:vAlign w:val="bottom"/>
          </w:tcPr>
          <w:p>
            <w:pPr>
              <w:spacing w:after="0"/>
              <w:rPr>
                <w:sz w:val="13"/>
                <w:szCs w:val="13"/>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3"/>
              </w:rPr>
              <w:t>Amortization</w:t>
            </w:r>
          </w:p>
        </w:tc>
        <w:tc>
          <w:tcPr>
            <w:tcW w:w="1060" w:type="dxa"/>
            <w:vAlign w:val="bottom"/>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Maturities</w:t>
            </w:r>
          </w:p>
        </w:tc>
        <w:tc>
          <w:tcPr>
            <w:tcW w:w="10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Total</w:t>
            </w:r>
          </w:p>
        </w:tc>
        <w:tc>
          <w:tcPr>
            <w:tcW w:w="108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Debt Maturing</w:t>
            </w:r>
          </w:p>
        </w:tc>
        <w:tc>
          <w:tcPr>
            <w:tcW w:w="12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Debt Maturing</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100" w:type="dxa"/>
            <w:vAlign w:val="bottom"/>
            <w:gridSpan w:val="3"/>
            <w:shd w:val="clear" w:color="auto" w:fill="CCEEFF"/>
          </w:tcPr>
          <w:p>
            <w:pPr>
              <w:jc w:val="center"/>
              <w:ind w:right="1080"/>
              <w:spacing w:after="0"/>
              <w:rPr>
                <w:sz w:val="20"/>
                <w:szCs w:val="20"/>
                <w:color w:val="auto"/>
              </w:rPr>
            </w:pPr>
            <w:r>
              <w:rPr>
                <w:rFonts w:ascii="Arial" w:cs="Arial" w:eastAsia="Arial" w:hAnsi="Arial"/>
                <w:sz w:val="17"/>
                <w:szCs w:val="17"/>
                <w:color w:val="auto"/>
                <w:w w:val="89"/>
              </w:rPr>
              <w:t>2010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84"/>
              </w:rPr>
              <w:t>196</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3200" w:type="dxa"/>
            <w:vAlign w:val="bottom"/>
            <w:gridSpan w:val="3"/>
            <w:shd w:val="clear" w:color="auto" w:fill="CCEEFF"/>
          </w:tcPr>
          <w:p>
            <w:pPr>
              <w:jc w:val="right"/>
              <w:ind w:right="1120"/>
              <w:spacing w:after="0"/>
              <w:rPr>
                <w:sz w:val="20"/>
                <w:szCs w:val="20"/>
                <w:color w:val="auto"/>
              </w:rPr>
            </w:pPr>
            <w:r>
              <w:rPr>
                <w:rFonts w:ascii="Arial" w:cs="Arial" w:eastAsia="Arial" w:hAnsi="Arial"/>
                <w:sz w:val="17"/>
                <w:szCs w:val="17"/>
                <w:color w:val="auto"/>
              </w:rPr>
              <w:t>0.3%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1"/>
        </w:trPr>
        <w:tc>
          <w:tcPr>
            <w:tcW w:w="3100" w:type="dxa"/>
            <w:vAlign w:val="bottom"/>
            <w:gridSpan w:val="3"/>
          </w:tcPr>
          <w:p>
            <w:pPr>
              <w:jc w:val="center"/>
              <w:ind w:right="1080"/>
              <w:spacing w:after="0"/>
              <w:rPr>
                <w:sz w:val="20"/>
                <w:szCs w:val="20"/>
                <w:color w:val="auto"/>
              </w:rPr>
            </w:pPr>
            <w:r>
              <w:rPr>
                <w:rFonts w:ascii="Arial" w:cs="Arial" w:eastAsia="Arial" w:hAnsi="Arial"/>
                <w:sz w:val="17"/>
                <w:szCs w:val="17"/>
                <w:color w:val="auto"/>
                <w:w w:val="89"/>
              </w:rPr>
              <w:t>2011</w:t>
            </w: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7"/>
                <w:szCs w:val="17"/>
                <w:color w:val="auto"/>
                <w:w w:val="84"/>
              </w:rPr>
              <w:t>208</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208</w:t>
            </w:r>
          </w:p>
        </w:tc>
        <w:tc>
          <w:tcPr>
            <w:tcW w:w="3200" w:type="dxa"/>
            <w:vAlign w:val="bottom"/>
            <w:gridSpan w:val="3"/>
          </w:tcPr>
          <w:p>
            <w:pPr>
              <w:jc w:val="right"/>
              <w:ind w:right="1120"/>
              <w:spacing w:after="0"/>
              <w:rPr>
                <w:sz w:val="20"/>
                <w:szCs w:val="20"/>
                <w:color w:val="auto"/>
              </w:rPr>
            </w:pPr>
            <w:r>
              <w:rPr>
                <w:rFonts w:ascii="Arial" w:cs="Arial" w:eastAsia="Arial" w:hAnsi="Arial"/>
                <w:sz w:val="17"/>
                <w:szCs w:val="17"/>
                <w:color w:val="auto"/>
              </w:rPr>
              <w:t>0.4%</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1"/>
        </w:trPr>
        <w:tc>
          <w:tcPr>
            <w:tcW w:w="3100" w:type="dxa"/>
            <w:vAlign w:val="bottom"/>
            <w:gridSpan w:val="3"/>
            <w:shd w:val="clear" w:color="auto" w:fill="CCEEFF"/>
          </w:tcPr>
          <w:p>
            <w:pPr>
              <w:jc w:val="center"/>
              <w:ind w:right="1080"/>
              <w:spacing w:after="0"/>
              <w:rPr>
                <w:sz w:val="20"/>
                <w:szCs w:val="20"/>
                <w:color w:val="auto"/>
              </w:rPr>
            </w:pPr>
            <w:r>
              <w:rPr>
                <w:rFonts w:ascii="Arial" w:cs="Arial" w:eastAsia="Arial" w:hAnsi="Arial"/>
                <w:sz w:val="17"/>
                <w:szCs w:val="17"/>
                <w:color w:val="auto"/>
                <w:w w:val="89"/>
              </w:rPr>
              <w:t>2012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84"/>
              </w:rPr>
              <w:t>220</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3200" w:type="dxa"/>
            <w:vAlign w:val="bottom"/>
            <w:gridSpan w:val="3"/>
            <w:shd w:val="clear" w:color="auto" w:fill="CCEEFF"/>
          </w:tcPr>
          <w:p>
            <w:pPr>
              <w:jc w:val="right"/>
              <w:ind w:right="1120"/>
              <w:spacing w:after="0"/>
              <w:rPr>
                <w:sz w:val="20"/>
                <w:szCs w:val="20"/>
                <w:color w:val="auto"/>
              </w:rPr>
            </w:pPr>
            <w:r>
              <w:rPr>
                <w:rFonts w:ascii="Arial" w:cs="Arial" w:eastAsia="Arial" w:hAnsi="Arial"/>
                <w:sz w:val="17"/>
                <w:szCs w:val="17"/>
                <w:color w:val="auto"/>
              </w:rPr>
              <w:t>0.4%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1"/>
        </w:trPr>
        <w:tc>
          <w:tcPr>
            <w:tcW w:w="3100" w:type="dxa"/>
            <w:vAlign w:val="bottom"/>
            <w:gridSpan w:val="3"/>
          </w:tcPr>
          <w:p>
            <w:pPr>
              <w:jc w:val="center"/>
              <w:ind w:right="1080"/>
              <w:spacing w:after="0"/>
              <w:rPr>
                <w:sz w:val="20"/>
                <w:szCs w:val="20"/>
                <w:color w:val="auto"/>
              </w:rPr>
            </w:pPr>
            <w:r>
              <w:rPr>
                <w:rFonts w:ascii="Arial" w:cs="Arial" w:eastAsia="Arial" w:hAnsi="Arial"/>
                <w:sz w:val="17"/>
                <w:szCs w:val="17"/>
                <w:color w:val="auto"/>
                <w:w w:val="89"/>
              </w:rPr>
              <w:t>2013</w:t>
            </w:r>
          </w:p>
        </w:tc>
        <w:tc>
          <w:tcPr>
            <w:tcW w:w="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7"/>
                <w:szCs w:val="17"/>
                <w:color w:val="auto"/>
                <w:w w:val="84"/>
              </w:rPr>
              <w:t>233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233</w:t>
            </w:r>
          </w:p>
        </w:tc>
        <w:tc>
          <w:tcPr>
            <w:tcW w:w="3200" w:type="dxa"/>
            <w:vAlign w:val="bottom"/>
            <w:gridSpan w:val="3"/>
          </w:tcPr>
          <w:p>
            <w:pPr>
              <w:jc w:val="right"/>
              <w:ind w:right="1120"/>
              <w:spacing w:after="0"/>
              <w:rPr>
                <w:sz w:val="20"/>
                <w:szCs w:val="20"/>
                <w:color w:val="auto"/>
              </w:rPr>
            </w:pPr>
            <w:r>
              <w:rPr>
                <w:rFonts w:ascii="Arial" w:cs="Arial" w:eastAsia="Arial" w:hAnsi="Arial"/>
                <w:sz w:val="17"/>
                <w:szCs w:val="17"/>
                <w:color w:val="auto"/>
              </w:rPr>
              <w:t>0.4%</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1"/>
        </w:trPr>
        <w:tc>
          <w:tcPr>
            <w:tcW w:w="3100" w:type="dxa"/>
            <w:vAlign w:val="bottom"/>
            <w:gridSpan w:val="3"/>
            <w:shd w:val="clear" w:color="auto" w:fill="CCEEFF"/>
          </w:tcPr>
          <w:p>
            <w:pPr>
              <w:jc w:val="center"/>
              <w:ind w:right="1080"/>
              <w:spacing w:after="0"/>
              <w:rPr>
                <w:sz w:val="20"/>
                <w:szCs w:val="20"/>
                <w:color w:val="auto"/>
              </w:rPr>
            </w:pPr>
            <w:r>
              <w:rPr>
                <w:rFonts w:ascii="Arial" w:cs="Arial" w:eastAsia="Arial" w:hAnsi="Arial"/>
                <w:sz w:val="17"/>
                <w:szCs w:val="17"/>
                <w:color w:val="auto"/>
                <w:w w:val="89"/>
              </w:rPr>
              <w:t>2014</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84"/>
              </w:rPr>
              <w:t>142</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22,396</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22,538</w:t>
            </w:r>
          </w:p>
        </w:tc>
        <w:tc>
          <w:tcPr>
            <w:tcW w:w="3200" w:type="dxa"/>
            <w:vAlign w:val="bottom"/>
            <w:gridSpan w:val="3"/>
            <w:shd w:val="clear" w:color="auto" w:fill="CCEEFF"/>
          </w:tcPr>
          <w:p>
            <w:pPr>
              <w:jc w:val="right"/>
              <w:ind w:right="1120"/>
              <w:spacing w:after="0"/>
              <w:rPr>
                <w:sz w:val="20"/>
                <w:szCs w:val="20"/>
                <w:color w:val="auto"/>
              </w:rPr>
            </w:pPr>
            <w:r>
              <w:rPr>
                <w:rFonts w:ascii="Arial" w:cs="Arial" w:eastAsia="Arial" w:hAnsi="Arial"/>
                <w:sz w:val="17"/>
                <w:szCs w:val="17"/>
                <w:color w:val="auto"/>
              </w:rPr>
              <w:t>39.0%</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11"/>
        </w:trPr>
        <w:tc>
          <w:tcPr>
            <w:tcW w:w="3100" w:type="dxa"/>
            <w:vAlign w:val="bottom"/>
            <w:gridSpan w:val="3"/>
          </w:tcPr>
          <w:p>
            <w:pPr>
              <w:jc w:val="center"/>
              <w:ind w:right="1080"/>
              <w:spacing w:after="0"/>
              <w:rPr>
                <w:sz w:val="20"/>
                <w:szCs w:val="20"/>
                <w:color w:val="auto"/>
              </w:rPr>
            </w:pPr>
            <w:r>
              <w:rPr>
                <w:rFonts w:ascii="Arial" w:cs="Arial" w:eastAsia="Arial" w:hAnsi="Arial"/>
                <w:sz w:val="17"/>
                <w:szCs w:val="17"/>
                <w:color w:val="auto"/>
                <w:w w:val="89"/>
              </w:rPr>
              <w:t>2015</w:t>
            </w:r>
          </w:p>
        </w:tc>
        <w:tc>
          <w:tcPr>
            <w:tcW w:w="80" w:type="dxa"/>
            <w:vAlign w:val="bottom"/>
          </w:tcPr>
          <w:p>
            <w:pPr>
              <w:spacing w:after="0"/>
              <w:rPr>
                <w:sz w:val="18"/>
                <w:szCs w:val="18"/>
                <w:color w:val="auto"/>
              </w:rPr>
            </w:pPr>
          </w:p>
        </w:tc>
        <w:tc>
          <w:tcPr>
            <w:tcW w:w="174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7"/>
                <w:szCs w:val="17"/>
                <w:color w:val="auto"/>
              </w:rPr>
              <w:t>—</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3200" w:type="dxa"/>
            <w:vAlign w:val="bottom"/>
            <w:gridSpan w:val="3"/>
          </w:tcPr>
          <w:p>
            <w:pPr>
              <w:jc w:val="right"/>
              <w:ind w:right="1120"/>
              <w:spacing w:after="0"/>
              <w:rPr>
                <w:sz w:val="20"/>
                <w:szCs w:val="20"/>
                <w:color w:val="auto"/>
              </w:rPr>
            </w:pPr>
            <w:r>
              <w:rPr>
                <w:rFonts w:ascii="Arial" w:cs="Arial" w:eastAsia="Arial" w:hAnsi="Arial"/>
                <w:sz w:val="17"/>
                <w:szCs w:val="17"/>
                <w:color w:val="auto"/>
              </w:rPr>
              <w:t>0.0%</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11"/>
        </w:trPr>
        <w:tc>
          <w:tcPr>
            <w:tcW w:w="3100" w:type="dxa"/>
            <w:vAlign w:val="bottom"/>
            <w:gridSpan w:val="3"/>
            <w:shd w:val="clear" w:color="auto" w:fill="CCEEFF"/>
          </w:tcPr>
          <w:p>
            <w:pPr>
              <w:jc w:val="center"/>
              <w:ind w:right="1080"/>
              <w:spacing w:after="0"/>
              <w:rPr>
                <w:sz w:val="20"/>
                <w:szCs w:val="20"/>
                <w:color w:val="auto"/>
              </w:rPr>
            </w:pPr>
            <w:r>
              <w:rPr>
                <w:rFonts w:ascii="Arial" w:cs="Arial" w:eastAsia="Arial" w:hAnsi="Arial"/>
                <w:sz w:val="17"/>
                <w:szCs w:val="17"/>
                <w:color w:val="auto"/>
                <w:w w:val="89"/>
              </w:rPr>
              <w:t>2016</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34,385</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34,385</w:t>
            </w:r>
          </w:p>
        </w:tc>
        <w:tc>
          <w:tcPr>
            <w:tcW w:w="108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20"/>
              <w:spacing w:after="0"/>
              <w:rPr>
                <w:sz w:val="20"/>
                <w:szCs w:val="20"/>
                <w:color w:val="auto"/>
              </w:rPr>
            </w:pPr>
            <w:r>
              <w:rPr>
                <w:rFonts w:ascii="Arial" w:cs="Arial" w:eastAsia="Arial" w:hAnsi="Arial"/>
                <w:sz w:val="17"/>
                <w:szCs w:val="17"/>
                <w:color w:val="auto"/>
              </w:rPr>
              <w:t>59.5%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100" w:type="dxa"/>
            <w:vAlign w:val="bottom"/>
            <w:gridSpan w:val="3"/>
            <w:vMerge w:val="restart"/>
          </w:tcPr>
          <w:p>
            <w:pPr>
              <w:jc w:val="center"/>
              <w:ind w:right="1080"/>
              <w:spacing w:after="0"/>
              <w:rPr>
                <w:sz w:val="20"/>
                <w:szCs w:val="20"/>
                <w:color w:val="auto"/>
              </w:rPr>
            </w:pPr>
            <w:r>
              <w:rPr>
                <w:rFonts w:ascii="Arial" w:cs="Arial" w:eastAsia="Arial" w:hAnsi="Arial"/>
                <w:sz w:val="17"/>
                <w:szCs w:val="17"/>
                <w:color w:val="auto"/>
                <w:w w:val="89"/>
              </w:rPr>
              <w:t>Total</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gridSpan w:val="3"/>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420"/>
              <w:spacing w:after="0"/>
              <w:rPr>
                <w:sz w:val="20"/>
                <w:szCs w:val="20"/>
                <w:color w:val="auto"/>
              </w:rPr>
            </w:pPr>
            <w:r>
              <w:rPr>
                <w:rFonts w:ascii="Arial" w:cs="Arial" w:eastAsia="Arial" w:hAnsi="Arial"/>
                <w:sz w:val="17"/>
                <w:szCs w:val="17"/>
                <w:color w:val="auto"/>
                <w:w w:val="84"/>
              </w:rPr>
              <w:t>999</w:t>
            </w:r>
          </w:p>
        </w:tc>
        <w:tc>
          <w:tcPr>
            <w:tcW w:w="1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2"/>
              </w:rPr>
              <w:t>56,781</w:t>
            </w:r>
          </w:p>
        </w:tc>
        <w:tc>
          <w:tcPr>
            <w:tcW w:w="11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57,780</w:t>
            </w:r>
          </w:p>
        </w:tc>
        <w:tc>
          <w:tcPr>
            <w:tcW w:w="3200" w:type="dxa"/>
            <w:vAlign w:val="bottom"/>
            <w:gridSpan w:val="3"/>
          </w:tcPr>
          <w:p>
            <w:pPr>
              <w:jc w:val="right"/>
              <w:ind w:right="1120"/>
              <w:spacing w:after="0"/>
              <w:rPr>
                <w:sz w:val="20"/>
                <w:szCs w:val="20"/>
                <w:color w:val="auto"/>
              </w:rPr>
            </w:pPr>
            <w:r>
              <w:rPr>
                <w:rFonts w:ascii="Arial" w:cs="Arial" w:eastAsia="Arial" w:hAnsi="Arial"/>
                <w:sz w:val="17"/>
                <w:szCs w:val="17"/>
                <w:color w:val="auto"/>
              </w:rPr>
              <w:t>100.0%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8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Effective July 5, 2007, principal and interest payments are due based on a 30-year amortization schedule.</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Interest only until maturity.</w:t>
      </w:r>
    </w:p>
    <w:p>
      <w:pPr>
        <w:spacing w:after="0" w:line="15" w:lineRule="exact"/>
        <w:rPr>
          <w:rFonts w:ascii="Arial" w:cs="Arial" w:eastAsia="Arial" w:hAnsi="Arial"/>
          <w:sz w:val="17"/>
          <w:szCs w:val="17"/>
          <w:color w:val="auto"/>
        </w:rPr>
      </w:pPr>
    </w:p>
    <w:p>
      <w:pPr>
        <w:ind w:left="460" w:right="360" w:hanging="455"/>
        <w:spacing w:after="0" w:line="277"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270"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70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Status Report - Joint Venture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497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w w:val="98"/>
              </w:rPr>
              <w:t>Mortgage or</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8"/>
              </w:rPr>
              <w:t>Grocery</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400" w:type="dxa"/>
            <w:vAlign w:val="bottom"/>
            <w:gridSpan w:val="7"/>
          </w:tcPr>
          <w:p>
            <w:pPr>
              <w:spacing w:after="0" w:line="145" w:lineRule="exact"/>
              <w:rPr>
                <w:sz w:val="20"/>
                <w:szCs w:val="20"/>
                <w:color w:val="auto"/>
              </w:rPr>
            </w:pPr>
            <w:r>
              <w:rPr>
                <w:rFonts w:ascii="Arial" w:cs="Arial" w:eastAsia="Arial" w:hAnsi="Arial"/>
                <w:sz w:val="13"/>
                <w:szCs w:val="13"/>
                <w:b w:val="1"/>
                <w:bCs w:val="1"/>
                <w:color w:val="auto"/>
              </w:rPr>
              <w:t>Property</w:t>
            </w: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94"/>
              <w:spacing w:after="0" w:line="145" w:lineRule="exact"/>
              <w:rPr>
                <w:sz w:val="20"/>
                <w:szCs w:val="20"/>
                <w:color w:val="auto"/>
              </w:rPr>
            </w:pPr>
            <w:r>
              <w:rPr>
                <w:rFonts w:ascii="Arial" w:cs="Arial" w:eastAsia="Arial" w:hAnsi="Arial"/>
                <w:sz w:val="13"/>
                <w:szCs w:val="13"/>
                <w:b w:val="1"/>
                <w:bCs w:val="1"/>
                <w:color w:val="auto"/>
              </w:rPr>
              <w:t>Year</w:t>
            </w:r>
          </w:p>
        </w:tc>
        <w:tc>
          <w:tcPr>
            <w:tcW w:w="60" w:type="dxa"/>
            <w:vAlign w:val="bottom"/>
          </w:tcPr>
          <w:p>
            <w:pPr>
              <w:spacing w:after="0"/>
              <w:rPr>
                <w:sz w:val="12"/>
                <w:szCs w:val="12"/>
                <w:color w:val="auto"/>
              </w:rPr>
            </w:pPr>
          </w:p>
        </w:tc>
        <w:tc>
          <w:tcPr>
            <w:tcW w:w="840" w:type="dxa"/>
            <w:vAlign w:val="bottom"/>
            <w:gridSpan w:val="3"/>
          </w:tcPr>
          <w:p>
            <w:pPr>
              <w:ind w:left="20"/>
              <w:spacing w:after="0" w:line="145" w:lineRule="exact"/>
              <w:rPr>
                <w:sz w:val="20"/>
                <w:szCs w:val="20"/>
                <w:color w:val="auto"/>
              </w:rPr>
            </w:pPr>
            <w:r>
              <w:rPr>
                <w:rFonts w:ascii="Arial" w:cs="Arial" w:eastAsia="Arial" w:hAnsi="Arial"/>
                <w:sz w:val="13"/>
                <w:szCs w:val="13"/>
                <w:b w:val="1"/>
                <w:bCs w:val="1"/>
                <w:color w:val="auto"/>
                <w:w w:val="93"/>
              </w:rPr>
              <w:t>Real Estate at</w:t>
            </w:r>
          </w:p>
        </w:tc>
        <w:tc>
          <w:tcPr>
            <w:tcW w:w="40" w:type="dxa"/>
            <w:vAlign w:val="bottom"/>
          </w:tcPr>
          <w:p>
            <w:pPr>
              <w:spacing w:after="0"/>
              <w:rPr>
                <w:sz w:val="12"/>
                <w:szCs w:val="12"/>
                <w:color w:val="auto"/>
              </w:rPr>
            </w:pPr>
          </w:p>
        </w:tc>
        <w:tc>
          <w:tcPr>
            <w:tcW w:w="800" w:type="dxa"/>
            <w:vAlign w:val="bottom"/>
            <w:gridSpan w:val="2"/>
          </w:tcPr>
          <w:p>
            <w:pPr>
              <w:ind w:left="20"/>
              <w:spacing w:after="0" w:line="145" w:lineRule="exact"/>
              <w:rPr>
                <w:sz w:val="20"/>
                <w:szCs w:val="20"/>
                <w:color w:val="auto"/>
              </w:rPr>
            </w:pPr>
            <w:r>
              <w:rPr>
                <w:rFonts w:ascii="Arial" w:cs="Arial" w:eastAsia="Arial" w:hAnsi="Arial"/>
                <w:sz w:val="13"/>
                <w:szCs w:val="13"/>
                <w:b w:val="1"/>
                <w:bCs w:val="1"/>
                <w:color w:val="auto"/>
                <w:w w:val="90"/>
              </w:rPr>
              <w:t>Capital Lease</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54"/>
              <w:spacing w:after="0" w:line="145"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540" w:type="dxa"/>
            <w:vAlign w:val="bottom"/>
          </w:tcPr>
          <w:p>
            <w:pPr>
              <w:jc w:val="right"/>
              <w:ind w:right="134"/>
              <w:spacing w:after="0" w:line="145"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spacing w:after="0" w:line="145" w:lineRule="exact"/>
              <w:rPr>
                <w:sz w:val="20"/>
                <w:szCs w:val="20"/>
                <w:color w:val="auto"/>
              </w:rPr>
            </w:pPr>
            <w:r>
              <w:rPr>
                <w:rFonts w:ascii="Arial" w:cs="Arial" w:eastAsia="Arial" w:hAnsi="Arial"/>
                <w:sz w:val="13"/>
                <w:szCs w:val="13"/>
                <w:b w:val="1"/>
                <w:bCs w:val="1"/>
                <w:color w:val="auto"/>
                <w:w w:val="93"/>
              </w:rPr>
              <w:t>Average</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5" w:lineRule="exact"/>
              <w:rPr>
                <w:sz w:val="20"/>
                <w:szCs w:val="20"/>
                <w:color w:val="auto"/>
              </w:rPr>
            </w:pPr>
            <w:r>
              <w:rPr>
                <w:rFonts w:ascii="Arial" w:cs="Arial" w:eastAsia="Arial" w:hAnsi="Arial"/>
                <w:sz w:val="13"/>
                <w:szCs w:val="13"/>
                <w:b w:val="1"/>
                <w:bCs w:val="1"/>
                <w:color w:val="auto"/>
                <w:w w:val="92"/>
              </w:rPr>
              <w:t>Anchor</w:t>
            </w:r>
          </w:p>
        </w:tc>
        <w:tc>
          <w:tcPr>
            <w:tcW w:w="4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92"/>
              </w:rPr>
              <w:t>Grocery</w:t>
            </w:r>
          </w:p>
        </w:tc>
        <w:tc>
          <w:tcPr>
            <w:tcW w:w="60" w:type="dxa"/>
            <w:vAlign w:val="bottom"/>
          </w:tcPr>
          <w:p>
            <w:pPr>
              <w:spacing w:after="0"/>
              <w:rPr>
                <w:sz w:val="12"/>
                <w:szCs w:val="12"/>
                <w:color w:val="auto"/>
              </w:rPr>
            </w:pPr>
          </w:p>
        </w:tc>
        <w:tc>
          <w:tcPr>
            <w:tcW w:w="1000" w:type="dxa"/>
            <w:vAlign w:val="bottom"/>
          </w:tcPr>
          <w:p>
            <w:pPr>
              <w:ind w:left="340"/>
              <w:spacing w:after="0" w:line="145" w:lineRule="exact"/>
              <w:rPr>
                <w:sz w:val="20"/>
                <w:szCs w:val="20"/>
                <w:color w:val="auto"/>
              </w:rPr>
            </w:pPr>
            <w:r>
              <w:rPr>
                <w:rFonts w:ascii="Arial" w:cs="Arial" w:eastAsia="Arial" w:hAnsi="Arial"/>
                <w:sz w:val="13"/>
                <w:szCs w:val="13"/>
                <w:b w:val="1"/>
                <w:bCs w:val="1"/>
                <w:color w:val="auto"/>
              </w:rPr>
              <w:t>Other</w:t>
            </w:r>
          </w:p>
        </w:tc>
        <w:tc>
          <w:tcPr>
            <w:tcW w:w="0" w:type="dxa"/>
            <w:vAlign w:val="bottom"/>
          </w:tcPr>
          <w:p>
            <w:pPr>
              <w:spacing w:after="0"/>
              <w:rPr>
                <w:sz w:val="1"/>
                <w:szCs w:val="1"/>
                <w:color w:val="auto"/>
              </w:rPr>
            </w:pPr>
          </w:p>
        </w:tc>
      </w:tr>
      <w:tr>
        <w:trPr>
          <w:trHeight w:val="158"/>
        </w:trPr>
        <w:tc>
          <w:tcPr>
            <w:tcW w:w="2400" w:type="dxa"/>
            <w:vAlign w:val="bottom"/>
            <w:gridSpan w:val="7"/>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3"/>
                <w:szCs w:val="13"/>
                <w:color w:val="auto"/>
              </w:rPr>
            </w:pPr>
          </w:p>
        </w:tc>
        <w:tc>
          <w:tcPr>
            <w:tcW w:w="1620" w:type="dxa"/>
            <w:vAlign w:val="bottom"/>
          </w:tcPr>
          <w:p>
            <w:pPr>
              <w:ind w:left="320"/>
              <w:spacing w:after="0"/>
              <w:rPr>
                <w:sz w:val="20"/>
                <w:szCs w:val="20"/>
                <w:color w:val="auto"/>
              </w:rPr>
            </w:pPr>
            <w:r>
              <w:rPr>
                <w:rFonts w:ascii="Arial" w:cs="Arial" w:eastAsia="Arial" w:hAnsi="Arial"/>
                <w:sz w:val="13"/>
                <w:szCs w:val="13"/>
                <w:b w:val="1"/>
                <w:bCs w:val="1"/>
                <w:color w:val="auto"/>
              </w:rPr>
              <w:t>MSA Description</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95"/>
              </w:rPr>
              <w:t>Acquired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34"/>
              <w:spacing w:after="0"/>
              <w:rPr>
                <w:sz w:val="20"/>
                <w:szCs w:val="20"/>
                <w:color w:val="auto"/>
              </w:rPr>
            </w:pPr>
            <w:r>
              <w:rPr>
                <w:rFonts w:ascii="Arial" w:cs="Arial" w:eastAsia="Arial" w:hAnsi="Arial"/>
                <w:sz w:val="13"/>
                <w:szCs w:val="13"/>
                <w:b w:val="1"/>
                <w:bCs w:val="1"/>
                <w:color w:val="auto"/>
                <w:w w:val="93"/>
              </w:rPr>
              <w:t>Obligation</w:t>
            </w:r>
          </w:p>
        </w:tc>
        <w:tc>
          <w:tcPr>
            <w:tcW w:w="6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GLA</w:t>
            </w:r>
          </w:p>
        </w:tc>
        <w:tc>
          <w:tcPr>
            <w:tcW w:w="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Leased</w:t>
            </w:r>
          </w:p>
        </w:tc>
        <w:tc>
          <w:tcPr>
            <w:tcW w:w="7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Occupied</w:t>
            </w:r>
          </w:p>
        </w:tc>
        <w:tc>
          <w:tcPr>
            <w:tcW w:w="40" w:type="dxa"/>
            <w:vAlign w:val="bottom"/>
          </w:tcPr>
          <w:p>
            <w:pPr>
              <w:spacing w:after="0"/>
              <w:rPr>
                <w:sz w:val="13"/>
                <w:szCs w:val="13"/>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w w:val="97"/>
              </w:rPr>
              <w:t>Rent PSF GLA (1)</w:t>
            </w:r>
          </w:p>
        </w:tc>
        <w:tc>
          <w:tcPr>
            <w:tcW w:w="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Anchor (1)</w:t>
            </w:r>
          </w:p>
        </w:tc>
        <w:tc>
          <w:tcPr>
            <w:tcW w:w="6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b w:val="1"/>
                <w:bCs w:val="1"/>
                <w:color w:val="auto"/>
                <w:w w:val="90"/>
              </w:rPr>
              <w:t>Principal Tenants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gridSpan w:val="2"/>
          </w:tcPr>
          <w:p>
            <w:pPr>
              <w:ind w:left="20"/>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980" w:type="dxa"/>
            <w:vAlign w:val="bottom"/>
            <w:gridSpan w:val="5"/>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Washington Metropolitan Area</w:t>
            </w: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380" w:type="dxa"/>
            <w:vAlign w:val="bottom"/>
            <w:gridSpan w:val="6"/>
          </w:tcPr>
          <w:p>
            <w:pPr>
              <w:spacing w:after="0" w:line="129" w:lineRule="exact"/>
              <w:rPr>
                <w:sz w:val="20"/>
                <w:szCs w:val="20"/>
                <w:color w:val="auto"/>
              </w:rPr>
            </w:pPr>
            <w:r>
              <w:rPr>
                <w:rFonts w:ascii="Arial" w:cs="Arial" w:eastAsia="Arial" w:hAnsi="Arial"/>
                <w:sz w:val="13"/>
                <w:szCs w:val="13"/>
                <w:color w:val="auto"/>
              </w:rPr>
              <w:t>Barcroft Plaza</w:t>
            </w:r>
          </w:p>
        </w:tc>
        <w:tc>
          <w:tcPr>
            <w:tcW w:w="1840" w:type="dxa"/>
            <w:vAlign w:val="bottom"/>
            <w:gridSpan w:val="2"/>
          </w:tcPr>
          <w:p>
            <w:pPr>
              <w:ind w:left="220"/>
              <w:spacing w:after="0" w:line="129" w:lineRule="exact"/>
              <w:rPr>
                <w:sz w:val="20"/>
                <w:szCs w:val="20"/>
                <w:color w:val="auto"/>
              </w:rPr>
            </w:pPr>
            <w:r>
              <w:rPr>
                <w:rFonts w:ascii="Arial" w:cs="Arial" w:eastAsia="Arial" w:hAnsi="Arial"/>
                <w:sz w:val="13"/>
                <w:szCs w:val="13"/>
                <w:color w:val="auto"/>
              </w:rPr>
              <w:t>Washington, DC-MD-VA</w:t>
            </w:r>
          </w:p>
        </w:tc>
        <w:tc>
          <w:tcPr>
            <w:tcW w:w="640" w:type="dxa"/>
            <w:vAlign w:val="bottom"/>
            <w:gridSpan w:val="2"/>
          </w:tcPr>
          <w:p>
            <w:pPr>
              <w:jc w:val="right"/>
              <w:spacing w:after="0" w:line="129" w:lineRule="exact"/>
              <w:rPr>
                <w:sz w:val="20"/>
                <w:szCs w:val="20"/>
                <w:color w:val="auto"/>
              </w:rPr>
            </w:pPr>
            <w:r>
              <w:rPr>
                <w:rFonts w:ascii="Arial" w:cs="Arial" w:eastAsia="Arial" w:hAnsi="Arial"/>
                <w:sz w:val="13"/>
                <w:szCs w:val="13"/>
                <w:color w:val="auto"/>
                <w:w w:val="99"/>
              </w:rPr>
              <w:t>2006-2007</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34,118</w:t>
            </w:r>
          </w:p>
        </w:tc>
        <w:tc>
          <w:tcPr>
            <w:tcW w:w="120" w:type="dxa"/>
            <w:vAlign w:val="bottom"/>
            <w:gridSpan w:val="2"/>
          </w:tcPr>
          <w:p>
            <w:pPr>
              <w:ind w:left="40"/>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20,785</w:t>
            </w:r>
          </w:p>
        </w:tc>
        <w:tc>
          <w:tcPr>
            <w:tcW w:w="5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101,000</w:t>
            </w:r>
          </w:p>
        </w:tc>
        <w:tc>
          <w:tcPr>
            <w:tcW w:w="80" w:type="dxa"/>
            <w:vAlign w:val="bottom"/>
          </w:tcPr>
          <w:p>
            <w:pPr>
              <w:spacing w:after="0"/>
              <w:rPr>
                <w:sz w:val="11"/>
                <w:szCs w:val="11"/>
                <w:color w:val="auto"/>
              </w:rPr>
            </w:pPr>
          </w:p>
        </w:tc>
        <w:tc>
          <w:tcPr>
            <w:tcW w:w="6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88%</w:t>
            </w: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88%</w:t>
            </w:r>
          </w:p>
        </w:tc>
        <w:tc>
          <w:tcPr>
            <w:tcW w:w="200" w:type="dxa"/>
            <w:vAlign w:val="bottom"/>
            <w:gridSpan w:val="2"/>
          </w:tcPr>
          <w:p>
            <w:pPr>
              <w:jc w:val="right"/>
              <w:ind w:right="14"/>
              <w:spacing w:after="0" w:line="129"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21.43</w:t>
            </w:r>
          </w:p>
        </w:tc>
        <w:tc>
          <w:tcPr>
            <w:tcW w:w="580" w:type="dxa"/>
            <w:vAlign w:val="bottom"/>
            <w:gridSpan w:val="3"/>
          </w:tcPr>
          <w:p>
            <w:pPr>
              <w:jc w:val="right"/>
              <w:ind w:right="40"/>
              <w:spacing w:after="0" w:line="129" w:lineRule="exact"/>
              <w:rPr>
                <w:sz w:val="20"/>
                <w:szCs w:val="20"/>
                <w:color w:val="auto"/>
              </w:rPr>
            </w:pPr>
            <w:r>
              <w:rPr>
                <w:rFonts w:ascii="Arial" w:cs="Arial" w:eastAsia="Arial" w:hAnsi="Arial"/>
                <w:sz w:val="13"/>
                <w:szCs w:val="13"/>
                <w:color w:val="auto"/>
              </w:rPr>
              <w:t>46,000</w:t>
            </w:r>
          </w:p>
        </w:tc>
        <w:tc>
          <w:tcPr>
            <w:tcW w:w="700" w:type="dxa"/>
            <w:vAlign w:val="bottom"/>
            <w:gridSpan w:val="2"/>
          </w:tcPr>
          <w:p>
            <w:pPr>
              <w:ind w:left="40"/>
              <w:spacing w:after="0" w:line="129" w:lineRule="exact"/>
              <w:rPr>
                <w:sz w:val="20"/>
                <w:szCs w:val="20"/>
                <w:color w:val="auto"/>
              </w:rPr>
            </w:pPr>
            <w:r>
              <w:rPr>
                <w:rFonts w:ascii="Arial" w:cs="Arial" w:eastAsia="Arial" w:hAnsi="Arial"/>
                <w:sz w:val="13"/>
                <w:szCs w:val="13"/>
                <w:color w:val="auto"/>
              </w:rPr>
              <w:t>Harris</w:t>
            </w:r>
          </w:p>
        </w:tc>
        <w:tc>
          <w:tcPr>
            <w:tcW w:w="60" w:type="dxa"/>
            <w:vAlign w:val="bottom"/>
          </w:tcPr>
          <w:p>
            <w:pPr>
              <w:spacing w:after="0"/>
              <w:rPr>
                <w:sz w:val="11"/>
                <w:szCs w:val="11"/>
                <w:color w:val="auto"/>
              </w:rPr>
            </w:pPr>
          </w:p>
        </w:tc>
        <w:tc>
          <w:tcPr>
            <w:tcW w:w="1000" w:type="dxa"/>
            <w:vAlign w:val="bottom"/>
          </w:tcPr>
          <w:p>
            <w:pPr>
              <w:spacing w:after="0" w:line="129" w:lineRule="exact"/>
              <w:rPr>
                <w:sz w:val="20"/>
                <w:szCs w:val="20"/>
                <w:color w:val="auto"/>
              </w:rPr>
            </w:pPr>
            <w:r>
              <w:rPr>
                <w:rFonts w:ascii="Arial" w:cs="Arial" w:eastAsia="Arial" w:hAnsi="Arial"/>
                <w:sz w:val="13"/>
                <w:szCs w:val="13"/>
                <w:color w:val="auto"/>
              </w:rPr>
              <w:t>Bank of</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color w:val="auto"/>
              </w:rPr>
              <w:t>Teeter</w:t>
            </w:r>
          </w:p>
        </w:tc>
        <w:tc>
          <w:tcPr>
            <w:tcW w:w="6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America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80" w:type="dxa"/>
            <w:vAlign w:val="bottom"/>
            <w:gridSpan w:val="6"/>
            <w:shd w:val="clear" w:color="auto" w:fill="CCEEFF"/>
          </w:tcPr>
          <w:p>
            <w:pPr>
              <w:spacing w:after="0" w:line="136" w:lineRule="exact"/>
              <w:rPr>
                <w:sz w:val="20"/>
                <w:szCs w:val="20"/>
                <w:color w:val="auto"/>
              </w:rPr>
            </w:pPr>
            <w:r>
              <w:rPr>
                <w:rFonts w:ascii="Arial" w:cs="Arial" w:eastAsia="Arial" w:hAnsi="Arial"/>
                <w:sz w:val="13"/>
                <w:szCs w:val="13"/>
                <w:color w:val="auto"/>
              </w:rPr>
              <w:t>Free State Shopping Center</w:t>
            </w:r>
          </w:p>
        </w:tc>
        <w:tc>
          <w:tcPr>
            <w:tcW w:w="184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3"/>
                <w:szCs w:val="13"/>
                <w:color w:val="auto"/>
              </w:rPr>
              <w:t>Washington, DC-MD-VA</w:t>
            </w:r>
          </w:p>
        </w:tc>
        <w:tc>
          <w:tcPr>
            <w:tcW w:w="6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2007</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65,829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279,000</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89%</w:t>
            </w: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89%</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15.78</w:t>
            </w:r>
          </w:p>
        </w:tc>
        <w:tc>
          <w:tcPr>
            <w:tcW w:w="58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73,000</w:t>
            </w:r>
          </w:p>
        </w:tc>
        <w:tc>
          <w:tcPr>
            <w:tcW w:w="70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w w:val="99"/>
              </w:rPr>
              <w:t>Giant Food</w:t>
            </w: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TJ Maxx /</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Ross /</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Office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Depot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380" w:type="dxa"/>
            <w:vAlign w:val="bottom"/>
            <w:gridSpan w:val="6"/>
          </w:tcPr>
          <w:p>
            <w:pPr>
              <w:spacing w:after="0" w:line="145" w:lineRule="exact"/>
              <w:rPr>
                <w:sz w:val="20"/>
                <w:szCs w:val="20"/>
                <w:color w:val="auto"/>
              </w:rPr>
            </w:pPr>
            <w:r>
              <w:rPr>
                <w:rFonts w:ascii="Arial" w:cs="Arial" w:eastAsia="Arial" w:hAnsi="Arial"/>
                <w:sz w:val="13"/>
                <w:szCs w:val="13"/>
                <w:color w:val="auto"/>
              </w:rPr>
              <w:t>Plaza del Mercado</w:t>
            </w:r>
          </w:p>
        </w:tc>
        <w:tc>
          <w:tcPr>
            <w:tcW w:w="1840" w:type="dxa"/>
            <w:vAlign w:val="bottom"/>
            <w:gridSpan w:val="2"/>
          </w:tcPr>
          <w:p>
            <w:pPr>
              <w:ind w:left="220"/>
              <w:spacing w:after="0" w:line="145" w:lineRule="exact"/>
              <w:rPr>
                <w:sz w:val="20"/>
                <w:szCs w:val="20"/>
                <w:color w:val="auto"/>
              </w:rPr>
            </w:pPr>
            <w:r>
              <w:rPr>
                <w:rFonts w:ascii="Arial" w:cs="Arial" w:eastAsia="Arial" w:hAnsi="Arial"/>
                <w:sz w:val="13"/>
                <w:szCs w:val="13"/>
                <w:color w:val="auto"/>
              </w:rPr>
              <w:t>Washington, DC-MD-VA</w:t>
            </w:r>
          </w:p>
        </w:tc>
        <w:tc>
          <w:tcPr>
            <w:tcW w:w="64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2004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Arial" w:cs="Arial" w:eastAsia="Arial" w:hAnsi="Arial"/>
                <w:sz w:val="13"/>
                <w:szCs w:val="13"/>
                <w:color w:val="auto"/>
              </w:rPr>
              <w:t>21,308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3"/>
                <w:szCs w:val="13"/>
                <w:color w:val="auto"/>
              </w:rPr>
              <w:t>12,895</w:t>
            </w:r>
          </w:p>
        </w:tc>
        <w:tc>
          <w:tcPr>
            <w:tcW w:w="60" w:type="dxa"/>
            <w:vAlign w:val="bottom"/>
          </w:tcPr>
          <w:p>
            <w:pPr>
              <w:spacing w:after="0"/>
              <w:rPr>
                <w:sz w:val="12"/>
                <w:szCs w:val="12"/>
                <w:color w:val="auto"/>
              </w:rPr>
            </w:pPr>
          </w:p>
        </w:tc>
        <w:tc>
          <w:tcPr>
            <w:tcW w:w="440" w:type="dxa"/>
            <w:vAlign w:val="bottom"/>
          </w:tcPr>
          <w:p>
            <w:pPr>
              <w:jc w:val="right"/>
              <w:spacing w:after="0" w:line="145" w:lineRule="exact"/>
              <w:rPr>
                <w:sz w:val="20"/>
                <w:szCs w:val="20"/>
                <w:color w:val="auto"/>
              </w:rPr>
            </w:pPr>
            <w:r>
              <w:rPr>
                <w:rFonts w:ascii="Arial" w:cs="Arial" w:eastAsia="Arial" w:hAnsi="Arial"/>
                <w:sz w:val="13"/>
                <w:szCs w:val="13"/>
                <w:color w:val="auto"/>
              </w:rPr>
              <w:t>96,000</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3"/>
                <w:szCs w:val="13"/>
                <w:color w:val="auto"/>
              </w:rPr>
              <w:t>93%</w:t>
            </w:r>
          </w:p>
        </w:tc>
        <w:tc>
          <w:tcPr>
            <w:tcW w:w="70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93%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Arial" w:cs="Arial" w:eastAsia="Arial" w:hAnsi="Arial"/>
                <w:sz w:val="13"/>
                <w:szCs w:val="13"/>
                <w:color w:val="auto"/>
              </w:rPr>
              <w:t>18.93</w:t>
            </w:r>
          </w:p>
        </w:tc>
        <w:tc>
          <w:tcPr>
            <w:tcW w:w="58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25,000</w:t>
            </w:r>
          </w:p>
        </w:tc>
        <w:tc>
          <w:tcPr>
            <w:tcW w:w="700" w:type="dxa"/>
            <w:vAlign w:val="bottom"/>
            <w:gridSpan w:val="2"/>
          </w:tcPr>
          <w:p>
            <w:pPr>
              <w:ind w:left="40"/>
              <w:spacing w:after="0" w:line="145" w:lineRule="exact"/>
              <w:rPr>
                <w:sz w:val="20"/>
                <w:szCs w:val="20"/>
                <w:color w:val="auto"/>
              </w:rPr>
            </w:pPr>
            <w:r>
              <w:rPr>
                <w:rFonts w:ascii="Arial" w:cs="Arial" w:eastAsia="Arial" w:hAnsi="Arial"/>
                <w:sz w:val="13"/>
                <w:szCs w:val="13"/>
                <w:color w:val="auto"/>
                <w:w w:val="99"/>
              </w:rPr>
              <w:t>Giant Food</w:t>
            </w:r>
          </w:p>
        </w:tc>
        <w:tc>
          <w:tcPr>
            <w:tcW w:w="60" w:type="dxa"/>
            <w:vAlign w:val="bottom"/>
          </w:tcPr>
          <w:p>
            <w:pPr>
              <w:spacing w:after="0"/>
              <w:rPr>
                <w:sz w:val="12"/>
                <w:szCs w:val="12"/>
                <w:color w:val="auto"/>
              </w:rPr>
            </w:pPr>
          </w:p>
        </w:tc>
        <w:tc>
          <w:tcPr>
            <w:tcW w:w="1000" w:type="dxa"/>
            <w:vAlign w:val="bottom"/>
          </w:tcPr>
          <w:p>
            <w:pPr>
              <w:spacing w:after="0" w:line="145"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ind w:left="220"/>
              <w:spacing w:after="0" w:line="133" w:lineRule="exact"/>
              <w:rPr>
                <w:sz w:val="20"/>
                <w:szCs w:val="20"/>
                <w:color w:val="auto"/>
              </w:rPr>
            </w:pPr>
            <w:r>
              <w:rPr>
                <w:rFonts w:ascii="Arial" w:cs="Arial" w:eastAsia="Arial" w:hAnsi="Arial"/>
                <w:sz w:val="13"/>
                <w:szCs w:val="13"/>
                <w:b w:val="1"/>
                <w:bCs w:val="1"/>
                <w:color w:val="auto"/>
              </w:rPr>
              <w:t>Total Washington</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121,255</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w w:val="89"/>
              </w:rPr>
              <w:t>476,000</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89%</w:t>
            </w:r>
          </w:p>
        </w:tc>
        <w:tc>
          <w:tcPr>
            <w:tcW w:w="7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89%</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17.58</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3"/>
                <w:szCs w:val="13"/>
                <w:b w:val="1"/>
                <w:bCs w:val="1"/>
                <w:color w:val="auto"/>
              </w:rPr>
              <w:t>Metropolitan Area</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Borders>
              <w:bottom w:val="single" w:sz="8" w:color="auto"/>
            </w:tcBorders>
            <w:gridSpan w:val="3"/>
          </w:tcPr>
          <w:p>
            <w:pPr>
              <w:spacing w:after="0" w:line="132" w:lineRule="exact"/>
              <w:rPr>
                <w:sz w:val="20"/>
                <w:szCs w:val="20"/>
                <w:color w:val="auto"/>
              </w:rPr>
            </w:pPr>
            <w:r>
              <w:rPr>
                <w:rFonts w:ascii="Arial" w:cs="Arial" w:eastAsia="Arial" w:hAnsi="Arial"/>
                <w:sz w:val="13"/>
                <w:szCs w:val="13"/>
                <w:b w:val="1"/>
                <w:bCs w:val="1"/>
                <w:color w:val="auto"/>
                <w:w w:val="91"/>
              </w:rPr>
              <w:t>New York / New Jersey</w:t>
            </w:r>
          </w:p>
        </w:tc>
        <w:tc>
          <w:tcPr>
            <w:tcW w:w="66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gridSpan w:val="6"/>
            <w:shd w:val="clear" w:color="auto" w:fill="CCEEFF"/>
          </w:tcPr>
          <w:p>
            <w:pPr>
              <w:spacing w:after="0" w:line="129" w:lineRule="exact"/>
              <w:rPr>
                <w:sz w:val="20"/>
                <w:szCs w:val="20"/>
                <w:color w:val="auto"/>
              </w:rPr>
            </w:pPr>
            <w:r>
              <w:rPr>
                <w:rFonts w:ascii="Arial" w:cs="Arial" w:eastAsia="Arial" w:hAnsi="Arial"/>
                <w:sz w:val="13"/>
                <w:szCs w:val="13"/>
                <w:color w:val="auto"/>
              </w:rPr>
              <w:t>Greenlawn Plaza</w:t>
            </w:r>
          </w:p>
        </w:tc>
        <w:tc>
          <w:tcPr>
            <w:tcW w:w="1840" w:type="dxa"/>
            <w:vAlign w:val="bottom"/>
            <w:gridSpan w:val="2"/>
            <w:shd w:val="clear" w:color="auto" w:fill="CCEEFF"/>
          </w:tcPr>
          <w:p>
            <w:pPr>
              <w:ind w:left="220"/>
              <w:spacing w:after="0" w:line="129" w:lineRule="exact"/>
              <w:rPr>
                <w:sz w:val="20"/>
                <w:szCs w:val="20"/>
                <w:color w:val="auto"/>
              </w:rPr>
            </w:pPr>
            <w:r>
              <w:rPr>
                <w:rFonts w:ascii="Arial" w:cs="Arial" w:eastAsia="Arial" w:hAnsi="Arial"/>
                <w:sz w:val="13"/>
                <w:szCs w:val="13"/>
                <w:color w:val="auto"/>
              </w:rPr>
              <w:t>Nassau-Suffolk, NY</w:t>
            </w:r>
          </w:p>
        </w:tc>
        <w:tc>
          <w:tcPr>
            <w:tcW w:w="6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2006</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20,020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13,600</w:t>
            </w:r>
          </w:p>
        </w:tc>
        <w:tc>
          <w:tcPr>
            <w:tcW w:w="5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106,000</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99%</w:t>
            </w:r>
          </w:p>
        </w:tc>
        <w:tc>
          <w:tcPr>
            <w:tcW w:w="7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99%</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15.80</w:t>
            </w:r>
          </w:p>
        </w:tc>
        <w:tc>
          <w:tcPr>
            <w:tcW w:w="58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46,000</w:t>
            </w:r>
          </w:p>
        </w:tc>
        <w:tc>
          <w:tcPr>
            <w:tcW w:w="70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Waldbaum’s</w:t>
            </w: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Tuesday</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Morning</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2"/>
          </w:tcPr>
          <w:p>
            <w:pPr>
              <w:ind w:left="220"/>
              <w:spacing w:after="0"/>
              <w:rPr>
                <w:sz w:val="20"/>
                <w:szCs w:val="20"/>
                <w:color w:val="auto"/>
              </w:rPr>
            </w:pPr>
            <w:r>
              <w:rPr>
                <w:rFonts w:ascii="Arial" w:cs="Arial" w:eastAsia="Arial" w:hAnsi="Arial"/>
                <w:sz w:val="13"/>
                <w:szCs w:val="13"/>
                <w:b w:val="1"/>
                <w:bCs w:val="1"/>
                <w:color w:val="auto"/>
                <w:w w:val="90"/>
              </w:rPr>
              <w:t>Total New York / New Jersey</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20,020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106,000</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99%</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99%</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15.80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980" w:type="dxa"/>
            <w:vAlign w:val="bottom"/>
            <w:gridSpan w:val="5"/>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New England</w:t>
            </w:r>
          </w:p>
        </w:tc>
        <w:tc>
          <w:tcPr>
            <w:tcW w:w="22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380" w:type="dxa"/>
            <w:vAlign w:val="bottom"/>
            <w:gridSpan w:val="6"/>
          </w:tcPr>
          <w:p>
            <w:pPr>
              <w:spacing w:after="0" w:line="129" w:lineRule="exact"/>
              <w:rPr>
                <w:sz w:val="20"/>
                <w:szCs w:val="20"/>
                <w:color w:val="auto"/>
              </w:rPr>
            </w:pPr>
            <w:r>
              <w:rPr>
                <w:rFonts w:ascii="Arial" w:cs="Arial" w:eastAsia="Arial" w:hAnsi="Arial"/>
                <w:sz w:val="13"/>
                <w:szCs w:val="13"/>
                <w:color w:val="auto"/>
              </w:rPr>
              <w:t>Atlantic Plaza</w:t>
            </w:r>
          </w:p>
        </w:tc>
        <w:tc>
          <w:tcPr>
            <w:tcW w:w="1840" w:type="dxa"/>
            <w:vAlign w:val="bottom"/>
            <w:gridSpan w:val="2"/>
          </w:tcPr>
          <w:p>
            <w:pPr>
              <w:ind w:left="220"/>
              <w:spacing w:after="0" w:line="129" w:lineRule="exact"/>
              <w:rPr>
                <w:sz w:val="20"/>
                <w:szCs w:val="20"/>
                <w:color w:val="auto"/>
              </w:rPr>
            </w:pPr>
            <w:r>
              <w:rPr>
                <w:rFonts w:ascii="Arial" w:cs="Arial" w:eastAsia="Arial" w:hAnsi="Arial"/>
                <w:sz w:val="13"/>
                <w:szCs w:val="13"/>
                <w:color w:val="auto"/>
                <w:w w:val="94"/>
              </w:rPr>
              <w:t>Boston-Worcester-Lawrence-</w:t>
            </w:r>
          </w:p>
        </w:tc>
        <w:tc>
          <w:tcPr>
            <w:tcW w:w="6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2004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16,645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10,500</w:t>
            </w:r>
          </w:p>
        </w:tc>
        <w:tc>
          <w:tcPr>
            <w:tcW w:w="5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123,000</w:t>
            </w:r>
          </w:p>
        </w:tc>
        <w:tc>
          <w:tcPr>
            <w:tcW w:w="80" w:type="dxa"/>
            <w:vAlign w:val="bottom"/>
          </w:tcPr>
          <w:p>
            <w:pPr>
              <w:spacing w:after="0"/>
              <w:rPr>
                <w:sz w:val="11"/>
                <w:szCs w:val="11"/>
                <w:color w:val="auto"/>
              </w:rPr>
            </w:pPr>
          </w:p>
        </w:tc>
        <w:tc>
          <w:tcPr>
            <w:tcW w:w="6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39%</w:t>
            </w:r>
          </w:p>
        </w:tc>
        <w:tc>
          <w:tcPr>
            <w:tcW w:w="7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39%</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3"/>
                <w:szCs w:val="13"/>
                <w:color w:val="auto"/>
              </w:rPr>
              <w:t>19.37</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line="129" w:lineRule="exact"/>
              <w:rPr>
                <w:sz w:val="20"/>
                <w:szCs w:val="20"/>
                <w:color w:val="auto"/>
              </w:rPr>
            </w:pPr>
            <w:r>
              <w:rPr>
                <w:rFonts w:ascii="Arial" w:cs="Arial" w:eastAsia="Arial" w:hAnsi="Arial"/>
                <w:sz w:val="13"/>
                <w:szCs w:val="13"/>
                <w:color w:val="auto"/>
              </w:rPr>
              <w:t>Sears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2"/>
          </w:tcPr>
          <w:p>
            <w:pPr>
              <w:ind w:left="220"/>
              <w:spacing w:after="0"/>
              <w:rPr>
                <w:sz w:val="20"/>
                <w:szCs w:val="20"/>
                <w:color w:val="auto"/>
              </w:rPr>
            </w:pPr>
            <w:r>
              <w:rPr>
                <w:rFonts w:ascii="Arial" w:cs="Arial" w:eastAsia="Arial" w:hAnsi="Arial"/>
                <w:sz w:val="13"/>
                <w:szCs w:val="13"/>
                <w:color w:val="auto"/>
              </w:rPr>
              <w:t>Lowell-Brockton, MA</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80" w:type="dxa"/>
            <w:vAlign w:val="bottom"/>
            <w:gridSpan w:val="6"/>
            <w:shd w:val="clear" w:color="auto" w:fill="CCEEFF"/>
          </w:tcPr>
          <w:p>
            <w:pPr>
              <w:spacing w:after="0" w:line="136" w:lineRule="exact"/>
              <w:rPr>
                <w:sz w:val="20"/>
                <w:szCs w:val="20"/>
                <w:color w:val="auto"/>
              </w:rPr>
            </w:pPr>
            <w:r>
              <w:rPr>
                <w:rFonts w:ascii="Arial" w:cs="Arial" w:eastAsia="Arial" w:hAnsi="Arial"/>
                <w:sz w:val="13"/>
                <w:szCs w:val="13"/>
                <w:color w:val="auto"/>
              </w:rPr>
              <w:t>Campus Plaza</w:t>
            </w:r>
          </w:p>
        </w:tc>
        <w:tc>
          <w:tcPr>
            <w:tcW w:w="184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3"/>
                <w:szCs w:val="13"/>
                <w:color w:val="auto"/>
                <w:w w:val="94"/>
              </w:rPr>
              <w:t>Boston-Worcester-Lawrence-</w:t>
            </w:r>
          </w:p>
        </w:tc>
        <w:tc>
          <w:tcPr>
            <w:tcW w:w="6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rPr>
              <w:t>2004</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22,196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58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116,000</w:t>
            </w:r>
          </w:p>
        </w:tc>
        <w:tc>
          <w:tcPr>
            <w:tcW w:w="6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95%</w:t>
            </w: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rPr>
              <w:t>95%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12.30</w:t>
            </w:r>
          </w:p>
        </w:tc>
        <w:tc>
          <w:tcPr>
            <w:tcW w:w="58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46,000</w:t>
            </w:r>
          </w:p>
        </w:tc>
        <w:tc>
          <w:tcPr>
            <w:tcW w:w="70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3"/>
                <w:szCs w:val="13"/>
                <w:color w:val="auto"/>
              </w:rPr>
              <w:t>Roche</w:t>
            </w: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3"/>
                <w:szCs w:val="13"/>
                <w:color w:val="auto"/>
              </w:rPr>
              <w:t>Lowell-Brockton, MA</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color w:val="auto"/>
              </w:rPr>
              <w:t>Brothers</w:t>
            </w: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Coat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Factory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80" w:type="dxa"/>
            <w:vAlign w:val="bottom"/>
            <w:gridSpan w:val="6"/>
          </w:tcPr>
          <w:p>
            <w:pPr>
              <w:spacing w:after="0" w:line="136" w:lineRule="exact"/>
              <w:rPr>
                <w:sz w:val="20"/>
                <w:szCs w:val="20"/>
                <w:color w:val="auto"/>
              </w:rPr>
            </w:pPr>
            <w:r>
              <w:rPr>
                <w:rFonts w:ascii="Arial" w:cs="Arial" w:eastAsia="Arial" w:hAnsi="Arial"/>
                <w:sz w:val="13"/>
                <w:szCs w:val="13"/>
                <w:color w:val="auto"/>
              </w:rPr>
              <w:t>Pleasant Shops</w:t>
            </w:r>
          </w:p>
        </w:tc>
        <w:tc>
          <w:tcPr>
            <w:tcW w:w="1840" w:type="dxa"/>
            <w:vAlign w:val="bottom"/>
            <w:gridSpan w:val="2"/>
          </w:tcPr>
          <w:p>
            <w:pPr>
              <w:ind w:left="220"/>
              <w:spacing w:after="0" w:line="136" w:lineRule="exact"/>
              <w:rPr>
                <w:sz w:val="20"/>
                <w:szCs w:val="20"/>
                <w:color w:val="auto"/>
              </w:rPr>
            </w:pPr>
            <w:r>
              <w:rPr>
                <w:rFonts w:ascii="Arial" w:cs="Arial" w:eastAsia="Arial" w:hAnsi="Arial"/>
                <w:sz w:val="13"/>
                <w:szCs w:val="13"/>
                <w:color w:val="auto"/>
                <w:w w:val="94"/>
              </w:rPr>
              <w:t>Boston-Worcester-Lawrence-</w:t>
            </w:r>
          </w:p>
        </w:tc>
        <w:tc>
          <w:tcPr>
            <w:tcW w:w="64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2004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23,006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129,000</w:t>
            </w:r>
          </w:p>
        </w:tc>
        <w:tc>
          <w:tcPr>
            <w:tcW w:w="80" w:type="dxa"/>
            <w:vAlign w:val="bottom"/>
          </w:tcPr>
          <w:p>
            <w:pPr>
              <w:spacing w:after="0"/>
              <w:rPr>
                <w:sz w:val="11"/>
                <w:szCs w:val="11"/>
                <w:color w:val="auto"/>
              </w:rPr>
            </w:pPr>
          </w:p>
        </w:tc>
        <w:tc>
          <w:tcPr>
            <w:tcW w:w="60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93%</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jc w:val="right"/>
              <w:spacing w:after="0" w:line="136" w:lineRule="exact"/>
              <w:rPr>
                <w:sz w:val="20"/>
                <w:szCs w:val="20"/>
                <w:color w:val="auto"/>
              </w:rPr>
            </w:pPr>
            <w:r>
              <w:rPr>
                <w:rFonts w:ascii="Arial" w:cs="Arial" w:eastAsia="Arial" w:hAnsi="Arial"/>
                <w:sz w:val="13"/>
                <w:szCs w:val="13"/>
                <w:color w:val="auto"/>
              </w:rPr>
              <w:t>11.99</w:t>
            </w:r>
          </w:p>
        </w:tc>
        <w:tc>
          <w:tcPr>
            <w:tcW w:w="580" w:type="dxa"/>
            <w:vAlign w:val="bottom"/>
            <w:gridSpan w:val="3"/>
          </w:tcPr>
          <w:p>
            <w:pPr>
              <w:jc w:val="right"/>
              <w:ind w:right="40"/>
              <w:spacing w:after="0" w:line="136" w:lineRule="exact"/>
              <w:rPr>
                <w:sz w:val="20"/>
                <w:szCs w:val="20"/>
                <w:color w:val="auto"/>
              </w:rPr>
            </w:pPr>
            <w:r>
              <w:rPr>
                <w:rFonts w:ascii="Arial" w:cs="Arial" w:eastAsia="Arial" w:hAnsi="Arial"/>
                <w:sz w:val="13"/>
                <w:szCs w:val="13"/>
                <w:color w:val="auto"/>
              </w:rPr>
              <w:t>38,000</w:t>
            </w:r>
          </w:p>
        </w:tc>
        <w:tc>
          <w:tcPr>
            <w:tcW w:w="700" w:type="dxa"/>
            <w:vAlign w:val="bottom"/>
            <w:gridSpan w:val="2"/>
          </w:tcPr>
          <w:p>
            <w:pPr>
              <w:ind w:left="40"/>
              <w:spacing w:after="0" w:line="136" w:lineRule="exact"/>
              <w:rPr>
                <w:sz w:val="20"/>
                <w:szCs w:val="20"/>
                <w:color w:val="auto"/>
              </w:rPr>
            </w:pPr>
            <w:r>
              <w:rPr>
                <w:rFonts w:ascii="Arial" w:cs="Arial" w:eastAsia="Arial" w:hAnsi="Arial"/>
                <w:sz w:val="13"/>
                <w:szCs w:val="13"/>
                <w:color w:val="auto"/>
                <w:w w:val="92"/>
              </w:rPr>
              <w:t>Foodmaster</w:t>
            </w:r>
          </w:p>
        </w:tc>
        <w:tc>
          <w:tcPr>
            <w:tcW w:w="60" w:type="dxa"/>
            <w:vAlign w:val="bottom"/>
          </w:tcPr>
          <w:p>
            <w:pPr>
              <w:spacing w:after="0"/>
              <w:rPr>
                <w:sz w:val="11"/>
                <w:szCs w:val="11"/>
                <w:color w:val="auto"/>
              </w:rPr>
            </w:pPr>
          </w:p>
        </w:tc>
        <w:tc>
          <w:tcPr>
            <w:tcW w:w="1000" w:type="dxa"/>
            <w:vAlign w:val="bottom"/>
          </w:tcPr>
          <w:p>
            <w:pPr>
              <w:spacing w:after="0" w:line="136"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gridSpan w:val="2"/>
          </w:tcPr>
          <w:p>
            <w:pPr>
              <w:ind w:left="220"/>
              <w:spacing w:after="0"/>
              <w:rPr>
                <w:sz w:val="20"/>
                <w:szCs w:val="20"/>
                <w:color w:val="auto"/>
              </w:rPr>
            </w:pPr>
            <w:r>
              <w:rPr>
                <w:rFonts w:ascii="Arial" w:cs="Arial" w:eastAsia="Arial" w:hAnsi="Arial"/>
                <w:sz w:val="13"/>
                <w:szCs w:val="13"/>
                <w:color w:val="auto"/>
              </w:rPr>
              <w:t>Lowell-Brockton, MA</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ind w:left="220"/>
              <w:spacing w:after="0" w:line="145" w:lineRule="exact"/>
              <w:rPr>
                <w:sz w:val="20"/>
                <w:szCs w:val="20"/>
                <w:color w:val="auto"/>
              </w:rPr>
            </w:pPr>
            <w:r>
              <w:rPr>
                <w:rFonts w:ascii="Arial" w:cs="Arial" w:eastAsia="Arial" w:hAnsi="Arial"/>
                <w:sz w:val="13"/>
                <w:szCs w:val="13"/>
                <w:b w:val="1"/>
                <w:bCs w:val="1"/>
                <w:color w:val="auto"/>
              </w:rPr>
              <w:t>Total New England</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61,847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89"/>
              </w:rPr>
              <w:t>368,000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5" w:lineRule="exact"/>
              <w:rPr>
                <w:sz w:val="20"/>
                <w:szCs w:val="20"/>
                <w:color w:val="auto"/>
              </w:rPr>
            </w:pPr>
            <w:r>
              <w:rPr>
                <w:rFonts w:ascii="Arial" w:cs="Arial" w:eastAsia="Arial" w:hAnsi="Arial"/>
                <w:sz w:val="13"/>
                <w:szCs w:val="13"/>
                <w:color w:val="auto"/>
              </w:rPr>
              <w:t>76%</w:t>
            </w:r>
          </w:p>
        </w:tc>
        <w:tc>
          <w:tcPr>
            <w:tcW w:w="70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76%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13.42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00" w:type="dxa"/>
            <w:vAlign w:val="bottom"/>
            <w:gridSpan w:val="7"/>
            <w:vMerge w:val="restart"/>
          </w:tcPr>
          <w:p>
            <w:pPr>
              <w:spacing w:after="0"/>
              <w:rPr>
                <w:sz w:val="20"/>
                <w:szCs w:val="20"/>
                <w:color w:val="auto"/>
              </w:rPr>
            </w:pPr>
            <w:r>
              <w:rPr>
                <w:rFonts w:ascii="Arial" w:cs="Arial" w:eastAsia="Arial" w:hAnsi="Arial"/>
                <w:sz w:val="13"/>
                <w:szCs w:val="13"/>
                <w:color w:val="auto"/>
              </w:rPr>
              <w:t>Grand Totals</w:t>
            </w: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400" w:type="dxa"/>
            <w:vAlign w:val="bottom"/>
            <w:gridSpan w:val="7"/>
            <w:vMerge w:val="continue"/>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203,122</w:t>
            </w:r>
          </w:p>
        </w:tc>
        <w:tc>
          <w:tcPr>
            <w:tcW w:w="20" w:type="dxa"/>
            <w:vAlign w:val="bottom"/>
          </w:tcPr>
          <w:p>
            <w:pPr>
              <w:spacing w:after="0"/>
              <w:rPr>
                <w:sz w:val="13"/>
                <w:szCs w:val="13"/>
                <w:color w:val="auto"/>
              </w:rPr>
            </w:pPr>
          </w:p>
        </w:tc>
        <w:tc>
          <w:tcPr>
            <w:tcW w:w="120" w:type="dxa"/>
            <w:vAlign w:val="bottom"/>
            <w:gridSpan w:val="2"/>
          </w:tcPr>
          <w:p>
            <w:pPr>
              <w:ind w:left="4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57,780</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950,000</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85%</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85%</w:t>
            </w:r>
          </w:p>
        </w:tc>
        <w:tc>
          <w:tcPr>
            <w:tcW w:w="20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15.91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ind w:left="5620" w:right="5400" w:hanging="5615"/>
        <w:spacing w:after="0" w:line="548" w:lineRule="auto"/>
        <w:tabs>
          <w:tab w:leader="none" w:pos="445" w:val="left"/>
        </w:tabs>
        <w:numPr>
          <w:ilvl w:val="0"/>
          <w:numId w:val="19"/>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24</w:t>
      </w:r>
    </w:p>
    <w:p>
      <w:pPr>
        <w:sectPr>
          <w:pgSz w:w="11900" w:h="16838" w:orient="portrait"/>
          <w:cols w:equalWidth="0" w:num="1">
            <w:col w:w="11420"/>
          </w:cols>
          <w:pgMar w:left="240" w:top="27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170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705" cy="38100"/>
                    </a:xfrm>
                    <a:prstGeom prst="rect">
                      <a:avLst/>
                    </a:prstGeom>
                    <a:noFill/>
                  </pic:spPr>
                </pic:pic>
              </a:graphicData>
            </a:graphic>
          </wp:anchor>
        </w:drawing>
        <w:t>Glossary of Terms</w:t>
      </w:r>
    </w:p>
    <w:p>
      <w:pPr>
        <w:spacing w:after="0" w:line="174"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measure that means net income or loss attributable to the Trust plus depreciation and amortization, net</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expense, 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attributable to the Trust to EBITDA and Adjusted EBITDA for the three months and year ended December 31, 2009 and 2008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80" w:type="dxa"/>
            <w:vAlign w:val="bottom"/>
          </w:tcPr>
          <w:p>
            <w:pPr>
              <w:spacing w:after="0"/>
              <w:rPr>
                <w:sz w:val="13"/>
                <w:szCs w:val="13"/>
                <w:color w:val="auto"/>
              </w:rPr>
            </w:pPr>
          </w:p>
        </w:tc>
        <w:tc>
          <w:tcPr>
            <w:tcW w:w="178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8"/>
        </w:trPr>
        <w:tc>
          <w:tcPr>
            <w:tcW w:w="7880" w:type="dxa"/>
            <w:vAlign w:val="bottom"/>
          </w:tcPr>
          <w:p>
            <w:pPr>
              <w:spacing w:after="0"/>
              <w:rPr>
                <w:sz w:val="13"/>
                <w:szCs w:val="13"/>
                <w:color w:val="auto"/>
              </w:rPr>
            </w:pPr>
          </w:p>
        </w:tc>
        <w:tc>
          <w:tcPr>
            <w:tcW w:w="178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3"/>
                <w:szCs w:val="13"/>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8"/>
        </w:trPr>
        <w:tc>
          <w:tcPr>
            <w:tcW w:w="78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1"/>
              <w:spacing w:after="0" w:line="138" w:lineRule="exact"/>
              <w:rPr>
                <w:sz w:val="20"/>
                <w:szCs w:val="20"/>
                <w:color w:val="auto"/>
              </w:rPr>
            </w:pPr>
            <w:r>
              <w:rPr>
                <w:rFonts w:ascii="Arial" w:cs="Arial" w:eastAsia="Arial" w:hAnsi="Arial"/>
                <w:sz w:val="13"/>
                <w:szCs w:val="13"/>
                <w:b w:val="1"/>
                <w:bCs w:val="1"/>
                <w:color w:val="auto"/>
              </w:rPr>
              <w:t>2009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9"/>
              <w:spacing w:after="0" w:line="138" w:lineRule="exact"/>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1"/>
              <w:spacing w:after="0" w:line="138" w:lineRule="exact"/>
              <w:rPr>
                <w:sz w:val="20"/>
                <w:szCs w:val="20"/>
                <w:color w:val="auto"/>
              </w:rPr>
            </w:pPr>
            <w:r>
              <w:rPr>
                <w:rFonts w:ascii="Arial" w:cs="Arial" w:eastAsia="Arial" w:hAnsi="Arial"/>
                <w:sz w:val="13"/>
                <w:szCs w:val="13"/>
                <w:b w:val="1"/>
                <w:bCs w:val="1"/>
                <w:color w:val="auto"/>
              </w:rPr>
              <w:t>2009</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880" w:type="dxa"/>
            <w:vAlign w:val="bottom"/>
          </w:tcPr>
          <w:p>
            <w:pPr>
              <w:spacing w:after="0"/>
              <w:rPr>
                <w:sz w:val="12"/>
                <w:szCs w:val="12"/>
                <w:color w:val="auto"/>
              </w:rPr>
            </w:pPr>
          </w:p>
        </w:tc>
        <w:tc>
          <w:tcPr>
            <w:tcW w:w="560" w:type="dxa"/>
            <w:vAlign w:val="bottom"/>
          </w:tcPr>
          <w:p>
            <w:pPr>
              <w:jc w:val="right"/>
              <w:ind w:right="1"/>
              <w:spacing w:after="0" w:line="138" w:lineRule="exact"/>
              <w:rPr>
                <w:sz w:val="20"/>
                <w:szCs w:val="20"/>
                <w:color w:val="auto"/>
              </w:rPr>
            </w:pPr>
            <w:r>
              <w:rPr>
                <w:rFonts w:ascii="Arial" w:cs="Arial" w:eastAsia="Arial" w:hAnsi="Arial"/>
                <w:sz w:val="13"/>
                <w:szCs w:val="13"/>
                <w:b w:val="1"/>
                <w:bCs w:val="1"/>
                <w:color w:val="auto"/>
              </w:rPr>
              <w:t>(in</w:t>
            </w:r>
          </w:p>
        </w:tc>
        <w:tc>
          <w:tcPr>
            <w:tcW w:w="900" w:type="dxa"/>
            <w:vAlign w:val="bottom"/>
            <w:gridSpan w:val="3"/>
          </w:tcPr>
          <w:p>
            <w:pPr>
              <w:jc w:val="right"/>
              <w:ind w:right="259"/>
              <w:spacing w:after="0" w:line="138" w:lineRule="exact"/>
              <w:rPr>
                <w:sz w:val="20"/>
                <w:szCs w:val="20"/>
                <w:color w:val="auto"/>
              </w:rPr>
            </w:pPr>
            <w:r>
              <w:rPr>
                <w:rFonts w:ascii="Arial" w:cs="Arial" w:eastAsia="Arial" w:hAnsi="Arial"/>
                <w:sz w:val="13"/>
                <w:szCs w:val="13"/>
                <w:b w:val="1"/>
                <w:bCs w:val="1"/>
                <w:color w:val="auto"/>
                <w:w w:val="77"/>
              </w:rPr>
              <w:t>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center"/>
              <w:ind w:right="180"/>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the Trust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$31,970</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$33,725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98,304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560" w:type="dxa"/>
            <w:vAlign w:val="bottom"/>
          </w:tcPr>
          <w:p>
            <w:pPr>
              <w:jc w:val="right"/>
              <w:spacing w:after="0"/>
              <w:rPr>
                <w:sz w:val="20"/>
                <w:szCs w:val="20"/>
                <w:color w:val="auto"/>
              </w:rPr>
            </w:pPr>
            <w:r>
              <w:rPr>
                <w:rFonts w:ascii="Arial" w:cs="Arial" w:eastAsia="Arial" w:hAnsi="Arial"/>
                <w:sz w:val="17"/>
                <w:szCs w:val="17"/>
                <w:color w:val="auto"/>
              </w:rPr>
              <w:t>28,458</w:t>
            </w:r>
          </w:p>
        </w:tc>
        <w:tc>
          <w:tcPr>
            <w:tcW w:w="20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7"/>
                <w:szCs w:val="17"/>
                <w:color w:val="auto"/>
              </w:rPr>
              <w:t>29,230</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w w:val="87"/>
              </w:rPr>
              <w:t>115,093</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111,068</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29,159</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24,997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108,781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880" w:type="dxa"/>
            <w:vAlign w:val="bottom"/>
          </w:tcPr>
          <w:p>
            <w:pPr>
              <w:spacing w:after="0"/>
              <w:rPr>
                <w:sz w:val="20"/>
                <w:szCs w:val="20"/>
                <w:color w:val="auto"/>
              </w:rPr>
            </w:pPr>
            <w:r>
              <w:rPr>
                <w:rFonts w:ascii="Arial" w:cs="Arial" w:eastAsia="Arial" w:hAnsi="Arial"/>
                <w:sz w:val="17"/>
                <w:szCs w:val="17"/>
                <w:color w:val="auto"/>
              </w:rPr>
              <w:t>Early extinguishment of debt</w:t>
            </w:r>
          </w:p>
        </w:tc>
        <w:tc>
          <w:tcPr>
            <w:tcW w:w="560" w:type="dxa"/>
            <w:vAlign w:val="bottom"/>
          </w:tcPr>
          <w:p>
            <w:pPr>
              <w:jc w:val="right"/>
              <w:spacing w:after="0"/>
              <w:rPr>
                <w:sz w:val="20"/>
                <w:szCs w:val="20"/>
                <w:color w:val="auto"/>
              </w:rPr>
            </w:pPr>
            <w:r>
              <w:rPr>
                <w:rFonts w:ascii="Arial" w:cs="Arial" w:eastAsia="Arial" w:hAnsi="Arial"/>
                <w:sz w:val="17"/>
                <w:szCs w:val="17"/>
                <w:color w:val="auto"/>
              </w:rPr>
              <w:t>1,671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(620)</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(1,894)</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(919)</w:t>
            </w:r>
          </w:p>
        </w:tc>
        <w:tc>
          <w:tcPr>
            <w:tcW w:w="0" w:type="dxa"/>
            <w:vAlign w:val="bottom"/>
          </w:tcPr>
          <w:p>
            <w:pPr>
              <w:spacing w:after="0"/>
              <w:rPr>
                <w:sz w:val="1"/>
                <w:szCs w:val="1"/>
                <w:color w:val="auto"/>
              </w:rPr>
            </w:pPr>
          </w:p>
        </w:tc>
      </w:tr>
      <w:tr>
        <w:trPr>
          <w:trHeight w:val="215"/>
        </w:trPr>
        <w:tc>
          <w:tcPr>
            <w:tcW w:w="7880" w:type="dxa"/>
            <w:vAlign w:val="bottom"/>
          </w:tcPr>
          <w:p>
            <w:pPr>
              <w:spacing w:after="0"/>
              <w:rPr>
                <w:sz w:val="20"/>
                <w:szCs w:val="20"/>
                <w:color w:val="auto"/>
              </w:rPr>
            </w:pPr>
            <w:r>
              <w:rPr>
                <w:rFonts w:ascii="Arial" w:cs="Arial" w:eastAsia="Arial" w:hAnsi="Arial"/>
                <w:sz w:val="17"/>
                <w:szCs w:val="17"/>
                <w:color w:val="auto"/>
              </w:rPr>
              <w:t>EBITDA</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90,638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87,699</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322,923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339,099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(5,134)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(1,298)</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(12,572)</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7"/>
                <w:szCs w:val="17"/>
                <w:color w:val="auto"/>
              </w:rPr>
              <w:t>Adjusted EBITDA</w:t>
            </w: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90,638</w:t>
            </w:r>
          </w:p>
        </w:tc>
        <w:tc>
          <w:tcPr>
            <w:tcW w:w="20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82,565</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321,625</w:t>
            </w: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326,527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21" w:lineRule="exact"/>
        <w:rPr>
          <w:sz w:val="20"/>
          <w:szCs w:val="20"/>
          <w:color w:val="auto"/>
        </w:rPr>
      </w:pPr>
    </w:p>
    <w:p>
      <w:pPr>
        <w:ind w:right="40"/>
        <w:spacing w:after="0" w:line="292" w:lineRule="auto"/>
        <w:rPr>
          <w:sz w:val="20"/>
          <w:szCs w:val="20"/>
          <w:color w:val="auto"/>
        </w:rPr>
      </w:pPr>
      <w:r>
        <w:rPr>
          <w:rFonts w:ascii="Arial" w:cs="Arial" w:eastAsia="Arial" w:hAnsi="Arial"/>
          <w:sz w:val="17"/>
          <w:szCs w:val="17"/>
          <w:b w:val="1"/>
          <w:bCs w:val="1"/>
          <w:color w:val="auto"/>
        </w:rPr>
        <w:t xml:space="preserve">Property Operating Income: </w:t>
      </w:r>
      <w:r>
        <w:rPr>
          <w:rFonts w:ascii="Arial" w:cs="Arial" w:eastAsia="Arial" w:hAnsi="Arial"/>
          <w:sz w:val="17"/>
          <w:szCs w:val="17"/>
          <w:color w:val="auto"/>
        </w:rPr>
        <w:t>Rental income, other property income and mortgage interest income, less rental expenses and real estate taxes and excluding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from discontinued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Overall Portfolio: </w:t>
      </w:r>
      <w:r>
        <w:rPr>
          <w:rFonts w:ascii="Arial" w:cs="Arial" w:eastAsia="Arial" w:hAnsi="Arial"/>
          <w:sz w:val="17"/>
          <w:szCs w:val="17"/>
          <w:color w:val="auto"/>
        </w:rPr>
        <w:t>Includes all operating properties owned in reporting period.</w:t>
      </w:r>
    </w:p>
    <w:p>
      <w:pPr>
        <w:spacing w:after="0" w:line="17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b w:val="1"/>
          <w:bCs w:val="1"/>
          <w:color w:val="auto"/>
        </w:rPr>
        <w:t xml:space="preserve">Same Center: </w:t>
      </w:r>
      <w:r>
        <w:rPr>
          <w:rFonts w:ascii="Arial" w:cs="Arial" w:eastAsia="Arial" w:hAnsi="Arial"/>
          <w:sz w:val="17"/>
          <w:szCs w:val="17"/>
          <w:color w:val="auto"/>
        </w:rPr>
        <w:t>Information provided on a same center basis is provided for only those properties that were owned and operated for the entirety of both periods being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excludes properties that were redeveloped, expanded or under development and properties purchased or sold at any time during the periods being compared.</w:t>
      </w:r>
    </w:p>
    <w:p>
      <w:pPr>
        <w:spacing w:after="0" w:line="119" w:lineRule="exact"/>
        <w:rPr>
          <w:sz w:val="20"/>
          <w:szCs w:val="20"/>
          <w:color w:val="auto"/>
        </w:rPr>
      </w:pPr>
    </w:p>
    <w:p>
      <w:pPr>
        <w:jc w:val="both"/>
        <w:ind w:right="180"/>
        <w:spacing w:after="0" w:line="275"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 lease but</w:t>
      </w:r>
      <w:r>
        <w:rPr>
          <w:rFonts w:ascii="Arial" w:cs="Arial" w:eastAsia="Arial" w:hAnsi="Arial"/>
          <w:sz w:val="17"/>
          <w:szCs w:val="17"/>
          <w:b w:val="1"/>
          <w:bCs w:val="1"/>
          <w:color w:val="auto"/>
        </w:rPr>
        <w:t xml:space="preserve"> </w:t>
      </w:r>
      <w:r>
        <w:rPr>
          <w:rFonts w:ascii="Arial" w:cs="Arial" w:eastAsia="Arial" w:hAnsi="Arial"/>
          <w:sz w:val="17"/>
          <w:szCs w:val="17"/>
          <w:color w:val="auto"/>
        </w:rPr>
        <w:t>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3"/>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2019-12-10T00:42:35Z</dcterms:created>
  <dcterms:modified xsi:type="dcterms:W3CDTF">2019-12-10T00:42:35Z</dcterms:modified>
</cp:coreProperties>
</file>