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440"/>
        <w:spacing w:after="0"/>
        <w:tabs>
          <w:tab w:leader="none" w:pos="3980" w:val="left"/>
        </w:tabs>
        <w:rPr>
          <w:sz w:val="20"/>
          <w:szCs w:val="20"/>
          <w:color w:val="auto"/>
        </w:rPr>
      </w:pPr>
      <w:r>
        <w:rPr>
          <w:rFonts w:ascii="Courier New" w:cs="Courier New" w:eastAsia="Courier New" w:hAnsi="Courier New"/>
          <w:sz w:val="14"/>
          <w:szCs w:val="14"/>
          <w:color w:val="auto"/>
        </w:rPr>
        <w:t>Washington, D.C.</w:t>
        <w:tab/>
        <w:t>20549</w:t>
      </w:r>
    </w:p>
    <w:p>
      <w:pPr>
        <w:spacing w:after="0" w:line="342"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FORM 8-K</w:t>
      </w:r>
    </w:p>
    <w:p>
      <w:pPr>
        <w:spacing w:after="0" w:line="342"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9" w:lineRule="exact"/>
        <w:rPr>
          <w:sz w:val="24"/>
          <w:szCs w:val="24"/>
          <w:color w:val="auto"/>
        </w:rPr>
      </w:pPr>
    </w:p>
    <w:p>
      <w:pPr>
        <w:ind w:left="700" w:right="3799" w:hanging="346"/>
        <w:spacing w:after="0" w:line="258"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June 30, 1996</w:t>
      </w:r>
    </w:p>
    <w:p>
      <w:pPr>
        <w:spacing w:after="0" w:line="200" w:lineRule="exact"/>
        <w:rPr>
          <w:sz w:val="24"/>
          <w:szCs w:val="24"/>
          <w:color w:val="auto"/>
        </w:rPr>
      </w:pPr>
    </w:p>
    <w:p>
      <w:pPr>
        <w:spacing w:after="0" w:line="29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100" w:firstLine="347"/>
        <w:spacing w:after="0" w:line="254" w:lineRule="auto"/>
        <w:rPr>
          <w:sz w:val="20"/>
          <w:szCs w:val="20"/>
          <w:color w:val="auto"/>
        </w:rPr>
      </w:pPr>
      <w:r>
        <w:rPr>
          <w:rFonts w:ascii="Courier New" w:cs="Courier New" w:eastAsia="Courier New" w:hAnsi="Courier New"/>
          <w:sz w:val="14"/>
          <w:szCs w:val="14"/>
          <w:color w:val="auto"/>
        </w:rPr>
        <w:t>District of Columbia ---------------------------- (State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1-7533</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52-0782497</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2" w:lineRule="exact"/>
        <w:rPr>
          <w:sz w:val="24"/>
          <w:szCs w:val="24"/>
          <w:color w:val="auto"/>
        </w:rPr>
      </w:pPr>
    </w:p>
    <w:p>
      <w:pPr>
        <w:sectPr>
          <w:pgSz w:w="11900" w:h="16838" w:orient="portrait"/>
          <w:cols w:equalWidth="0" w:num="3">
            <w:col w:w="2520" w:space="620"/>
            <w:col w:w="1440" w:space="720"/>
            <w:col w:w="4939"/>
          </w:cols>
          <w:pgMar w:left="220" w:top="564" w:right="1440" w:bottom="1440" w:gutter="0" w:footer="0" w:header="0"/>
          <w:type w:val="continuous"/>
        </w:sectPr>
      </w:pPr>
    </w:p>
    <w:p>
      <w:pPr>
        <w:spacing w:after="0" w:line="200" w:lineRule="exact"/>
        <w:rPr>
          <w:sz w:val="24"/>
          <w:szCs w:val="24"/>
          <w:color w:val="auto"/>
        </w:rPr>
      </w:pPr>
    </w:p>
    <w:p>
      <w:pPr>
        <w:spacing w:after="0" w:line="26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4800 Hampden Lane, Suite 500, Bethesda, Maryland</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20814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840" w:space="720"/>
            <w:col w:w="4679"/>
          </w:cols>
          <w:pgMar w:left="220" w:top="564" w:right="1440" w:bottom="1440" w:gutter="0" w:footer="0" w:header="0"/>
          <w:type w:val="continuous"/>
        </w:sectPr>
      </w:pPr>
    </w:p>
    <w:p>
      <w:pPr>
        <w:spacing w:after="0" w:line="309" w:lineRule="exact"/>
        <w:rPr>
          <w:sz w:val="24"/>
          <w:szCs w:val="24"/>
          <w:color w:val="auto"/>
        </w:rPr>
      </w:pPr>
    </w:p>
    <w:p>
      <w:pPr>
        <w:ind w:left="620"/>
        <w:spacing w:after="0"/>
        <w:tabs>
          <w:tab w:leader="none" w:pos="5200" w:val="left"/>
        </w:tabs>
        <w:rPr>
          <w:sz w:val="20"/>
          <w:szCs w:val="20"/>
          <w:color w:val="auto"/>
        </w:rPr>
      </w:pPr>
      <w:r>
        <w:rPr>
          <w:rFonts w:ascii="Courier New" w:cs="Courier New" w:eastAsia="Courier New" w:hAnsi="Courier New"/>
          <w:sz w:val="14"/>
          <w:szCs w:val="14"/>
          <w:color w:val="auto"/>
        </w:rPr>
        <w:t>Registrant's telephone number including area code:</w:t>
        <w:tab/>
        <w:t>301/652-3360</w:t>
      </w:r>
    </w:p>
    <w:p>
      <w:pPr>
        <w:spacing w:after="0" w:line="8" w:lineRule="exact"/>
        <w:rPr>
          <w:sz w:val="24"/>
          <w:szCs w:val="24"/>
          <w:color w:val="auto"/>
        </w:rPr>
      </w:pPr>
    </w:p>
    <w:p>
      <w:pPr>
        <w:ind w:left="52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4" w:right="1440" w:bottom="1440" w:gutter="0" w:footer="0" w:header="0"/>
          <w:type w:val="continuous"/>
        </w:sectPr>
      </w:pPr>
    </w:p>
    <w:bookmarkStart w:id="1" w:name="page2"/>
    <w:bookmarkEnd w:id="1"/>
    <w:p>
      <w:pPr>
        <w:spacing w:after="0"/>
        <w:tabs>
          <w:tab w:leader="none" w:pos="860" w:val="left"/>
        </w:tabs>
        <w:rPr>
          <w:sz w:val="20"/>
          <w:szCs w:val="20"/>
          <w:color w:val="auto"/>
        </w:rPr>
      </w:pPr>
      <w:r>
        <w:rPr>
          <w:rFonts w:ascii="Courier New" w:cs="Courier New" w:eastAsia="Courier New" w:hAnsi="Courier New"/>
          <w:sz w:val="14"/>
          <w:szCs w:val="14"/>
          <w:color w:val="auto"/>
        </w:rPr>
        <w:t>Item 5.</w:t>
        <w:tab/>
        <w:t>Other Events</w:t>
      </w:r>
    </w:p>
    <w:p>
      <w:pPr>
        <w:spacing w:after="0" w:line="342" w:lineRule="exact"/>
        <w:rPr>
          <w:sz w:val="20"/>
          <w:szCs w:val="20"/>
          <w:color w:val="auto"/>
        </w:rPr>
      </w:pPr>
    </w:p>
    <w:p>
      <w:pPr>
        <w:ind w:right="3459" w:firstLine="1389"/>
        <w:spacing w:after="0" w:line="255"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June 30, 1996.</w:t>
      </w:r>
    </w:p>
    <w:p>
      <w:pPr>
        <w:spacing w:after="0" w:line="200" w:lineRule="exact"/>
        <w:rPr>
          <w:sz w:val="20"/>
          <w:szCs w:val="20"/>
          <w:color w:val="auto"/>
        </w:rPr>
      </w:pPr>
    </w:p>
    <w:p>
      <w:pPr>
        <w:spacing w:after="0" w:line="29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5" w:lineRule="exact"/>
        <w:rPr>
          <w:sz w:val="20"/>
          <w:szCs w:val="20"/>
          <w:color w:val="auto"/>
        </w:rPr>
      </w:pPr>
    </w:p>
    <w:p>
      <w:pPr>
        <w:ind w:left="880" w:hanging="524"/>
        <w:spacing w:after="0"/>
        <w:tabs>
          <w:tab w:leader="none" w:pos="8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99Supplemental portfolio information at June 30, 1996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SIGNATURES</w:t>
      </w:r>
    </w:p>
    <w:p>
      <w:pPr>
        <w:spacing w:after="0" w:line="200" w:lineRule="exact"/>
        <w:rPr>
          <w:sz w:val="20"/>
          <w:szCs w:val="20"/>
          <w:color w:val="auto"/>
        </w:rPr>
      </w:pPr>
    </w:p>
    <w:p>
      <w:pPr>
        <w:spacing w:after="0" w:line="309" w:lineRule="exact"/>
        <w:rPr>
          <w:sz w:val="20"/>
          <w:szCs w:val="20"/>
          <w:color w:val="auto"/>
        </w:rPr>
      </w:pPr>
    </w:p>
    <w:p>
      <w:pPr>
        <w:ind w:right="3979" w:firstLine="868"/>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FEDERAL REALTY INVESMENT TRUST</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19,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/s/Cecily A. 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ectPr>
          <w:pgSz w:w="11900" w:h="16838" w:orient="portrait"/>
          <w:cols w:equalWidth="0" w:num="3">
            <w:col w:w="440" w:space="180"/>
            <w:col w:w="2840" w:space="720"/>
            <w:col w:w="6059"/>
          </w:cols>
          <w:pgMar w:left="220" w:top="620" w:right="1440" w:bottom="1440" w:gutter="0" w:footer="0" w:header="0"/>
          <w:type w:val="continuous"/>
        </w:sectPr>
      </w:pPr>
    </w:p>
    <w:bookmarkStart w:id="2" w:name="page3"/>
    <w:bookmarkEnd w:id="2"/>
    <w:p>
      <w:pPr>
        <w:ind w:left="28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800" w:space="680"/>
            <w:col w:w="8759"/>
          </w:cols>
          <w:pgMar w:left="220" w:top="62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Supplemental portfolio information at June 30, 1996</w:t>
      </w:r>
    </w:p>
    <w:p>
      <w:pPr>
        <w:spacing w:after="0" w:line="200" w:lineRule="exact"/>
        <w:rPr>
          <w:sz w:val="20"/>
          <w:szCs w:val="20"/>
          <w:color w:val="auto"/>
        </w:rPr>
      </w:pPr>
    </w:p>
    <w:p>
      <w:pPr>
        <w:sectPr>
          <w:pgSz w:w="11900" w:h="16838" w:orient="portrait"/>
          <w:cols w:equalWidth="0" w:num="2">
            <w:col w:w="760" w:space="720"/>
            <w:col w:w="8759"/>
          </w:cols>
          <w:pgMar w:left="220" w:top="6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type w:val="continuous"/>
        </w:sectPr>
      </w:pPr>
    </w:p>
    <w:bookmarkStart w:id="3" w:name="page4"/>
    <w:bookmarkEnd w:id="3"/>
    <w:p>
      <w:pPr>
        <w:jc w:val="right"/>
        <w:ind w:right="3279"/>
        <w:spacing w:after="0"/>
        <w:rPr>
          <w:sz w:val="20"/>
          <w:szCs w:val="20"/>
          <w:color w:val="auto"/>
        </w:rPr>
      </w:pPr>
      <w:r>
        <w:rPr>
          <w:rFonts w:ascii="Courier New" w:cs="Courier New" w:eastAsia="Courier New" w:hAnsi="Courier New"/>
          <w:sz w:val="14"/>
          <w:szCs w:val="14"/>
          <w:color w:val="auto"/>
        </w:rPr>
        <w:t>EXHIBIT 99</w:t>
      </w:r>
    </w:p>
    <w:p>
      <w:pPr>
        <w:spacing w:after="0" w:line="34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Supplemental Information</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June 30, 1996</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r>
        <w:trPr>
          <w:trHeight w:val="334"/>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6340" w:type="dxa"/>
            <w:vAlign w:val="bottom"/>
          </w:tcPr>
          <w:p>
            <w:pPr>
              <w:jc w:val="right"/>
              <w:ind w:right="5388"/>
              <w:spacing w:after="0"/>
              <w:rPr>
                <w:sz w:val="20"/>
                <w:szCs w:val="20"/>
                <w:color w:val="auto"/>
              </w:rPr>
            </w:pPr>
            <w:r>
              <w:rPr>
                <w:rFonts w:ascii="Courier New" w:cs="Courier New" w:eastAsia="Courier New" w:hAnsi="Courier New"/>
                <w:sz w:val="14"/>
                <w:szCs w:val="14"/>
                <w:color w:val="auto"/>
              </w:rPr>
              <w:t>Occupancy</w:t>
            </w:r>
          </w:p>
        </w:tc>
        <w:tc>
          <w:tcPr>
            <w:tcW w:w="260" w:type="dxa"/>
            <w:vAlign w:val="bottom"/>
          </w:tcPr>
          <w:p>
            <w:pPr>
              <w:spacing w:after="0"/>
              <w:rPr>
                <w:sz w:val="24"/>
                <w:szCs w:val="24"/>
                <w:color w:val="auto"/>
              </w:rPr>
            </w:pPr>
          </w:p>
        </w:tc>
      </w:tr>
      <w:tr>
        <w:trPr>
          <w:trHeight w:val="334"/>
        </w:trPr>
        <w:tc>
          <w:tcPr>
            <w:tcW w:w="260" w:type="dxa"/>
            <w:vAlign w:val="bottom"/>
          </w:tcPr>
          <w:p>
            <w:pPr>
              <w:spacing w:after="0"/>
              <w:rPr>
                <w:sz w:val="24"/>
                <w:szCs w:val="2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7"/>
        </w:trPr>
        <w:tc>
          <w:tcPr>
            <w:tcW w:w="26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Economic Occupancy.................................................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r>
        <w:trPr>
          <w:trHeight w:val="167"/>
        </w:trPr>
        <w:tc>
          <w:tcPr>
            <w:tcW w:w="26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bl>
    <w:p>
      <w:pPr>
        <w:spacing w:after="0" w:line="171" w:lineRule="exact"/>
        <w:rPr>
          <w:sz w:val="20"/>
          <w:szCs w:val="20"/>
          <w:color w:val="auto"/>
        </w:rPr>
      </w:pPr>
    </w:p>
    <w:p>
      <w:pPr>
        <w:ind w:left="360" w:hanging="351"/>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Comparable and Non-Comparable......................................</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E-6</w:t>
            </w:r>
          </w:p>
        </w:tc>
      </w:tr>
      <w:tr>
        <w:trPr>
          <w:trHeight w:val="334"/>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Press Release...........................................................</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E-7</w:t>
            </w:r>
          </w:p>
        </w:tc>
      </w:tr>
      <w:tr>
        <w:trPr>
          <w:trHeight w:val="334"/>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Glossary of Terms.......................................................</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E-10</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4800 Hampden Lane, Suite 500</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Bethesda, Maryland 20814</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301/652-3360</w:t>
      </w:r>
    </w:p>
    <w:p>
      <w:pPr>
        <w:sectPr>
          <w:pgSz w:w="11900" w:h="16838" w:orient="portrait"/>
          <w:cols w:equalWidth="0" w:num="1">
            <w:col w:w="10239"/>
          </w:cols>
          <w:pgMar w:left="220" w:top="47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 and interest rate swaps)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Maturity</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Rate</w:t>
            </w: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Barracks Road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06/01/98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$21,592</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Falls Plaza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06/01/98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4,293</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Old Keene Mill</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06/01/98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7,038</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West Falls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06/01/98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4,927</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Loehmanns Plaza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07/21/98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9.75%</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6,458</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Federal Plaza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03/10/01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28,624</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Tysons Station</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09/01/01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9.875%</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4,293</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Bristol</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08/01/98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11,122</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Northeast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12/31/01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participating</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w:t>
            </w:r>
          </w:p>
        </w:tc>
        <w:tc>
          <w:tcPr>
            <w:tcW w:w="94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334"/>
        </w:trPr>
        <w:tc>
          <w:tcPr>
            <w:tcW w:w="4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$89,847</w:t>
            </w:r>
          </w:p>
        </w:tc>
        <w:tc>
          <w:tcPr>
            <w:tcW w:w="940" w:type="dxa"/>
            <w:vAlign w:val="bottom"/>
          </w:tcPr>
          <w:p>
            <w:pPr>
              <w:spacing w:after="0"/>
              <w:rPr>
                <w:sz w:val="24"/>
                <w:szCs w:val="24"/>
                <w:color w:val="auto"/>
              </w:rPr>
            </w:pPr>
          </w:p>
        </w:tc>
      </w:tr>
      <w:tr>
        <w:trPr>
          <w:trHeight w:val="167"/>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Revolving credit facilities</w:t>
            </w:r>
          </w:p>
        </w:tc>
        <w:tc>
          <w:tcPr>
            <w:tcW w:w="3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libor + .75% to libor + 1%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$45,731</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Note issued in connection with</w:t>
            </w: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140" w:type="dxa"/>
            <w:vAlign w:val="bottom"/>
          </w:tcPr>
          <w:p>
            <w:pPr>
              <w:ind w:left="1140"/>
              <w:spacing w:after="0"/>
              <w:rPr>
                <w:sz w:val="20"/>
                <w:szCs w:val="20"/>
                <w:color w:val="auto"/>
              </w:rPr>
            </w:pPr>
            <w:r>
              <w:rPr>
                <w:rFonts w:ascii="Courier New" w:cs="Courier New" w:eastAsia="Courier New" w:hAnsi="Courier New"/>
                <w:sz w:val="14"/>
                <w:szCs w:val="14"/>
                <w:color w:val="auto"/>
              </w:rPr>
              <w:t>tenant buyout at Queen Anne Plaza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01/15/06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8.875%</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1,291</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Note issued in connection with</w:t>
            </w: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140" w:type="dxa"/>
            <w:vAlign w:val="bottom"/>
          </w:tcPr>
          <w:p>
            <w:pPr>
              <w:ind w:left="1140"/>
              <w:spacing w:after="0"/>
              <w:rPr>
                <w:sz w:val="20"/>
                <w:szCs w:val="20"/>
                <w:color w:val="auto"/>
              </w:rPr>
            </w:pPr>
            <w:r>
              <w:rPr>
                <w:rFonts w:ascii="Courier New" w:cs="Courier New" w:eastAsia="Courier New" w:hAnsi="Courier New"/>
                <w:sz w:val="14"/>
                <w:szCs w:val="14"/>
                <w:color w:val="auto"/>
              </w:rPr>
              <w:t>renovation of Perring Plaza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01/31/13</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2,889</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Note issued in connection with lease</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11/13/95</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none</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various</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various</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c>
          <w:tcPr>
            <w:tcW w:w="94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334"/>
        </w:trPr>
        <w:tc>
          <w:tcPr>
            <w:tcW w:w="4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$52,503</w:t>
            </w:r>
          </w:p>
        </w:tc>
        <w:tc>
          <w:tcPr>
            <w:tcW w:w="940" w:type="dxa"/>
            <w:vAlign w:val="bottom"/>
          </w:tcPr>
          <w:p>
            <w:pPr>
              <w:spacing w:after="0"/>
              <w:rPr>
                <w:sz w:val="24"/>
                <w:szCs w:val="24"/>
                <w:color w:val="auto"/>
              </w:rPr>
            </w:pPr>
          </w:p>
        </w:tc>
      </w:tr>
      <w:tr>
        <w:trPr>
          <w:trHeight w:val="167"/>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5 1/4% Convertible subordinated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04/30/02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5.250%</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c>
          <w:tcPr>
            <w:tcW w:w="940" w:type="dxa"/>
            <w:vAlign w:val="bottom"/>
          </w:tcPr>
          <w:p>
            <w:pPr>
              <w:spacing w:after="0"/>
              <w:rPr>
                <w:sz w:val="14"/>
                <w:szCs w:val="14"/>
                <w:color w:val="auto"/>
              </w:rPr>
            </w:pPr>
          </w:p>
        </w:tc>
      </w:tr>
      <w:tr>
        <w:trPr>
          <w:trHeight w:val="167"/>
        </w:trPr>
        <w:tc>
          <w:tcPr>
            <w:tcW w:w="4140" w:type="dxa"/>
            <w:vAlign w:val="bottom"/>
          </w:tcPr>
          <w:p>
            <w:pPr>
              <w:ind w:left="1140"/>
              <w:spacing w:after="0"/>
              <w:rPr>
                <w:sz w:val="20"/>
                <w:szCs w:val="20"/>
                <w:color w:val="auto"/>
              </w:rPr>
            </w:pPr>
            <w:r>
              <w:rPr>
                <w:rFonts w:ascii="Courier New" w:cs="Courier New" w:eastAsia="Courier New" w:hAnsi="Courier New"/>
                <w:sz w:val="14"/>
                <w:szCs w:val="14"/>
                <w:color w:val="auto"/>
              </w:rPr>
              <w:t>debentures</w:t>
            </w: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5 1/4% Convertible subordinated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10/28/03</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5.250%</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w:t>
            </w:r>
          </w:p>
        </w:tc>
        <w:tc>
          <w:tcPr>
            <w:tcW w:w="940" w:type="dxa"/>
            <w:vAlign w:val="bottom"/>
          </w:tcPr>
          <w:p>
            <w:pPr>
              <w:spacing w:after="0"/>
              <w:rPr>
                <w:sz w:val="14"/>
                <w:szCs w:val="14"/>
                <w:color w:val="auto"/>
              </w:rPr>
            </w:pPr>
          </w:p>
        </w:tc>
      </w:tr>
      <w:tr>
        <w:trPr>
          <w:trHeight w:val="167"/>
        </w:trPr>
        <w:tc>
          <w:tcPr>
            <w:tcW w:w="4140" w:type="dxa"/>
            <w:vAlign w:val="bottom"/>
          </w:tcPr>
          <w:p>
            <w:pPr>
              <w:ind w:left="1140"/>
              <w:spacing w:after="0"/>
              <w:rPr>
                <w:sz w:val="20"/>
                <w:szCs w:val="20"/>
                <w:color w:val="auto"/>
              </w:rPr>
            </w:pPr>
            <w:r>
              <w:rPr>
                <w:rFonts w:ascii="Courier New" w:cs="Courier New" w:eastAsia="Courier New" w:hAnsi="Courier New"/>
                <w:sz w:val="14"/>
                <w:szCs w:val="14"/>
                <w:color w:val="auto"/>
              </w:rPr>
              <w:t>debentures</w:t>
            </w: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8 7/8% Notes (fixed)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01/15/00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8.875%</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8 7/8% Notes (fixed)*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01/15/00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7.530%</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25,000</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8% Notes (fixed)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04/21/02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25,000</w:t>
            </w:r>
          </w:p>
        </w:tc>
        <w:tc>
          <w:tcPr>
            <w:tcW w:w="94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6 5/8% Notes (fixed)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12/01/05</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6.625%</w:t>
            </w:r>
          </w:p>
        </w:tc>
        <w:tc>
          <w:tcPr>
            <w:tcW w:w="7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w:t>
            </w:r>
          </w:p>
        </w:tc>
        <w:tc>
          <w:tcPr>
            <w:tcW w:w="94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334"/>
        </w:trPr>
        <w:tc>
          <w:tcPr>
            <w:tcW w:w="4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$240,289</w:t>
            </w:r>
          </w:p>
        </w:tc>
        <w:tc>
          <w:tcPr>
            <w:tcW w:w="940" w:type="dxa"/>
            <w:vAlign w:val="bottom"/>
          </w:tcPr>
          <w:p>
            <w:pPr>
              <w:spacing w:after="0"/>
              <w:rPr>
                <w:sz w:val="24"/>
                <w:szCs w:val="24"/>
                <w:color w:val="auto"/>
              </w:rPr>
            </w:pPr>
          </w:p>
        </w:tc>
      </w:tr>
      <w:tr>
        <w:trPr>
          <w:trHeight w:val="167"/>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501"/>
        </w:trPr>
        <w:tc>
          <w:tcPr>
            <w:tcW w:w="4140" w:type="dxa"/>
            <w:vAlign w:val="bottom"/>
          </w:tcPr>
          <w:p>
            <w:pPr>
              <w:spacing w:after="0"/>
              <w:rPr>
                <w:sz w:val="24"/>
                <w:szCs w:val="24"/>
                <w:color w:val="auto"/>
              </w:rPr>
            </w:pP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fixed rate debt</w:t>
            </w:r>
          </w:p>
        </w:tc>
        <w:tc>
          <w:tcPr>
            <w:tcW w:w="74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$335,408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87.66%</w:t>
            </w:r>
          </w:p>
        </w:tc>
      </w:tr>
      <w:tr>
        <w:trPr>
          <w:trHeight w:val="334"/>
        </w:trPr>
        <w:tc>
          <w:tcPr>
            <w:tcW w:w="4140" w:type="dxa"/>
            <w:vAlign w:val="bottom"/>
          </w:tcPr>
          <w:p>
            <w:pPr>
              <w:spacing w:after="0"/>
              <w:rPr>
                <w:sz w:val="24"/>
                <w:szCs w:val="24"/>
                <w:color w:val="auto"/>
              </w:rPr>
            </w:pP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variable rate debt</w:t>
            </w:r>
          </w:p>
        </w:tc>
        <w:tc>
          <w:tcPr>
            <w:tcW w:w="74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47,231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w:t>
            </w:r>
          </w:p>
        </w:tc>
      </w:tr>
      <w:tr>
        <w:trPr>
          <w:trHeight w:val="167"/>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140" w:type="dxa"/>
            <w:vAlign w:val="bottom"/>
          </w:tcPr>
          <w:p>
            <w:pPr>
              <w:spacing w:after="0"/>
              <w:rPr>
                <w:sz w:val="24"/>
                <w:szCs w:val="2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Total debt</w:t>
            </w: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$382,639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140" w:type="dxa"/>
            <w:vAlign w:val="bottom"/>
          </w:tcPr>
          <w:p>
            <w:pPr>
              <w:spacing w:after="0"/>
              <w:rPr>
                <w:sz w:val="24"/>
                <w:szCs w:val="24"/>
                <w:color w:val="auto"/>
              </w:rPr>
            </w:pPr>
          </w:p>
        </w:tc>
        <w:tc>
          <w:tcPr>
            <w:tcW w:w="3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Weighted average interest rate:</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140" w:type="dxa"/>
            <w:vAlign w:val="bottom"/>
          </w:tcPr>
          <w:p>
            <w:pPr>
              <w:spacing w:after="0"/>
              <w:rPr>
                <w:sz w:val="14"/>
                <w:szCs w:val="14"/>
                <w:color w:val="auto"/>
              </w:rPr>
            </w:pPr>
          </w:p>
        </w:tc>
        <w:tc>
          <w:tcPr>
            <w:tcW w:w="3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24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Fixed rate debt</w:t>
            </w:r>
          </w:p>
        </w:tc>
        <w:tc>
          <w:tcPr>
            <w:tcW w:w="7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7.79%</w:t>
            </w:r>
          </w:p>
        </w:tc>
        <w:tc>
          <w:tcPr>
            <w:tcW w:w="94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320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Variable on revolving facilities</w:t>
            </w:r>
          </w:p>
        </w:tc>
        <w:tc>
          <w:tcPr>
            <w:tcW w:w="18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6.50% **</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right="3539" w:hanging="171"/>
        <w:spacing w:after="0" w:line="252" w:lineRule="auto"/>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an interest rate swap on $25 million which was sold for $1.5 million, thereby decreasing the effective interest rate.</w:t>
      </w:r>
    </w:p>
    <w:p>
      <w:pPr>
        <w:spacing w:after="0" w:line="1" w:lineRule="exact"/>
        <w:rPr>
          <w:sz w:val="20"/>
          <w:szCs w:val="20"/>
          <w:color w:val="auto"/>
        </w:rPr>
      </w:pPr>
    </w:p>
    <w:p>
      <w:pPr>
        <w:ind w:left="180" w:right="3459" w:hanging="173"/>
        <w:spacing w:after="0" w:line="258" w:lineRule="auto"/>
        <w:rPr>
          <w:sz w:val="20"/>
          <w:szCs w:val="20"/>
          <w:color w:val="auto"/>
        </w:rPr>
      </w:pPr>
      <w:r>
        <w:rPr>
          <w:rFonts w:ascii="Courier New" w:cs="Courier New" w:eastAsia="Courier New" w:hAnsi="Courier New"/>
          <w:sz w:val="14"/>
          <w:szCs w:val="14"/>
          <w:color w:val="auto"/>
        </w:rPr>
        <w:t>**Weighted average interest rate on revolving credit facilities for six months ended June 30, 1996.</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62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10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(Quarter to Quarter Analysis)</w:t>
            </w:r>
          </w:p>
        </w:tc>
        <w:tc>
          <w:tcPr>
            <w:tcW w:w="900" w:type="dxa"/>
            <w:vAlign w:val="bottom"/>
          </w:tcPr>
          <w:p>
            <w:pPr>
              <w:spacing w:after="0"/>
              <w:rPr>
                <w:sz w:val="14"/>
                <w:szCs w:val="14"/>
                <w:color w:val="auto"/>
              </w:rPr>
            </w:pPr>
          </w:p>
        </w:tc>
        <w:tc>
          <w:tcPr>
            <w:tcW w:w="13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June 30, 1996</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June 30, 1995</w:t>
            </w:r>
          </w:p>
        </w:tc>
        <w:tc>
          <w:tcPr>
            <w:tcW w:w="10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c>
          <w:tcPr>
            <w:tcW w:w="920" w:type="dxa"/>
            <w:vAlign w:val="bottom"/>
          </w:tcPr>
          <w:p>
            <w:pPr>
              <w:spacing w:after="0"/>
              <w:rPr>
                <w:sz w:val="14"/>
                <w:szCs w:val="14"/>
                <w:color w:val="auto"/>
              </w:rPr>
            </w:pPr>
          </w:p>
        </w:tc>
        <w:tc>
          <w:tcPr>
            <w:tcW w:w="3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Type</w:t>
            </w:r>
          </w:p>
        </w:tc>
        <w:tc>
          <w:tcPr>
            <w:tcW w:w="8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Occupancy</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360" w:type="dxa"/>
            <w:vAlign w:val="bottom"/>
            <w:gridSpan w:val="6"/>
          </w:tcPr>
          <w:p>
            <w:pPr>
              <w:ind w:left="2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12,317,789</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11,593,141</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11,725,082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10,976,997</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94%</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280</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99%</w:t>
            </w:r>
          </w:p>
        </w:tc>
      </w:tr>
      <w:tr>
        <w:trPr>
          <w:trHeight w:val="501"/>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226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(Rolling 12 Months)</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June 30, 1996</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March 31, 1996</w:t>
            </w:r>
          </w:p>
        </w:tc>
        <w:tc>
          <w:tcPr>
            <w:tcW w:w="10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c>
          <w:tcPr>
            <w:tcW w:w="920" w:type="dxa"/>
            <w:vAlign w:val="bottom"/>
          </w:tcPr>
          <w:p>
            <w:pPr>
              <w:spacing w:after="0"/>
              <w:rPr>
                <w:sz w:val="14"/>
                <w:szCs w:val="14"/>
                <w:color w:val="auto"/>
              </w:rPr>
            </w:pPr>
          </w:p>
        </w:tc>
        <w:tc>
          <w:tcPr>
            <w:tcW w:w="3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Type</w:t>
            </w:r>
          </w:p>
        </w:tc>
        <w:tc>
          <w:tcPr>
            <w:tcW w:w="8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Occupancy</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360" w:type="dxa"/>
            <w:vAlign w:val="bottom"/>
            <w:gridSpan w:val="6"/>
          </w:tcPr>
          <w:p>
            <w:pPr>
              <w:ind w:left="2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12,317,789</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11,593,141</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12,480,181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11,796,821</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274</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97%</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226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(Rolling 12 Months)</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20" w:type="dxa"/>
            <w:vAlign w:val="bottom"/>
            <w:gridSpan w:val="2"/>
          </w:tcPr>
          <w:p>
            <w:pPr>
              <w:jc w:val="center"/>
              <w:ind w:right="668"/>
              <w:spacing w:after="0"/>
              <w:rPr>
                <w:sz w:val="20"/>
                <w:szCs w:val="20"/>
                <w:color w:val="auto"/>
              </w:rPr>
            </w:pPr>
            <w:r>
              <w:rPr>
                <w:rFonts w:ascii="Courier New" w:cs="Courier New" w:eastAsia="Courier New" w:hAnsi="Courier New"/>
                <w:sz w:val="14"/>
                <w:szCs w:val="14"/>
                <w:color w:val="auto"/>
              </w:rPr>
              <w:t>December 31, 1995</w:t>
            </w:r>
          </w:p>
        </w:tc>
        <w:tc>
          <w:tcPr>
            <w:tcW w:w="32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September 30, 1995</w:t>
            </w:r>
          </w:p>
        </w:tc>
      </w:tr>
      <w:tr>
        <w:trPr>
          <w:trHeight w:val="167"/>
        </w:trPr>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c>
          <w:tcPr>
            <w:tcW w:w="920" w:type="dxa"/>
            <w:vAlign w:val="bottom"/>
          </w:tcPr>
          <w:p>
            <w:pPr>
              <w:spacing w:after="0"/>
              <w:rPr>
                <w:sz w:val="14"/>
                <w:szCs w:val="14"/>
                <w:color w:val="auto"/>
              </w:rPr>
            </w:pPr>
          </w:p>
        </w:tc>
        <w:tc>
          <w:tcPr>
            <w:tcW w:w="3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Type</w:t>
            </w:r>
          </w:p>
        </w:tc>
        <w:tc>
          <w:tcPr>
            <w:tcW w:w="8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Occupancy</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360" w:type="dxa"/>
            <w:vAlign w:val="bottom"/>
            <w:gridSpan w:val="6"/>
          </w:tcPr>
          <w:p>
            <w:pPr>
              <w:ind w:left="200"/>
              <w:spacing w:after="0"/>
              <w:rPr>
                <w:sz w:val="20"/>
                <w:szCs w:val="20"/>
                <w:color w:val="auto"/>
              </w:rPr>
            </w:pPr>
            <w:r>
              <w:rPr>
                <w:rFonts w:ascii="Courier New" w:cs="Courier New" w:eastAsia="Courier New" w:hAnsi="Courier New"/>
                <w:sz w:val="14"/>
                <w:szCs w:val="14"/>
                <w:color w:val="auto"/>
              </w:rPr>
              <w:t>----------  ----------  -----------  ----------  ---------- -----------</w:t>
            </w:r>
          </w:p>
        </w:tc>
      </w:tr>
      <w:tr>
        <w:trPr>
          <w:trHeight w:val="501"/>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12,455,447</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11,888,230</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12,031,774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11,375,676</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271</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279</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99%</w:t>
            </w:r>
          </w:p>
        </w:tc>
      </w:tr>
      <w:tr>
        <w:trPr>
          <w:trHeight w:val="668"/>
        </w:trPr>
        <w:tc>
          <w:tcPr>
            <w:tcW w:w="7220" w:type="dxa"/>
            <w:vAlign w:val="bottom"/>
            <w:gridSpan w:val="6"/>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35"/>
        </w:trPr>
        <w:tc>
          <w:tcPr>
            <w:tcW w:w="310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Same Center Occupancy</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(Quarter to Quarter Comparison)</w:t>
            </w:r>
          </w:p>
        </w:tc>
        <w:tc>
          <w:tcPr>
            <w:tcW w:w="900" w:type="dxa"/>
            <w:vAlign w:val="bottom"/>
          </w:tcPr>
          <w:p>
            <w:pPr>
              <w:spacing w:after="0"/>
              <w:rPr>
                <w:sz w:val="14"/>
                <w:szCs w:val="14"/>
                <w:color w:val="auto"/>
              </w:rPr>
            </w:pPr>
          </w:p>
        </w:tc>
        <w:tc>
          <w:tcPr>
            <w:tcW w:w="13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June 30, 1996</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June 30, 1995</w:t>
            </w:r>
          </w:p>
        </w:tc>
        <w:tc>
          <w:tcPr>
            <w:tcW w:w="10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c>
          <w:tcPr>
            <w:tcW w:w="920" w:type="dxa"/>
            <w:vAlign w:val="bottom"/>
          </w:tcPr>
          <w:p>
            <w:pPr>
              <w:spacing w:after="0"/>
              <w:rPr>
                <w:sz w:val="14"/>
                <w:szCs w:val="14"/>
                <w:color w:val="auto"/>
              </w:rPr>
            </w:pPr>
          </w:p>
        </w:tc>
        <w:tc>
          <w:tcPr>
            <w:tcW w:w="3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Type</w:t>
            </w:r>
          </w:p>
        </w:tc>
        <w:tc>
          <w:tcPr>
            <w:tcW w:w="8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Occupancy</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360" w:type="dxa"/>
            <w:vAlign w:val="bottom"/>
            <w:gridSpan w:val="6"/>
          </w:tcPr>
          <w:p>
            <w:pPr>
              <w:ind w:left="2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11,115,866</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10,546,049</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10,438,581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9,820,887</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94%</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280</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99%</w:t>
            </w:r>
          </w:p>
        </w:tc>
      </w:tr>
      <w:tr>
        <w:trPr>
          <w:trHeight w:val="501"/>
        </w:trPr>
        <w:tc>
          <w:tcPr>
            <w:tcW w:w="310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Same Center Occupancy</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226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(Rolling 12 Months)</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2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At June 30, 1996</w:t>
            </w:r>
          </w:p>
        </w:tc>
        <w:tc>
          <w:tcPr>
            <w:tcW w:w="324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At March 31, 1996</w:t>
            </w:r>
          </w:p>
        </w:tc>
      </w:tr>
      <w:tr>
        <w:trPr>
          <w:trHeight w:val="167"/>
        </w:trPr>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c>
          <w:tcPr>
            <w:tcW w:w="920" w:type="dxa"/>
            <w:vAlign w:val="bottom"/>
          </w:tcPr>
          <w:p>
            <w:pPr>
              <w:spacing w:after="0"/>
              <w:rPr>
                <w:sz w:val="14"/>
                <w:szCs w:val="14"/>
                <w:color w:val="auto"/>
              </w:rPr>
            </w:pPr>
          </w:p>
        </w:tc>
        <w:tc>
          <w:tcPr>
            <w:tcW w:w="3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Type</w:t>
            </w:r>
          </w:p>
        </w:tc>
        <w:tc>
          <w:tcPr>
            <w:tcW w:w="8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Occupancy</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360" w:type="dxa"/>
            <w:vAlign w:val="bottom"/>
            <w:gridSpan w:val="6"/>
          </w:tcPr>
          <w:p>
            <w:pPr>
              <w:ind w:left="2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11,115,866</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10,546,049</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11,223,075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10,605,961</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274</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97%</w:t>
            </w:r>
          </w:p>
        </w:tc>
      </w:tr>
      <w:tr>
        <w:trPr>
          <w:trHeight w:val="334"/>
        </w:trPr>
        <w:tc>
          <w:tcPr>
            <w:tcW w:w="310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Same Center Occupancy</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226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(Rolling 12 Months)</w:t>
            </w:r>
          </w:p>
        </w:tc>
        <w:tc>
          <w:tcPr>
            <w:tcW w:w="840" w:type="dxa"/>
            <w:vAlign w:val="bottom"/>
          </w:tcPr>
          <w:p>
            <w:pPr>
              <w:spacing w:after="0"/>
              <w:rPr>
                <w:sz w:val="14"/>
                <w:szCs w:val="14"/>
                <w:color w:val="auto"/>
              </w:rPr>
            </w:pPr>
          </w:p>
        </w:tc>
        <w:tc>
          <w:tcPr>
            <w:tcW w:w="3120" w:type="dxa"/>
            <w:vAlign w:val="bottom"/>
            <w:gridSpan w:val="3"/>
          </w:tcPr>
          <w:p>
            <w:pPr>
              <w:ind w:left="820"/>
              <w:spacing w:after="0"/>
              <w:rPr>
                <w:sz w:val="20"/>
                <w:szCs w:val="20"/>
                <w:color w:val="auto"/>
              </w:rPr>
            </w:pPr>
            <w:r>
              <w:rPr>
                <w:rFonts w:ascii="Courier New" w:cs="Courier New" w:eastAsia="Courier New" w:hAnsi="Courier New"/>
                <w:sz w:val="14"/>
                <w:szCs w:val="14"/>
                <w:color w:val="auto"/>
              </w:rPr>
              <w:t>At December 31, 1995</w:t>
            </w:r>
          </w:p>
        </w:tc>
        <w:tc>
          <w:tcPr>
            <w:tcW w:w="3240" w:type="dxa"/>
            <w:vAlign w:val="bottom"/>
            <w:gridSpan w:val="3"/>
          </w:tcPr>
          <w:p>
            <w:pPr>
              <w:jc w:val="center"/>
              <w:ind w:right="68"/>
              <w:spacing w:after="0"/>
              <w:rPr>
                <w:sz w:val="20"/>
                <w:szCs w:val="20"/>
                <w:color w:val="auto"/>
              </w:rPr>
            </w:pPr>
            <w:r>
              <w:rPr>
                <w:rFonts w:ascii="Courier New" w:cs="Courier New" w:eastAsia="Courier New" w:hAnsi="Courier New"/>
                <w:sz w:val="14"/>
                <w:szCs w:val="14"/>
                <w:color w:val="auto"/>
              </w:rPr>
              <w:t>At September 30, 1995</w:t>
            </w:r>
          </w:p>
        </w:tc>
      </w:tr>
      <w:tr>
        <w:trPr>
          <w:trHeight w:val="167"/>
        </w:trPr>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c>
          <w:tcPr>
            <w:tcW w:w="920" w:type="dxa"/>
            <w:vAlign w:val="bottom"/>
          </w:tcPr>
          <w:p>
            <w:pPr>
              <w:spacing w:after="0"/>
              <w:rPr>
                <w:sz w:val="14"/>
                <w:szCs w:val="14"/>
                <w:color w:val="auto"/>
              </w:rPr>
            </w:pPr>
          </w:p>
        </w:tc>
        <w:tc>
          <w:tcPr>
            <w:tcW w:w="3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Type</w:t>
            </w:r>
          </w:p>
        </w:tc>
        <w:tc>
          <w:tcPr>
            <w:tcW w:w="8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Occupancy</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360" w:type="dxa"/>
            <w:vAlign w:val="bottom"/>
            <w:gridSpan w:val="6"/>
          </w:tcPr>
          <w:p>
            <w:pPr>
              <w:ind w:left="2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11,031,179</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10,538,610</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10,553,745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10,009,447</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271</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279</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99%</w:t>
            </w:r>
          </w:p>
        </w:tc>
      </w:tr>
      <w:tr>
        <w:trPr>
          <w:trHeight w:val="668"/>
        </w:trPr>
        <w:tc>
          <w:tcPr>
            <w:tcW w:w="2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Courier New" w:cs="Courier New" w:eastAsia="Courier New" w:hAnsi="Courier New"/>
                <w:sz w:val="14"/>
                <w:szCs w:val="14"/>
                <w:color w:val="auto"/>
              </w:rPr>
              <w:t>E-3</w:t>
            </w: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Overall Economic Occupancy</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(Quarter to Quarter Analysis)</w:t>
            </w:r>
          </w:p>
        </w:tc>
        <w:tc>
          <w:tcPr>
            <w:tcW w:w="108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June 30, 1996</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June 30, 1995</w:t>
            </w:r>
          </w:p>
        </w:tc>
        <w:tc>
          <w:tcPr>
            <w:tcW w:w="96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5"/>
              </w:rPr>
              <w:t>-------------------------------------</w:t>
            </w:r>
          </w:p>
        </w:tc>
        <w:tc>
          <w:tcPr>
            <w:tcW w:w="10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Leases</w:t>
            </w:r>
          </w:p>
        </w:tc>
        <w:tc>
          <w:tcPr>
            <w:tcW w:w="960" w:type="dxa"/>
            <w:vAlign w:val="bottom"/>
          </w:tcPr>
          <w:p>
            <w:pPr>
              <w:spacing w:after="0"/>
              <w:rPr>
                <w:sz w:val="24"/>
                <w:szCs w:val="24"/>
                <w:color w:val="auto"/>
              </w:rPr>
            </w:pPr>
          </w:p>
        </w:tc>
      </w:tr>
      <w:tr>
        <w:trPr>
          <w:trHeight w:val="167"/>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Economic</w:t>
            </w:r>
          </w:p>
        </w:tc>
        <w:tc>
          <w:tcPr>
            <w:tcW w:w="1140" w:type="dxa"/>
            <w:vAlign w:val="bottom"/>
          </w:tcPr>
          <w:p>
            <w:pPr>
              <w:spacing w:after="0"/>
              <w:rPr>
                <w:sz w:val="14"/>
                <w:szCs w:val="14"/>
                <w:color w:val="auto"/>
              </w:rPr>
            </w:pP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1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Type</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Income</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12,317,789</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11,300,470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11,725,082</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10,641,004</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Overall Economic Occupancy</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8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252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June 30, 1996</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March 31, 1996</w:t>
            </w:r>
          </w:p>
        </w:tc>
        <w:tc>
          <w:tcPr>
            <w:tcW w:w="96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000" w:type="dxa"/>
            <w:vAlign w:val="bottom"/>
          </w:tcPr>
          <w:p>
            <w:pPr>
              <w:spacing w:after="0"/>
              <w:rPr>
                <w:sz w:val="14"/>
                <w:szCs w:val="14"/>
                <w:color w:val="auto"/>
              </w:rPr>
            </w:pPr>
          </w:p>
        </w:tc>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Leases</w:t>
            </w:r>
          </w:p>
        </w:tc>
        <w:tc>
          <w:tcPr>
            <w:tcW w:w="960" w:type="dxa"/>
            <w:vAlign w:val="bottom"/>
          </w:tcPr>
          <w:p>
            <w:pPr>
              <w:spacing w:after="0"/>
              <w:rPr>
                <w:sz w:val="24"/>
                <w:szCs w:val="24"/>
                <w:color w:val="auto"/>
              </w:rPr>
            </w:pPr>
          </w:p>
        </w:tc>
      </w:tr>
      <w:tr>
        <w:trPr>
          <w:trHeight w:val="167"/>
        </w:trPr>
        <w:tc>
          <w:tcPr>
            <w:tcW w:w="3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3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1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Type</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Size</w:t>
            </w:r>
          </w:p>
        </w:tc>
        <w:tc>
          <w:tcPr>
            <w:tcW w:w="11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3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Income</w:t>
            </w:r>
          </w:p>
        </w:tc>
        <w:tc>
          <w:tcPr>
            <w:tcW w:w="9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12,317,789</w:t>
            </w: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11,300,470</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12,480,181</w:t>
            </w:r>
          </w:p>
        </w:tc>
        <w:tc>
          <w:tcPr>
            <w:tcW w:w="13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11,544,594</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93%</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282</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274</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Overall Economic Occupancy</w:t>
      </w:r>
    </w:p>
    <w:p>
      <w:pPr>
        <w:sectPr>
          <w:pgSz w:w="11900" w:h="16838" w:orient="portrait"/>
          <w:cols w:equalWidth="0" w:num="1">
            <w:col w:w="11540"/>
          </w:cols>
          <w:pgMar w:left="220" w:top="787" w:right="139" w:bottom="0" w:gutter="0" w:footer="0" w:header="0"/>
        </w:sectPr>
      </w:pP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December 31,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September 30,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500" w:space="720"/>
            <w:col w:w="3300" w:space="180"/>
            <w:col w:w="4840"/>
          </w:cols>
          <w:pgMar w:left="220" w:top="787" w:right="139" w:bottom="0" w:gutter="0" w:footer="0" w:header="0"/>
          <w:type w:val="continuous"/>
        </w:sectPr>
      </w:pPr>
    </w:p>
    <w:p>
      <w:pPr>
        <w:spacing w:after="0" w:line="334"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Leases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Generating</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Income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Leases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Generating</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7">
            <w:col w:w="3140" w:space="260"/>
            <w:col w:w="860" w:space="180"/>
            <w:col w:w="1120" w:space="180"/>
            <w:col w:w="960" w:space="160"/>
            <w:col w:w="880" w:space="160"/>
            <w:col w:w="1140" w:space="160"/>
            <w:col w:w="2340"/>
          </w:cols>
          <w:pgMar w:left="220" w:top="787" w:right="139" w:bottom="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Retail Properties (square feet) 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12,455,447</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11,627,243</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12,031,774</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11,009,824</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175" w:lineRule="exact"/>
        <w:rPr>
          <w:sz w:val="20"/>
          <w:szCs w:val="20"/>
          <w:color w:val="auto"/>
        </w:rPr>
      </w:pPr>
    </w:p>
    <w:p>
      <w:pPr>
        <w:sectPr>
          <w:pgSz w:w="11900" w:h="16838" w:orient="portrait"/>
          <w:cols w:equalWidth="0" w:num="7">
            <w:col w:w="2960" w:space="260"/>
            <w:col w:w="860" w:space="440"/>
            <w:col w:w="880" w:space="600"/>
            <w:col w:w="260" w:space="440"/>
            <w:col w:w="860" w:space="440"/>
            <w:col w:w="860" w:space="600"/>
            <w:col w:w="2080"/>
          </w:cols>
          <w:pgMar w:left="220" w:top="78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(Quarter to Quarter Comparison)</w:t>
            </w:r>
          </w:p>
        </w:tc>
        <w:tc>
          <w:tcPr>
            <w:tcW w:w="1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Courier New" w:cs="Courier New" w:eastAsia="Courier New" w:hAnsi="Courier New"/>
                <w:sz w:val="14"/>
                <w:szCs w:val="14"/>
                <w:color w:val="auto"/>
              </w:rPr>
              <w:t>June 30, 1996</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June 30, 1995</w:t>
            </w:r>
          </w:p>
        </w:tc>
        <w:tc>
          <w:tcPr>
            <w:tcW w:w="106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25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7"/>
              </w:rPr>
              <w:t>--------------------------------------</w:t>
            </w:r>
          </w:p>
        </w:tc>
        <w:tc>
          <w:tcPr>
            <w:tcW w:w="1000" w:type="dxa"/>
            <w:vAlign w:val="bottom"/>
          </w:tcPr>
          <w:p>
            <w:pPr>
              <w:spacing w:after="0"/>
              <w:rPr>
                <w:sz w:val="14"/>
                <w:szCs w:val="14"/>
                <w:color w:val="auto"/>
              </w:rPr>
            </w:pPr>
          </w:p>
        </w:tc>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Leases</w:t>
            </w:r>
          </w:p>
        </w:tc>
        <w:tc>
          <w:tcPr>
            <w:tcW w:w="1060" w:type="dxa"/>
            <w:vAlign w:val="bottom"/>
          </w:tcPr>
          <w:p>
            <w:pPr>
              <w:spacing w:after="0"/>
              <w:rPr>
                <w:sz w:val="24"/>
                <w:szCs w:val="24"/>
                <w:color w:val="auto"/>
              </w:rPr>
            </w:pPr>
          </w:p>
        </w:tc>
      </w:tr>
      <w:tr>
        <w:trPr>
          <w:trHeight w:val="167"/>
        </w:trPr>
        <w:tc>
          <w:tcPr>
            <w:tcW w:w="3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180" w:type="dxa"/>
            <w:vAlign w:val="bottom"/>
          </w:tcPr>
          <w:p>
            <w:pPr>
              <w:ind w:left="1140"/>
              <w:spacing w:after="0"/>
              <w:rPr>
                <w:sz w:val="20"/>
                <w:szCs w:val="20"/>
                <w:color w:val="auto"/>
              </w:rPr>
            </w:pPr>
            <w:r>
              <w:rPr>
                <w:rFonts w:ascii="Courier New" w:cs="Courier New" w:eastAsia="Courier New" w:hAnsi="Courier New"/>
                <w:sz w:val="14"/>
                <w:szCs w:val="14"/>
                <w:color w:val="auto"/>
              </w:rPr>
              <w:t>Type</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Income</w:t>
            </w:r>
          </w:p>
        </w:tc>
        <w:tc>
          <w:tcPr>
            <w:tcW w:w="10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11,115,866</w:t>
            </w: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10,272,070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10,438,581</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9,552,765</w:t>
            </w:r>
          </w:p>
        </w:tc>
        <w:tc>
          <w:tcPr>
            <w:tcW w:w="10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92%</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282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280</w:t>
            </w:r>
          </w:p>
        </w:tc>
        <w:tc>
          <w:tcPr>
            <w:tcW w:w="10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14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246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At June 30, 1996</w:t>
            </w:r>
          </w:p>
        </w:tc>
        <w:tc>
          <w:tcPr>
            <w:tcW w:w="1040" w:type="dxa"/>
            <w:vAlign w:val="bottom"/>
          </w:tcPr>
          <w:p>
            <w:pPr>
              <w:spacing w:after="0"/>
              <w:rPr>
                <w:sz w:val="14"/>
                <w:szCs w:val="14"/>
                <w:color w:val="auto"/>
              </w:rPr>
            </w:pPr>
          </w:p>
        </w:tc>
        <w:tc>
          <w:tcPr>
            <w:tcW w:w="2520" w:type="dxa"/>
            <w:vAlign w:val="bottom"/>
            <w:gridSpan w:val="2"/>
          </w:tcPr>
          <w:p>
            <w:pPr>
              <w:jc w:val="center"/>
              <w:ind w:left="888"/>
              <w:spacing w:after="0"/>
              <w:rPr>
                <w:sz w:val="20"/>
                <w:szCs w:val="20"/>
                <w:color w:val="auto"/>
              </w:rPr>
            </w:pPr>
            <w:r>
              <w:rPr>
                <w:rFonts w:ascii="Courier New" w:cs="Courier New" w:eastAsia="Courier New" w:hAnsi="Courier New"/>
                <w:sz w:val="14"/>
                <w:szCs w:val="14"/>
                <w:color w:val="auto"/>
              </w:rPr>
              <w:t>At March 31, 1996</w:t>
            </w:r>
          </w:p>
        </w:tc>
        <w:tc>
          <w:tcPr>
            <w:tcW w:w="1000" w:type="dxa"/>
            <w:vAlign w:val="bottom"/>
          </w:tcPr>
          <w:p>
            <w:pPr>
              <w:spacing w:after="0"/>
              <w:rPr>
                <w:sz w:val="14"/>
                <w:szCs w:val="14"/>
                <w:color w:val="auto"/>
              </w:rPr>
            </w:pPr>
          </w:p>
        </w:tc>
      </w:tr>
      <w:tr>
        <w:trPr>
          <w:trHeight w:val="167"/>
        </w:trPr>
        <w:tc>
          <w:tcPr>
            <w:tcW w:w="314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5"/>
              </w:rPr>
              <w:t>-------------------------------------</w:t>
            </w:r>
          </w:p>
        </w:tc>
        <w:tc>
          <w:tcPr>
            <w:tcW w:w="1040" w:type="dxa"/>
            <w:vAlign w:val="bottom"/>
          </w:tcPr>
          <w:p>
            <w:pPr>
              <w:spacing w:after="0"/>
              <w:rPr>
                <w:sz w:val="14"/>
                <w:szCs w:val="14"/>
                <w:color w:val="auto"/>
              </w:rPr>
            </w:pPr>
          </w:p>
        </w:tc>
        <w:tc>
          <w:tcPr>
            <w:tcW w:w="35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Leases</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r>
      <w:tr>
        <w:trPr>
          <w:trHeight w:val="167"/>
        </w:trPr>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Economic</w:t>
            </w:r>
          </w:p>
        </w:tc>
        <w:tc>
          <w:tcPr>
            <w:tcW w:w="1180" w:type="dxa"/>
            <w:vAlign w:val="bottom"/>
          </w:tcPr>
          <w:p>
            <w:pPr>
              <w:spacing w:after="0"/>
              <w:rPr>
                <w:sz w:val="14"/>
                <w:szCs w:val="14"/>
                <w:color w:val="auto"/>
              </w:rPr>
            </w:pP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140" w:type="dxa"/>
            <w:vAlign w:val="bottom"/>
          </w:tcPr>
          <w:p>
            <w:pPr>
              <w:ind w:left="1140"/>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Size</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11,115,866</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10,272,070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11,223,075</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10,413,790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93%</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274</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Same Center Economic Occupancy</w:t>
      </w:r>
    </w:p>
    <w:p>
      <w:pPr>
        <w:sectPr>
          <w:pgSz w:w="11900" w:h="16838" w:orient="portrait"/>
          <w:cols w:equalWidth="0" w:num="1">
            <w:col w:w="11540"/>
          </w:cols>
          <w:pgMar w:left="220" w:top="787" w:right="139" w:bottom="0" w:gutter="0" w:footer="0" w:header="0"/>
          <w:type w:val="continuous"/>
        </w:sectPr>
      </w:pP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4"/>
          <w:szCs w:val="14"/>
          <w:color w:val="auto"/>
        </w:rPr>
        <w:t>At December 31,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4"/>
          <w:szCs w:val="14"/>
          <w:color w:val="auto"/>
        </w:rPr>
        <w:t>At September 30,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2580" w:space="720"/>
            <w:col w:w="3400" w:space="160"/>
            <w:col w:w="4680"/>
          </w:cols>
          <w:pgMar w:left="220" w:top="787" w:right="1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Leases</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14"/>
                <w:szCs w:val="14"/>
                <w:color w:val="auto"/>
              </w:rPr>
            </w:pPr>
          </w:p>
        </w:tc>
      </w:tr>
      <w:tr>
        <w:trPr>
          <w:trHeight w:val="167"/>
        </w:trPr>
        <w:tc>
          <w:tcPr>
            <w:tcW w:w="3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Generating</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Economic</w:t>
            </w:r>
          </w:p>
        </w:tc>
        <w:tc>
          <w:tcPr>
            <w:tcW w:w="11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260" w:type="dxa"/>
            <w:vAlign w:val="bottom"/>
          </w:tcPr>
          <w:p>
            <w:pPr>
              <w:ind w:left="1140"/>
              <w:spacing w:after="0"/>
              <w:rPr>
                <w:sz w:val="20"/>
                <w:szCs w:val="20"/>
                <w:color w:val="auto"/>
              </w:rPr>
            </w:pPr>
            <w:r>
              <w:rPr>
                <w:rFonts w:ascii="Courier New" w:cs="Courier New" w:eastAsia="Courier New" w:hAnsi="Courier New"/>
                <w:sz w:val="14"/>
                <w:szCs w:val="14"/>
                <w:color w:val="auto"/>
              </w:rPr>
              <w:t>Type</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3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Income</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Size</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11,031,179</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10,293,222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10,553,745</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9,764,246</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93%</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w:t>
            </w:r>
          </w:p>
        </w:tc>
        <w:tc>
          <w:tcPr>
            <w:tcW w:w="1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279</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99%</w:t>
            </w:r>
          </w:p>
        </w:tc>
      </w:tr>
      <w:tr>
        <w:trPr>
          <w:trHeight w:val="668"/>
        </w:trPr>
        <w:tc>
          <w:tcPr>
            <w:tcW w:w="326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E-4</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420"/>
          </w:cols>
          <w:pgMar w:left="220" w:top="308" w:right="125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Square</w:t>
            </w:r>
          </w:p>
        </w:tc>
        <w:tc>
          <w:tcPr>
            <w:tcW w:w="14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2180" w:type="dxa"/>
            <w:vAlign w:val="bottom"/>
          </w:tcPr>
          <w:p>
            <w:pPr>
              <w:ind w:left="620"/>
              <w:spacing w:after="0"/>
              <w:rPr>
                <w:sz w:val="20"/>
                <w:szCs w:val="20"/>
                <w:color w:val="auto"/>
              </w:rPr>
            </w:pPr>
            <w:r>
              <w:rPr>
                <w:rFonts w:ascii="Courier New" w:cs="Courier New" w:eastAsia="Courier New" w:hAnsi="Courier New"/>
                <w:sz w:val="14"/>
                <w:szCs w:val="14"/>
                <w:color w:val="auto"/>
              </w:rPr>
              <w:t>Region</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Footage</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06/30/96</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3,731,862</w:t>
            </w:r>
          </w:p>
        </w:tc>
        <w:tc>
          <w:tcPr>
            <w:tcW w:w="14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2,161,279</w:t>
            </w:r>
          </w:p>
        </w:tc>
        <w:tc>
          <w:tcPr>
            <w:tcW w:w="14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97%</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1,960,238</w:t>
            </w:r>
          </w:p>
        </w:tc>
        <w:tc>
          <w:tcPr>
            <w:tcW w:w="14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98%</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1,174,581</w:t>
            </w:r>
          </w:p>
        </w:tc>
        <w:tc>
          <w:tcPr>
            <w:tcW w:w="14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1,103,014</w:t>
            </w:r>
          </w:p>
        </w:tc>
        <w:tc>
          <w:tcPr>
            <w:tcW w:w="14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83%</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940,360</w:t>
            </w:r>
          </w:p>
        </w:tc>
        <w:tc>
          <w:tcPr>
            <w:tcW w:w="14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98%</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1,246,455</w:t>
            </w:r>
          </w:p>
        </w:tc>
        <w:tc>
          <w:tcPr>
            <w:tcW w:w="14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88%</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 Square</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2260" w:type="dxa"/>
            <w:vAlign w:val="bottom"/>
          </w:tcPr>
          <w:p>
            <w:pPr>
              <w:ind w:left="620"/>
              <w:spacing w:after="0"/>
              <w:rPr>
                <w:sz w:val="20"/>
                <w:szCs w:val="20"/>
                <w:color w:val="auto"/>
              </w:rPr>
            </w:pPr>
            <w:r>
              <w:rPr>
                <w:rFonts w:ascii="Courier New" w:cs="Courier New" w:eastAsia="Courier New" w:hAnsi="Courier New"/>
                <w:sz w:val="14"/>
                <w:szCs w:val="14"/>
                <w:color w:val="auto"/>
              </w:rPr>
              <w:t>Region</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Footage</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06/30/96</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1,887,296</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99%</w:t>
            </w: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1,844,566</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91%</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1,278,466</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98%</w:t>
            </w: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882,813</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95%</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1,431,307</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528,931</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93%</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547,845</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626,736</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90%</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676,785</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79%</w:t>
            </w: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426,229</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88%</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444,348</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496,012</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96%</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602,433</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92%</w:t>
            </w: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644,012</w:t>
            </w:r>
          </w:p>
        </w:tc>
        <w:tc>
          <w:tcPr>
            <w:tcW w:w="1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83%</w:t>
            </w:r>
          </w:p>
        </w:tc>
      </w:tr>
      <w:tr>
        <w:trPr>
          <w:trHeight w:val="501"/>
        </w:trPr>
        <w:tc>
          <w:tcPr>
            <w:tcW w:w="2260" w:type="dxa"/>
            <w:vAlign w:val="bottom"/>
          </w:tcPr>
          <w:p>
            <w:pPr>
              <w:spacing w:after="0"/>
              <w:rPr>
                <w:sz w:val="24"/>
                <w:szCs w:val="2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E-5</w:t>
            </w:r>
          </w:p>
        </w:tc>
        <w:tc>
          <w:tcPr>
            <w:tcW w:w="14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Activity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1996</w:t>
      </w:r>
    </w:p>
    <w:p>
      <w:pPr>
        <w:spacing w:after="0" w:line="175" w:lineRule="exact"/>
        <w:rPr>
          <w:sz w:val="20"/>
          <w:szCs w:val="20"/>
          <w:color w:val="auto"/>
        </w:rPr>
      </w:pPr>
    </w:p>
    <w:p>
      <w:pPr>
        <w:ind w:right="4080"/>
        <w:spacing w:after="0" w:line="258" w:lineRule="auto"/>
        <w:rPr>
          <w:sz w:val="20"/>
          <w:szCs w:val="20"/>
          <w:color w:val="auto"/>
        </w:rPr>
      </w:pPr>
      <w:r>
        <w:rPr>
          <w:rFonts w:ascii="Courier New" w:cs="Courier New" w:eastAsia="Courier New" w:hAnsi="Courier New"/>
          <w:sz w:val="14"/>
          <w:szCs w:val="14"/>
          <w:color w:val="auto"/>
        </w:rPr>
        <w:t>================================================================================ Comparible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Weighted</w:t>
            </w:r>
          </w:p>
        </w:tc>
        <w:tc>
          <w:tcPr>
            <w:tcW w:w="16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Average Prior</w:t>
            </w: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Average Current</w:t>
            </w:r>
          </w:p>
        </w:tc>
        <w:tc>
          <w:tcPr>
            <w:tcW w:w="1780" w:type="dxa"/>
            <w:vAlign w:val="bottom"/>
          </w:tcPr>
          <w:p>
            <w:pPr>
              <w:spacing w:after="0"/>
              <w:rPr>
                <w:sz w:val="14"/>
                <w:szCs w:val="14"/>
                <w:color w:val="auto"/>
              </w:rPr>
            </w:pPr>
          </w:p>
        </w:tc>
      </w:tr>
      <w:tr>
        <w:trPr>
          <w:trHeight w:val="167"/>
        </w:trPr>
        <w:tc>
          <w:tcPr>
            <w:tcW w:w="2040" w:type="dxa"/>
            <w:vAlign w:val="bottom"/>
          </w:tcPr>
          <w:p>
            <w:pPr>
              <w:spacing w:after="0"/>
              <w:rPr>
                <w:sz w:val="14"/>
                <w:szCs w:val="14"/>
                <w:color w:val="auto"/>
              </w:rPr>
            </w:pPr>
          </w:p>
        </w:tc>
        <w:tc>
          <w:tcPr>
            <w:tcW w:w="14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Square</w:t>
            </w: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Average Lease</w:t>
            </w:r>
          </w:p>
        </w:tc>
        <w:tc>
          <w:tcPr>
            <w:tcW w:w="1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Rent Per</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Rent Per</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Annualized</w:t>
            </w: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Rolling 12 Months</w:t>
            </w:r>
          </w:p>
        </w:tc>
        <w:tc>
          <w:tcPr>
            <w:tcW w:w="14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Leases Signed</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Feet</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Term (Years)</w:t>
            </w:r>
          </w:p>
        </w:tc>
        <w:tc>
          <w:tcPr>
            <w:tcW w:w="16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Square Foot</w:t>
            </w: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Square Foot</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Increase in Rent</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1996</w:t>
            </w:r>
          </w:p>
        </w:tc>
        <w:tc>
          <w:tcPr>
            <w:tcW w:w="1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81</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272,984</w:t>
            </w:r>
          </w:p>
        </w:tc>
        <w:tc>
          <w:tcPr>
            <w:tcW w:w="16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6.9</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$14.80</w:t>
            </w: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$15.52</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$196,312</w:t>
            </w: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1996</w:t>
            </w:r>
          </w:p>
        </w:tc>
        <w:tc>
          <w:tcPr>
            <w:tcW w:w="1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61</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259,925</w:t>
            </w:r>
          </w:p>
        </w:tc>
        <w:tc>
          <w:tcPr>
            <w:tcW w:w="16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7.0</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13.28</w:t>
            </w: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14.88</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416,047</w:t>
            </w: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1995</w:t>
            </w:r>
          </w:p>
        </w:tc>
        <w:tc>
          <w:tcPr>
            <w:tcW w:w="1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536,433</w:t>
            </w:r>
          </w:p>
        </w:tc>
        <w:tc>
          <w:tcPr>
            <w:tcW w:w="16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7.9</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11.08</w:t>
            </w: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13.51</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1,307,636</w:t>
            </w: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1995</w:t>
            </w:r>
          </w:p>
        </w:tc>
        <w:tc>
          <w:tcPr>
            <w:tcW w:w="1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226,759</w:t>
            </w:r>
          </w:p>
        </w:tc>
        <w:tc>
          <w:tcPr>
            <w:tcW w:w="16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5.8</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14.05</w:t>
            </w: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14.24</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41,961</w:t>
            </w:r>
          </w:p>
        </w:tc>
      </w:tr>
      <w:tr>
        <w:trPr>
          <w:trHeight w:val="167"/>
        </w:trPr>
        <w:tc>
          <w:tcPr>
            <w:tcW w:w="20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Total</w:t>
            </w:r>
          </w:p>
        </w:tc>
        <w:tc>
          <w:tcPr>
            <w:tcW w:w="1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1,296,101</w:t>
            </w:r>
          </w:p>
        </w:tc>
        <w:tc>
          <w:tcPr>
            <w:tcW w:w="16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7.1</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$12.82</w:t>
            </w: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$14.34</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$1,961,956</w:t>
            </w:r>
          </w:p>
        </w:tc>
      </w:tr>
      <w:tr>
        <w:trPr>
          <w:trHeight w:val="501"/>
        </w:trPr>
        <w:tc>
          <w:tcPr>
            <w:tcW w:w="2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Estimated</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040" w:type="dxa"/>
            <w:vAlign w:val="bottom"/>
          </w:tcPr>
          <w:p>
            <w:pPr>
              <w:spacing w:after="0"/>
              <w:rPr>
                <w:sz w:val="14"/>
                <w:szCs w:val="14"/>
                <w:color w:val="auto"/>
              </w:rPr>
            </w:pPr>
          </w:p>
        </w:tc>
        <w:tc>
          <w:tcPr>
            <w:tcW w:w="2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Percentage</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Tenant</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040" w:type="dxa"/>
            <w:vAlign w:val="bottom"/>
          </w:tcPr>
          <w:p>
            <w:pPr>
              <w:spacing w:after="0"/>
              <w:rPr>
                <w:sz w:val="14"/>
                <w:szCs w:val="14"/>
                <w:color w:val="auto"/>
              </w:rPr>
            </w:pPr>
          </w:p>
        </w:tc>
        <w:tc>
          <w:tcPr>
            <w:tcW w:w="2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Increase</w:t>
            </w:r>
          </w:p>
        </w:tc>
        <w:tc>
          <w:tcPr>
            <w:tcW w:w="160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Improvement</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Rolling 12 Months</w:t>
            </w:r>
          </w:p>
        </w:tc>
        <w:tc>
          <w:tcPr>
            <w:tcW w:w="24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over Prior Rent</w:t>
            </w:r>
          </w:p>
        </w:tc>
        <w:tc>
          <w:tcPr>
            <w:tcW w:w="160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Costs</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1996</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spacing w:after="0"/>
              <w:rPr>
                <w:sz w:val="24"/>
                <w:szCs w:val="2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$2,042,000</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1996</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spacing w:after="0"/>
              <w:rPr>
                <w:sz w:val="14"/>
                <w:szCs w:val="1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1,010,000</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1995</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1040" w:type="dxa"/>
            <w:vAlign w:val="bottom"/>
          </w:tcPr>
          <w:p>
            <w:pPr>
              <w:spacing w:after="0"/>
              <w:rPr>
                <w:sz w:val="14"/>
                <w:szCs w:val="1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3,482,000</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1995</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spacing w:after="0"/>
              <w:rPr>
                <w:sz w:val="14"/>
                <w:szCs w:val="1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865,000</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0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Total</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spacing w:after="0"/>
              <w:rPr>
                <w:sz w:val="14"/>
                <w:szCs w:val="1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$7,399,000</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668"/>
        </w:trPr>
        <w:tc>
          <w:tcPr>
            <w:tcW w:w="204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Weighted</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2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Average</w:t>
            </w:r>
          </w:p>
        </w:tc>
        <w:tc>
          <w:tcPr>
            <w:tcW w:w="1660" w:type="dxa"/>
            <w:vAlign w:val="bottom"/>
          </w:tcPr>
          <w:p>
            <w:pPr>
              <w:spacing w:after="0"/>
              <w:rPr>
                <w:sz w:val="14"/>
                <w:szCs w:val="14"/>
                <w:color w:val="auto"/>
              </w:rPr>
            </w:pP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Annualized</w:t>
            </w:r>
          </w:p>
        </w:tc>
        <w:tc>
          <w:tcPr>
            <w:tcW w:w="1780" w:type="dxa"/>
            <w:vAlign w:val="bottom"/>
          </w:tcPr>
          <w:p>
            <w:pPr>
              <w:ind w:left="460"/>
              <w:spacing w:after="0"/>
              <w:rPr>
                <w:sz w:val="20"/>
                <w:szCs w:val="20"/>
                <w:color w:val="auto"/>
              </w:rPr>
            </w:pPr>
            <w:r>
              <w:rPr>
                <w:rFonts w:ascii="Courier New" w:cs="Courier New" w:eastAsia="Courier New" w:hAnsi="Courier New"/>
                <w:sz w:val="14"/>
                <w:szCs w:val="14"/>
                <w:color w:val="auto"/>
              </w:rPr>
              <w:t>Tenant</w:t>
            </w:r>
          </w:p>
        </w:tc>
      </w:tr>
      <w:tr>
        <w:trPr>
          <w:trHeight w:val="167"/>
        </w:trPr>
        <w:tc>
          <w:tcPr>
            <w:tcW w:w="2040" w:type="dxa"/>
            <w:vAlign w:val="bottom"/>
          </w:tcPr>
          <w:p>
            <w:pPr>
              <w:spacing w:after="0"/>
              <w:rPr>
                <w:sz w:val="14"/>
                <w:szCs w:val="14"/>
                <w:color w:val="auto"/>
              </w:rPr>
            </w:pPr>
          </w:p>
        </w:tc>
        <w:tc>
          <w:tcPr>
            <w:tcW w:w="14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Square</w:t>
            </w: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Lease</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Average Rent</w:t>
            </w: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Current</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Improvement</w:t>
            </w: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Rolling 12 Months</w:t>
            </w:r>
          </w:p>
        </w:tc>
        <w:tc>
          <w:tcPr>
            <w:tcW w:w="14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Leases Signed</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Feet</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Term (Years)</w:t>
            </w:r>
          </w:p>
        </w:tc>
        <w:tc>
          <w:tcPr>
            <w:tcW w:w="16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Per Square Foot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Rent</w:t>
            </w:r>
          </w:p>
        </w:tc>
        <w:tc>
          <w:tcPr>
            <w:tcW w:w="1780" w:type="dxa"/>
            <w:vAlign w:val="bottom"/>
          </w:tcPr>
          <w:p>
            <w:pPr>
              <w:ind w:left="460"/>
              <w:spacing w:after="0"/>
              <w:rPr>
                <w:sz w:val="20"/>
                <w:szCs w:val="20"/>
                <w:color w:val="auto"/>
              </w:rPr>
            </w:pPr>
            <w:r>
              <w:rPr>
                <w:rFonts w:ascii="Courier New" w:cs="Courier New" w:eastAsia="Courier New" w:hAnsi="Courier New"/>
                <w:sz w:val="14"/>
                <w:szCs w:val="14"/>
                <w:color w:val="auto"/>
              </w:rPr>
              <w:t>Costs</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1996</w:t>
            </w:r>
          </w:p>
        </w:tc>
        <w:tc>
          <w:tcPr>
            <w:tcW w:w="1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31,194</w:t>
            </w:r>
          </w:p>
        </w:tc>
        <w:tc>
          <w:tcPr>
            <w:tcW w:w="16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8.7</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$8.10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$252,789</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$390,000</w:t>
            </w: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1996</w:t>
            </w:r>
          </w:p>
        </w:tc>
        <w:tc>
          <w:tcPr>
            <w:tcW w:w="1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69,840</w:t>
            </w:r>
          </w:p>
        </w:tc>
        <w:tc>
          <w:tcPr>
            <w:tcW w:w="16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12.6</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12.54</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875,799</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350,000</w:t>
            </w: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1995</w:t>
            </w:r>
          </w:p>
        </w:tc>
        <w:tc>
          <w:tcPr>
            <w:tcW w:w="1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61,598</w:t>
            </w:r>
          </w:p>
        </w:tc>
        <w:tc>
          <w:tcPr>
            <w:tcW w:w="16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13.3</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16.81</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1,035,659</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250,000</w:t>
            </w:r>
          </w:p>
        </w:tc>
      </w:tr>
      <w:tr>
        <w:trPr>
          <w:trHeight w:val="167"/>
        </w:trPr>
        <w:tc>
          <w:tcPr>
            <w:tcW w:w="2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1995</w:t>
            </w:r>
          </w:p>
        </w:tc>
        <w:tc>
          <w:tcPr>
            <w:tcW w:w="1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26,089</w:t>
            </w:r>
          </w:p>
        </w:tc>
        <w:tc>
          <w:tcPr>
            <w:tcW w:w="16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9.7</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13.76</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358,961</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0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Total</w:t>
            </w:r>
          </w:p>
        </w:tc>
        <w:tc>
          <w:tcPr>
            <w:tcW w:w="1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188,721</w:t>
            </w:r>
          </w:p>
        </w:tc>
        <w:tc>
          <w:tcPr>
            <w:tcW w:w="16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12.1</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$13.37</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$2,523,208</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$990,000</w:t>
            </w:r>
          </w:p>
        </w:tc>
      </w:tr>
    </w:tbl>
    <w:p>
      <w:pPr>
        <w:sectPr>
          <w:pgSz w:w="11900" w:h="16838" w:orient="portrait"/>
          <w:cols w:equalWidth="0" w:num="1">
            <w:col w:w="11040"/>
          </w:cols>
          <w:pgMar w:left="220" w:top="620" w:right="6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490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Federal Realty Investment Trust</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NEWS</w:t>
            </w:r>
          </w:p>
        </w:tc>
        <w:tc>
          <w:tcPr>
            <w:tcW w:w="2960" w:type="dxa"/>
            <w:vAlign w:val="bottom"/>
          </w:tcPr>
          <w:p>
            <w:pPr>
              <w:ind w:left="1340"/>
              <w:spacing w:after="0"/>
              <w:rPr>
                <w:sz w:val="20"/>
                <w:szCs w:val="20"/>
                <w:color w:val="auto"/>
              </w:rPr>
            </w:pPr>
            <w:r>
              <w:rPr>
                <w:rFonts w:ascii="Courier New" w:cs="Courier New" w:eastAsia="Courier New" w:hAnsi="Courier New"/>
                <w:sz w:val="14"/>
                <w:szCs w:val="14"/>
                <w:color w:val="auto"/>
              </w:rPr>
              <w:t>4800 Hampden Lane,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Suite</w:t>
            </w:r>
          </w:p>
        </w:tc>
        <w:tc>
          <w:tcPr>
            <w:tcW w:w="14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500</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RELEASE</w:t>
            </w:r>
          </w:p>
        </w:tc>
        <w:tc>
          <w:tcPr>
            <w:tcW w:w="2960" w:type="dxa"/>
            <w:vAlign w:val="bottom"/>
          </w:tcPr>
          <w:p>
            <w:pPr>
              <w:ind w:left="1340"/>
              <w:spacing w:after="0"/>
              <w:rPr>
                <w:sz w:val="20"/>
                <w:szCs w:val="20"/>
                <w:color w:val="auto"/>
              </w:rPr>
            </w:pPr>
            <w:r>
              <w:rPr>
                <w:rFonts w:ascii="Courier New" w:cs="Courier New" w:eastAsia="Courier New" w:hAnsi="Courier New"/>
                <w:sz w:val="14"/>
                <w:szCs w:val="14"/>
                <w:color w:val="auto"/>
              </w:rPr>
              <w:t>Bethesda, Maryland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20814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301/652-3360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4"/>
          <w:szCs w:val="14"/>
          <w:color w:val="auto"/>
        </w:rPr>
        <w:t>FOR IMMEDIATE RELEASE</w:t>
      </w:r>
      <w:r>
        <w:rPr>
          <w:sz w:val="20"/>
          <w:szCs w:val="20"/>
          <w:color w:val="auto"/>
        </w:rPr>
        <w:tab/>
      </w:r>
      <w:r>
        <w:rPr>
          <w:rFonts w:ascii="Courier New" w:cs="Courier New" w:eastAsia="Courier New" w:hAnsi="Courier New"/>
          <w:sz w:val="14"/>
          <w:szCs w:val="14"/>
          <w:color w:val="auto"/>
        </w:rPr>
        <w:t>For further information contact: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NYSE SYMBOL-FRT</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Mary Jane Morrow</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Senior Vice President</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Finance &amp; Treasurer</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(301) 961-9321</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SECOND QUARTER OPERATING RESULTS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Bethesda, Maryland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12, 1996</w:t>
      </w:r>
    </w:p>
    <w:p>
      <w:pPr>
        <w:spacing w:after="0" w:line="342"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second quarter of 1996 increased 13% to $15.8 million from $14.0 million in the second quarter of 1995. On a per share basis, funds from operations rose 9% to $.48 in the second quarter of 1996 from $.44 in the comparable quarter of 1995. Funds from operations also improved for the first six months of 1996 increasing 8% to $30.8 million or $.94 per share from $28.6 million or $.90 per share in the first half of 1995.</w:t>
      </w:r>
    </w:p>
    <w:p>
      <w:pPr>
        <w:spacing w:after="0" w:line="332" w:lineRule="exact"/>
        <w:rPr>
          <w:sz w:val="20"/>
          <w:szCs w:val="20"/>
          <w:color w:val="auto"/>
        </w:rPr>
      </w:pPr>
    </w:p>
    <w:p>
      <w:pPr>
        <w:ind w:right="3799" w:firstLine="694"/>
        <w:spacing w:after="0" w:line="258" w:lineRule="auto"/>
        <w:rPr>
          <w:sz w:val="20"/>
          <w:szCs w:val="20"/>
          <w:color w:val="auto"/>
        </w:rPr>
      </w:pPr>
      <w:r>
        <w:rPr>
          <w:rFonts w:ascii="Courier New" w:cs="Courier New" w:eastAsia="Courier New" w:hAnsi="Courier New"/>
          <w:sz w:val="14"/>
          <w:szCs w:val="14"/>
          <w:color w:val="auto"/>
        </w:rPr>
        <w:t>A comparison of property operations for the second quarter of 1996 versus the second quarter of 1995 shows the following:</w:t>
      </w:r>
    </w:p>
    <w:p>
      <w:pPr>
        <w:spacing w:after="0" w:line="327" w:lineRule="exact"/>
        <w:rPr>
          <w:sz w:val="20"/>
          <w:szCs w:val="20"/>
          <w:color w:val="auto"/>
        </w:rPr>
      </w:pPr>
    </w:p>
    <w:p>
      <w:pPr>
        <w:ind w:left="700" w:right="3379" w:hanging="691"/>
        <w:spacing w:after="0" w:line="254" w:lineRule="auto"/>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17% to $39.9 million in 1996 from $34.2 million in 1995. When adjusted to exclude properties acquired and sold during 1995 and 1996, rental income increased 6% to $35.5 million in 1996 from $33.5 million in 1995.</w:t>
      </w:r>
    </w:p>
    <w:p>
      <w:pPr>
        <w:spacing w:after="0" w:line="330" w:lineRule="exact"/>
        <w:rPr>
          <w:rFonts w:ascii="Courier New" w:cs="Courier New" w:eastAsia="Courier New" w:hAnsi="Courier New"/>
          <w:sz w:val="14"/>
          <w:szCs w:val="14"/>
          <w:color w:val="auto"/>
        </w:rPr>
      </w:pPr>
    </w:p>
    <w:p>
      <w:pPr>
        <w:ind w:left="700" w:right="3379" w:hanging="691"/>
        <w:spacing w:after="0" w:line="254" w:lineRule="auto"/>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second quarter of 1996, the Trust signed leases for a total 304,178 square feet. On a same space basis, the Trust re-leased 272,984 square feet at an average increase in rent per square foot of 5%. The weighted average rent on these</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-More-</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E-7</w:t>
      </w:r>
    </w:p>
    <w:p>
      <w:pPr>
        <w:sectPr>
          <w:pgSz w:w="11900" w:h="16838" w:orient="portrait"/>
          <w:cols w:equalWidth="0" w:num="1">
            <w:col w:w="10239"/>
          </w:cols>
          <w:pgMar w:left="220" w:top="620" w:right="1440" w:bottom="1440" w:gutter="0" w:footer="0" w:header="0"/>
        </w:sectPr>
      </w:pPr>
    </w:p>
    <w:bookmarkStart w:id="11" w:name="page12"/>
    <w:bookmarkEnd w:id="11"/>
    <w:p>
      <w:pPr>
        <w:ind w:left="700" w:right="3719"/>
        <w:spacing w:after="0" w:line="258" w:lineRule="auto"/>
        <w:rPr>
          <w:sz w:val="20"/>
          <w:szCs w:val="20"/>
          <w:color w:val="auto"/>
        </w:rPr>
      </w:pPr>
      <w:r>
        <w:rPr>
          <w:rFonts w:ascii="Courier New" w:cs="Courier New" w:eastAsia="Courier New" w:hAnsi="Courier New"/>
          <w:sz w:val="14"/>
          <w:szCs w:val="14"/>
          <w:color w:val="auto"/>
        </w:rPr>
        <w:t>leases was $15.52 per square foot compared to the previous average rent of $14.80 per square foot for the same spaces.</w:t>
      </w:r>
    </w:p>
    <w:p>
      <w:pPr>
        <w:spacing w:after="0" w:line="160" w:lineRule="exact"/>
        <w:rPr>
          <w:sz w:val="20"/>
          <w:szCs w:val="20"/>
          <w:color w:val="auto"/>
        </w:rPr>
      </w:pPr>
    </w:p>
    <w:p>
      <w:pPr>
        <w:ind w:left="700" w:right="3279" w:hanging="691"/>
        <w:spacing w:after="0" w:line="255"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center occupancy stood at 95% at June 30, 1996 compared to 94% at June 30, 1995. The Trust's overall portfolio was 94% leased at both June 30, 1996 and 1995.</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Commenting on the quarter, Steven J. Guttman, President and Chief Executive Officer stated, "We are pleased with the continued growth in our operating results during the second quarter. Fueled by our recent redevelopment and retenanting programs, rental growth remained very strong with same property minimum rent up 7% over the second quarter last year. Occupancy declined slightly from the first quarter of 1996, but remained at a healthy 94% -- on par with second quarter 1995. Despite weakness in the retail industry, demand for our space remains strong and we hope to achieve modest occupancy gains in the second half of the year. "</w:t>
      </w:r>
    </w:p>
    <w:p>
      <w:pPr>
        <w:spacing w:after="0" w:line="164"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74 retail properties, principally neighborhood and community shopping centers, located in the Northeast and Mid-Atlantic corridor as well as the Chicago metropolitan area.</w:t>
      </w:r>
    </w:p>
    <w:p>
      <w:pPr>
        <w:spacing w:after="0" w:line="162" w:lineRule="exact"/>
        <w:rPr>
          <w:sz w:val="20"/>
          <w:szCs w:val="20"/>
          <w:color w:val="auto"/>
        </w:rPr>
      </w:pPr>
    </w:p>
    <w:p>
      <w:pPr>
        <w:ind w:right="4059" w:firstLine="694"/>
        <w:spacing w:after="0" w:line="254"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28 consecutive years. Shares of the Trust are traded on the New York Stock Exchange under the symbol: FRT.</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0239"/>
          </w:cols>
          <w:pgMar w:left="220" w:top="620" w:right="1440" w:bottom="1440" w:gutter="0" w:footer="0" w:header="0"/>
        </w:sectPr>
      </w:pPr>
    </w:p>
    <w:bookmarkStart w:id="12" w:name="page13"/>
    <w:bookmarkEnd w:id="12"/>
    <w:p>
      <w:pPr>
        <w:ind w:left="2520"/>
        <w:spacing w:after="0"/>
        <w:rPr>
          <w:sz w:val="20"/>
          <w:szCs w:val="20"/>
          <w:color w:val="auto"/>
        </w:rPr>
      </w:pPr>
      <w:r>
        <w:rPr>
          <w:rFonts w:ascii="Courier New" w:cs="Courier New" w:eastAsia="Courier New" w:hAnsi="Courier New"/>
          <w:sz w:val="14"/>
          <w:szCs w:val="14"/>
          <w:color w:val="auto"/>
        </w:rPr>
        <w:t>Financial Highlights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35"/>
        </w:trPr>
        <w:tc>
          <w:tcPr>
            <w:tcW w:w="326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Three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Months Ended</w:t>
            </w:r>
          </w:p>
        </w:tc>
        <w:tc>
          <w:tcPr>
            <w:tcW w:w="17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Six Months Ended</w:t>
            </w:r>
          </w:p>
        </w:tc>
      </w:tr>
      <w:tr>
        <w:trPr>
          <w:trHeight w:val="167"/>
        </w:trPr>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June 30</w:t>
            </w:r>
          </w:p>
        </w:tc>
        <w:tc>
          <w:tcPr>
            <w:tcW w:w="1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June 30</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Revenues</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Rental income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$34,240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$80,660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$68,647</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1,893</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Other income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1,862</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4,763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3,376</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43,570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36,989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87,342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73,916</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4"/>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Rental</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8,264</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21,717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16,219</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Real estate taxes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3,588</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7,969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6,985</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11,139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9,559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22,288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18,716</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Administrative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2,817</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9,344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8,619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18,676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16,988</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36,588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31,420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74,472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61,725</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share of operations and loss on</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sale of real estate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5,569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12,870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12,191</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Investor's share of operations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Income before loss on sale of</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real estate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5,738</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12,923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12,361</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Loss on sale of real estate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(535)</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$5,203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$12,923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$11,826</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$0.16</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$0.37</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$5,203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$12,923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$11,826</w:t>
            </w:r>
          </w:p>
        </w:tc>
      </w:tr>
      <w:tr>
        <w:trPr>
          <w:trHeight w:val="334"/>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Add: depreciation and amortization</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of real estate assets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8,355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7,647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16,697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15,051</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Add: amortization of initial</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direct costs of leases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598</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1,195</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Add: loss on sale and nonrecurring</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items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Funds from operations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$15,844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$13,983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$30,805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$28,607</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Funds from operations per share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$0.44</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$0.90</w:t>
            </w:r>
          </w:p>
        </w:tc>
      </w:tr>
      <w:tr>
        <w:trPr>
          <w:trHeight w:val="167"/>
        </w:trPr>
        <w:tc>
          <w:tcPr>
            <w:tcW w:w="3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shares</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260" w:type="dxa"/>
            <w:vAlign w:val="bottom"/>
          </w:tcPr>
          <w:p>
            <w:pPr>
              <w:ind w:left="360"/>
              <w:spacing w:after="0"/>
              <w:rPr>
                <w:sz w:val="20"/>
                <w:szCs w:val="20"/>
                <w:color w:val="auto"/>
              </w:rPr>
            </w:pPr>
            <w:r>
              <w:rPr>
                <w:rFonts w:ascii="Courier New" w:cs="Courier New" w:eastAsia="Courier New" w:hAnsi="Courier New"/>
                <w:sz w:val="14"/>
                <w:szCs w:val="14"/>
                <w:color w:val="auto"/>
              </w:rPr>
              <w:t>outstanding</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33,066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31,723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32,666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31,691</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3300" w:type="dxa"/>
            <w:vAlign w:val="bottom"/>
          </w:tcPr>
          <w:p>
            <w:pPr>
              <w:spacing w:after="0"/>
              <w:rPr>
                <w:sz w:val="14"/>
                <w:szCs w:val="14"/>
                <w:color w:val="auto"/>
              </w:rPr>
            </w:pPr>
          </w:p>
        </w:tc>
        <w:tc>
          <w:tcPr>
            <w:tcW w:w="2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Assets</w:t>
            </w:r>
          </w:p>
        </w:tc>
        <w:tc>
          <w:tcPr>
            <w:tcW w:w="2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4"/>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Real estate, at cost</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$1,047,226</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$1,009,682</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Mortgage notes receivable</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23,327</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13,561</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Cash and investments</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7,401</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10,782</w:t>
            </w:r>
          </w:p>
        </w:tc>
      </w:tr>
      <w:tr>
        <w:trPr>
          <w:trHeight w:val="334"/>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Total assets</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913,815</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886,154</w:t>
            </w:r>
          </w:p>
        </w:tc>
      </w:tr>
      <w:tr>
        <w:trPr>
          <w:trHeight w:val="334"/>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Liabilities and Shareholders' Equity</w:t>
            </w:r>
          </w:p>
        </w:tc>
        <w:tc>
          <w:tcPr>
            <w:tcW w:w="2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Obligations under capital leases</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$131,237</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$131,829</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Mortgages payable</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89,847</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90,488</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Notes payable</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52,503</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49,980</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Senior Notes</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165,000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165,000</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Convertible subordinated debentures</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75,289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75,289</w:t>
            </w: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Shareholders' Equity</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355,165</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327,468</w:t>
            </w:r>
          </w:p>
        </w:tc>
      </w:tr>
      <w:tr>
        <w:trPr>
          <w:trHeight w:val="835"/>
        </w:trPr>
        <w:tc>
          <w:tcPr>
            <w:tcW w:w="3300" w:type="dxa"/>
            <w:vAlign w:val="bottom"/>
          </w:tcPr>
          <w:p>
            <w:pPr>
              <w:spacing w:after="0"/>
              <w:rPr>
                <w:sz w:val="24"/>
                <w:szCs w:val="24"/>
                <w:color w:val="auto"/>
              </w:rPr>
            </w:pPr>
          </w:p>
        </w:tc>
        <w:tc>
          <w:tcPr>
            <w:tcW w:w="2260" w:type="dxa"/>
            <w:vAlign w:val="bottom"/>
          </w:tcPr>
          <w:p>
            <w:pPr>
              <w:jc w:val="right"/>
              <w:ind w:right="1928"/>
              <w:spacing w:after="0"/>
              <w:rPr>
                <w:sz w:val="20"/>
                <w:szCs w:val="20"/>
                <w:color w:val="auto"/>
              </w:rPr>
            </w:pPr>
            <w:r>
              <w:rPr>
                <w:rFonts w:ascii="Courier New" w:cs="Courier New" w:eastAsia="Courier New" w:hAnsi="Courier New"/>
                <w:sz w:val="14"/>
                <w:szCs w:val="14"/>
                <w:color w:val="auto"/>
                <w:w w:val="95"/>
              </w:rPr>
              <w:t>E-9</w:t>
            </w:r>
          </w:p>
        </w:tc>
        <w:tc>
          <w:tcPr>
            <w:tcW w:w="1300" w:type="dxa"/>
            <w:vAlign w:val="bottom"/>
          </w:tcPr>
          <w:p>
            <w:pPr>
              <w:spacing w:after="0"/>
              <w:rPr>
                <w:sz w:val="24"/>
                <w:szCs w:val="24"/>
                <w:color w:val="auto"/>
              </w:rPr>
            </w:pPr>
          </w:p>
        </w:tc>
      </w:tr>
    </w:tbl>
    <w:p>
      <w:pPr>
        <w:sectPr>
          <w:pgSz w:w="11900" w:h="16838" w:orient="portrait"/>
          <w:cols w:equalWidth="0" w:num="1">
            <w:col w:w="10239"/>
          </w:cols>
          <w:pgMar w:left="220" w:top="620" w:right="1440" w:bottom="636" w:gutter="0" w:footer="0" w:header="0"/>
        </w:sectPr>
      </w:pPr>
    </w:p>
    <w:bookmarkStart w:id="13" w:name="page14"/>
    <w:bookmarkEnd w:id="13"/>
    <w:p>
      <w:pPr>
        <w:ind w:left="2700"/>
        <w:spacing w:after="0"/>
        <w:rPr>
          <w:sz w:val="20"/>
          <w:szCs w:val="20"/>
          <w:color w:val="auto"/>
        </w:rPr>
      </w:pPr>
      <w:r>
        <w:rPr>
          <w:rFonts w:ascii="Courier New" w:cs="Courier New" w:eastAsia="Courier New" w:hAnsi="Courier New"/>
          <w:sz w:val="14"/>
          <w:szCs w:val="14"/>
          <w:color w:val="auto"/>
        </w:rPr>
        <w:t>Glossary of Terms</w:t>
      </w:r>
    </w:p>
    <w:p>
      <w:pPr>
        <w:spacing w:after="0" w:line="34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E-10</w:t>
      </w: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2019-12-12T06:35:36Z</dcterms:created>
  <dcterms:modified xsi:type="dcterms:W3CDTF">2019-12-12T06:35:36Z</dcterms:modified>
</cp:coreProperties>
</file>