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jc w:val="center"/>
        <w:ind w:right="3219"/>
        <w:spacing w:after="0" w:line="237" w:lineRule="auto"/>
        <w:rPr>
          <w:sz w:val="20"/>
          <w:szCs w:val="20"/>
          <w:color w:val="auto"/>
        </w:rPr>
      </w:pPr>
      <w:r>
        <w:rPr>
          <w:rFonts w:ascii="Courier New" w:cs="Courier New" w:eastAsia="Courier New" w:hAnsi="Courier New"/>
          <w:sz w:val="15"/>
          <w:szCs w:val="15"/>
          <w:color w:val="auto"/>
        </w:rPr>
        <w:t>Date of Report (Date of earliest event reported) June 30, 2001</w:t>
      </w:r>
    </w:p>
    <w:p>
      <w:pPr>
        <w:spacing w:after="0" w:line="200" w:lineRule="exact"/>
        <w:rPr>
          <w:sz w:val="24"/>
          <w:szCs w:val="24"/>
          <w:color w:val="auto"/>
        </w:rPr>
      </w:pPr>
    </w:p>
    <w:p>
      <w:pPr>
        <w:spacing w:after="0" w:line="30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ind w:left="700"/>
              <w:spacing w:after="0"/>
              <w:rPr>
                <w:sz w:val="20"/>
                <w:szCs w:val="20"/>
                <w:color w:val="auto"/>
              </w:rPr>
            </w:pPr>
            <w:r>
              <w:rPr>
                <w:rFonts w:ascii="Courier New" w:cs="Courier New" w:eastAsia="Courier New" w:hAnsi="Courier New"/>
                <w:sz w:val="15"/>
                <w:szCs w:val="15"/>
                <w:color w:val="auto"/>
              </w:rPr>
              <w:t>Maryland</w:t>
            </w:r>
          </w:p>
        </w:tc>
        <w:tc>
          <w:tcPr>
            <w:tcW w:w="19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1-07533</w:t>
            </w:r>
          </w:p>
        </w:tc>
        <w:tc>
          <w:tcPr>
            <w:tcW w:w="2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52-0782497</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2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w:t>
            </w:r>
          </w:p>
        </w:tc>
        <w:tc>
          <w:tcPr>
            <w:tcW w:w="19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(Commission</w:t>
            </w:r>
          </w:p>
        </w:tc>
        <w:tc>
          <w:tcPr>
            <w:tcW w:w="2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of incorporation)</w:t>
            </w:r>
          </w:p>
        </w:tc>
        <w:tc>
          <w:tcPr>
            <w:tcW w:w="1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File Number)</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505"/>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1626 East Jefferson Street, Rockville, Maryland</w:t>
            </w:r>
          </w:p>
        </w:tc>
        <w:tc>
          <w:tcPr>
            <w:tcW w:w="2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20852-4041</w:t>
            </w:r>
          </w:p>
        </w:tc>
      </w:tr>
      <w:tr>
        <w:trPr>
          <w:trHeight w:val="168"/>
        </w:trPr>
        <w:tc>
          <w:tcPr>
            <w:tcW w:w="69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33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Registrant's telephone number including area code: 301/998-8100</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Federal Realty Investment Trust hereby files as exhibit 99 the following supplemental data pertaining to its portfolio of properties at June 30, 2001.</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880" w:hanging="520"/>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3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w:t>
      </w:r>
      <w:r>
        <w:rPr>
          <w:rFonts w:ascii="Courier New" w:cs="Courier New" w:eastAsia="Courier New" w:hAnsi="Courier New"/>
          <w:sz w:val="14"/>
          <w:szCs w:val="14"/>
          <w:color w:val="auto"/>
        </w:rPr>
        <w:t>Supplemental portfolio information at June 30, 2001</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00" w:lineRule="exact"/>
        <w:rPr>
          <w:sz w:val="20"/>
          <w:szCs w:val="20"/>
          <w:color w:val="auto"/>
        </w:rPr>
      </w:pPr>
    </w:p>
    <w:p>
      <w:pPr>
        <w:spacing w:after="0" w:line="303" w:lineRule="exact"/>
        <w:rPr>
          <w:sz w:val="20"/>
          <w:szCs w:val="20"/>
          <w:color w:val="auto"/>
        </w:rPr>
      </w:pPr>
    </w:p>
    <w:p>
      <w:pPr>
        <w:spacing w:after="0"/>
        <w:tabs>
          <w:tab w:leader="none" w:pos="600" w:val="left"/>
          <w:tab w:leader="none" w:pos="2180" w:val="left"/>
        </w:tabs>
        <w:rPr>
          <w:sz w:val="20"/>
          <w:szCs w:val="20"/>
          <w:color w:val="auto"/>
        </w:rPr>
      </w:pPr>
      <w:r>
        <w:rPr>
          <w:rFonts w:ascii="Courier New" w:cs="Courier New" w:eastAsia="Courier New" w:hAnsi="Courier New"/>
          <w:sz w:val="15"/>
          <w:szCs w:val="15"/>
          <w:color w:val="auto"/>
        </w:rPr>
        <w:t>Date:</w:t>
        <w:tab/>
        <w:t>July 30, 2001</w:t>
      </w:r>
      <w:r>
        <w:rPr>
          <w:sz w:val="20"/>
          <w:szCs w:val="20"/>
          <w:color w:val="auto"/>
        </w:rPr>
        <w:tab/>
      </w:r>
      <w:r>
        <w:rPr>
          <w:rFonts w:ascii="Courier New" w:cs="Courier New" w:eastAsia="Courier New" w:hAnsi="Courier New"/>
          <w:sz w:val="14"/>
          <w:szCs w:val="14"/>
          <w:color w:val="auto"/>
        </w:rPr>
        <w:t>___________________________________________</w:t>
      </w:r>
    </w:p>
    <w:p>
      <w:pPr>
        <w:ind w:left="2200"/>
        <w:spacing w:after="0" w:line="237" w:lineRule="auto"/>
        <w:rPr>
          <w:sz w:val="20"/>
          <w:szCs w:val="20"/>
          <w:color w:val="auto"/>
        </w:rPr>
      </w:pPr>
      <w:r>
        <w:rPr>
          <w:rFonts w:ascii="Courier New" w:cs="Courier New" w:eastAsia="Courier New" w:hAnsi="Courier New"/>
          <w:sz w:val="15"/>
          <w:szCs w:val="15"/>
          <w:color w:val="auto"/>
        </w:rPr>
        <w:t>Cecily A. Ward</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20" w:space="700"/>
            <w:col w:w="4100" w:space="720"/>
            <w:col w:w="4099"/>
          </w:cols>
          <w:pgMar w:left="220" w:top="624" w:right="1440" w:bottom="1440" w:gutter="0" w:footer="0" w:header="0"/>
          <w:type w:val="continuous"/>
        </w:sectPr>
      </w:pPr>
    </w:p>
    <w:p>
      <w:pPr>
        <w:ind w:left="280"/>
        <w:spacing w:after="0"/>
        <w:rPr>
          <w:sz w:val="20"/>
          <w:szCs w:val="20"/>
          <w:color w:val="auto"/>
        </w:rPr>
      </w:pPr>
      <w:r>
        <w:rPr>
          <w:rFonts w:ascii="Courier New" w:cs="Courier New" w:eastAsia="Courier New" w:hAnsi="Courier New"/>
          <w:sz w:val="12"/>
          <w:szCs w:val="12"/>
          <w:color w:val="auto"/>
        </w:rPr>
        <w:t>99</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Supplemental portfolio information at June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4</w:t>
      </w:r>
    </w:p>
    <w:p>
      <w:pPr>
        <w:spacing w:after="0" w:line="200" w:lineRule="exact"/>
        <w:rPr>
          <w:sz w:val="20"/>
          <w:szCs w:val="20"/>
          <w:color w:val="auto"/>
        </w:rPr>
      </w:pPr>
    </w:p>
    <w:p>
      <w:pPr>
        <w:sectPr>
          <w:pgSz w:w="11900" w:h="16838" w:orient="portrait"/>
          <w:cols w:equalWidth="0" w:num="3">
            <w:col w:w="600" w:space="720"/>
            <w:col w:w="4620" w:space="720"/>
            <w:col w:w="3579"/>
          </w:cols>
          <w:pgMar w:left="220" w:top="624"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4" w:right="1440" w:bottom="1440" w:gutter="0" w:footer="0" w:header="0"/>
          <w:type w:val="continuous"/>
        </w:sectPr>
      </w:pPr>
    </w:p>
    <w:bookmarkStart w:id="3" w:name="page4"/>
    <w:bookmarkEnd w:id="3"/>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Supplemental Information</w:t>
      </w:r>
    </w:p>
    <w:p>
      <w:pPr>
        <w:ind w:left="2900"/>
        <w:spacing w:after="0" w:line="237" w:lineRule="auto"/>
        <w:rPr>
          <w:sz w:val="20"/>
          <w:szCs w:val="20"/>
          <w:color w:val="auto"/>
        </w:rPr>
      </w:pPr>
      <w:r>
        <w:rPr>
          <w:rFonts w:ascii="Courier New" w:cs="Courier New" w:eastAsia="Courier New" w:hAnsi="Courier New"/>
          <w:sz w:val="15"/>
          <w:szCs w:val="15"/>
          <w:color w:val="auto"/>
        </w:rPr>
        <w:t>June 30, 2001</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spacing w:after="0"/>
        <w:tabs>
          <w:tab w:leader="none" w:pos="420" w:val="left"/>
          <w:tab w:leader="none" w:pos="6460" w:val="left"/>
        </w:tabs>
        <w:rPr>
          <w:sz w:val="20"/>
          <w:szCs w:val="20"/>
          <w:color w:val="auto"/>
        </w:rPr>
      </w:pPr>
      <w:r>
        <w:rPr>
          <w:rFonts w:ascii="Courier New" w:cs="Courier New" w:eastAsia="Courier New" w:hAnsi="Courier New"/>
          <w:sz w:val="15"/>
          <w:szCs w:val="15"/>
          <w:color w:val="auto"/>
        </w:rPr>
        <w:t>1.</w:t>
        <w:tab/>
        <w:t>Debt Summary.......................................................</w:t>
      </w:r>
      <w:r>
        <w:rPr>
          <w:sz w:val="20"/>
          <w:szCs w:val="20"/>
          <w:color w:val="auto"/>
        </w:rPr>
        <w:tab/>
      </w:r>
      <w:r>
        <w:rPr>
          <w:rFonts w:ascii="Courier New" w:cs="Courier New" w:eastAsia="Courier New" w:hAnsi="Courier New"/>
          <w:sz w:val="14"/>
          <w:szCs w:val="14"/>
          <w:color w:val="auto"/>
        </w:rPr>
        <w:t>E-2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2.   Occupancy</w:t>
            </w:r>
          </w:p>
        </w:tc>
        <w:tc>
          <w:tcPr>
            <w:tcW w:w="340" w:type="dxa"/>
            <w:vAlign w:val="bottom"/>
          </w:tcPr>
          <w:p>
            <w:pPr>
              <w:spacing w:after="0"/>
              <w:rPr>
                <w:sz w:val="14"/>
                <w:szCs w:val="14"/>
                <w:color w:val="auto"/>
              </w:rPr>
            </w:pPr>
          </w:p>
        </w:tc>
      </w:tr>
      <w:tr>
        <w:trPr>
          <w:trHeight w:val="168"/>
        </w:trPr>
        <w:tc>
          <w:tcPr>
            <w:tcW w:w="64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Percentage Leased...........................................</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E-3</w:t>
            </w:r>
          </w:p>
        </w:tc>
      </w:tr>
      <w:tr>
        <w:trPr>
          <w:trHeight w:val="168"/>
        </w:trPr>
        <w:tc>
          <w:tcPr>
            <w:tcW w:w="64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Regional Breakdown..........................................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E-4</w:t>
            </w:r>
          </w:p>
        </w:tc>
      </w:tr>
    </w:tbl>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Signed Analysis</w:t>
      </w: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6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Comparable and Non-Comparable...............................</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E-5</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4.</w:t>
            </w:r>
          </w:p>
        </w:tc>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Development Pipeline...............................................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E-6</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5.</w:t>
            </w:r>
          </w:p>
        </w:tc>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Second Quarter Earnings Press Release, July 30, 2001...............</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E-7</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6.</w:t>
            </w:r>
          </w:p>
        </w:tc>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Glossary of Terms..................................................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E-12</w:t>
            </w:r>
          </w:p>
        </w:tc>
      </w:tr>
    </w:tbl>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1626 East Jefferson Street</w:t>
      </w:r>
    </w:p>
    <w:p>
      <w:pPr>
        <w:jc w:val="center"/>
        <w:ind w:right="3399"/>
        <w:spacing w:after="0" w:line="237" w:lineRule="auto"/>
        <w:rPr>
          <w:sz w:val="20"/>
          <w:szCs w:val="20"/>
          <w:color w:val="auto"/>
        </w:rPr>
      </w:pPr>
      <w:r>
        <w:rPr>
          <w:rFonts w:ascii="Courier New" w:cs="Courier New" w:eastAsia="Courier New" w:hAnsi="Courier New"/>
          <w:sz w:val="15"/>
          <w:szCs w:val="15"/>
          <w:color w:val="auto"/>
        </w:rPr>
        <w:t>Rockville, Maryland 20852-4041</w:t>
      </w:r>
    </w:p>
    <w:p>
      <w:pPr>
        <w:jc w:val="center"/>
        <w:ind w:right="3399"/>
        <w:spacing w:after="0" w:line="238" w:lineRule="auto"/>
        <w:rPr>
          <w:sz w:val="20"/>
          <w:szCs w:val="20"/>
          <w:color w:val="auto"/>
        </w:rPr>
      </w:pPr>
      <w:r>
        <w:rPr>
          <w:rFonts w:ascii="Courier New" w:cs="Courier New" w:eastAsia="Courier New" w:hAnsi="Courier New"/>
          <w:sz w:val="15"/>
          <w:szCs w:val="15"/>
          <w:color w:val="auto"/>
        </w:rPr>
        <w:t>301/998-8100</w:t>
      </w:r>
    </w:p>
    <w:p>
      <w:pPr>
        <w:sectPr>
          <w:pgSz w:w="11900" w:h="16838" w:orient="portrait"/>
          <w:cols w:equalWidth="0" w:num="1">
            <w:col w:w="10239"/>
          </w:cols>
          <w:pgMar w:left="220" w:top="471" w:right="1440" w:bottom="1440" w:gutter="0" w:footer="0" w:header="0"/>
        </w:sectPr>
      </w:pPr>
    </w:p>
    <w:bookmarkStart w:id="4" w:name="page5"/>
    <w:bookmarkEnd w:id="4"/>
    <w:p>
      <w:pPr>
        <w:spacing w:after="0"/>
        <w:tabs>
          <w:tab w:leader="none" w:pos="78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REALTY INVESTMENT TRUST</w:t>
      </w:r>
    </w:p>
    <w:p>
      <w:pPr>
        <w:spacing w:after="0"/>
        <w:tabs>
          <w:tab w:leader="none" w:pos="1300" w:val="left"/>
        </w:tabs>
        <w:rPr>
          <w:sz w:val="20"/>
          <w:szCs w:val="20"/>
          <w:color w:val="auto"/>
        </w:rPr>
      </w:pPr>
      <w:r>
        <w:rPr>
          <w:rFonts w:ascii="Courier New" w:cs="Courier New" w:eastAsia="Courier New" w:hAnsi="Courier New"/>
          <w:sz w:val="15"/>
          <w:szCs w:val="15"/>
          <w:color w:val="auto"/>
        </w:rPr>
        <w:t>DEBT ANALYSIS</w:t>
      </w:r>
      <w:r>
        <w:rPr>
          <w:sz w:val="20"/>
          <w:szCs w:val="20"/>
          <w:color w:val="auto"/>
        </w:rPr>
        <w:tab/>
      </w:r>
      <w:r>
        <w:rPr>
          <w:rFonts w:ascii="Courier New" w:cs="Courier New" w:eastAsia="Courier New" w:hAnsi="Courier New"/>
          <w:sz w:val="14"/>
          <w:szCs w:val="14"/>
          <w:color w:val="auto"/>
        </w:rPr>
        <w:t>(excluding capital leases and interest rate swaps)</w:t>
      </w:r>
    </w:p>
    <w:p>
      <w:pPr>
        <w:spacing w:after="0" w:line="238" w:lineRule="auto"/>
        <w:rPr>
          <w:sz w:val="20"/>
          <w:szCs w:val="20"/>
          <w:color w:val="auto"/>
        </w:rPr>
      </w:pPr>
      <w:r>
        <w:rPr>
          <w:rFonts w:ascii="Courier New" w:cs="Courier New" w:eastAsia="Courier New" w:hAnsi="Courier New"/>
          <w:sz w:val="15"/>
          <w:szCs w:val="15"/>
          <w:color w:val="auto"/>
        </w:rPr>
        <w:t>June 30,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Balance</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Maturity</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Rate</w:t>
            </w:r>
          </w:p>
        </w:tc>
        <w:tc>
          <w:tcPr>
            <w:tcW w:w="21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Mortgages</w:t>
            </w: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Leesburg Plaza</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10/01/08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Federal Plaza</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06/01/11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36,468</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Tysons Station</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09/01/01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9.875%</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3,945</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164 E Houston Street</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10/06/08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321</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Barracks Road</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44,300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Hauppauge</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16,700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Lawrence Park</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Wildwood</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27,600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Wynnewood</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32,000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Brick Plaza</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7.415%</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33,000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Escondido (Municipal bonds)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10/01/16</w:t>
            </w:r>
          </w:p>
        </w:tc>
        <w:tc>
          <w:tcPr>
            <w:tcW w:w="2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variable (a)</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9,400</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245,034</w:t>
            </w:r>
          </w:p>
        </w:tc>
        <w:tc>
          <w:tcPr>
            <w:tcW w:w="74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w:t>
            </w: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Revolving credit facilities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12/19/03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libor +.80%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158,500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Term note with banks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12/19/03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(b)</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125,000</w:t>
            </w:r>
          </w:p>
        </w:tc>
        <w:tc>
          <w:tcPr>
            <w:tcW w:w="740" w:type="dxa"/>
            <w:vAlign w:val="bottom"/>
          </w:tcPr>
          <w:p>
            <w:pPr>
              <w:spacing w:after="0"/>
              <w:rPr>
                <w:sz w:val="14"/>
                <w:szCs w:val="14"/>
                <w:color w:val="auto"/>
              </w:rPr>
            </w:pPr>
          </w:p>
        </w:tc>
      </w:tr>
      <w:tr>
        <w:trPr>
          <w:trHeight w:val="168"/>
        </w:trPr>
        <w:tc>
          <w:tcPr>
            <w:tcW w:w="548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rPr>
              <w:t>Construction loan on Woodmont East</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480" w:type="dxa"/>
            <w:vAlign w:val="bottom"/>
            <w:gridSpan w:val="2"/>
          </w:tcPr>
          <w:p>
            <w:pPr>
              <w:ind w:left="1680"/>
              <w:spacing w:after="0" w:line="168" w:lineRule="exact"/>
              <w:rPr>
                <w:sz w:val="20"/>
                <w:szCs w:val="20"/>
                <w:color w:val="auto"/>
              </w:rPr>
            </w:pPr>
            <w:r>
              <w:rPr>
                <w:rFonts w:ascii="Courier New" w:cs="Courier New" w:eastAsia="Courier New" w:hAnsi="Courier New"/>
                <w:sz w:val="15"/>
                <w:szCs w:val="15"/>
                <w:color w:val="auto"/>
              </w:rPr>
              <w:t>{may be extended to 8/29/04}</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08/29/02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libor + 1.25%</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21,221</w:t>
            </w:r>
          </w:p>
        </w:tc>
        <w:tc>
          <w:tcPr>
            <w:tcW w:w="740" w:type="dxa"/>
            <w:vAlign w:val="bottom"/>
          </w:tcPr>
          <w:p>
            <w:pPr>
              <w:spacing w:after="0"/>
              <w:rPr>
                <w:sz w:val="14"/>
                <w:szCs w:val="14"/>
                <w:color w:val="auto"/>
              </w:rPr>
            </w:pPr>
          </w:p>
        </w:tc>
      </w:tr>
      <w:tr>
        <w:trPr>
          <w:trHeight w:val="168"/>
        </w:trPr>
        <w:tc>
          <w:tcPr>
            <w:tcW w:w="548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rPr>
              <w:t>Note issued in connection with</w:t>
            </w: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w w:val="96"/>
              </w:rPr>
              <w:t>renovation of Perring Plaza</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01/31/13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2,447</w:t>
            </w:r>
          </w:p>
        </w:tc>
        <w:tc>
          <w:tcPr>
            <w:tcW w:w="740" w:type="dxa"/>
            <w:vAlign w:val="bottom"/>
          </w:tcPr>
          <w:p>
            <w:pPr>
              <w:spacing w:after="0"/>
              <w:rPr>
                <w:sz w:val="14"/>
                <w:szCs w:val="14"/>
                <w:color w:val="auto"/>
              </w:rPr>
            </w:pPr>
          </w:p>
        </w:tc>
      </w:tr>
      <w:tr>
        <w:trPr>
          <w:trHeight w:val="168"/>
        </w:trPr>
        <w:tc>
          <w:tcPr>
            <w:tcW w:w="548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w w:val="99"/>
              </w:rPr>
              <w:t>Note issued in connection with land purchase</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08/15/01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libor + 1.5%</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various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310,646</w:t>
            </w:r>
          </w:p>
        </w:tc>
        <w:tc>
          <w:tcPr>
            <w:tcW w:w="74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Unsecured Public Debt</w:t>
            </w: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48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04/30/02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289</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5480" w:type="dxa"/>
            <w:vAlign w:val="bottom"/>
            <w:gridSpan w:val="2"/>
          </w:tcPr>
          <w:p>
            <w:pPr>
              <w:ind w:left="1500"/>
              <w:spacing w:after="0"/>
              <w:rPr>
                <w:sz w:val="20"/>
                <w:szCs w:val="20"/>
                <w:color w:val="auto"/>
              </w:rPr>
            </w:pPr>
            <w:r>
              <w:rPr>
                <w:rFonts w:ascii="Courier New" w:cs="Courier New" w:eastAsia="Courier New" w:hAnsi="Courier New"/>
                <w:sz w:val="15"/>
                <w:szCs w:val="15"/>
                <w:color w:val="auto"/>
              </w:rPr>
              <w:t>5 1/4% Convertible subordinated debentures</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10/28/03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75,000</w:t>
            </w:r>
          </w:p>
        </w:tc>
        <w:tc>
          <w:tcPr>
            <w:tcW w:w="74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ind w:left="1500"/>
              <w:spacing w:after="0"/>
              <w:rPr>
                <w:sz w:val="20"/>
                <w:szCs w:val="20"/>
                <w:color w:val="auto"/>
              </w:rPr>
            </w:pPr>
            <w:r>
              <w:rPr>
                <w:rFonts w:ascii="Courier New" w:cs="Courier New" w:eastAsia="Courier New" w:hAnsi="Courier New"/>
                <w:sz w:val="15"/>
                <w:szCs w:val="15"/>
                <w:color w:val="auto"/>
              </w:rPr>
              <w:t>8% Notes (fixed)</w:t>
            </w:r>
          </w:p>
        </w:tc>
        <w:tc>
          <w:tcPr>
            <w:tcW w:w="144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04/21/02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25,000</w:t>
            </w:r>
          </w:p>
        </w:tc>
        <w:tc>
          <w:tcPr>
            <w:tcW w:w="740" w:type="dxa"/>
            <w:vAlign w:val="bottom"/>
          </w:tcPr>
          <w:p>
            <w:pPr>
              <w:spacing w:after="0"/>
              <w:rPr>
                <w:sz w:val="24"/>
                <w:szCs w:val="2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6.625% Notes (fixed)</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12/01/05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6.625%</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7.48% Debentures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08/15/26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50,000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6.82% Medium Term Notes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08/01/27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6.74% Medium Term Notes</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03/10/04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39,500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6.99% Medium Term Notes</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03/10/06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6.894%</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40,500</w:t>
            </w:r>
          </w:p>
        </w:tc>
        <w:tc>
          <w:tcPr>
            <w:tcW w:w="740" w:type="dxa"/>
            <w:vAlign w:val="bottom"/>
          </w:tcPr>
          <w:p>
            <w:pPr>
              <w:spacing w:after="0"/>
              <w:rPr>
                <w:sz w:val="14"/>
                <w:szCs w:val="14"/>
                <w:color w:val="auto"/>
              </w:rPr>
            </w:pPr>
          </w:p>
        </w:tc>
      </w:tr>
      <w:tr>
        <w:trPr>
          <w:trHeight w:val="168"/>
        </w:trPr>
        <w:tc>
          <w:tcPr>
            <w:tcW w:w="4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8.75% Notes</w:t>
            </w:r>
          </w:p>
        </w:tc>
        <w:tc>
          <w:tcPr>
            <w:tcW w:w="144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12/01/09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8.750%</w:t>
            </w:r>
          </w:p>
        </w:tc>
        <w:tc>
          <w:tcPr>
            <w:tcW w:w="8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175,000</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410,000</w:t>
            </w:r>
          </w:p>
        </w:tc>
        <w:tc>
          <w:tcPr>
            <w:tcW w:w="74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Total fixed rate debt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723,448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69.50%</w:t>
            </w: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Total variable rate debt</w:t>
            </w:r>
          </w:p>
        </w:tc>
        <w:tc>
          <w:tcPr>
            <w:tcW w:w="82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317,521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30.50%</w:t>
            </w: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5"/>
                <w:szCs w:val="15"/>
                <w:color w:val="auto"/>
              </w:rPr>
              <w:t>Total debt</w:t>
            </w:r>
          </w:p>
        </w:tc>
        <w:tc>
          <w:tcPr>
            <w:tcW w:w="1360" w:type="dxa"/>
            <w:vAlign w:val="bottom"/>
          </w:tcPr>
          <w:p>
            <w:pPr>
              <w:spacing w:after="0"/>
              <w:rPr>
                <w:sz w:val="24"/>
                <w:szCs w:val="24"/>
                <w:color w:val="auto"/>
              </w:rPr>
            </w:pPr>
          </w:p>
        </w:tc>
        <w:tc>
          <w:tcPr>
            <w:tcW w:w="21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$ 1,040,969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Weighted average interest rate:</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Fixed rate debt</w:t>
            </w: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7.46%</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Variable on revolving credit facilities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 (d)</w:t>
            </w:r>
          </w:p>
        </w:tc>
        <w:tc>
          <w:tcPr>
            <w:tcW w:w="74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Variable on muncipal bonds</w:t>
            </w:r>
          </w:p>
        </w:tc>
        <w:tc>
          <w:tcPr>
            <w:tcW w:w="8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c>
          <w:tcPr>
            <w:tcW w:w="74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4980"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bonds bear interest at a variable rate determined weekly to be the interest rate which would enable the bonds to be remarketed at 100% of their principal amount.</w:t>
      </w:r>
    </w:p>
    <w:p>
      <w:pPr>
        <w:spacing w:after="0" w:line="5" w:lineRule="exact"/>
        <w:rPr>
          <w:rFonts w:ascii="Courier New" w:cs="Courier New" w:eastAsia="Courier New" w:hAnsi="Courier New"/>
          <w:sz w:val="15"/>
          <w:szCs w:val="15"/>
          <w:color w:val="auto"/>
        </w:rPr>
      </w:pPr>
    </w:p>
    <w:p>
      <w:pPr>
        <w:ind w:left="440" w:right="488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interest rate swaps or hedges on this note, thereby locking in the interest rate at 6.22%.</w:t>
      </w:r>
    </w:p>
    <w:p>
      <w:pPr>
        <w:spacing w:after="0" w:line="5" w:lineRule="exact"/>
        <w:rPr>
          <w:rFonts w:ascii="Courier New" w:cs="Courier New" w:eastAsia="Courier New" w:hAnsi="Courier New"/>
          <w:sz w:val="15"/>
          <w:szCs w:val="15"/>
          <w:color w:val="auto"/>
        </w:rPr>
      </w:pPr>
    </w:p>
    <w:p>
      <w:pPr>
        <w:ind w:left="440" w:right="470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purchased interest rate swaps or hedges on these notes, thereby decreasing the effective interest.</w:t>
      </w:r>
    </w:p>
    <w:p>
      <w:pPr>
        <w:spacing w:after="0" w:line="5" w:lineRule="exact"/>
        <w:rPr>
          <w:rFonts w:ascii="Courier New" w:cs="Courier New" w:eastAsia="Courier New" w:hAnsi="Courier New"/>
          <w:sz w:val="15"/>
          <w:szCs w:val="15"/>
          <w:color w:val="auto"/>
        </w:rPr>
      </w:pPr>
    </w:p>
    <w:p>
      <w:pPr>
        <w:ind w:left="440" w:right="4540"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interest rate on revolving credit facilities and term note for six months ended June 30, 2001.</w:t>
      </w:r>
    </w:p>
    <w:p>
      <w:pPr>
        <w:spacing w:after="0" w:line="33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DEBT MATURITIES</w:t>
      </w:r>
      <w:r>
        <w:rPr>
          <w:sz w:val="20"/>
          <w:szCs w:val="20"/>
          <w:color w:val="auto"/>
        </w:rPr>
        <w:tab/>
      </w:r>
      <w:r>
        <w:rPr>
          <w:rFonts w:ascii="Courier New" w:cs="Courier New" w:eastAsia="Courier New" w:hAnsi="Courier New"/>
          <w:sz w:val="14"/>
          <w:szCs w:val="14"/>
          <w:color w:val="auto"/>
        </w:rPr>
        <w:t>(excluding capital leases and interest rate swaps)</w:t>
      </w:r>
    </w:p>
    <w:p>
      <w:pPr>
        <w:sectPr>
          <w:pgSz w:w="11900" w:h="16838" w:orient="portrait"/>
          <w:cols w:equalWidth="0" w:num="1">
            <w:col w:w="11540"/>
          </w:cols>
          <w:pgMar w:left="220" w:top="617"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Scheduled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Debt</w:t>
      </w:r>
    </w:p>
    <w:p>
      <w:pPr>
        <w:ind w:left="100"/>
        <w:spacing w:after="0" w:line="237" w:lineRule="auto"/>
        <w:rPr>
          <w:sz w:val="20"/>
          <w:szCs w:val="20"/>
          <w:color w:val="auto"/>
        </w:rPr>
      </w:pPr>
      <w:r>
        <w:rPr>
          <w:rFonts w:ascii="Courier New" w:cs="Courier New" w:eastAsia="Courier New" w:hAnsi="Courier New"/>
          <w:sz w:val="15"/>
          <w:szCs w:val="15"/>
          <w:color w:val="auto"/>
        </w:rPr>
        <w:t>Expiring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Debt</w:t>
      </w:r>
    </w:p>
    <w:p>
      <w:pPr>
        <w:ind w:left="80"/>
        <w:spacing w:after="0" w:line="237" w:lineRule="auto"/>
        <w:rPr>
          <w:sz w:val="20"/>
          <w:szCs w:val="20"/>
          <w:color w:val="auto"/>
        </w:rPr>
      </w:pPr>
      <w:r>
        <w:rPr>
          <w:rFonts w:ascii="Courier New" w:cs="Courier New" w:eastAsia="Courier New" w:hAnsi="Courier New"/>
          <w:sz w:val="15"/>
          <w:szCs w:val="15"/>
          <w:color w:val="auto"/>
        </w:rPr>
        <w:t>Expiring</w:t>
      </w:r>
    </w:p>
    <w:p>
      <w:pPr>
        <w:sectPr>
          <w:pgSz w:w="11900" w:h="16838" w:orient="portrait"/>
          <w:cols w:equalWidth="0" w:num="7">
            <w:col w:w="1480" w:space="720"/>
            <w:col w:w="500" w:space="720"/>
            <w:col w:w="1060" w:space="520"/>
            <w:col w:w="860" w:space="620"/>
            <w:col w:w="440" w:space="340"/>
            <w:col w:w="880" w:space="360"/>
            <w:col w:w="3040"/>
          </w:cols>
          <w:pgMar w:left="220" w:top="617" w:right="139" w:bottom="0" w:gutter="0" w:footer="0" w:header="0"/>
          <w:type w:val="continuous"/>
        </w:sectPr>
      </w:pPr>
    </w:p>
    <w:bookmarkStart w:id="5" w:name="page6"/>
    <w:bookmarkEnd w:id="5"/>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141" w:right="1440" w:bottom="1440" w:gutter="0" w:footer="0" w:header="0"/>
        </w:sectPr>
      </w:pP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7,609</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536</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25,289</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25,825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736</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358,500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359,236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2004</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2,692</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60,721</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63,413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2005</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2,936</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42,936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2006</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3,274</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40,500</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43,774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2007</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3,537</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2008</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3,758</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9,541</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13,299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2009</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3,923</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175,045</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178,968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2010</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4,242</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118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4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21,253</w:t>
            </w:r>
          </w:p>
        </w:tc>
        <w:tc>
          <w:tcPr>
            <w:tcW w:w="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276,877</w:t>
            </w:r>
          </w:p>
        </w:tc>
        <w:tc>
          <w:tcPr>
            <w:tcW w:w="3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298,130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180" w:type="dxa"/>
            <w:vAlign w:val="bottom"/>
          </w:tcPr>
          <w:p>
            <w:pPr>
              <w:spacing w:after="0"/>
              <w:rPr>
                <w:sz w:val="14"/>
                <w:szCs w:val="14"/>
                <w:color w:val="auto"/>
              </w:rPr>
            </w:pPr>
          </w:p>
        </w:tc>
        <w:tc>
          <w:tcPr>
            <w:tcW w:w="520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1180" w:type="dxa"/>
            <w:vAlign w:val="bottom"/>
          </w:tcPr>
          <w:p>
            <w:pPr>
              <w:spacing w:after="0"/>
              <w:rPr>
                <w:sz w:val="24"/>
                <w:szCs w:val="24"/>
                <w:color w:val="auto"/>
              </w:rPr>
            </w:pP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$ 47,166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993,803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1,040,969</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c>
          <w:tcPr>
            <w:tcW w:w="780" w:type="dxa"/>
            <w:vAlign w:val="bottom"/>
          </w:tcPr>
          <w:p>
            <w:pPr>
              <w:spacing w:after="0"/>
              <w:rPr>
                <w:sz w:val="24"/>
                <w:szCs w:val="24"/>
                <w:color w:val="auto"/>
              </w:rPr>
            </w:pPr>
          </w:p>
        </w:tc>
      </w:tr>
      <w:tr>
        <w:trPr>
          <w:trHeight w:val="168"/>
        </w:trPr>
        <w:tc>
          <w:tcPr>
            <w:tcW w:w="1180" w:type="dxa"/>
            <w:vAlign w:val="bottom"/>
          </w:tcPr>
          <w:p>
            <w:pPr>
              <w:spacing w:after="0"/>
              <w:rPr>
                <w:sz w:val="14"/>
                <w:szCs w:val="14"/>
                <w:color w:val="auto"/>
              </w:rPr>
            </w:pPr>
          </w:p>
        </w:tc>
        <w:tc>
          <w:tcPr>
            <w:tcW w:w="5200" w:type="dxa"/>
            <w:vAlign w:val="bottom"/>
            <w:gridSpan w:val="7"/>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ectPr>
          <w:pgSz w:w="11900" w:h="16838" w:orient="portrait"/>
          <w:cols w:equalWidth="0" w:num="1">
            <w:col w:w="9019"/>
          </w:cols>
          <w:pgMar w:left="1440" w:top="141"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Percentage Leased Analysis</w:t>
      </w:r>
    </w:p>
    <w:p>
      <w:pPr>
        <w:spacing w:after="0" w:line="238" w:lineRule="auto"/>
        <w:rPr>
          <w:sz w:val="20"/>
          <w:szCs w:val="20"/>
          <w:color w:val="auto"/>
        </w:rPr>
      </w:pPr>
      <w:r>
        <w:rPr>
          <w:rFonts w:ascii="Courier New" w:cs="Courier New" w:eastAsia="Courier New" w:hAnsi="Courier New"/>
          <w:sz w:val="15"/>
          <w:szCs w:val="15"/>
          <w:color w:val="auto"/>
        </w:rPr>
        <w:t>June 30,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Overall Operating Occupancy</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(Quarter to Quarter Analysis)</w:t>
            </w:r>
          </w:p>
        </w:tc>
        <w:tc>
          <w:tcPr>
            <w:tcW w:w="11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At June 30, 2001</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At June 30, 2000</w:t>
            </w:r>
          </w:p>
        </w:tc>
        <w:tc>
          <w:tcPr>
            <w:tcW w:w="7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1040" w:type="dxa"/>
            <w:vAlign w:val="bottom"/>
          </w:tcPr>
          <w:p>
            <w:pPr>
              <w:spacing w:after="0"/>
              <w:rPr>
                <w:sz w:val="14"/>
                <w:szCs w:val="14"/>
                <w:color w:val="auto"/>
              </w:rPr>
            </w:pPr>
          </w:p>
        </w:tc>
        <w:tc>
          <w:tcPr>
            <w:tcW w:w="35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14,401,918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13,763,220</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14,179,596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13,619,718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w:t>
            </w:r>
          </w:p>
        </w:tc>
        <w:tc>
          <w:tcPr>
            <w:tcW w:w="1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w:t>
            </w:r>
          </w:p>
        </w:tc>
      </w:tr>
      <w:tr>
        <w:trPr>
          <w:trHeight w:val="841"/>
        </w:trPr>
        <w:tc>
          <w:tcPr>
            <w:tcW w:w="36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Overall Operating Occupancy</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(Rolling 12 Months)</w:t>
            </w:r>
          </w:p>
        </w:tc>
        <w:tc>
          <w:tcPr>
            <w:tcW w:w="11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At June 30, 2001</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At March 31, 2001</w:t>
            </w:r>
          </w:p>
        </w:tc>
      </w:tr>
      <w:tr>
        <w:trPr>
          <w:trHeight w:val="168"/>
        </w:trPr>
        <w:tc>
          <w:tcPr>
            <w:tcW w:w="3680" w:type="dxa"/>
            <w:vAlign w:val="bottom"/>
          </w:tcPr>
          <w:p>
            <w:pPr>
              <w:spacing w:after="0"/>
              <w:rPr>
                <w:sz w:val="14"/>
                <w:szCs w:val="14"/>
                <w:color w:val="auto"/>
              </w:rPr>
            </w:pPr>
          </w:p>
        </w:tc>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1040" w:type="dxa"/>
            <w:vAlign w:val="bottom"/>
          </w:tcPr>
          <w:p>
            <w:pPr>
              <w:spacing w:after="0"/>
              <w:rPr>
                <w:sz w:val="14"/>
                <w:szCs w:val="14"/>
                <w:color w:val="auto"/>
              </w:rPr>
            </w:pPr>
          </w:p>
        </w:tc>
        <w:tc>
          <w:tcPr>
            <w:tcW w:w="35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14,401,918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13,763,220</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14,609,901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13,938,466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w:t>
            </w:r>
          </w:p>
        </w:tc>
        <w:tc>
          <w:tcPr>
            <w:tcW w:w="1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r>
      <w:tr>
        <w:trPr>
          <w:trHeight w:val="505"/>
        </w:trPr>
        <w:tc>
          <w:tcPr>
            <w:tcW w:w="36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Overall Operating Occupancy</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(Rolling 12 Months)</w:t>
            </w:r>
          </w:p>
        </w:tc>
        <w:tc>
          <w:tcPr>
            <w:tcW w:w="114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At December 31,</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3500" w:type="dxa"/>
            <w:vAlign w:val="bottom"/>
            <w:gridSpan w:val="3"/>
          </w:tcPr>
          <w:p>
            <w:pPr>
              <w:ind w:left="1060"/>
              <w:spacing w:after="0" w:line="168" w:lineRule="exact"/>
              <w:rPr>
                <w:sz w:val="20"/>
                <w:szCs w:val="20"/>
                <w:color w:val="auto"/>
              </w:rPr>
            </w:pPr>
            <w:r>
              <w:rPr>
                <w:rFonts w:ascii="Courier New" w:cs="Courier New" w:eastAsia="Courier New" w:hAnsi="Courier New"/>
                <w:sz w:val="15"/>
                <w:szCs w:val="15"/>
                <w:color w:val="auto"/>
              </w:rPr>
              <w:t>At September 30, 2000</w:t>
            </w:r>
          </w:p>
        </w:tc>
      </w:tr>
      <w:tr>
        <w:trPr>
          <w:trHeight w:val="168"/>
        </w:trPr>
        <w:tc>
          <w:tcPr>
            <w:tcW w:w="3680" w:type="dxa"/>
            <w:vAlign w:val="bottom"/>
          </w:tcPr>
          <w:p>
            <w:pPr>
              <w:spacing w:after="0"/>
              <w:rPr>
                <w:sz w:val="14"/>
                <w:szCs w:val="14"/>
                <w:color w:val="auto"/>
              </w:rPr>
            </w:pPr>
          </w:p>
        </w:tc>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w:t>
            </w:r>
          </w:p>
        </w:tc>
        <w:tc>
          <w:tcPr>
            <w:tcW w:w="1040" w:type="dxa"/>
            <w:vAlign w:val="bottom"/>
          </w:tcPr>
          <w:p>
            <w:pPr>
              <w:spacing w:after="0"/>
              <w:rPr>
                <w:sz w:val="14"/>
                <w:szCs w:val="14"/>
                <w:color w:val="auto"/>
              </w:rPr>
            </w:pPr>
          </w:p>
        </w:tc>
        <w:tc>
          <w:tcPr>
            <w:tcW w:w="35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14,101,425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13,504,384</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13,929,402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13,397,528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Same Center Occupancy</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(Quarter to Quarter Comparison)</w:t>
            </w:r>
          </w:p>
        </w:tc>
        <w:tc>
          <w:tcPr>
            <w:tcW w:w="11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At June 30, 2001</w:t>
            </w: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At June 30, 2000</w:t>
            </w:r>
          </w:p>
        </w:tc>
        <w:tc>
          <w:tcPr>
            <w:tcW w:w="7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spacing w:after="0"/>
              <w:rPr>
                <w:sz w:val="14"/>
                <w:szCs w:val="14"/>
                <w:color w:val="auto"/>
              </w:rPr>
            </w:pPr>
          </w:p>
        </w:tc>
        <w:tc>
          <w:tcPr>
            <w:tcW w:w="3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13,676,328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13,072,483</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13,632,714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13,093,817</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w:t>
            </w:r>
          </w:p>
        </w:tc>
      </w:tr>
      <w:tr>
        <w:trPr>
          <w:trHeight w:val="841"/>
        </w:trPr>
        <w:tc>
          <w:tcPr>
            <w:tcW w:w="3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Same Center Occupancy</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(Rolling 12 Months)</w:t>
            </w:r>
          </w:p>
        </w:tc>
        <w:tc>
          <w:tcPr>
            <w:tcW w:w="11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At June 30, 2001</w:t>
            </w: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At March 31, 2001</w:t>
            </w:r>
          </w:p>
        </w:tc>
      </w:tr>
      <w:tr>
        <w:trPr>
          <w:trHeight w:val="168"/>
        </w:trPr>
        <w:tc>
          <w:tcPr>
            <w:tcW w:w="368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spacing w:after="0"/>
              <w:rPr>
                <w:sz w:val="14"/>
                <w:szCs w:val="14"/>
                <w:color w:val="auto"/>
              </w:rPr>
            </w:pPr>
          </w:p>
        </w:tc>
        <w:tc>
          <w:tcPr>
            <w:tcW w:w="3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13,676,328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13,072,483</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13,997,565</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13,392,116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r>
      <w:tr>
        <w:trPr>
          <w:trHeight w:val="505"/>
        </w:trPr>
        <w:tc>
          <w:tcPr>
            <w:tcW w:w="3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Same Center Occupancy</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(Rolling 12 Months)</w:t>
            </w:r>
          </w:p>
        </w:tc>
        <w:tc>
          <w:tcPr>
            <w:tcW w:w="3540" w:type="dxa"/>
            <w:vAlign w:val="bottom"/>
            <w:gridSpan w:val="3"/>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At December 31, 2000</w:t>
            </w:r>
          </w:p>
        </w:tc>
        <w:tc>
          <w:tcPr>
            <w:tcW w:w="35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At September 30, 2000</w:t>
            </w:r>
          </w:p>
        </w:tc>
      </w:tr>
      <w:tr>
        <w:trPr>
          <w:trHeight w:val="168"/>
        </w:trPr>
        <w:tc>
          <w:tcPr>
            <w:tcW w:w="368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spacing w:after="0"/>
              <w:rPr>
                <w:sz w:val="14"/>
                <w:szCs w:val="14"/>
                <w:color w:val="auto"/>
              </w:rPr>
            </w:pPr>
          </w:p>
        </w:tc>
        <w:tc>
          <w:tcPr>
            <w:tcW w:w="3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Type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Size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Leased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Occupancy</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Size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Leased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Occupancy</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Retail Properties (leasable square feet)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13,748,913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13,188,363</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13,563,527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13,038,704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Apartments (# of units)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760"/>
          </w:cols>
          <w:pgMar w:left="220" w:top="617" w:right="9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Occupancy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2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Square</w:t>
            </w:r>
          </w:p>
        </w:tc>
        <w:tc>
          <w:tcPr>
            <w:tcW w:w="16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Occupancy</w:t>
            </w:r>
          </w:p>
        </w:tc>
      </w:tr>
      <w:tr>
        <w:trPr>
          <w:trHeight w:val="168"/>
        </w:trPr>
        <w:tc>
          <w:tcPr>
            <w:tcW w:w="2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Region</w:t>
            </w: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Footage</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06/30/01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7,495,175</w:t>
            </w:r>
          </w:p>
        </w:tc>
        <w:tc>
          <w:tcPr>
            <w:tcW w:w="16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95%</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5,811,605</w:t>
            </w:r>
          </w:p>
        </w:tc>
        <w:tc>
          <w:tcPr>
            <w:tcW w:w="16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96%</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1,095,138</w:t>
            </w:r>
          </w:p>
        </w:tc>
        <w:tc>
          <w:tcPr>
            <w:tcW w:w="16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Square</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Occupancy</w:t>
            </w:r>
          </w:p>
        </w:tc>
      </w:tr>
      <w:tr>
        <w:trPr>
          <w:trHeight w:val="168"/>
        </w:trPr>
        <w:tc>
          <w:tcPr>
            <w:tcW w:w="21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Region</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Footage</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06/30/01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4,642,552</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2,852,623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90%</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2,606,015</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3,205,590</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94%</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West</w:t>
            </w:r>
          </w:p>
        </w:tc>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Anchor</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351,352</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Small Shops</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743,786</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94%</w:t>
            </w:r>
          </w:p>
        </w:tc>
      </w:tr>
    </w:tbl>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Retail Leasing Activity</w:t>
      </w:r>
    </w:p>
    <w:p>
      <w:pPr>
        <w:spacing w:after="0" w:line="238" w:lineRule="auto"/>
        <w:rPr>
          <w:sz w:val="20"/>
          <w:szCs w:val="20"/>
          <w:color w:val="auto"/>
        </w:rPr>
      </w:pPr>
      <w:r>
        <w:rPr>
          <w:rFonts w:ascii="Courier New" w:cs="Courier New" w:eastAsia="Courier New" w:hAnsi="Courier New"/>
          <w:sz w:val="15"/>
          <w:szCs w:val="15"/>
          <w:color w:val="auto"/>
        </w:rPr>
        <w:t>June 30,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Percentage</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Estimated</w:t>
            </w:r>
          </w:p>
        </w:tc>
      </w:tr>
      <w:tr>
        <w:trPr>
          <w:trHeight w:val="168"/>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w:t>
            </w:r>
          </w:p>
        </w:tc>
        <w:tc>
          <w:tcPr>
            <w:tcW w:w="2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Average Prior  Average Current</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w:t>
            </w:r>
          </w:p>
        </w:tc>
        <w:tc>
          <w:tcPr>
            <w:tcW w:w="14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Tenant</w:t>
            </w:r>
          </w:p>
        </w:tc>
      </w:tr>
      <w:tr>
        <w:trPr>
          <w:trHeight w:val="168"/>
        </w:trPr>
        <w:tc>
          <w:tcPr>
            <w:tcW w:w="1800" w:type="dxa"/>
            <w:vAlign w:val="bottom"/>
          </w:tcPr>
          <w:p>
            <w:pPr>
              <w:spacing w:after="0"/>
              <w:rPr>
                <w:sz w:val="14"/>
                <w:szCs w:val="14"/>
                <w:color w:val="auto"/>
              </w:rPr>
            </w:pPr>
          </w:p>
        </w:tc>
        <w:tc>
          <w:tcPr>
            <w:tcW w:w="13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7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Square</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Average Lease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Rent Per</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Rent Per</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Annualized</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over Prior</w:t>
            </w:r>
          </w:p>
        </w:tc>
        <w:tc>
          <w:tcPr>
            <w:tcW w:w="10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2"/>
              </w:rPr>
              <w:t>Improvement</w:t>
            </w:r>
          </w:p>
        </w:tc>
      </w:tr>
      <w:tr>
        <w:trPr>
          <w:trHeight w:val="168"/>
        </w:trPr>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Leases Signed</w:t>
            </w:r>
          </w:p>
        </w:tc>
        <w:tc>
          <w:tcPr>
            <w:tcW w:w="7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Feet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Term (Years)</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Foot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 Foot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Increase in Rent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Rent</w:t>
            </w:r>
          </w:p>
        </w:tc>
        <w:tc>
          <w:tcPr>
            <w:tcW w:w="14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Costs</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0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4"/>
              </w:rPr>
              <w:t>--------- ------------</w:t>
            </w:r>
          </w:p>
        </w:tc>
      </w:tr>
      <w:tr>
        <w:trPr>
          <w:trHeight w:val="336"/>
        </w:trPr>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2nd Quarter 2001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65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206,158</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$24.78</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$1,014,599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1,697,000</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1st Quarter 2001</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233,106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554,492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614,000</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4th Quarter 2000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197,642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430,649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313,000</w:t>
            </w: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3rd Quarter 2000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282,354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687,804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1,407,000</w:t>
            </w:r>
          </w:p>
        </w:tc>
      </w:tr>
      <w:tr>
        <w:trPr>
          <w:trHeight w:val="168"/>
        </w:trPr>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919,260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$19.87</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$2,687,544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4,031,000</w:t>
            </w:r>
          </w:p>
        </w:tc>
      </w:tr>
      <w:tr>
        <w:trPr>
          <w:trHeight w:val="6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Non-Comparable</w:t>
            </w: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Estimated</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Annualized</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Tenant</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7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Square</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Average Lease</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Rent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Current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Improvement</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Rolling 12 Months</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Leases Signed</w:t>
            </w:r>
          </w:p>
        </w:tc>
        <w:tc>
          <w:tcPr>
            <w:tcW w:w="7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Feet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Term (Years)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Square Foot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Rent</w:t>
            </w: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Costs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2nd Quarter 2001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135,596</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12.3</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$ 2,335,496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1st Quarter 2001</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16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299,677</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$ 4,479,734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735,000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4th Quarter 2000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101,245</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$ 3,221,510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3rd Quarter 2000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26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138,794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$ 4,170,745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8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675,312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$14,207,485</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$1,299,000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1540"/>
          </w:cols>
          <w:pgMar w:left="220" w:top="617"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Development Pipeline</w:t>
      </w:r>
    </w:p>
    <w:p>
      <w:pPr>
        <w:spacing w:after="0" w:line="238" w:lineRule="auto"/>
        <w:rPr>
          <w:sz w:val="20"/>
          <w:szCs w:val="20"/>
          <w:color w:val="auto"/>
        </w:rPr>
      </w:pPr>
      <w:r>
        <w:rPr>
          <w:rFonts w:ascii="Courier New" w:cs="Courier New" w:eastAsia="Courier New" w:hAnsi="Courier New"/>
          <w:sz w:val="15"/>
          <w:szCs w:val="15"/>
          <w:color w:val="auto"/>
        </w:rPr>
        <w:t>June 30, 2001</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Expected</w:t>
            </w:r>
          </w:p>
        </w:tc>
        <w:tc>
          <w:tcPr>
            <w:tcW w:w="9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Cost</w:t>
            </w:r>
          </w:p>
        </w:tc>
        <w:tc>
          <w:tcPr>
            <w:tcW w:w="2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Estimate To Complete</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Completed</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Stabilized</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Principal</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w:t>
            </w:r>
          </w:p>
        </w:tc>
        <w:tc>
          <w:tcPr>
            <w:tcW w:w="22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Specifications</w:t>
            </w:r>
          </w:p>
        </w:tc>
        <w:tc>
          <w:tcPr>
            <w:tcW w:w="1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 Date</w:t>
            </w:r>
          </w:p>
        </w:tc>
        <w:tc>
          <w:tcPr>
            <w:tcW w:w="2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   Thereafter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Cost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Return</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Tenants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  i n</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 i l l i o n s )</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DEVELOPMENT IN PROGRESS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Bethesda Row - Woodmont East</w:t>
            </w:r>
          </w:p>
        </w:tc>
        <w:tc>
          <w:tcPr>
            <w:tcW w:w="18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52,000 sf retail</w:t>
            </w: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$ 32</w:t>
            </w:r>
          </w:p>
        </w:tc>
        <w:tc>
          <w:tcPr>
            <w:tcW w:w="38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Jaleo</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Bethesda, Maryland</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78,000 sf office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Restaurant</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OpNet</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Technologies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Pentagon Row</w:t>
            </w:r>
          </w:p>
        </w:tc>
        <w:tc>
          <w:tcPr>
            <w:tcW w:w="18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300,000 sf retail</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 (2)</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w w:val="92"/>
              </w:rPr>
              <w:t>Bed, Bath &amp;</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Arlington, Virginia</w:t>
            </w: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apartment units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Beyond</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Harris</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Teeter</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Santana Row (Phase I)</w:t>
            </w:r>
          </w:p>
        </w:tc>
        <w:tc>
          <w:tcPr>
            <w:tcW w:w="18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538,000 sf retail</w:t>
            </w: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w:t>
            </w:r>
          </w:p>
        </w:tc>
        <w:tc>
          <w:tcPr>
            <w:tcW w:w="17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$194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$475</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8.5% - 9% (3)</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Borders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Jose, California</w:t>
            </w: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501</w:t>
            </w:r>
          </w:p>
        </w:tc>
        <w:tc>
          <w:tcPr>
            <w:tcW w:w="1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residential units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Books</w:t>
            </w:r>
          </w:p>
        </w:tc>
      </w:tr>
      <w:tr>
        <w:trPr>
          <w:trHeight w:val="168"/>
        </w:trPr>
        <w:tc>
          <w:tcPr>
            <w:tcW w:w="258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214</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hotel rooms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Crate &amp;</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Barrel</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Gucci</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w:t>
            </w: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$594</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Hotel</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FOR DEVELOPMENT</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Valencia</w:t>
            </w: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Tommy</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Shops at Tanasbourne</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400,000 sf retail</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Bahama</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Portland, Oregon</w:t>
            </w: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12,000 sf office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PREDEVELOPMENT</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Lindbergh City Center</w:t>
            </w:r>
          </w:p>
        </w:tc>
        <w:tc>
          <w:tcPr>
            <w:tcW w:w="18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300,000 sf retail</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Atlanta, Georgia</w:t>
            </w: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320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apartments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120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hotel rooms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290</w:t>
            </w:r>
          </w:p>
        </w:tc>
        <w:tc>
          <w:tcPr>
            <w:tcW w:w="13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condominiums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1.3</w:t>
            </w:r>
          </w:p>
        </w:tc>
        <w:tc>
          <w:tcPr>
            <w:tcW w:w="1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million sf office</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380" w:type="dxa"/>
            <w:vAlign w:val="bottom"/>
            <w:gridSpan w:val="3"/>
          </w:tcPr>
          <w:p>
            <w:pPr>
              <w:ind w:left="1580"/>
              <w:spacing w:after="0" w:line="168" w:lineRule="exact"/>
              <w:rPr>
                <w:sz w:val="20"/>
                <w:szCs w:val="20"/>
                <w:color w:val="auto"/>
              </w:rPr>
            </w:pPr>
            <w:r>
              <w:rPr>
                <w:rFonts w:ascii="Courier New" w:cs="Courier New" w:eastAsia="Courier New" w:hAnsi="Courier New"/>
                <w:sz w:val="15"/>
                <w:szCs w:val="15"/>
                <w:color w:val="auto"/>
              </w:rPr>
              <w:t>Total In Progress and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80" w:type="dxa"/>
            <w:vAlign w:val="bottom"/>
            <w:gridSpan w:val="3"/>
          </w:tcPr>
          <w:p>
            <w:pPr>
              <w:ind w:left="1580"/>
              <w:spacing w:after="0" w:line="168" w:lineRule="exact"/>
              <w:rPr>
                <w:sz w:val="20"/>
                <w:szCs w:val="20"/>
                <w:color w:val="auto"/>
              </w:rPr>
            </w:pPr>
            <w:r>
              <w:rPr>
                <w:rFonts w:ascii="Courier New" w:cs="Courier New" w:eastAsia="Courier New" w:hAnsi="Courier New"/>
                <w:sz w:val="15"/>
                <w:szCs w:val="15"/>
                <w:color w:val="auto"/>
              </w:rPr>
              <w:t>Future Development</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Realty will develop only the retail component of this project.</w:t>
      </w:r>
    </w:p>
    <w:p>
      <w:pPr>
        <w:spacing w:after="0" w:line="172" w:lineRule="exact"/>
        <w:rPr>
          <w:rFonts w:ascii="Courier New" w:cs="Courier New" w:eastAsia="Courier New" w:hAnsi="Courier New"/>
          <w:sz w:val="15"/>
          <w:szCs w:val="15"/>
          <w:color w:val="auto"/>
        </w:rPr>
      </w:pPr>
    </w:p>
    <w:p>
      <w:pPr>
        <w:ind w:left="440" w:right="4700" w:hanging="430"/>
        <w:spacing w:after="0" w:line="256"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total project cost before any recovery in litigation of damages incurred as a result of defaults under the original construction contract and replacement of the General Contractor. Every $1 million in recovered funds improves the stabilized return by 10 basis points.</w:t>
      </w:r>
    </w:p>
    <w:p>
      <w:pPr>
        <w:spacing w:after="0" w:line="164" w:lineRule="exact"/>
        <w:rPr>
          <w:rFonts w:ascii="Courier New" w:cs="Courier New" w:eastAsia="Courier New" w:hAnsi="Courier New"/>
          <w:sz w:val="14"/>
          <w:szCs w:val="14"/>
          <w:color w:val="auto"/>
        </w:rPr>
      </w:pPr>
    </w:p>
    <w:p>
      <w:pPr>
        <w:ind w:left="440" w:right="5400" w:hanging="430"/>
        <w:spacing w:after="0" w:line="26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all buildings in Phase I are open and operating and that residential rents of $3.07 per foot per month have been attained.</w:t>
      </w:r>
    </w:p>
    <w:p>
      <w:pPr>
        <w:sectPr>
          <w:pgSz w:w="11900" w:h="16838" w:orient="portrait"/>
          <w:cols w:equalWidth="0" w:num="1">
            <w:col w:w="11540"/>
          </w:cols>
          <w:pgMar w:left="220" w:top="617" w:right="139" w:bottom="1440" w:gutter="0" w:footer="0" w:header="0"/>
        </w:sectPr>
      </w:pPr>
    </w:p>
    <w:bookmarkStart w:id="10" w:name="page11"/>
    <w:bookmarkEnd w:id="10"/>
    <w:p>
      <w:pPr>
        <w:spacing w:after="0" w:line="6" w:lineRule="exact"/>
        <w:rPr>
          <w:sz w:val="20"/>
          <w:szCs w:val="20"/>
          <w:color w:val="auto"/>
        </w:rPr>
      </w:pPr>
    </w:p>
    <w:p>
      <w:pPr>
        <w:ind w:right="600"/>
        <w:spacing w:after="0" w:line="261" w:lineRule="auto"/>
        <w:rPr>
          <w:sz w:val="20"/>
          <w:szCs w:val="20"/>
          <w:color w:val="auto"/>
        </w:rPr>
      </w:pPr>
      <w:r>
        <w:rPr>
          <w:rFonts w:ascii="Courier New" w:cs="Courier New" w:eastAsia="Courier New" w:hAnsi="Courier New"/>
          <w:sz w:val="14"/>
          <w:szCs w:val="14"/>
          <w:color w:val="auto"/>
        </w:rPr>
        <w:t>FOR IMMEDIATE RELEASE July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Contact:</w:t>
      </w:r>
    </w:p>
    <w:p>
      <w:pPr>
        <w:spacing w:after="0" w:line="237" w:lineRule="auto"/>
        <w:rPr>
          <w:sz w:val="20"/>
          <w:szCs w:val="20"/>
          <w:color w:val="auto"/>
        </w:rPr>
      </w:pPr>
      <w:r>
        <w:rPr>
          <w:rFonts w:ascii="Courier New" w:cs="Courier New" w:eastAsia="Courier New" w:hAnsi="Courier New"/>
          <w:sz w:val="15"/>
          <w:szCs w:val="15"/>
          <w:color w:val="auto"/>
        </w:rPr>
        <w:t>Andrew Blocher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Finance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 998-8166</w:t>
      </w:r>
    </w:p>
    <w:p>
      <w:pPr>
        <w:spacing w:after="0" w:line="166" w:lineRule="exact"/>
        <w:rPr>
          <w:sz w:val="20"/>
          <w:szCs w:val="20"/>
          <w:color w:val="auto"/>
        </w:rPr>
      </w:pPr>
    </w:p>
    <w:p>
      <w:pPr>
        <w:sectPr>
          <w:pgSz w:w="11900" w:h="16838" w:orient="portrait"/>
          <w:cols w:equalWidth="0" w:num="2">
            <w:col w:w="2440" w:space="720"/>
            <w:col w:w="7079"/>
          </w:cols>
          <w:pgMar w:left="220" w:top="617" w:right="1440" w:bottom="1440" w:gutter="0" w:footer="0" w:header="0"/>
        </w:sectPr>
      </w:pPr>
    </w:p>
    <w:p>
      <w:pPr>
        <w:jc w:val="center"/>
        <w:ind w:right="3319"/>
        <w:spacing w:after="0"/>
        <w:rPr>
          <w:sz w:val="20"/>
          <w:szCs w:val="20"/>
          <w:color w:val="auto"/>
        </w:rPr>
      </w:pPr>
      <w:r>
        <w:rPr>
          <w:rFonts w:ascii="Courier New" w:cs="Courier New" w:eastAsia="Courier New" w:hAnsi="Courier New"/>
          <w:sz w:val="15"/>
          <w:szCs w:val="15"/>
          <w:color w:val="auto"/>
        </w:rPr>
        <w:t>FEDERAL REALTY INVESTMENT TRUST ANNOUNCES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SECOND QUARTER 2001 OPERATING RESULTS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ROCKVILLE, MD (July 30, 2001) - Federal Realty Investment Trust (NYSE:FRT)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today reported operating results for its second quarter ended June 30, 2001.</w:t>
      </w:r>
    </w:p>
    <w:p>
      <w:pPr>
        <w:spacing w:after="0" w:line="166" w:lineRule="exact"/>
        <w:rPr>
          <w:sz w:val="20"/>
          <w:szCs w:val="20"/>
          <w:color w:val="auto"/>
        </w:rPr>
      </w:pPr>
    </w:p>
    <w:p>
      <w:pPr>
        <w:ind w:left="360" w:hanging="263"/>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from operations (FFO) increased 6.3% to $0.68 per diluted share</w:t>
      </w:r>
    </w:p>
    <w:p>
      <w:pPr>
        <w:ind w:left="360" w:hanging="263"/>
        <w:spacing w:after="0" w:line="23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 increased 7.3% on a same-center basis</w:t>
      </w:r>
    </w:p>
    <w:p>
      <w:pPr>
        <w:ind w:left="360" w:hanging="263"/>
        <w:spacing w:after="0" w:line="23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progress at both Pentagon Row and Santana Row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Funds from operations for the quarter ended June 30, 2001 increased 6.7 % to $27.3 million from $25.5 million for the second quarter of 2000. On a per diluted share basis, funds from operations increased 6.3% from $0.64 in 2000 to $0.68 in 2001, beating First Call consensus expectations by $0.02. Net operating income, which includes interest income from mortgage notes receivable, was $51.4 million, a 5.1% increase from the $48.9 million reported for the second quarter of 2000.</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Steven J. Guttman, chairman and chief executive officer of Federal Realty Investment Trust stated, "Active management of our core operating assets, from both our shopping center and street retail business lines, continues to drive strong operating performance, despite softness in the national economy. We're proud of our ability to generate above average growth from these well-positioned properties."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SECOND QUARTER 2001 OPERATING RESULTS</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Portfolio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Rental income increased from $64.3 million in 2000 to $68.5 million in 2001, a 6.5% increase. On a same-center basis, which ignores the impact of properties acquired, developed or sold during the analyzed periods, rental income increased 7.3% from $62.2 million to $66.8 million. The strong growth of same-center rental income was the leading factor driving improvements in both net operating income and funds from operations.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second quarter, the Trust signed leases for over 370,000 square feet of retail and office space. On a comparable space basis, the Trust re-leased 229,607 square feet at an average increase in rent per square foot of 24%. The weighted-average new rent on these same space leases was $24.06 per square foot compared to the previous average rent of $19.33 per square foot, reflecting strong lease rollovers for both shopping center and street retail properties. At June 30, 2001, overall occupancy remained strong at 95.6%, versus 96.1% reported for June 30, 2000.</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Donald C. Wood, president and chief operating officer of the Trust stated, "Based on our outlook for the balance of the year, our expectations for 2001 performance are now somewhat above current consensus estimates. Specifically, we would anticipate 2001 funds from operations of between $2.69 and $2.70 per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Activities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Pentagon Row, in Arlington, Virginia, the two retail tenants comprising Building A opened for business during the second quarter; Harris Teeter grocery store on June 13, 2001 and Bed, Bath and Beyond on April 6, 2001. The Trust continues to anticipate the openings of Buildings B and C in the third quarter and Building D in the fourth quarter. On an aggregate basis, Pentagon Row is currently over 92% leased.</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SECOND QUARTER 2001 OPERATING RESULTS</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At Santana Row, Federal Realty's mixed-use community in San Jose, California, construction continues on schedule and on budget, with the $475 million first phase expected to begin opening in August 2002. Based on anticipated construction and leasing progress, the Trust expects to begin drawing on the Santana Row construction loan before the end of the third quarter. To date, Federal Realty has executed leases and signed letters of intent comprising over 250,000 square feet of retail space in addition to the lease with the Valencia Group for the boutique hotel at the center of Santana Row.</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Conference Call</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Federal Realty's second quarter earnings conference call is scheduled for 1:30 PM ET, Tuesday July 31, 2001. To participate, please call (800) 967-7140 five to ten minutes prior to the start time. Federal Realty will also provide an online Web Simulcast on the company's web site, www.federalrealty.com. For</w:t>
      </w:r>
    </w:p>
    <w:p>
      <w:pPr>
        <w:ind w:left="42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those interested parties who are unable to participate in the conference call, a re-broadcast will be available online at www.federalrealty.com beginning on</w:t>
      </w:r>
    </w:p>
    <w:p>
      <w:pPr>
        <w:ind w:left="36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August 1, 2001. A telephone recording of the call can also be heard by dialing (888) 203-1112. The passcode for this replay is 481223.</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Federal Realty Investment Trust is an equity real estate investment trust specializing in the ownership, management, development and re-development of high quality retail and mixed-use properties. The Trust owns or has an interest in 152 real estate assets consisting of community and neighborhood shopping centers and retail and urban mixed-use properties located in strategic metropolitan markets across the United States. The Trust is nationally recognized for its main street revitalization programs as well as the development of urban mixed-use, pedestrian-friendly communities. Federal Realty has paid quarterly dividends to its shareholders continuously since its founding in 1962, and has increased its dividend rate for 33 consecutive years. Shares of Federal Realty are traded on the New York Stock Exchange under the symbol FRT. Additional information about Federal Realty can be found on the Internet at www.federalrealty.com.</w:t>
      </w:r>
    </w:p>
    <w:p>
      <w:pPr>
        <w:ind w:left="2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FEDERAL REALTY INVESTMENT TRUST ANNOUNCES</w:t>
      </w:r>
    </w:p>
    <w:p>
      <w:pPr>
        <w:spacing w:after="0" w:line="237" w:lineRule="auto"/>
        <w:rPr>
          <w:sz w:val="20"/>
          <w:szCs w:val="20"/>
          <w:color w:val="auto"/>
        </w:rPr>
      </w:pPr>
      <w:r>
        <w:rPr>
          <w:rFonts w:ascii="Courier New" w:cs="Courier New" w:eastAsia="Courier New" w:hAnsi="Courier New"/>
          <w:sz w:val="15"/>
          <w:szCs w:val="15"/>
          <w:color w:val="auto"/>
        </w:rPr>
        <w:t>SECOND QUARTER 2001 OPERATING RESULTS</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Language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14" w:name="page15"/>
    <w:bookmarkEnd w:id="14"/>
    <w:p>
      <w:pPr>
        <w:ind w:left="2540"/>
        <w:spacing w:after="0"/>
        <w:rPr>
          <w:sz w:val="20"/>
          <w:szCs w:val="20"/>
          <w:color w:val="auto"/>
        </w:rPr>
      </w:pPr>
      <w:r>
        <w:rPr>
          <w:rFonts w:ascii="Courier New" w:cs="Courier New" w:eastAsia="Courier New" w:hAnsi="Courier New"/>
          <w:sz w:val="15"/>
          <w:szCs w:val="15"/>
          <w:color w:val="auto"/>
        </w:rPr>
        <w:t>Financial Highlights</w:t>
      </w:r>
    </w:p>
    <w:p>
      <w:pPr>
        <w:ind w:left="18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206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6"/>
              </w:rPr>
              <w:t>Three Months Ended</w:t>
            </w:r>
          </w:p>
        </w:tc>
        <w:tc>
          <w:tcPr>
            <w:tcW w:w="300" w:type="dxa"/>
            <w:vAlign w:val="bottom"/>
          </w:tcPr>
          <w:p>
            <w:pPr>
              <w:spacing w:after="0"/>
              <w:rPr>
                <w:sz w:val="14"/>
                <w:szCs w:val="14"/>
                <w:color w:val="auto"/>
              </w:rPr>
            </w:pPr>
          </w:p>
        </w:tc>
        <w:tc>
          <w:tcPr>
            <w:tcW w:w="2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tcPr>
          <w:p>
            <w:pPr>
              <w:ind w:left="360"/>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Rental income</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$68,458</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$64,251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135,594</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128,483</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3,200</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5,910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5,465</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1,740</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1,855</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3,597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3,962</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73,398</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68,806</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145,101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137,910</w:t>
            </w:r>
          </w:p>
        </w:tc>
      </w:tr>
      <w:tr>
        <w:trPr>
          <w:trHeight w:val="168"/>
        </w:trPr>
        <w:tc>
          <w:tcPr>
            <w:tcW w:w="6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Rental</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15,177</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13,422</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30,222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28,042</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6,859</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6,522</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13,479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12,979</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17,530</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17,036</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34,680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33,529</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3,322</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6,455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5,790</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14,813</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13,338</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28,957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25,993</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57,701</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53,186</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113,793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106,333</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740" w:type="dxa"/>
            <w:vAlign w:val="bottom"/>
          </w:tcPr>
          <w:p>
            <w:pPr>
              <w:ind w:left="620"/>
              <w:spacing w:after="0"/>
              <w:rPr>
                <w:sz w:val="20"/>
                <w:szCs w:val="20"/>
                <w:color w:val="auto"/>
              </w:rPr>
            </w:pPr>
            <w:r>
              <w:rPr>
                <w:rFonts w:ascii="Courier New" w:cs="Courier New" w:eastAsia="Courier New" w:hAnsi="Courier New"/>
                <w:sz w:val="15"/>
                <w:szCs w:val="15"/>
                <w:color w:val="auto"/>
              </w:rPr>
              <w:t>Operating income before investors' share of operations</w:t>
            </w:r>
          </w:p>
        </w:tc>
        <w:tc>
          <w:tcPr>
            <w:tcW w:w="1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15,697</w:t>
            </w:r>
          </w:p>
        </w:tc>
        <w:tc>
          <w:tcPr>
            <w:tcW w:w="18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15,620</w:t>
            </w:r>
          </w:p>
        </w:tc>
        <w:tc>
          <w:tcPr>
            <w:tcW w:w="30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31,308</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31,577</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Investor's share of operations</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(1,428)</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(1,227)</w:t>
            </w:r>
          </w:p>
        </w:tc>
        <w:tc>
          <w:tcPr>
            <w:tcW w:w="3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(2,806)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(3,045)</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14,269</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14,393</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28,502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28,532</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7,898</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3,681</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7,898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22,167</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18,074</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36,400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32,213</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Dividends on preferred stock</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(1,987)</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(1,987)</w:t>
            </w:r>
          </w:p>
        </w:tc>
        <w:tc>
          <w:tcPr>
            <w:tcW w:w="3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(3,975)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available for common shareholders</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$20,180</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$16,087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32,425</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28,238</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per common share, basic</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0.83</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per common share, diluted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0.83</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Weighted average shares outstanding, basic</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38,984</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38,601</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38,908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38,871</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Weighted average shares outstanding, diluted</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40,027</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39,782</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39,946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40,037</w:t>
            </w:r>
          </w:p>
        </w:tc>
      </w:tr>
      <w:tr>
        <w:trPr>
          <w:trHeight w:val="336"/>
        </w:trPr>
        <w:tc>
          <w:tcPr>
            <w:tcW w:w="6740" w:type="dxa"/>
            <w:vAlign w:val="bottom"/>
          </w:tcPr>
          <w:p>
            <w:pPr>
              <w:ind w:left="620"/>
              <w:spacing w:after="0"/>
              <w:rPr>
                <w:sz w:val="20"/>
                <w:szCs w:val="20"/>
                <w:color w:val="auto"/>
              </w:rPr>
            </w:pPr>
            <w:r>
              <w:rPr>
                <w:rFonts w:ascii="Courier New" w:cs="Courier New" w:eastAsia="Courier New" w:hAnsi="Courier New"/>
                <w:sz w:val="15"/>
                <w:szCs w:val="15"/>
                <w:color w:val="auto"/>
              </w:rPr>
              <w:t>Funds from Operations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Net income available for common shareholders</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$20,180</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$16,087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32,425</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28,238</w:t>
            </w:r>
          </w:p>
        </w:tc>
      </w:tr>
      <w:tr>
        <w:trPr>
          <w:trHeight w:val="168"/>
        </w:trPr>
        <w:tc>
          <w:tcPr>
            <w:tcW w:w="6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Less: (gain) on sale of real estate</w:t>
            </w:r>
          </w:p>
        </w:tc>
        <w:tc>
          <w:tcPr>
            <w:tcW w:w="1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(7,898)</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(3,681)</w:t>
            </w:r>
          </w:p>
        </w:tc>
        <w:tc>
          <w:tcPr>
            <w:tcW w:w="3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(7,898)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6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w w:val="96"/>
              </w:rPr>
              <w:t>Add : depreciation and amortization of real estate assets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13,509</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12,136</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26,375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23,623</w:t>
            </w:r>
          </w:p>
        </w:tc>
      </w:tr>
      <w:tr>
        <w:trPr>
          <w:trHeight w:val="168"/>
        </w:trPr>
        <w:tc>
          <w:tcPr>
            <w:tcW w:w="6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Add : amortization of initial direct costs of leases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1,007</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870</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1,976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w:t>
            </w:r>
          </w:p>
        </w:tc>
      </w:tr>
      <w:tr>
        <w:trPr>
          <w:trHeight w:val="168"/>
        </w:trPr>
        <w:tc>
          <w:tcPr>
            <w:tcW w:w="67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w w:val="98"/>
              </w:rPr>
              <w:t>Add : income attributable to operating partnership units</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461</w:t>
            </w:r>
          </w:p>
        </w:tc>
        <w:tc>
          <w:tcPr>
            <w:tcW w:w="1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w:t>
            </w: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740" w:type="dxa"/>
            <w:vAlign w:val="bottom"/>
          </w:tcPr>
          <w:p>
            <w:pPr>
              <w:ind w:left="620"/>
              <w:spacing w:after="0"/>
              <w:rPr>
                <w:sz w:val="20"/>
                <w:szCs w:val="20"/>
                <w:color w:val="auto"/>
              </w:rPr>
            </w:pPr>
            <w:r>
              <w:rPr>
                <w:rFonts w:ascii="Courier New" w:cs="Courier New" w:eastAsia="Courier New" w:hAnsi="Courier New"/>
                <w:sz w:val="15"/>
                <w:szCs w:val="15"/>
                <w:color w:val="auto"/>
              </w:rPr>
              <w:t>Funds from operations</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$27,259</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$25,543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53,638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50,624</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Funds from operations per share, diluted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6740" w:type="dxa"/>
            <w:vAlign w:val="bottom"/>
          </w:tcPr>
          <w:p>
            <w:pPr>
              <w:spacing w:after="0"/>
              <w:rPr>
                <w:sz w:val="14"/>
                <w:szCs w:val="14"/>
                <w:color w:val="auto"/>
              </w:rPr>
            </w:pP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3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r>
      <w:tr>
        <w:trPr>
          <w:trHeight w:val="336"/>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Assets</w:t>
            </w: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3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$1,706,583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$1,679,289</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Development</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274,419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175,624</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1,981,002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30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(372,567)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(351,258)</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1,608,435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1,503,655</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35,405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47,360</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investments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31,475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11,357</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Receivables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12,777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13,092</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assets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47,001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45,615</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$1,735,093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$1,621,079</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3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Obligations under capital leases &amp; mortgages payable</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345,058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323,911</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Notes payable</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310,646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225,246</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Senior Notes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75,289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70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120,515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118,979</w:t>
            </w:r>
          </w:p>
        </w:tc>
      </w:tr>
      <w:tr>
        <w:trPr>
          <w:trHeight w:val="336"/>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3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473,585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467,654</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$1,735,093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$1,621,079</w:t>
            </w:r>
          </w:p>
        </w:tc>
      </w:tr>
      <w:tr>
        <w:trPr>
          <w:trHeight w:val="168"/>
        </w:trPr>
        <w:tc>
          <w:tcPr>
            <w:tcW w:w="7000" w:type="dxa"/>
            <w:vAlign w:val="bottom"/>
          </w:tcPr>
          <w:p>
            <w:pPr>
              <w:spacing w:after="0"/>
              <w:rPr>
                <w:sz w:val="14"/>
                <w:szCs w:val="14"/>
                <w:color w:val="auto"/>
              </w:rPr>
            </w:pP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80"/>
          </w:cols>
          <w:pgMar w:left="220" w:top="617" w:right="299" w:bottom="0" w:gutter="0" w:footer="0" w:header="0"/>
        </w:sectPr>
      </w:pPr>
    </w:p>
    <w:bookmarkStart w:id="15" w:name="page16"/>
    <w:bookmarkEnd w:id="15"/>
    <w:p>
      <w:pPr>
        <w:ind w:left="2720"/>
        <w:spacing w:after="0"/>
        <w:rPr>
          <w:sz w:val="20"/>
          <w:szCs w:val="20"/>
          <w:color w:val="auto"/>
        </w:rPr>
      </w:pPr>
      <w:r>
        <w:rPr>
          <w:rFonts w:ascii="Courier New" w:cs="Courier New" w:eastAsia="Courier New" w:hAnsi="Courier New"/>
          <w:sz w:val="15"/>
          <w:szCs w:val="15"/>
          <w:color w:val="auto"/>
        </w:rPr>
        <w:t>Glossary of Terms</w:t>
      </w:r>
    </w:p>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Average occupancy costs: Includes rent, common area maintenance expense, real estate taxes, merchant association dues and other charges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Economic occupancy: The square footage generating rental income expressed as a percentage of its total rentable square feet.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Leases signed - comparable: Represents leases signed on spaces for which there was a former tenant.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Leases signed - noncomparable: Represents leases signed on spaces for which there was no previous tenant, i.e. expansion space or space that was previously non-leasable.</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Leases signed - prior rent: Total rent paid by the previous tenant; includes minimum and percentage rent.</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Net Operating Income: Gross revenues, including interest income, less rental expenses and real estate taxes.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Occupancy: The currently leased portion of a property expressed as a percentage of its total rentable square feet; includes square feet covered by leases for stores not yet opened.</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Overall occupancy: Occupancy for the entire portfolio -- includes all operating properties owned in reporting period.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Same center occupancy: Occupancy for only those properties owned and operating in the periods being compared. Excludes centers purchased or sold as well as properties under redevelopment and development.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2019-12-13T00:46:09Z</dcterms:created>
  <dcterms:modified xsi:type="dcterms:W3CDTF">2019-12-13T00:46:09Z</dcterms:modified>
</cp:coreProperties>
</file>