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3520"/>
        <w:spacing w:after="0"/>
        <w:rPr>
          <w:sz w:val="20"/>
          <w:szCs w:val="20"/>
          <w:color w:val="auto"/>
        </w:rPr>
      </w:pPr>
      <w:r>
        <w:rPr>
          <w:rFonts w:ascii="Arial" w:cs="Arial" w:eastAsia="Arial" w:hAnsi="Arial"/>
          <w:sz w:val="32"/>
          <w:szCs w:val="32"/>
          <w:b w:val="1"/>
          <w:bCs w:val="1"/>
          <w:color w:val="auto"/>
        </w:rPr>
        <w:t>___________________________</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0" w:lineRule="exact"/>
        <w:rPr>
          <w:sz w:val="24"/>
          <w:szCs w:val="24"/>
          <w:color w:val="auto"/>
        </w:rPr>
      </w:pPr>
    </w:p>
    <w:p>
      <w:pPr>
        <w:ind w:left="3520"/>
        <w:spacing w:after="0"/>
        <w:rPr>
          <w:sz w:val="20"/>
          <w:szCs w:val="20"/>
          <w:color w:val="auto"/>
        </w:rPr>
      </w:pPr>
      <w:r>
        <w:rPr>
          <w:rFonts w:ascii="Arial" w:cs="Arial" w:eastAsia="Arial" w:hAnsi="Arial"/>
          <w:sz w:val="32"/>
          <w:szCs w:val="32"/>
          <w:b w:val="1"/>
          <w:bCs w:val="1"/>
          <w:color w:val="auto"/>
        </w:rPr>
        <w:t>___________________________</w:t>
      </w:r>
    </w:p>
    <w:p>
      <w:pPr>
        <w:spacing w:after="0" w:line="136"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1-07533</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151"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5220" w:type="dxa"/>
            <w:vAlign w:val="bottom"/>
          </w:tcPr>
          <w:p>
            <w:pPr>
              <w:jc w:val="right"/>
              <w:ind w:right="60"/>
              <w:spacing w:after="0"/>
              <w:rPr>
                <w:sz w:val="20"/>
                <w:szCs w:val="20"/>
                <w:color w:val="auto"/>
              </w:rPr>
            </w:pPr>
            <w:r>
              <w:rPr>
                <w:rFonts w:ascii="Arial" w:cs="Arial" w:eastAsia="Arial" w:hAnsi="Arial"/>
                <w:sz w:val="18"/>
                <w:szCs w:val="18"/>
                <w:b w:val="1"/>
                <w:bCs w:val="1"/>
                <w:color w:val="auto"/>
              </w:rPr>
              <w:t>52-0782497</w:t>
            </w:r>
          </w:p>
        </w:tc>
      </w:tr>
      <w:tr>
        <w:trPr>
          <w:trHeight w:val="180"/>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4"/>
              </w:rPr>
              <w:t>(State of Organization)</w:t>
            </w:r>
          </w:p>
        </w:tc>
        <w:tc>
          <w:tcPr>
            <w:tcW w:w="5220" w:type="dxa"/>
            <w:vAlign w:val="bottom"/>
          </w:tcPr>
          <w:p>
            <w:pPr>
              <w:jc w:val="center"/>
              <w:ind w:left="4000"/>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520" w:type="dxa"/>
            <w:vAlign w:val="bottom"/>
          </w:tcPr>
          <w:p>
            <w:pPr>
              <w:spacing w:after="0"/>
              <w:rPr>
                <w:sz w:val="16"/>
                <w:szCs w:val="16"/>
                <w:color w:val="auto"/>
              </w:rPr>
            </w:pPr>
          </w:p>
        </w:tc>
        <w:tc>
          <w:tcPr>
            <w:tcW w:w="5220" w:type="dxa"/>
            <w:vAlign w:val="bottom"/>
          </w:tcPr>
          <w:p>
            <w:pPr>
              <w:jc w:val="center"/>
              <w:ind w:left="4000"/>
              <w:spacing w:after="0"/>
              <w:rPr>
                <w:sz w:val="20"/>
                <w:szCs w:val="20"/>
                <w:color w:val="auto"/>
              </w:rPr>
            </w:pPr>
            <w:r>
              <w:rPr>
                <w:rFonts w:ascii="Arial" w:cs="Arial" w:eastAsia="Arial" w:hAnsi="Arial"/>
                <w:sz w:val="14"/>
                <w:szCs w:val="14"/>
                <w:b w:val="1"/>
                <w:bCs w:val="1"/>
                <w:color w:val="auto"/>
                <w:w w:val="96"/>
              </w:rPr>
              <w:t>Identification No.)</w:t>
            </w:r>
          </w:p>
        </w:tc>
      </w:tr>
      <w:tr>
        <w:trPr>
          <w:trHeight w:val="372"/>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8"/>
              </w:rPr>
              <w:t>1626 East Jefferson Street,</w:t>
            </w:r>
          </w:p>
        </w:tc>
        <w:tc>
          <w:tcPr>
            <w:tcW w:w="5220" w:type="dxa"/>
            <w:vAlign w:val="bottom"/>
          </w:tcPr>
          <w:p>
            <w:pPr>
              <w:spacing w:after="0"/>
              <w:rPr>
                <w:sz w:val="24"/>
                <w:szCs w:val="24"/>
                <w:color w:val="auto"/>
              </w:rPr>
            </w:pPr>
          </w:p>
        </w:tc>
      </w:tr>
      <w:tr>
        <w:trPr>
          <w:trHeight w:val="248"/>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3"/>
              </w:rPr>
              <w:t>Rockville, Maryland</w:t>
            </w:r>
          </w:p>
        </w:tc>
        <w:tc>
          <w:tcPr>
            <w:tcW w:w="5220" w:type="dxa"/>
            <w:vAlign w:val="bottom"/>
          </w:tcPr>
          <w:p>
            <w:pPr>
              <w:jc w:val="right"/>
              <w:ind w:right="260"/>
              <w:spacing w:after="0"/>
              <w:rPr>
                <w:sz w:val="20"/>
                <w:szCs w:val="20"/>
                <w:color w:val="auto"/>
              </w:rPr>
            </w:pPr>
            <w:r>
              <w:rPr>
                <w:rFonts w:ascii="Arial" w:cs="Arial" w:eastAsia="Arial" w:hAnsi="Arial"/>
                <w:sz w:val="18"/>
                <w:szCs w:val="18"/>
                <w:b w:val="1"/>
                <w:bCs w:val="1"/>
                <w:color w:val="auto"/>
              </w:rPr>
              <w:t>20852</w:t>
            </w:r>
          </w:p>
        </w:tc>
      </w:tr>
      <w:tr>
        <w:trPr>
          <w:trHeight w:val="218"/>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220" w:type="dxa"/>
            <w:vAlign w:val="bottom"/>
          </w:tcPr>
          <w:p>
            <w:pPr>
              <w:jc w:val="center"/>
              <w:ind w:left="4000"/>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2520" w:type="dxa"/>
            <w:vAlign w:val="bottom"/>
          </w:tcPr>
          <w:p>
            <w:pPr>
              <w:spacing w:after="0"/>
              <w:rPr>
                <w:sz w:val="24"/>
                <w:szCs w:val="24"/>
                <w:color w:val="auto"/>
              </w:rPr>
            </w:pPr>
          </w:p>
        </w:tc>
        <w:tc>
          <w:tcPr>
            <w:tcW w:w="5220" w:type="dxa"/>
            <w:vAlign w:val="bottom"/>
          </w:tcPr>
          <w:p>
            <w:pPr>
              <w:jc w:val="right"/>
              <w:ind w:right="2780"/>
              <w:spacing w:after="0"/>
              <w:rPr>
                <w:sz w:val="20"/>
                <w:szCs w:val="20"/>
                <w:color w:val="auto"/>
              </w:rPr>
            </w:pPr>
            <w:r>
              <w:rPr>
                <w:rFonts w:ascii="Arial" w:cs="Arial" w:eastAsia="Arial" w:hAnsi="Arial"/>
                <w:sz w:val="18"/>
                <w:szCs w:val="18"/>
                <w:b w:val="1"/>
                <w:bCs w:val="1"/>
                <w:color w:val="auto"/>
              </w:rPr>
              <w:t>(301) 998-8100</w:t>
            </w:r>
          </w:p>
        </w:tc>
      </w:tr>
      <w:tr>
        <w:trPr>
          <w:trHeight w:val="204"/>
        </w:trPr>
        <w:tc>
          <w:tcPr>
            <w:tcW w:w="2520" w:type="dxa"/>
            <w:vAlign w:val="bottom"/>
          </w:tcPr>
          <w:p>
            <w:pPr>
              <w:spacing w:after="0"/>
              <w:rPr>
                <w:sz w:val="17"/>
                <w:szCs w:val="17"/>
                <w:color w:val="auto"/>
              </w:rPr>
            </w:pPr>
          </w:p>
        </w:tc>
        <w:tc>
          <w:tcPr>
            <w:tcW w:w="5220" w:type="dxa"/>
            <w:vAlign w:val="bottom"/>
          </w:tcPr>
          <w:p>
            <w:pPr>
              <w:jc w:val="right"/>
              <w:ind w:right="1680"/>
              <w:spacing w:after="0"/>
              <w:rPr>
                <w:sz w:val="20"/>
                <w:szCs w:val="20"/>
                <w:color w:val="auto"/>
              </w:rPr>
            </w:pPr>
            <w:r>
              <w:rPr>
                <w:rFonts w:ascii="Arial" w:cs="Arial" w:eastAsia="Arial" w:hAnsi="Arial"/>
                <w:sz w:val="14"/>
                <w:szCs w:val="14"/>
                <w:b w:val="1"/>
                <w:bCs w:val="1"/>
                <w:color w:val="auto"/>
                <w:w w:val="94"/>
              </w:rPr>
              <w:t>(Registrant’s Telephone Number, Including Area Code)</w:t>
            </w:r>
          </w:p>
        </w:tc>
      </w:tr>
    </w:tbl>
    <w:p>
      <w:pPr>
        <w:spacing w:after="0" w:line="173"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ind w:right="3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34"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740" w:space="70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4">
            <w:col w:w="1720" w:space="720"/>
            <w:col w:w="3960" w:space="720"/>
            <w:col w:w="3260" w:space="720"/>
            <w:col w:w="320"/>
          </w:cols>
          <w:pgMar w:left="240" w:top="23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183" w:lineRule="exact"/>
        <w:rPr>
          <w:sz w:val="24"/>
          <w:szCs w:val="24"/>
          <w:color w:val="auto"/>
        </w:rPr>
      </w:pPr>
    </w:p>
    <w:p>
      <w:pPr>
        <w:sectPr>
          <w:pgSz w:w="11900" w:h="16838" w:orient="portrait"/>
          <w:cols w:equalWidth="0" w:num="4">
            <w:col w:w="8240" w:space="240"/>
            <w:col w:w="500" w:space="180"/>
            <w:col w:w="160" w:space="80"/>
            <w:col w:w="202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Registrant’s common shares outstanding on October 31, 2011 was 63,500,437.</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220" w:type="dxa"/>
            <w:vAlign w:val="bottom"/>
            <w:gridSpan w:val="2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4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20" w:type="dxa"/>
            <w:vAlign w:val="bottom"/>
            <w:gridSpan w:val="9"/>
          </w:tcPr>
          <w:p>
            <w:pPr>
              <w:jc w:val="center"/>
              <w:ind w:right="320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0"/>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20" w:type="dxa"/>
            <w:vAlign w:val="bottom"/>
            <w:gridSpan w:val="9"/>
          </w:tcPr>
          <w:p>
            <w:pPr>
              <w:jc w:val="center"/>
              <w:ind w:right="320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20" w:type="dxa"/>
            <w:vAlign w:val="bottom"/>
            <w:gridSpan w:val="9"/>
          </w:tcPr>
          <w:p>
            <w:pPr>
              <w:jc w:val="center"/>
              <w:ind w:right="3200"/>
              <w:spacing w:after="0"/>
              <w:rPr>
                <w:sz w:val="20"/>
                <w:szCs w:val="20"/>
                <w:color w:val="auto"/>
              </w:rPr>
            </w:pPr>
            <w:r>
              <w:rPr>
                <w:rFonts w:ascii="Arial" w:cs="Arial" w:eastAsia="Arial" w:hAnsi="Arial"/>
                <w:sz w:val="18"/>
                <w:szCs w:val="18"/>
                <w:b w:val="1"/>
                <w:bCs w:val="1"/>
                <w:color w:val="auto"/>
                <w:w w:val="96"/>
              </w:rPr>
              <w:t>QUARTER ENDED SEPTEMBER 30, 2011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2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288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2">
              <w:r>
                <w:rPr>
                  <w:rFonts w:ascii="Arial" w:cs="Arial" w:eastAsia="Arial" w:hAnsi="Arial"/>
                  <w:sz w:val="18"/>
                  <w:szCs w:val="18"/>
                  <w:color w:val="0000FF"/>
                  <w:w w:val="97"/>
                </w:rPr>
                <w:t>PART I. FINANCIAL INFORMATION</w:t>
              </w:r>
            </w:hyperlink>
          </w:p>
        </w:tc>
        <w:tc>
          <w:tcPr>
            <w:tcW w:w="830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40" w:type="dxa"/>
            <w:vAlign w:val="bottom"/>
            <w:tcBorders>
              <w:bottom w:val="single" w:sz="8" w:color="0000FF"/>
            </w:tcBorders>
            <w:gridSpan w:val="6"/>
          </w:tcPr>
          <w:p>
            <w:pPr>
              <w:spacing w:after="0"/>
              <w:rPr>
                <w:rFonts w:ascii="Arial" w:cs="Arial" w:eastAsia="Arial" w:hAnsi="Arial"/>
                <w:sz w:val="18"/>
                <w:szCs w:val="18"/>
                <w:color w:val="0000FF"/>
                <w:w w:val="84"/>
              </w:rPr>
            </w:pPr>
            <w:hyperlink w:anchor="page3">
              <w:r>
                <w:rPr>
                  <w:rFonts w:ascii="Arial" w:cs="Arial" w:eastAsia="Arial" w:hAnsi="Arial"/>
                  <w:sz w:val="18"/>
                  <w:szCs w:val="18"/>
                  <w:color w:val="0000FF"/>
                  <w:w w:val="84"/>
                </w:rPr>
                <w:t>Financial Statements</w:t>
              </w:r>
            </w:hyperlink>
          </w:p>
        </w:tc>
        <w:tc>
          <w:tcPr>
            <w:tcW w:w="8640" w:type="dxa"/>
            <w:vAlign w:val="bottom"/>
            <w:gridSpan w:val="1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540" w:type="dxa"/>
            <w:vAlign w:val="bottom"/>
            <w:tcBorders>
              <w:bottom w:val="single" w:sz="8" w:color="0000FF"/>
            </w:tcBorders>
            <w:gridSpan w:val="16"/>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Consolidated Balance Sheets as of September 30, 2011 (unaudited) and December 31, 2010</w:t>
              </w:r>
            </w:hyperlink>
          </w:p>
        </w:tc>
        <w:tc>
          <w:tcPr>
            <w:tcW w:w="354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460" w:type="dxa"/>
            <w:vAlign w:val="bottom"/>
            <w:tcBorders>
              <w:bottom w:val="single" w:sz="8" w:color="0000FF"/>
            </w:tcBorders>
            <w:gridSpan w:val="19"/>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Consolidated Statements of Operations (unaudited) for the three and nine months ended September 30, 2011 and 2010</w:t>
              </w:r>
            </w:hyperlink>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8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 of Shareholders' Equity (unaudited) for the nine months ended September 30, 2011</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0" w:type="dxa"/>
            <w:vAlign w:val="bottom"/>
            <w:tcBorders>
              <w:bottom w:val="single" w:sz="8" w:color="0000FF"/>
            </w:tcBorders>
            <w:gridSpan w:val="18"/>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Consolidated Statements of Cash Flows (unaudited) for the nine months ended September 30, 2011 and 2010</w:t>
              </w:r>
            </w:hyperlink>
          </w:p>
        </w:tc>
        <w:tc>
          <w:tcPr>
            <w:tcW w:w="22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96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Consolidated Financial Statements (unaudited)</w:t>
              </w:r>
            </w:hyperlink>
          </w:p>
        </w:tc>
        <w:tc>
          <w:tcPr>
            <w:tcW w:w="6120" w:type="dxa"/>
            <w:vAlign w:val="bottom"/>
            <w:gridSpan w:val="8"/>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Management’s Discussion and Analysis of Financial Condition and Results of Operations</w:t>
              </w:r>
            </w:hyperlink>
          </w:p>
        </w:tc>
        <w:tc>
          <w:tcPr>
            <w:tcW w:w="3680" w:type="dxa"/>
            <w:vAlign w:val="bottom"/>
            <w:gridSpan w:val="5"/>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15</w:t>
              </w:r>
            </w:hyperlink>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10080" w:type="dxa"/>
            <w:vAlign w:val="bottom"/>
            <w:gridSpan w:val="20"/>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FF"/>
            </w:tcBorders>
            <w:gridSpan w:val="1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5840" w:type="dxa"/>
            <w:vAlign w:val="bottom"/>
            <w:gridSpan w:val="7"/>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0"/>
        </w:trPr>
        <w:tc>
          <w:tcPr>
            <w:tcW w:w="4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80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11180" w:type="dxa"/>
            <w:vAlign w:val="bottom"/>
            <w:gridSpan w:val="21"/>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PART II. OTHER INFORMATION</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50"/>
        </w:trPr>
        <w:tc>
          <w:tcPr>
            <w:tcW w:w="40" w:type="dxa"/>
            <w:vAlign w:val="bottom"/>
          </w:tcPr>
          <w:p>
            <w:pPr>
              <w:spacing w:after="0"/>
              <w:rPr>
                <w:sz w:val="21"/>
                <w:szCs w:val="21"/>
                <w:color w:val="auto"/>
              </w:rPr>
            </w:pPr>
          </w:p>
        </w:tc>
        <w:tc>
          <w:tcPr>
            <w:tcW w:w="110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460" w:type="dxa"/>
            <w:vAlign w:val="bottom"/>
            <w:tcBorders>
              <w:top w:val="single" w:sz="8" w:color="0000FF"/>
            </w:tcBorders>
            <w:gridSpan w:val="7"/>
          </w:tcPr>
          <w:p>
            <w:pPr>
              <w:spacing w:after="0"/>
              <w:rPr>
                <w:rFonts w:ascii="Arial" w:cs="Arial" w:eastAsia="Arial" w:hAnsi="Arial"/>
                <w:sz w:val="18"/>
                <w:szCs w:val="18"/>
                <w:color w:val="0000FF"/>
                <w:w w:val="96"/>
              </w:rPr>
            </w:pPr>
            <w:hyperlink w:anchor="page33">
              <w:r>
                <w:rPr>
                  <w:rFonts w:ascii="Arial" w:cs="Arial" w:eastAsia="Arial" w:hAnsi="Arial"/>
                  <w:sz w:val="18"/>
                  <w:szCs w:val="18"/>
                  <w:color w:val="0000FF"/>
                  <w:w w:val="96"/>
                </w:rPr>
                <w:t>Legal Proceedings</w:t>
              </w:r>
            </w:hyperlink>
          </w:p>
        </w:tc>
        <w:tc>
          <w:tcPr>
            <w:tcW w:w="8620" w:type="dxa"/>
            <w:vAlign w:val="bottom"/>
            <w:gridSpan w:val="13"/>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1"/>
              </w:rPr>
            </w:pPr>
            <w:hyperlink w:anchor="page33">
              <w:r>
                <w:rPr>
                  <w:rFonts w:ascii="Arial" w:cs="Arial" w:eastAsia="Arial" w:hAnsi="Arial"/>
                  <w:sz w:val="18"/>
                  <w:szCs w:val="18"/>
                  <w:color w:val="0000FF"/>
                  <w:w w:val="81"/>
                </w:rPr>
                <w:t>Risk Factors</w:t>
              </w:r>
            </w:hyperlink>
          </w:p>
        </w:tc>
        <w:tc>
          <w:tcPr>
            <w:tcW w:w="420" w:type="dxa"/>
            <w:vAlign w:val="bottom"/>
            <w:tcBorders>
              <w:top w:val="single" w:sz="8" w:color="0000FF"/>
            </w:tcBorders>
            <w:gridSpan w:val="2"/>
          </w:tcPr>
          <w:p>
            <w:pPr>
              <w:spacing w:after="0"/>
              <w:rPr>
                <w:sz w:val="21"/>
                <w:szCs w:val="21"/>
                <w:color w:val="auto"/>
              </w:rPr>
            </w:pPr>
          </w:p>
        </w:tc>
        <w:tc>
          <w:tcPr>
            <w:tcW w:w="882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10080" w:type="dxa"/>
            <w:vAlign w:val="bottom"/>
            <w:gridSpan w:val="2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6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7"/>
              </w:rPr>
            </w:pPr>
            <w:hyperlink w:anchor="page34">
              <w:r>
                <w:rPr>
                  <w:rFonts w:ascii="Arial" w:cs="Arial" w:eastAsia="Arial" w:hAnsi="Arial"/>
                  <w:sz w:val="18"/>
                  <w:szCs w:val="18"/>
                  <w:color w:val="0000FF"/>
                  <w:w w:val="87"/>
                </w:rPr>
                <w:t>Defaults Upon Senior Securities</w:t>
              </w:r>
            </w:hyperlink>
          </w:p>
        </w:tc>
        <w:tc>
          <w:tcPr>
            <w:tcW w:w="2020" w:type="dxa"/>
            <w:vAlign w:val="bottom"/>
            <w:tcBorders>
              <w:top w:val="single" w:sz="8" w:color="0000FF"/>
            </w:tcBorders>
            <w:gridSpan w:val="3"/>
          </w:tcPr>
          <w:p>
            <w:pPr>
              <w:spacing w:after="0"/>
              <w:rPr>
                <w:sz w:val="21"/>
                <w:szCs w:val="21"/>
                <w:color w:val="auto"/>
              </w:rPr>
            </w:pPr>
          </w:p>
        </w:tc>
        <w:tc>
          <w:tcPr>
            <w:tcW w:w="5800" w:type="dxa"/>
            <w:vAlign w:val="bottom"/>
            <w:gridSpan w:val="6"/>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0080" w:type="dxa"/>
            <w:vAlign w:val="bottom"/>
            <w:gridSpan w:val="2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[Removed and Reserved]</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Other Information</w:t>
              </w:r>
            </w:hyperlink>
          </w:p>
        </w:tc>
        <w:tc>
          <w:tcPr>
            <w:tcW w:w="8320" w:type="dxa"/>
            <w:vAlign w:val="bottom"/>
            <w:gridSpan w:val="11"/>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5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2"/>
              </w:rPr>
            </w:pPr>
            <w:hyperlink w:anchor="page34">
              <w:r>
                <w:rPr>
                  <w:rFonts w:ascii="Arial" w:cs="Arial" w:eastAsia="Arial" w:hAnsi="Arial"/>
                  <w:sz w:val="18"/>
                  <w:szCs w:val="18"/>
                  <w:color w:val="0000FF"/>
                  <w:w w:val="82"/>
                </w:rPr>
                <w:t>Exhibits</w:t>
              </w:r>
            </w:hyperlink>
          </w:p>
        </w:tc>
        <w:tc>
          <w:tcPr>
            <w:tcW w:w="700" w:type="dxa"/>
            <w:vAlign w:val="bottom"/>
            <w:tcBorders>
              <w:top w:val="single" w:sz="8" w:color="0000FF"/>
            </w:tcBorders>
            <w:gridSpan w:val="2"/>
          </w:tcPr>
          <w:p>
            <w:pPr>
              <w:spacing w:after="0"/>
              <w:rPr>
                <w:sz w:val="21"/>
                <w:szCs w:val="21"/>
                <w:color w:val="auto"/>
              </w:rPr>
            </w:pPr>
          </w:p>
        </w:tc>
        <w:tc>
          <w:tcPr>
            <w:tcW w:w="8840" w:type="dxa"/>
            <w:vAlign w:val="bottom"/>
            <w:gridSpan w:val="16"/>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FF"/>
            </w:tcBorders>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SIGNATURES</w:t>
              </w:r>
            </w:hyperlink>
          </w:p>
        </w:tc>
        <w:tc>
          <w:tcPr>
            <w:tcW w:w="10080" w:type="dxa"/>
            <w:vAlign w:val="bottom"/>
            <w:gridSpan w:val="20"/>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35</w:t>
              </w:r>
            </w:hyperlink>
          </w:p>
        </w:tc>
      </w:tr>
      <w:tr>
        <w:trPr>
          <w:trHeight w:val="723"/>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0" w:type="dxa"/>
            <w:vAlign w:val="bottom"/>
            <w:gridSpan w:val="15"/>
          </w:tcPr>
          <w:p>
            <w:pPr>
              <w:jc w:val="center"/>
              <w:ind w:left="265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following balance sheet as of December 31, 2010,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and nine months ended September 30, 2011 are not necessarily indicative of the results that may be expected for the full year.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6" w:right="25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Real estate, at cost</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(including $68,930 and $78,846 of consolidated variable interest entities, respectively)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3,812,705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3,695,848</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Construction-in-progress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207,715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163,200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Assets held for sale/disposal (discontinued operations) (including $0 and $18,311 of consolidated variable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entities, respectively)</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36,894</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4,024,623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3,895,942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5"/>
              </w:rPr>
              <w:t>Less accumulated depreciation and amortization (including $4,727 and $4,431 of consolidated variable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entities, respectively)</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(1,102,997)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(1,035,204)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2,921,626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2,860,738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78,503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68,997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44,813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57,828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51,606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110,686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Debt issuance costs, net of accumulated amortization of $8,384 and $9,075, respectively</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9,324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6,916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3,254,848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3,159,553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3"/>
              </w:rPr>
              <w:t>Mortgages payable (including $22,287 and $22,785 of consolidated variable interest entities,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484,502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529,501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59,940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178,232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97,881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1,004,686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1,079,827</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89,623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102,574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41,601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12,038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11,751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55,348</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1,931,721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1,978,423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63,494,277 and 61,526,418</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1,824,254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1,666,803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(542,480)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(527,582)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1,292,406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1,149,833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30,721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31,297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1,323,127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1,181,130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3,254,848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3,159,553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1440" w:gutter="0" w:footer="0" w:header="0"/>
          <w:type w:val="continuous"/>
        </w:sectPr>
      </w:pPr>
    </w:p>
    <w:bookmarkStart w:id="4" w:name="page5"/>
    <w:bookmarkEnd w:id="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25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Rental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134,014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129,527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401,452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389,988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property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133,446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411,593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404,463</w:t>
            </w:r>
          </w:p>
        </w:tc>
        <w:tc>
          <w:tcPr>
            <w:tcW w:w="0" w:type="dxa"/>
            <w:vAlign w:val="bottom"/>
          </w:tcPr>
          <w:p>
            <w:pPr>
              <w:spacing w:after="0"/>
              <w:rPr>
                <w:sz w:val="1"/>
                <w:szCs w:val="1"/>
                <w:color w:val="auto"/>
              </w:rPr>
            </w:pP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82,334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15,047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15,185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46,001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45,040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32,068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94,355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89,224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241,129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234,007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56,757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55,896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170,464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170,456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(72,744)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(76,679)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91,715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Discontinued operations - gain on deconsolidation of VIE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Results from discontinued operations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14,770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17,769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93,522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93,932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89,974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Dividends on preferred shares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112,590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89,568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DILUTED</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6" w:right="23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Shareholders’ Equity of the Trust</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1800" w:type="dxa"/>
            <w:vAlign w:val="bottom"/>
            <w:gridSpan w:val="4"/>
            <w:vMerge w:val="restart"/>
          </w:tcPr>
          <w:p>
            <w:pPr>
              <w:jc w:val="right"/>
              <w:ind w:right="271"/>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tcPr>
          <w:p>
            <w:pPr>
              <w:spacing w:after="0"/>
              <w:rPr>
                <w:sz w:val="13"/>
                <w:szCs w:val="13"/>
                <w:color w:val="auto"/>
              </w:rPr>
            </w:pPr>
          </w:p>
        </w:tc>
        <w:tc>
          <w:tcPr>
            <w:tcW w:w="1860" w:type="dxa"/>
            <w:vAlign w:val="bottom"/>
            <w:gridSpan w:val="4"/>
            <w:vMerge w:val="restart"/>
          </w:tcPr>
          <w:p>
            <w:pPr>
              <w:jc w:val="right"/>
              <w:ind w:right="311"/>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3"/>
                <w:szCs w:val="13"/>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3380" w:type="dxa"/>
            <w:vAlign w:val="bottom"/>
          </w:tcPr>
          <w:p>
            <w:pPr>
              <w:spacing w:after="0"/>
              <w:rPr>
                <w:sz w:val="13"/>
                <w:szCs w:val="13"/>
                <w:color w:val="auto"/>
              </w:rPr>
            </w:pPr>
          </w:p>
        </w:tc>
        <w:tc>
          <w:tcPr>
            <w:tcW w:w="180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Dividends in</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6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0"/>
                <w:szCs w:val="10"/>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Excess of Net</w:t>
            </w:r>
          </w:p>
        </w:tc>
        <w:tc>
          <w:tcPr>
            <w:tcW w:w="114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Noncontrolling</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Shareholders'</w:t>
            </w:r>
          </w:p>
        </w:tc>
        <w:tc>
          <w:tcPr>
            <w:tcW w:w="0" w:type="dxa"/>
            <w:vAlign w:val="bottom"/>
          </w:tcPr>
          <w:p>
            <w:pPr>
              <w:spacing w:after="0"/>
              <w:rPr>
                <w:sz w:val="1"/>
                <w:szCs w:val="1"/>
                <w:color w:val="auto"/>
              </w:rPr>
            </w:pPr>
          </w:p>
        </w:tc>
      </w:tr>
      <w:tr>
        <w:trPr>
          <w:trHeight w:val="192"/>
        </w:trPr>
        <w:tc>
          <w:tcPr>
            <w:tcW w:w="3380" w:type="dxa"/>
            <w:vAlign w:val="bottom"/>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gridSpan w:val="7"/>
          </w:tcPr>
          <w:p>
            <w:pPr>
              <w:ind w:left="60"/>
              <w:spacing w:after="0"/>
              <w:rPr>
                <w:sz w:val="20"/>
                <w:szCs w:val="20"/>
                <w:color w:val="auto"/>
              </w:rPr>
            </w:pPr>
            <w:r>
              <w:rPr>
                <w:rFonts w:ascii="Arial" w:cs="Arial" w:eastAsia="Arial" w:hAnsi="Arial"/>
                <w:sz w:val="14"/>
                <w:szCs w:val="14"/>
                <w:b w:val="1"/>
                <w:bCs w:val="1"/>
                <w:color w:val="auto"/>
              </w:rPr>
              <w:t>(In thousands, except share data)</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2010</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399,896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10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61,526,418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$1,666,803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(527,582)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31,297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$1,181,130</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Net income/comprehensive income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112,996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117,157</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Dividends declared to common shareholders</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(127,488)</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w w:val="92"/>
              </w:rPr>
              <w:t>Dividends declared to preferred shareholders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declared to noncontrolling</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Common shares issued</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
              <w:spacing w:after="0"/>
              <w:rPr>
                <w:sz w:val="20"/>
                <w:szCs w:val="20"/>
                <w:color w:val="auto"/>
              </w:rPr>
            </w:pPr>
            <w:r>
              <w:rPr>
                <w:rFonts w:ascii="Arial" w:cs="Arial" w:eastAsia="Arial" w:hAnsi="Arial"/>
                <w:sz w:val="18"/>
                <w:szCs w:val="18"/>
                <w:color w:val="auto"/>
              </w:rPr>
              <w:t>1,662,185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139,320</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139,337</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194,586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12,677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12,679</w:t>
            </w:r>
          </w:p>
        </w:tc>
        <w:tc>
          <w:tcPr>
            <w:tcW w:w="0" w:type="dxa"/>
            <w:vAlign w:val="bottom"/>
          </w:tcPr>
          <w:p>
            <w:pPr>
              <w:spacing w:after="0"/>
              <w:rPr>
                <w:sz w:val="1"/>
                <w:szCs w:val="1"/>
                <w:color w:val="auto"/>
              </w:rPr>
            </w:pPr>
          </w:p>
        </w:tc>
      </w:tr>
      <w:tr>
        <w:trPr>
          <w:trHeight w:val="229"/>
        </w:trPr>
        <w:tc>
          <w:tcPr>
            <w:tcW w:w="3380" w:type="dxa"/>
            <w:vAlign w:val="bottom"/>
          </w:tcPr>
          <w:p>
            <w:pPr>
              <w:ind w:left="40"/>
              <w:spacing w:after="0"/>
              <w:rPr>
                <w:sz w:val="20"/>
                <w:szCs w:val="20"/>
                <w:color w:val="auto"/>
              </w:rPr>
            </w:pPr>
            <w:r>
              <w:rPr>
                <w:rFonts w:ascii="Arial" w:cs="Arial" w:eastAsia="Arial" w:hAnsi="Arial"/>
                <w:sz w:val="18"/>
                <w:szCs w:val="18"/>
                <w:color w:val="auto"/>
                <w:w w:val="96"/>
              </w:rPr>
              <w:t>Shares issued under dividend reinvestment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40"/>
              <w:spacing w:after="0"/>
              <w:rPr>
                <w:sz w:val="20"/>
                <w:szCs w:val="20"/>
                <w:color w:val="auto"/>
              </w:rPr>
            </w:pPr>
            <w:r>
              <w:rPr>
                <w:rFonts w:ascii="Arial" w:cs="Arial" w:eastAsia="Arial" w:hAnsi="Arial"/>
                <w:sz w:val="18"/>
                <w:szCs w:val="18"/>
                <w:color w:val="auto"/>
              </w:rPr>
              <w:t>plan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
              <w:spacing w:after="0"/>
              <w:rPr>
                <w:sz w:val="20"/>
                <w:szCs w:val="20"/>
                <w:color w:val="auto"/>
              </w:rPr>
            </w:pPr>
            <w:r>
              <w:rPr>
                <w:rFonts w:ascii="Arial" w:cs="Arial" w:eastAsia="Arial" w:hAnsi="Arial"/>
                <w:sz w:val="18"/>
                <w:szCs w:val="18"/>
                <w:color w:val="auto"/>
              </w:rPr>
              <w:t>21,680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1,777</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 net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89,408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Conversion and redemption of OP units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noncontrolling interest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Deconsolidation of VIE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2011</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399,896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10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63,494,277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$1,824,254</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(542,480)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30,721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$1,323,127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6" w:right="23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Nine Months Ended</w:t>
      </w:r>
    </w:p>
    <w:p>
      <w:pPr>
        <w:spacing w:after="0" w:line="42"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2010</w:t>
            </w:r>
          </w:p>
        </w:tc>
      </w:tr>
      <w:tr>
        <w:trPr>
          <w:trHeight w:val="196"/>
        </w:trPr>
        <w:tc>
          <w:tcPr>
            <w:tcW w:w="8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117,157</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93,932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Depreciation and amortization, including discontinued operations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94,715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89,701</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real estate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Gain on deconsolidation of VIE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Early extinguishment of debt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2,801</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Income from real estate partnerships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decrease in 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1,668</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Decrease (increase) in prepaid expenses and other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accounts payable and 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Decrease in security deposits and other liabilities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(2,159)</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179,685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(17,582)</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(57,026)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(34,775)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(21,873)</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Proceeds from sale of real estate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20,669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(16,930)</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(7,094)</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Repayment (issuance) of mortgage and other notes receivable,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(13,218)</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(111,305)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borrowings under revolving credit facility, net of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76,841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26,550</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Issuance of senior notes, net of costs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148,457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and retirement of senior notes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Issuance of mortgages, capital leases and notes payable, net of costs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9,950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mortgages, capital leases and notes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(259,342)</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Issuance of common shares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153,793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5,997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(125,306)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(121,823)</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(4,384)</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(65,365)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(194,595)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(126,215)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135,389</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22,070</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9,174</w:t>
            </w: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6" w:right="23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September 30, 2011, we owned or had a majority interest in community and neighborhood shopping centers and mixed-use properties which are operated as 85 predominantly retail real estate projects.</w:t>
      </w:r>
    </w:p>
    <w:p>
      <w:pPr>
        <w:spacing w:after="0" w:line="13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All significant intercompany transactions and balances are eliminated in consolidation. We account for our interests in joint ventures, which we do not control, using the equity method of accounting. Certain 2010 amounts have been reclassified to conform to current period presentation.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Real Estate</w:t>
      </w:r>
    </w:p>
    <w:p>
      <w:pPr>
        <w:spacing w:after="0" w:line="9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intangibles such as in-place leases, and to current assets and liabilities acquired, if any. The value allocated to in-place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2011, the Financial Accounting Standards Board (“FASB”) issued Accounting Standards Update (“ASU”) 2011-04, “Fair Value Measurement (Topic 820): Amendments to Achieve Common Fair Value Measurement and Disclosure Requirements in U.S. GAAP and IFRSs.” The pronouncement was issued to provide a uniform framework for fair value measurements and related disclosures between U.S. GAAP and International Financial Reporting Standards (“IFRS”). ASU 2011-04 changes certain fair value measurement principles and enhances the disclosure requirements particularly for level 3 fair value measurements. This pronouncement is effective for us in the first quarter of 2012 and is not expected to have a significant impact to our consolidated financial statements.</w:t>
      </w:r>
    </w:p>
    <w:p>
      <w:pPr>
        <w:spacing w:after="0" w:line="13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June 2011, the FASB issued ASU 2011-05, “Comprehensive Income (Topic 220): Presentation of Comprehensive Income.” ASU 2011-05 eliminates the option to present components of other comprehensive income as part of the statement of shareholders’ equity and requires the presentation of components of net income and components of other comprehensive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6"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income either in a single continuous statement of comprehensive income or in two separate but consecutive statements. This pronouncement is effective for us in the first quarter of 2012 and will not have a significant impact to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81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w:t>
            </w:r>
          </w:p>
        </w:tc>
        <w:tc>
          <w:tcPr>
            <w:tcW w:w="9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Total interest costs incurred</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w w:val="90"/>
              </w:rPr>
              <w:t>78,560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81,272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capitalized</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(5,816)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37"/>
        </w:trPr>
        <w:tc>
          <w:tcPr>
            <w:tcW w:w="810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960" w:type="dxa"/>
            <w:vAlign w:val="bottom"/>
            <w:tcBorders>
              <w:top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0"/>
              </w:rPr>
              <w:t>72,744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76,679</w:t>
            </w:r>
          </w:p>
        </w:tc>
        <w:tc>
          <w:tcPr>
            <w:tcW w:w="0" w:type="dxa"/>
            <w:vAlign w:val="bottom"/>
          </w:tcPr>
          <w:p>
            <w:pPr>
              <w:spacing w:after="0"/>
              <w:rPr>
                <w:sz w:val="1"/>
                <w:szCs w:val="1"/>
                <w:color w:val="auto"/>
              </w:rPr>
            </w:pPr>
          </w:p>
        </w:tc>
      </w:tr>
      <w:tr>
        <w:trPr>
          <w:trHeight w:val="67"/>
        </w:trPr>
        <w:tc>
          <w:tcPr>
            <w:tcW w:w="81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interest, net of amounts capitalized</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76,520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77,773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income taxes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00" w:type="dxa"/>
            <w:vAlign w:val="bottom"/>
            <w:vMerge w:val="continue"/>
          </w:tcPr>
          <w:p>
            <w:pPr>
              <w:spacing w:after="0"/>
              <w:rPr>
                <w:sz w:val="19"/>
                <w:szCs w:val="19"/>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67"/>
        </w:trPr>
        <w:tc>
          <w:tcPr>
            <w:tcW w:w="81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NON-CASH INVESTING AND FINANCING TRANSACTIONS:</w:t>
            </w:r>
          </w:p>
        </w:tc>
        <w:tc>
          <w:tcPr>
            <w:tcW w:w="9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Mortgage loan assumed with acquisition</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w w:val="90"/>
              </w:rPr>
              <w:t>42,938</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Deconsolidation of VIE</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18,311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Capital lease obligations</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4,556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January 19, 2011, we acquired the fee interest in Tower Shops located in Davie, Florida for a net purchase price of $66.1 million which includes the assumption of a mortgage loan with a face amount of $41.0 million and a fair value of approximately $42.9 million. The property contains approximately 372,000 square feet of gross leasable area on 67 acres and is shadow-anchored by Home Depot and Costco. Approximately $1.2 million and $4.4 million of net assets acquired were allocated to other assets for “above market leases” and other liabilities for “below market leases”, respectively. We incurred a total of $0.4 million of acquisition costs of which $0.2 million were incurred in 2011 and are included in “general and administrative expenses” for the nine months ended September 30, 2011.</w:t>
      </w:r>
    </w:p>
    <w:p>
      <w:pPr>
        <w:spacing w:after="0" w:line="13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conjunction with the acquisition, we entered into a reverse Section 1031 like-kind exchange agreement with a third party intermediary which is for a maximum of 180 days and allows us, for tax purposes, to defer gains on sale of other properties identified and sold within this period. Until July 12, 2011, the third party intermediary was the legal owner of the property. However, we controlled the activities that most significantly impacted the property and retained all of the economic benefits and risks associated with the property. Therefore, we were the primary beneficiary of this VIE and consolidated the property and its operations as of January 19, 2011.</w:t>
      </w:r>
    </w:p>
    <w:p>
      <w:pPr>
        <w:spacing w:after="0" w:line="1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July 12, 2011, we sold Feasterville Shopping Center located in Feasterville, Pennsylvania for a sales price of $20.0 million resulting in a gain of $14.8 million. The operations of this property are included in “discontinued operations” in the consolidated statements of operations for all periods presented and included in “assets held for sale/disposal” in our consolidated balance sheet as of December 31, 2010. The sale was completed as a Section 1031 tax deferred exchange transaction with the acquisition of Tower Shops.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4—MORTGAGE NOTES RECEIVABLE</w:t>
      </w:r>
    </w:p>
    <w:p>
      <w:pPr>
        <w:spacing w:after="0" w:line="94"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Prior to June 30, 2011, we were the lender on a first and second mortgage loan on a shopping center and an adjacent commercial building in Norwalk, Connecticut. Our carrying amount of the loans was approximately $18.3 million. The loans were in default and foreclosure proceedings had been filed, however, we were in negotiations with the borrower to refinance the loans. On June 30, 2011, we refinanced the existing loans with a first mortgage loan which has a principal balance of $11.9 million, bears interest at 6.0%, and matures on June 30, 2014, subject to a one year extension option. The loan is secured by the shopping center in Norwalk, Connecticut. As part of the refinancing, we received approximately $8.7 million in cash.</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Because the loans were in default, we had certain rights under the first mortgage loan agreement that gave us the ability to direct the activities that most significantly impacted the shopping center. Although we did not exercise those rights, the existence of those rights in the loan agreement resulted in the entity being a VIE. Additionally, given our investment in both the first and second mortgage on the property, the overall decline in fair market value since the loans were initiated, and the default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6" w:right="25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status of the loans, we also had the obligation to absorb losses or rights to receive benefits that could potentially be significant to the VIE. Consequently, we were the primary beneficiary of this VIE and consolidated the shopping center and adjacent building from March 30, 2010 to June 29, 2011. Our investment in the property is included in “assets held for sale/disposal” in the consolidated balance sheet at December 31, 2010 and the operations of the entity are included in “discontinued operations” for all periods presented.</w:t>
      </w:r>
    </w:p>
    <w:p>
      <w:pPr>
        <w:spacing w:after="0" w:line="13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conjunction with the refinancing of the loans, we re-evaluated our status as the primary beneficiary of the VIE. Because the loan is not in default, we no longer have certain rights that give us the ability to control the activities that most significantly impact the shopping center. Our current involvement in the property is solely as the lender on the mortgage loan with protective rights as the lender. Therefore, we are no longer the primary beneficiary and deconsolidated the entity as of June 30, 2011. The mortgage loan receivable was recorded at its estimated fair value of $11.9 million and we recognized a $2.0 million gain on deconsolidation as part of the refinancing which is included in “discontinued operations - gain on deconsolidation of VIE” for the nine months ended September 30, 2011. As of September 30, 2011, the loan was performing and the carrying amount of the mortgage loan was $11.7 million and is included in “mortgage notes receivable” on the balance sheet. This amount also reflects our maximum exposure to loss related to this investment.</w:t>
      </w:r>
    </w:p>
    <w:p>
      <w:pPr>
        <w:spacing w:after="0" w:line="11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change in design of the entity including the refinancing of the loan was a VIE reconsideration event. Given that the loan is no longer in default, we, as lender, do not have the power to direct the activities that most significantly impact the entity, and the additional equity investment at risk provided by the entity’s equity holders, the entity is no longer a VIE.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5—REAL ESTATE PARTNERSHIPS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Federal/Lion Venture LP</w:t>
      </w:r>
    </w:p>
    <w:p>
      <w:pPr>
        <w:spacing w:after="0" w:line="9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September 30, 2011,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40" w:type="dxa"/>
            <w:vAlign w:val="bottom"/>
            <w:gridSpan w:val="4"/>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6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89"/>
              </w:rPr>
              <w:t>2011</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r>
      <w:tr>
        <w:trPr>
          <w:trHeight w:val="196"/>
        </w:trPr>
        <w:tc>
          <w:tcPr>
            <w:tcW w:w="5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w:t>
            </w:r>
          </w:p>
        </w:tc>
        <w:tc>
          <w:tcPr>
            <w:tcW w:w="8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w:t>
            </w:r>
          </w:p>
        </w:tc>
        <w:tc>
          <w:tcPr>
            <w:tcW w:w="84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4,743</w:t>
            </w:r>
          </w:p>
        </w:tc>
        <w:tc>
          <w:tcPr>
            <w:tcW w:w="120" w:type="dxa"/>
            <w:vAlign w:val="bottom"/>
          </w:tcPr>
          <w:p>
            <w:pPr>
              <w:spacing w:after="0"/>
              <w:rPr>
                <w:sz w:val="21"/>
                <w:szCs w:val="21"/>
                <w:color w:val="auto"/>
              </w:rPr>
            </w:pP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4,510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14,387</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13,688</w:t>
            </w:r>
          </w:p>
        </w:tc>
      </w:tr>
      <w:tr>
        <w:trPr>
          <w:trHeight w:val="27"/>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84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1,276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1,322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4,260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4,664</w:t>
            </w:r>
          </w:p>
        </w:tc>
      </w:tr>
      <w:tr>
        <w:trPr>
          <w:trHeight w:val="27"/>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4"/>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2,542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2,551</w:t>
            </w:r>
          </w:p>
        </w:tc>
      </w:tr>
      <w:tr>
        <w:trPr>
          <w:trHeight w:val="27"/>
        </w:trPr>
        <w:tc>
          <w:tcPr>
            <w:tcW w:w="56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8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3,418</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4"/>
              </w:rPr>
              <w:t>3,430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10,666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10,986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3"/>
              </w:rPr>
              <w:t>1,325</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4"/>
              </w:rPr>
              <w:t>1,080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3,721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2,702</w:t>
            </w:r>
          </w:p>
        </w:tc>
      </w:tr>
      <w:tr>
        <w:trPr>
          <w:trHeight w:val="67"/>
        </w:trPr>
        <w:tc>
          <w:tcPr>
            <w:tcW w:w="56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share of net income from real estate partnership</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6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178,585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181,565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6,268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7,336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189,531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191,955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Mortgages payable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57,429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57,584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Partners’ capital</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127,277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128,932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partners’ capital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189,531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191,955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share of unconsolidated 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17,229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17,275</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investment in real estate partnership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35,504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Taurus Newbury Street JV II Limited Partnership</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May 2010, we formed Taurus Newbury Street JV II Limited Partnership (“Newbury Street Partnership”), a joint venture with an affiliate of Taurus Investment Holdings, LLC (“Taurus”), to acquire, operate and redevelop properties located primarily in the Back Bay section of Boston, Massachusetts. We hold an 85% limited partnership interest in Newbury Street Partnership and Taurus holds a 15% limited partnership interest and serves as general partner. As general partner, Taurus is responsible for the operation and management of the properties, subject to our approval on major decisions. We have evaluated the entity and determined that it is not a VIE. Accordingly, given Taurus’ role as general partner, we account for our interest in Newbury Street Partnership using the equity method. Accounting policies for the Newbury Street Partnership are similar to accounting policies followed by the Trust. Intercompany profit generated from interest income on loans we have provided to the partnership is eliminated in consolidation. All amounts contributed and advanced to Newbury Street Partnership are included in “Investment in real estate partnerships” in the consolidated balance sheets.</w:t>
      </w:r>
    </w:p>
    <w:p>
      <w:pPr>
        <w:spacing w:after="0" w:line="11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Newbury Street Partnership is subject to a buy-sell provision which is customary for real estate joint venture agreements and the industry. The buy-sell can be exercised only in certain circumstances through May 2014 and may be initiated by either party at anytime thereafter which could result in either the sale of our interest or the use of available cash or borrowings to acquire Taurus’ interest.</w:t>
      </w:r>
    </w:p>
    <w:p>
      <w:pPr>
        <w:spacing w:after="0" w:line="1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May 26, 2011, Newbury Street Partnership acquired the fee interest in a 6,700 square foot building located on Newbury Street for a purchase price of $6.2 million. We contributed approximately $2.8 million towards the acquisition and provided a $3.1 million interest-only loan secured by the building. This loan and the $8.8 million loan secured by the other two buildings owned by the partnership bear interest at LIBOR plus 400 basis points and mature on May 25, 2012, subject to a one-year extension option. This purchase increased Newbury Street Partnership’s portfolio to three buildings all located on Newbury Street with a total of approximately 41,000 square feet of mixed-use gross leasable area. Our investment in Newbury Street Partnership was $22.8 million and $16.1 million, respectively, at September 30, 2011 and December 31, 2010. Due to the timing of receiving financial information from the general partner, our share of operating earnings is recorded one quarter in arrears. Our share of earnings in the consolidated statements of operations for the nine months ended September 30, 2011 and 2010 was a loss of $0.1 million and $0.4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connection with the acquisition of Tower Shops on January 19, 2011, we assumed a mortgage loan with a face amount of $41.0 million and a fair value of approximately $42.9 million. The mortgage loan bore interest at 6.52%, had a scheduled maturity of July 1, 2015 and was contractually pre-payable after June 2011 with a 3% prepayment premium. On March 24, 2011, the lender unexpectedly allowed us to repay the $41.0 million mortgage loan prior to the permitted prepayment date including the 3% prepayment premium of $1.2 million. The $0.3 million of income from early extinguishment of debt in the nine months ended September 30, 2011, relates to the early payoff of this loan and includes the write-off of the unamortized debt premium of $1.7 million net of the 3% prepayment premium and unamortized debt fees. The mortgage loan was repaid with funds borrowed on our $300.0 million revolving credit facility.</w:t>
      </w:r>
    </w:p>
    <w:p>
      <w:pPr>
        <w:spacing w:after="0" w:line="1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February 15, 2011, we repaid our $75.0 million 4.50% senior notes on the maturity date using funds borrowed on our $300.0 million revolving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On April 29, 2011, we repaid the $31.7 million mortgage loan on Federal Plaza which had an original maturity date of June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2011. This loan was repaid with funds borrowed on our $300.0 million revolving credit facility.</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June 1, 2011, we repaid the $5.6 million mortgage loan on Tysons Station which had an original maturity date of September 1, 2011. This loan was repaid with funds borrowed on our $300.0 million revolving credit facility.</w:t>
      </w:r>
    </w:p>
    <w:p>
      <w:pPr>
        <w:spacing w:after="0" w:line="1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July 7, 2011, we replaced our existing $300.0 million revolving credit facility with a new $400.0 million unsecured revolving credit facility. This new revolving credit facility matures on July 6, 2015, subject to a one-year extension at our option, and bears interest at LIBOR plus 115 basis points. The spread over LIBOR is subject to adjustment based on our credit rating.</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three and nine months ended September 30, 2011, the maximum amount of borrowings outstanding under our revolving credit facility was $219.0 million and $265.0 million, respectively, the weighted average amount of borrowings outstanding was $184.6 million and $186.0 million, respectively, and the weighted average interest rate, before amortization of debt fees, was 1.31% and 0.89%, respectively. At September 30, 2011, there was $158.0 million outstanding on our revolving credit facility.</w:t>
      </w:r>
    </w:p>
    <w:p>
      <w:pPr>
        <w:spacing w:after="0" w:line="13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Our revolving credit facility and certain notes require us to comply with various financial covenants, including the maintenance of minimum shareholders’ equity and debt coverage ratios and a maximum ratio of debt to net worth. As of September 30, 2011, we were in compliance with all loan covenants.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OF FINANCIAL INSTRUMENTS</w:t>
      </w:r>
    </w:p>
    <w:p>
      <w:pPr>
        <w:spacing w:after="0" w:line="94"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September 30, 2011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662,734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722,164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627,382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685,552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1,004,686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1,089,081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1,079,827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1,168,679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8—COMMITMENTS AND CONTINGENCIES</w:t>
      </w:r>
    </w:p>
    <w:p>
      <w:pPr>
        <w:spacing w:after="0" w:line="9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1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March 2011, we paid the final judgment of $16.2 million related to a previously disclosed lawsuit regarding a parcel of land located adjacent to Santana Row. The final judgment was previously accrued and is included in “accounts payable and accrued expenses” in our consolidated balance sheet at December 31, 2010.</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360,314 operating partnership units are outstanding which have a total fair value of $29.7 million, based on our closing stock price on September 30,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w w:val="97"/>
              </w:rPr>
              <w:t>Nine Months Ended September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2011</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9"/>
              </w:rPr>
              <w:t>2010</w:t>
            </w:r>
          </w:p>
        </w:tc>
        <w:tc>
          <w:tcPr>
            <w:tcW w:w="1040" w:type="dxa"/>
            <w:vAlign w:val="bottom"/>
            <w:tcBorders>
              <w:bottom w:val="single" w:sz="8" w:color="auto"/>
            </w:tcBorders>
          </w:tcPr>
          <w:p>
            <w:pPr>
              <w:spacing w:after="0"/>
              <w:rPr>
                <w:sz w:val="22"/>
                <w:szCs w:val="22"/>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Declared</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Paid</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1.016</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1.016</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1.016</w:t>
            </w: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February 24, 2011, we entered into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September 30, 2011, we issued 576,427 common shares at a weighted average price per share of $86.73 for net cash proceeds of $49.2 million and paid $0.7 million in commissions related to the sales of these common shares. For the nine months ended September 30, 2011, we issued 1,662,038 common shares at a weighted average price per share of $85.26 for net cash proceeds of $139.3 million and paid $2.1 million in commissions related to the sales of these common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236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98,654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94,550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293,622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282,826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16,125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25,714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25,912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80,083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80,751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2,227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6,191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134,014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129,527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401,452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389,988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740" w:hanging="652"/>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Residential minimum rents consist of the rental amounts for residential units at Rollingwood Apartments, The Crest at Congressional Plaza Apartments, Santana Row and Bethesda Row.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Minimum rents include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40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0" w:type="dxa"/>
            <w:vAlign w:val="bottom"/>
            <w:gridSpan w:val="3"/>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r>
      <w:tr>
        <w:trPr>
          <w:trHeight w:val="196"/>
        </w:trPr>
        <w:tc>
          <w:tcPr>
            <w:tcW w:w="5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rents</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w:t>
            </w:r>
          </w:p>
        </w:tc>
        <w:tc>
          <w:tcPr>
            <w:tcW w:w="98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3.9</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above market leases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0.9</w:t>
            </w:r>
          </w:p>
        </w:tc>
        <w:tc>
          <w:tcPr>
            <w:tcW w:w="98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7"/>
        </w:trPr>
        <w:tc>
          <w:tcPr>
            <w:tcW w:w="56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11—DISCONTINUED OPERATIONS</w:t>
      </w:r>
    </w:p>
    <w:p>
      <w:pPr>
        <w:spacing w:after="0" w:line="9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Results of properties disposed or held for disposal which meet certain requirements, constitute discontinued operations and as such, the operations of these properties are classified as discontinued operations for all periods presented. A summary of the financial information for the discontinued operations is as follows: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42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0" w:type="dxa"/>
            <w:vAlign w:val="bottom"/>
            <w:gridSpan w:val="3"/>
          </w:tcPr>
          <w:p>
            <w:pPr>
              <w:jc w:val="right"/>
              <w:ind w:right="696"/>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456"/>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2010</w:t>
            </w:r>
          </w:p>
        </w:tc>
      </w:tr>
      <w:tr>
        <w:trPr>
          <w:trHeight w:val="196"/>
        </w:trPr>
        <w:tc>
          <w:tcPr>
            <w:tcW w:w="5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discontinued operations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10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2.2</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6"/>
              <w:spacing w:after="0"/>
              <w:rPr>
                <w:sz w:val="20"/>
                <w:szCs w:val="20"/>
                <w:color w:val="auto"/>
              </w:rPr>
            </w:pPr>
            <w:r>
              <w:rPr>
                <w:rFonts w:ascii="Arial" w:cs="Arial" w:eastAsia="Arial" w:hAnsi="Arial"/>
                <w:sz w:val="18"/>
                <w:szCs w:val="18"/>
                <w:color w:val="auto"/>
              </w:rPr>
              <w:t>$</w:t>
            </w:r>
          </w:p>
        </w:tc>
        <w:tc>
          <w:tcPr>
            <w:tcW w:w="440" w:type="dxa"/>
            <w:vAlign w:val="bottom"/>
          </w:tcPr>
          <w:p>
            <w:pPr>
              <w:ind w:left="1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41"/>
              <w:spacing w:after="0"/>
              <w:rPr>
                <w:sz w:val="20"/>
                <w:szCs w:val="20"/>
                <w:color w:val="auto"/>
              </w:rPr>
            </w:pPr>
            <w:r>
              <w:rPr>
                <w:rFonts w:ascii="Arial" w:cs="Arial" w:eastAsia="Arial" w:hAnsi="Arial"/>
                <w:sz w:val="18"/>
                <w:szCs w:val="18"/>
                <w:color w:val="auto"/>
              </w:rPr>
              <w:t>0.9</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0.8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236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incurred</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Grants of common shares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1,847</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5,433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3,996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Grants of options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849</w:t>
            </w: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6,105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4,845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share-based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5,580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4,269</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w:t>
      </w:r>
    </w:p>
    <w:p>
      <w:pPr>
        <w:spacing w:after="0" w:line="94"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We had 0.3 million weighted average unvested shares outstanding for the three and nine months ended September 30, 2011 and 0.2 million weighted average unvested shares outstanding for the three and nine months ended September 30, 2010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2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the dilutive EPS calculation, dilutive stock options were calculated using the treasury stock method consistent with prior periods; stock options of less than 0.1 million and 0.1 million for the three months ended September 30, 2011 and 2010, respectively, and stock options of 0.1 million and 0.3 million for the nine months ended September 30, 2011 and 2010, respectively, have been excluded as they were anti-dilutive.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6" w:right="2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21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left="392"/>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2010</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33,532</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30,740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99,388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91,715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31,940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29,098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94,532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86,947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Results from discontinued operations attributable to the Trust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112,081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89,164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62,818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62,172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61,158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62,990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61,359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62,341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61,297</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52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 attributable to the Trust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32,283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29,370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95,447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87,757</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14—SUBSEQUENT EVENT</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October 31, 2011, our Newbury Street Partnership sold its three buildings for $44.0 million. As part of the sale, we received $34.6 million of the net proceeds which includes the repayment of our $11.8 million loans.</w:t>
      </w:r>
    </w:p>
    <w:p>
      <w:pPr>
        <w:spacing w:after="0" w:line="200" w:lineRule="exact"/>
        <w:rPr>
          <w:sz w:val="20"/>
          <w:szCs w:val="20"/>
          <w:color w:val="auto"/>
        </w:rPr>
      </w:pPr>
    </w:p>
    <w:p>
      <w:pPr>
        <w:spacing w:after="0" w:line="264" w:lineRule="exact"/>
        <w:rPr>
          <w:sz w:val="20"/>
          <w:szCs w:val="20"/>
          <w:color w:val="auto"/>
        </w:rPr>
      </w:pPr>
    </w:p>
    <w:p>
      <w:pPr>
        <w:ind w:right="820"/>
        <w:spacing w:after="0" w:line="34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2010 filed with the Securities and Exchange Commission (the “SEC”) on February 15, 2011.</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2010 and under Part II, Item 1A in this Quarterly Report on Form 10-Q, before making any investments in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September 30, 2011, we owned or had a majority interest in community and neighborhood shopping centers and mixed-use properties which are operated as 85 predominantly retail real estate projects comprising approximately 18.6 million square feet. In total, the real estate projects were 93.3% leased and 92.2% occupied at September 30, 2011. A joint venture in which we own a 30% interest owned seven retail real estate projects totaling approximately 1.0 million square feet as of September 30, 2011. In total, the joint venture properties in which we own a 30% interest were 91.5% leased and occupied at September 30,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Significant Property Acquisitions and Disposition</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January 19, 2011, we acquired the fee interest in Tower Shops located in Davie, Florida for a net purchase price of $66.1 million which includes the assumption of a mortgage loan with a face amount of $41.0 million and a fair value of approximately $42.9 million. The property contains approximately 372,000 square feet of gross leasable area on 67 acres and is shadow-anchored by Home Depot and Costco. Approximately $1.2 million and $4.4 million of net assets acquired were allocated to other assets for “above market leases” and other liabilities for “below market leases”, respectively. We incurred a total of $0.4 million of acquisition costs of which $0.2 million were incurred in 2011 and are included in “general and administrative expenses” for the nine months ended September 30, 2011.</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conjunction with the acquisition, we entered into a reverse Section 1031 like-kind exchange agreement with a third party intermediary which is for a maximum of 180 days and allows us, for tax purposes, to defer gains on sale of other properties identified and sold within this period. Until July 12, 2011, the third party intermediary was the legal owner of the property. However, we controlled the activities that most significantly impacted the property and retained all of the economic benefits and risks associated with the property. Therefore, we were the primary beneficiary of this VIE and consolidated the property and its operations as of January 19, 2011.</w:t>
      </w:r>
    </w:p>
    <w:p>
      <w:pPr>
        <w:spacing w:after="0" w:line="1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26, 2011, Newbury Street Partnership acquired the fee interest in a 6,700 square foot building located on Newbury Street in Boston, Massachusetts, for a purchase price of $6.2 million. We contributed approximately $2.8 million towards the acquisition and provided a $3.1 million interest-only loan secured by the building. The loan bears interest at LIBOR plus 400 basis points and matures on May 25, 2012, subject to a one-year extension option. This purchase increased Newbury Street Partnership’s portfolio to three buildings all located on Newbury Street with a total of approximately 41,000 square feet of mixed-use gross leasable area. On October 31, 2011, our Newbury Street Partnership sold its three buildings for $44.0 million. As part of the sale, we received $34.6 million of the net proceeds which includes the repayment of our $11.8 million loans.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July 12, 2011, we sold Feasterville Shopping Center located in Feasterville, Pennsylvania for a sales price of $20.0 million resulting in a gain of $14.8 million. The operations of this property are included in “discontinued operations” in the consolidated statements of operations for all periods presented and included in “assets held for sale/disposal” in our consolidated balance sheet as of December 31, 2010. The sale was completed as a Section 1031 tax deferred exchange transaction with the acquisition of Tower Shops.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Significant Debt, Equity and Other Transactions</w:t>
      </w:r>
    </w:p>
    <w:p>
      <w:pPr>
        <w:spacing w:after="0" w:line="9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connection with the acquisition of Tower Shops on January 19, 2011, we assumed a mortgage loan with a face amount of $41.0 million and a fair value of approximately $42.9 million. The mortgage loan bore interest at 6.52%, had a scheduled maturity on July 1, 2015 and was contractually pre-payable after June 2011 with a 3% prepayment premium. On March 24, 2011, the lender unexpectedly allowed us to repay the $41.0 million mortgage loan prior to the permitted prepayment date including the 3% prepayment premium of $1.2 million. The $0.3 million of income from early extinguishment of debt in the nine months ended September 30, 2011, relates to the early payoff of this loan and includes the write-off of the unamortized debt premium of $1.7 million net of the 3% prepayment premium and unamortized debt fees. The mortgage loan was repaid with funds borrowed on our $300.0 million revolving credit facility.</w:t>
      </w:r>
    </w:p>
    <w:p>
      <w:pPr>
        <w:spacing w:after="0" w:line="1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February 15, 2011, we repaid our $75.0 million 4.50% senior notes on the maturity date using funds borrowed on our $300.0 million revolving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On February 24, 2011, we entered into an at the market (“ATM”) equity program in which we may from time to time offer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sell common shares having an aggregate offering price of up to $300.0 million. We intend to use the net proceeds to fund potential acquisition opportunities,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fund our development and redevelopment pipeline, repay amounts outstanding under our revolving credit facility and/or for general corporate purposes.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September 30, 2011, we issued 576,427 common shares at a weighted average price per share of $86.73 for net cash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$49.2 million and paid $0.7 million in commissions related to the sales of these common shares. For the nine months ended September 30, 2011, we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1,662,038 common shares at a weighted average price per share of $85.26 for net cash proceeds of $139.3 million and paid $2.1 million in commissions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sales of these common shares.</w:t>
      </w:r>
    </w:p>
    <w:p>
      <w:pPr>
        <w:spacing w:after="0" w:line="15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March 2011, we paid the final judgment of $16.2 million related to a previously disclosed lawsuit regarding a parcel of land located adjacent to Santana Row. The final judgment was previously accrued and is included in “accounts payable and accrued expenses” in our consolidated balance sheet at December 31, 2010.</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April 29, 2011, we repaid the $31.7 million mortgage loan on Federal Plaza which had an original maturity date of June 1, 2011. This loan was repaid with funds borrowed on our $300.0 million revolving credit facility.</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June 1, 2011, we repaid the $5.6 million mortgage loan on Tysons Station which had an original maturity date of September 1, 2011. This loan was repaid with funds borrowed on our $300.0 million revolving credit facility.</w:t>
      </w:r>
    </w:p>
    <w:p>
      <w:pPr>
        <w:spacing w:after="0" w:line="1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July 7, 2011, we replaced our existing $300.0 million revolving credit facility with a new $400.0 million unsecured revolving credit facility. This new revolving credit facility matures on July 6, 2015, subject to a one-year extension at our option, and bears interest at LIBOR plus 115 basis points. The spread over LIBOR is subject to adjustment based on our credit rating.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Receivable Refinancing</w:t>
      </w:r>
    </w:p>
    <w:p>
      <w:pPr>
        <w:spacing w:after="0" w:line="94"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Prior to June 30, 2011, we were the lender on a first and second mortgage loan on a shopping center and an adjacent commercial building in Norwalk, Connecticut. Our carrying amount of the loans was approximately $18.3 million. The loans were in default and foreclosure proceedings had been filed, however, we were in negotiations with the borrower to refinance the loans. On June 30, 2011, we refinanced the existing loans with a first mortgage loan which has a principal balance of $11.9 million, bears interest at 6.0%, and matures on June 30, 2014, subject to a one year extension option. The loan is secured by the shopping center in Norwalk, Connecticut. As part of the refinancing, we received approximately $8.7 million in cash.</w:t>
      </w:r>
    </w:p>
    <w:p>
      <w:pPr>
        <w:spacing w:after="0" w:line="10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Because the loans were in default, we had certain rights under the first mortgage loan agreement that gave us the ability to direct the activities that most significantly impacted the shopping center. Although we did not exercise those rights, the existence of those rights in the loan agreement resulted in the entity being a VIE. Additionally, given our investment in both the first and second mortgage on the property, the overall decline in fair market value since the loans were initiated, and the default status of the loans, we also had the obligation to absorb losses or rights to receive benefits that could potentially be significant to the VIE. Consequently, we were the primary beneficiary of this VIE and consolidated the shopping center and adjacent building from March 30, 2010 to June 29, 2011. Our investment in the property is included in “assets held for sale/disposal” in the consolidated balance sheet at December 31, 2010 and the operations of the entity are included in “discontinued operations” for all periods presented.</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conjunction with the refinancing of the loans, we re-evaluated our status as the primary beneficiary of the VIE. Because the loan is not in default, we no longer have certain rights that give us the ability to control the activities that most significantly impact the shopping center. Our current involvement in the property is solely as the lender on the mortgage loan with protective rights as the lender. Therefore, we are no longer the primary beneficiary and deconsolidated the entity as of June 30, 2011. The mortgage loan receivable was recorded at its estimated fair value of $11.9 million and we recognized a $2.0 million gain on deconsolidation as part of the refinancing which is included in “discontinued operations - gain on deconsolidation of VIE” for the nine months ended September 30, 2011. As of September 30, 2011, the loan was performing and the carrying amount of the mortgage loan was $11.7 million which is included in “mortgage notes receivable” on the balance sheet. This amount also reflects our maximum exposure to loss related to this investment.</w:t>
      </w:r>
    </w:p>
    <w:p>
      <w:pPr>
        <w:spacing w:after="0" w:line="11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change in design of the entity including the refinancing of the loan was a VIE reconsideration event. Given that the loan is no longer in default, we, as lender, do not have the power to direct the activities that most significantly impact the entity, and the additional equity investment at risk provided by the entity’s equity holders, the entity is no longer a VIE.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capitalized external and internal costs related to both development and redevelopment activities of $60 million and $3 million, respectively, for the nine months ended September 30, 2011 and $42 million and $2 million, respectively, for the nine months ended September 30, 2010. We capitalized external and internal costs related to other property improvements of $30</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million and $1 million, respectively, for the nine months ended September 30, 2011 and $22 million and $1 million, respectively, for the nine months ended September 30, 2010. We capitalized external and internal costs related to leasing activities of $6 million and $4 million, respectively, for the nine months ended September 30, 2011 and $5 million and $3 million, respectively, for the nine months ended September 30, 2010. The amount of capitalized internal costs for salaries and related benefits for development and redevelopment activities, other property improvements, and leasing activities were $2 million, $1 million, and $3 million, respectively, for the nine months ended September 30, 2011 and $2 million, $1 million, and $3 million, respectively, for the nine months ended September 30, 2010.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portfolio from property redevelopments,</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properties are located in densely populated 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2011 and 2012, we expect to have redevelopment projects stabilizing with projected costs of approximately $48 million and $59 million, respectively.</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Additionally, we continue to invest in the development at Assembly Row which is a long-term development project we expect to be involved in over the coming years. The carrying value of the development portion of this project at September 30, 2011 is approximately $128 million. The project currently has zoning entitlements to build 2.3 million square feet of commercial-use buildings, 2,100 residential units, and a 200 room hotel. We expect that we will structure any future development in a manner designed to mitigate our risk which may include transfers of entitlements or co-developing with other companies. We have entered into a preliminary agreement with a residential developer for the first phase of development and continue our current predevelopment work and infrastructure work. We expect to invest between $25 million and $35 million related to the development in 2011. However, we do not intend to move forward with construction of the first phase of the project until the Massachusetts Bay Transit Authority (“MBTA”) has received qualified bids from contractors showing that a new orange line T-stop can be built at the property for no more than the public and private funding that has been committed for this T-stop and the contingencies to releasing those funds have been satisfied. During the third quarter, the MBTA received qualified bids to build the T-stop within the funding requirements and is currently in contract negotiations. While we expect construction to commence in early 2012, if certain contingencies to releasing the public funds for the T-stop construction are not satisfied, it is unlikely we would commence construction and be able to recover our basis in the property and as a result, would be required to record an impairment.</w:t>
      </w:r>
    </w:p>
    <w:p>
      <w:pPr>
        <w:spacing w:after="0" w:line="12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Generally, our acquisitions do not initially contribute significantly to earnings growth; however,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assumed mortgages.</w:t>
      </w:r>
    </w:p>
    <w:p>
      <w:pPr>
        <w:spacing w:after="0" w:line="1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The current economic environment may, however, impact our ability to increase rental rates in the short-term and may require us to decrease some rental rates. This will have a long-term impact over the contractual term of the lease agreement, which on average is between five and ten years. We expect to continue to see small changes in occupancy over the short term and expect increases in occupancy to be a driver of our same-center growth over the long term as we are able to re-lease vacant spaces. We seek to maintain a mix of strong national, regional, and local retailers. At September 30, 2011, no single tenant accounted for more than 2.6% of annualized base rent.</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current economic environment has impacted the success of our tenants’ retail operations and therefore the amount of rent and expense reimbursements we receive from our tenants. While we believe the locations of our centers and diverse tenant base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mitigates the negative impact of the economic environment, any reduction in our tenants’ abilities to pay base rent, percentage rent or other charges, will adversely affect our financial condition and results of operations. We expect our occupancy rate will decrease in the short term as we seek to re-lease approximately 130,000 square feet of space that became vacant in April and September 2011 due to the rejection of four leases by Borders Group and the rejection of five leases by Blockbuster in their respective bankruptcy proceedings. We are currently working to re-lease the spaces but expect the leasing and final occupancy of the spaces to take several quarters. Since the latter part of 2010, we have seen signs of improvement for some of our tenants as well as increased interest from prospective tenants for our retail spaces; however, there can be no assurance that these positive signs will continue. We continue to monitor our tenants’ operating performances as well as trends in the retail industry to evaluate any future impact.</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September 30, 2011, the leasable square feet in our properties was 92.2% occupied and 93.3%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Rollovers</w:t>
      </w:r>
    </w:p>
    <w:p>
      <w:pPr>
        <w:spacing w:after="0" w:line="9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third quarter 2011, we signed leases for a total of 385,000 square feet of retail space including 353,000 square feet of comparable space leases (leases for which there was a prior tenant) at an average rental increase of 8% on a cash basis and 18% on a straight-line basis. New leases for comparable spaces were signed for 162,000 square feet at an average rental increase of 1% on a cash basis and 10% on a straight-line basis. Renewals for comparable spaces were signed for 191,000 square feet at an average rental increase of 12% on a cash basis and 23% on a straight-line basis.</w:t>
      </w:r>
    </w:p>
    <w:p>
      <w:pPr>
        <w:spacing w:after="0" w:line="10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For the nine months ended September 30, 2011, we signed leases for a total of 1,162,000 square feet of retail space including 1,063,000 square feet of comparable space leases (leases for which there was a prior tenant) at an average rental increase of 8% on a cash basis and 19% on a straight-line basis. New leases for comparable spaces were signed for 443,000 square feet at an average rental increase of 10% on a cash basis and 20% on a straight-line basis. Renewals for comparable spaces were signed for 620,000 square feet at an average rental increase of 7% on a cash basis and 19% on a straight-line basis.</w:t>
      </w:r>
    </w:p>
    <w:p>
      <w:pPr>
        <w:spacing w:after="0" w:line="10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some instances, management exercises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1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leases signed in third quarter 2011 generally become effective over the following two years though some may not become effective until 2014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2011, we expect a similar level of leasing activity compared to prior years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6" w:right="25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OPERATIONS—THREE MONTHS ENDED SEPTEMBER 30, 2011 AND 2010</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129,527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4,487</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(483)</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137,664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133,446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4,218</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15,185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96,022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91,231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4,791</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309</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1,504</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(1,293)</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2,792</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(95.2)%</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14,757</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48,302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31,010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17,292</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47,053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29,640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17,413</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58.7 %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Total property revenue increased $4.2 million, or 3.2%, to $137.7 million in the three months ended September 30, 2011 compared to $133.4 million in the three months ended September 30, 2010. The percentage occupied at our shopping centers decreased to 92.2% for September 30, 2011 compared to 93.3% for September 30, 2010. Changes in the components of property revenue are discussed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$4.5 million, or 3.5%, to $134.0 million in the three months ended September 30, 2011 compared to $129.5 million in the three months ended September 30, 2010 due primarily to the following:</w:t>
      </w:r>
    </w:p>
    <w:p>
      <w:pPr>
        <w:spacing w:after="0" w:line="19" w:lineRule="exact"/>
        <w:rPr>
          <w:sz w:val="20"/>
          <w:szCs w:val="20"/>
          <w:color w:val="auto"/>
        </w:rPr>
      </w:pPr>
    </w:p>
    <w:p>
      <w:pPr>
        <w:ind w:left="1700" w:hanging="801"/>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$2.0 million attributable to properties acquired in 2010 and 2011,</w:t>
      </w:r>
    </w:p>
    <w:p>
      <w:pPr>
        <w:spacing w:after="0" w:line="63" w:lineRule="exact"/>
        <w:rPr>
          <w:rFonts w:ascii="Arial" w:cs="Arial" w:eastAsia="Arial" w:hAnsi="Arial"/>
          <w:sz w:val="18"/>
          <w:szCs w:val="18"/>
          <w:color w:val="auto"/>
        </w:rPr>
      </w:pPr>
    </w:p>
    <w:p>
      <w:pPr>
        <w:ind w:left="1700" w:right="240" w:hanging="801"/>
        <w:spacing w:after="0" w:line="277"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$1.5 million at redevelopment properties due primarily to increased occupancy at certain properties and higher rental rates on new leases, and</w:t>
      </w:r>
    </w:p>
    <w:p>
      <w:pPr>
        <w:spacing w:after="0" w:line="8" w:lineRule="exact"/>
        <w:rPr>
          <w:rFonts w:ascii="Arial" w:cs="Arial" w:eastAsia="Arial" w:hAnsi="Arial"/>
          <w:sz w:val="18"/>
          <w:szCs w:val="18"/>
          <w:color w:val="auto"/>
        </w:rPr>
      </w:pPr>
    </w:p>
    <w:p>
      <w:pPr>
        <w:ind w:left="1700" w:right="80" w:hanging="801"/>
        <w:spacing w:after="0" w:line="277"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$1.1 million at same-center properties due primarily to higher rental rates on new and renewal leases and an increase in percentage rent partially offset by a decrease in recovery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Other property income decreased $0.5 million, or 17.1%, to $2.3 million in the three months ended September 30, 2011 compared to $2.8 million in the three months ended September 30, 2010. Included in other property income are items which, although recurring, tend to fluctuate more than rental income from period to period, such as lease termination fees. This decrease is primarily due to a decrease in lease termination fees at same-center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Total property expenses decreased $0.6 million, or 1.4%, to $41.6 million in the three months ended September 30, 2011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compared to $42.2 million in the three months ended September 30, 2010. Changes in the components of property expenses are discussed below.</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Rental expenses decreased $0.4 million, or 1.6%, to $26.6 million in the three months ended September 30, 2011 compared to $27.0 million in the three months ended September 30, 2010. This decrease is primarily due to the following:</w:t>
      </w:r>
    </w:p>
    <w:p>
      <w:pPr>
        <w:spacing w:after="0" w:line="8" w:lineRule="exact"/>
        <w:rPr>
          <w:sz w:val="20"/>
          <w:szCs w:val="20"/>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$0.6 million in bad debt expense at same-center properties, and</w:t>
      </w:r>
    </w:p>
    <w:p>
      <w:pPr>
        <w:spacing w:after="0" w:line="63" w:lineRule="exact"/>
        <w:rPr>
          <w:rFonts w:ascii="Arial" w:cs="Arial" w:eastAsia="Arial" w:hAnsi="Arial"/>
          <w:sz w:val="18"/>
          <w:szCs w:val="18"/>
          <w:color w:val="auto"/>
        </w:rPr>
      </w:pPr>
    </w:p>
    <w:p>
      <w:pPr>
        <w:ind w:left="1700" w:right="160" w:hanging="801"/>
        <w:spacing w:after="0" w:line="277" w:lineRule="auto"/>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$0.6 million in ground rent due to the fourth quarter 2010 purchases of the fee interest in the land under Pentagon Row and a portion of Bethesda Row,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increase of $0.5 million in marketing expense primarily due to our Assembly Row project and certain same-center properties, and</w:t>
      </w:r>
    </w:p>
    <w:p>
      <w:pPr>
        <w:spacing w:after="0" w:line="86" w:lineRule="exact"/>
        <w:rPr>
          <w:rFonts w:ascii="Arial" w:cs="Arial" w:eastAsia="Arial" w:hAnsi="Arial"/>
          <w:sz w:val="16"/>
          <w:szCs w:val="16"/>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$0.4 million related to properties acquired in 2010 and 2011.</w:t>
      </w:r>
    </w:p>
    <w:p>
      <w:pPr>
        <w:spacing w:after="0" w:line="171" w:lineRule="exact"/>
        <w:rPr>
          <w:sz w:val="20"/>
          <w:szCs w:val="20"/>
          <w:color w:val="auto"/>
        </w:rPr>
      </w:pPr>
    </w:p>
    <w:p>
      <w:pPr>
        <w:jc w:val="both"/>
        <w:ind w:right="240"/>
        <w:spacing w:after="0" w:line="381" w:lineRule="auto"/>
        <w:rPr>
          <w:sz w:val="20"/>
          <w:szCs w:val="20"/>
          <w:color w:val="auto"/>
        </w:rPr>
      </w:pPr>
      <w:r>
        <w:rPr>
          <w:rFonts w:ascii="Arial" w:cs="Arial" w:eastAsia="Arial" w:hAnsi="Arial"/>
          <w:sz w:val="15"/>
          <w:szCs w:val="15"/>
          <w:color w:val="auto"/>
        </w:rPr>
        <w:t>As a result of the changes in rental income, other property income and rental expenses as discussed above, rental expenses as a percentage of rental income plus other property income decreased to 19.5% in the three months ended September 30, 2011 from 20.4% in the three months ended September 30, 2010.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Real estate tax expense decreased $0.1 million, or 0.9% to $15.0 million in the three months ended September 30, 2011 compared to $15.2 million in the three months ended September 30, 2010 due primarily to lower assessments at same-center properties partially offset by properties acquired in 2010 and 2011.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Property operating income increased $4.8 million, or 5.3%, to $96.0 million in the three months ended September 30, 2011 compared to $91.2 million in the three months ended September 30, 2010. This increase is primarily due to growth in earnings at same-center and redevelopment properties and properties acquired in 2010 and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Interest expense decreased $1.5 million, or 5.9%, to $23.8 million in the three months ended September 30, 2011 compared to $25.3 million in the three months ended September 30, 2010. This decrease is due primarily to the following:</w:t>
      </w:r>
    </w:p>
    <w:p>
      <w:pPr>
        <w:spacing w:after="0" w:line="8" w:lineRule="exact"/>
        <w:rPr>
          <w:sz w:val="20"/>
          <w:szCs w:val="20"/>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$1.5 million due to a lower overall weighted average borrowing rate,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$0.6 million in capitalized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$0.6 million due to higher borrowings.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Gross interest costs were $26.0 million and $26.9 million in the three months ended September 30, 2011 and 2010, respectively. Capitalized interest was $2.2 million and $1.6 million in the three months ended September 30, 2011 and 2010,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General and administrative expense increased $1.3 million, or 21.9%, to $7.2 million in the three months ended September 30, 2011 from $5.9 million in the three months ended September 30, 2010. This increase is due primarily to higher personnel related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Depreciation and amortization expense increased $2.6 million, or 9.0%, to $32.1 million in the three months ended September 30, 2011 from $29.4 million in the three months ended September 30, 2010. This increase is due primarily to 2010 and 2011 acquisitions, accelerated depreciation due to the change in use of certain redevelopment buildings, and capital improvements at same-center properties.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Income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from discontinued operations represents the operating income of properties that have been disposed or will be disposed, which is required to be reported separately from results of ongoing operations. The reported operating income of less than $0.1 million and $0.3 million for the three months ended September 30, 2011 and 2010, respectively, primarily represents the operating income for the period during which we owned properties sold/disposed of or held for sale in 2011 and 2010.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Operations—Gain on Sale of Real Estate</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$14.8 million gain on sale of real estate from discontinued operations for the three months ended September 30, 2011 is due to the sale of Feasterville Shopping Center on July 12, 2011.</w:t>
      </w: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126" w:right="4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OPERATIONS—NINE MONTHS ENDED SEPTEMBER 30, 2011 AND 2010</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92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401,452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389,988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11,464</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(4,666)</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411,593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404,463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7,130</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45,040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961</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127,374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284,462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277,089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7,373</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695</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137.4 %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3,097</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(94,355)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(89,224)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(5,131)</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99,388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91,715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7,673</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Discontinued operations - gain on deconsolidation of VIE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13,800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93,932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23,225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112,996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89,974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23,022</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Total property revenue increased $7.1 million, or 1.8%, to $411.6 million in the nine months ended September 30, 2011 compared to $404.5 million in the nine months ended September 30, 2010. The percentage occupied at our shopping centers decreased to 92.2% for September 30, 2011 compared to 93.3% for September 30, 2010. Changes in the components of property revenue are discussed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$11.5 million, or 2.9%, to $401.5 million in the nine months ended September 30, 2011 compared to $390.0 million in the nine months ended September 30, 2010 due primarily to the following:</w:t>
      </w:r>
    </w:p>
    <w:p>
      <w:pPr>
        <w:spacing w:after="0" w:line="19" w:lineRule="exact"/>
        <w:rPr>
          <w:sz w:val="20"/>
          <w:szCs w:val="20"/>
          <w:color w:val="auto"/>
        </w:rPr>
      </w:pPr>
    </w:p>
    <w:p>
      <w:pPr>
        <w:ind w:left="1700" w:hanging="801"/>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$5.9 million attributable to properties acquired in 2010 and 2011,</w:t>
      </w:r>
    </w:p>
    <w:p>
      <w:pPr>
        <w:spacing w:after="0" w:line="63" w:lineRule="exact"/>
        <w:rPr>
          <w:rFonts w:ascii="Arial" w:cs="Arial" w:eastAsia="Arial" w:hAnsi="Arial"/>
          <w:sz w:val="18"/>
          <w:szCs w:val="18"/>
          <w:color w:val="auto"/>
        </w:rPr>
      </w:pPr>
    </w:p>
    <w:p>
      <w:pPr>
        <w:ind w:left="1700" w:right="240" w:hanging="801"/>
        <w:spacing w:after="0" w:line="277"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$3.8 million at redevelopment properties due primarily to increased occupancy at certain properties and higher rental rates on new leases, and</w:t>
      </w:r>
    </w:p>
    <w:p>
      <w:pPr>
        <w:spacing w:after="0" w:line="8" w:lineRule="exact"/>
        <w:rPr>
          <w:rFonts w:ascii="Arial" w:cs="Arial" w:eastAsia="Arial" w:hAnsi="Arial"/>
          <w:sz w:val="18"/>
          <w:szCs w:val="18"/>
          <w:color w:val="auto"/>
        </w:rPr>
      </w:pPr>
    </w:p>
    <w:p>
      <w:pPr>
        <w:ind w:left="1700" w:right="80" w:hanging="801"/>
        <w:spacing w:after="0" w:line="277"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$1.7 million at same-center properties due primarily to higher rental rates on new and renewal leases and an increase in percentage rent partially offset by lower recoveries.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property income decreased $4.7 million, or 41.5%, to $6.6 million in the nine months ended September 30, 2011 compared to $11.2 million in the nine months ended September 30, 2010. Included in other property income are items which, although recurring, tend to fluctuate more than rental income from period to period, such as lease termination fees. This decrease is primarily due to a decrease in lease termination fees at same-center and redevelopment properties.</w:t>
      </w:r>
    </w:p>
    <w:p>
      <w:pPr>
        <w:sectPr>
          <w:pgSz w:w="11900" w:h="16838" w:orient="portrait"/>
          <w:cols w:equalWidth="0" w:num="1">
            <w:col w:w="11420"/>
          </w:cols>
          <w:pgMar w:left="240" w:top="12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6" w:right="23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property expenses decreased $0.2 million, or 0.2%, to $127.1 million in the nine months ended September 30, 2011 compared to $127.4 million in the nine months ended September 30, 2010.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Rental expenses decreased $1.2 million, or 1.5%, to $81.1 million in the nine months ended September 30, 2011 compared to $82.3 million in the nine months ended September 30, 2010. This decrease is primarily due to the following:</w:t>
      </w:r>
    </w:p>
    <w:p>
      <w:pPr>
        <w:spacing w:after="0" w:line="8" w:lineRule="exact"/>
        <w:rPr>
          <w:sz w:val="20"/>
          <w:szCs w:val="20"/>
          <w:color w:val="auto"/>
        </w:rPr>
      </w:pPr>
    </w:p>
    <w:p>
      <w:pPr>
        <w:ind w:left="1700" w:hanging="801"/>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$2.8 million in bad debt expense at same-center and redevelopment properties, and</w:t>
      </w:r>
    </w:p>
    <w:p>
      <w:pPr>
        <w:spacing w:after="0" w:line="63" w:lineRule="exact"/>
        <w:rPr>
          <w:rFonts w:ascii="Arial" w:cs="Arial" w:eastAsia="Arial" w:hAnsi="Arial"/>
          <w:sz w:val="18"/>
          <w:szCs w:val="18"/>
          <w:color w:val="auto"/>
        </w:rPr>
      </w:pPr>
    </w:p>
    <w:p>
      <w:pPr>
        <w:ind w:left="1700" w:right="140" w:hanging="801"/>
        <w:spacing w:after="0" w:line="277"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$1.7 million in ground rent due to the fourth quarter 2010 purchases of the fee interest in the land under Pentagon Row and a portion of Bethesda Row,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360" w:hanging="80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$1.5 million in marketing expense primarily due to our Assembly Row project and redevelopment and same-center properties,</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$1.3 million related to properties acquired in 2010 and 2011, and</w:t>
      </w:r>
    </w:p>
    <w:p>
      <w:pPr>
        <w:spacing w:after="0" w:line="63" w:lineRule="exact"/>
        <w:rPr>
          <w:rFonts w:ascii="Arial" w:cs="Arial" w:eastAsia="Arial" w:hAnsi="Arial"/>
          <w:sz w:val="18"/>
          <w:szCs w:val="18"/>
          <w:color w:val="auto"/>
        </w:rPr>
      </w:pPr>
    </w:p>
    <w:p>
      <w:pPr>
        <w:ind w:left="1700" w:right="360" w:hanging="80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$0.8 million in other operating costs at same-center and redevelopment properties primarily due to higher legal and demolition costs.</w:t>
      </w:r>
    </w:p>
    <w:p>
      <w:pPr>
        <w:spacing w:after="0" w:line="116"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color w:val="auto"/>
        </w:rPr>
        <w:t>As a result of the changes in rental income, other property income and rental expenses as discussed above, rental expenses as a percentage of rental income plus other property income decreased to 19.9% in the nine months ended September 30, 2011 from 20.5% in the nine months ended September 30, 2010.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Real estate tax expense increased $1.0 million, or 2.1% to $46.0 million in the nine months ended September 30, 2011 compared to $45.0 million in the nine months ended September 30, 2010 due primarily to properties acquired in 2010 and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Property operating income increased $7.4 million, or 2.7%, to $284.5 million in the nine months ended September 30, 2011 compared to $277.1 million in the nine months ended September 30, 2010. This increase is primarily due to growth in earnings at same-center and redevelopment properties and properties acquired in 2010 and 2011 partially offset by a decrease in lease termination fees at redevelopment properties.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Real Estate Partnerships</w:t>
      </w:r>
    </w:p>
    <w:p>
      <w:pPr>
        <w:spacing w:after="0" w:line="9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Income from real estate partnerships increased $0.7 million, or 137.4%, to $1.2 million in the nine months ended September 30, 2011 compared to $0.5 million in the nine months ended September 30, 2010. This increase is primarily due to $0.4 million of formation and acquisition related expenses from our Newbury Street Partnership in 2010.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Interest expense decreased $3.9 million, or 5.1%, to $72.7 million in the nine months ended September 30, 2011 compared to $76.7 million in the nine months ended September 30, 2010. This decrease is due primarily to the following:</w:t>
      </w:r>
    </w:p>
    <w:p>
      <w:pPr>
        <w:spacing w:after="0" w:line="8" w:lineRule="exact"/>
        <w:rPr>
          <w:sz w:val="20"/>
          <w:szCs w:val="20"/>
          <w:color w:val="auto"/>
        </w:rPr>
      </w:pPr>
    </w:p>
    <w:p>
      <w:pPr>
        <w:ind w:left="1700" w:hanging="80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$6.2 million due to a lower overall weighted average borrowing rate,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$1.2 million in capitalized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$3.5 million due to higher borrowings.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interest costs were $78.6 million and $81.3 million in the nine months ended September 30, 2011 and 2010, respectively. Capitalized interest was $5.8 million and $4.6 million in the nine months ended September 30, 2011 and 2010,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$0.3 million of income from early extinguishment of debt in the nine months ended September 30, 2011 is due to the write-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6" w:right="25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2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off of unamortized debt premium net of a 3.0% prepayment premium and unamortized debt fees related to the payoff of our mortgage loan on Tower Shops prior to its contractual prepayment date. The $2.8 million early extinguishment of debt expense in the nine months ended September 30, 2010 is due to the write-off of unamortized debt fees related to the $250.0 million payoff of the term loan prior to its maturity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General and administrative expense increased $2.2 million, or 12.8%, to $19.6 million in the nine months ended September 30, 2011 from $17.4 million in the nine months ended September 30, 2010. This increase is due primarily to higher personnel related costs, higher acquisition costs as a result of expensing all transaction costs on higher acquisitions volume partially offset by lower legal fees primarily as a result of litigation regarding certain rights to acquire the land under Pentagon Row which was fully resolved in fourth quarter 2010.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and amortization expense increased $5.1 million, or 5.8%, to $94.4 million in the nine months ended September 30, 2011 from $89.2 million in the nine months ended September 30, 2010. This increase is due primarily to 2010 and 2011 acquisitions, accelerated depreciation due to the change in use of certain redevelopment buildings, and capital improvements at same-center and redevelopment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Income</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Income from discontinued operations represents the operating income of properties that have been disposed or will be disposed, which is required to be reported separately from results of ongoing operations. The reported operating income of $0.9 million and $0.8 million for the nine months ended September 30, 2011 and 2010, respectively, primarily represents the operating income for the period during which we owned properties sold/disposed of or held for sale in 2011 and 2010.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Gain on Deconsolidation of VIE</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$2.0 million gain on deconsolidation of VIE for the nine months ended September 30, 2011, is the result of the refinancing of a mortgage note receivable on a shopping center in Norwalk, Connecticut, resulting in us no longer being the primary beneficiary of the VIE. See Note 4 to the consolidated financial statements for further discussion of this transaction.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Operations—Gain on Sale of Real Estate</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$14.8 million gain on sale of real estate from discontinued operations for the nine months ended September 30, 2011 relates to the sale of Feasterville Shopping Center on July 12, 2011. The $1.0 million gain on sale of real estate from discontinued operations for the nine months ended September 30, 2010 relates to the final settlement reached with the contractors responsible for performing defective work in previous years related to the work done in connection with the sale of certain condominium units at Santana Row.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$0.4 million gain on sale of real estate for the nine months ended September 30, 2010 is due to condemnation proceeds, net of costs, at one of our Northern Virginia properties in order to expand a local road.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May 2011, the FASB issued Accounting Standards Update (“ASU”) 2011-04, “Fair Value Measurement (Topic 820): Amendments to Achieve Common Fair Value Measurement and Disclosure Requirements in U.S. GAAP and IFRSs.” The pronouncement was issued to provide a uniform framework for fair value measurements and related disclosures between U.S. GAAP and International Financial Reporting Standards (“IFRS”). ASU 2011-04 changes certain fair value measurement principles and enhances the disclosure requirements particularly for level 3 fair value measurements. This pronouncement is effective for us in the first quarter of 2012 and is not expected to have a significant impact to our consolidated financial statements.</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June 2011, the FASB issued ASU 2011-05, “Comprehensive Income (Topic 220): Presentation of Comprehensive Income.” ASU 2011-05 eliminates the option to present components of other comprehensive income as part of the statement of shareholders’ equity and requires the presentation of components of net income and components of other comprehensive income either in a single continuous statement of comprehensive income or in two separate but consecutive statements. This pronouncement is effective for us in the first quarter of 2012 and will not have a significant impact to our consolidated financial statements.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6" w:right="29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February 24, 2011, we entered into an ATM equity program in which we may from time to time offer and sell common shares having an aggregate offering price of up to $300.0 million. Through September 30, 2011, we have issued 1,662,038 common shares for net cash proceeds of $139.3 million under the program.</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and cash equivalents increased $6.3 million to $22.1 million at September 30, 2011; however, cash and cash equivalents are not the only indicator of our liquidity. We also have a $400.0 million unsecured revolving credit facility which had an outstanding balance of $158.0 million at September 30, 2011. In addition, we have an option to increase the credit facility through an accordion feature to $800 million.</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nine months ended September 30, 2011, the maximum amount of borrowings outstanding under our revolving credit facility was $265.0 million, the weighted average amount of borrowings outstanding was $186.0 million and the weighted average interest rate, before amortization of debt fees, was 0.89%. Also, as of September 30, 2011, we had the capacity to issue up to $158.3 million in common shares under our ATM equity program. As of September 30, 2011, we have no debt maturities related to mortgages payable or senior notes and debentures during the remainder of 2011. We currently believe that cash flows from operations, cash on hand, our ATM equity program and our revolving credit facility will be sufficient to finance our operations and fund our capital expenditures.</w:t>
      </w:r>
    </w:p>
    <w:p>
      <w:pPr>
        <w:spacing w:after="0" w:line="13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Our overall capital requirements during the remainder of 2011 will depend upon acquisition opportunities, the level of improvements and redevelopments on existing properties and the timing and cost of development of Assembly Row and future phases of existing properties. While the amount of future expenditures will depend on numerous factors, we expect to incur at least similar levels of capital expenditures in 2011 compared to prior periods which will be funded on a short-term basis with cash flow from operations, cash on hand, our revolving credit facility and/or shares issued under our ATM equity program, and on a long-term basis, with long-term debt or equity. If necessary, we may access the debt or equity capital markets to finance significant acquisitions. Given our past success as well as the status of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172,951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179,685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(101,313)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(111,305)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(65,365)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(194,595)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6,273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(126,215)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15,797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135,389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22,070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9,174</w:t>
            </w: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Net cash provided by operating activities decreased $6.7 million to $173.0 million during the nine months ended September 30, 2011 from $179.7 million during the nine months ended September 30, 2010. The decrease was primarily attributable to the $16.2 million payment of the final judgment related to a previously disclosed lawsuit offset by higher net income before certain non-cash items.</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used in investing activities decreased $10.0 million to $101.3 million during the nine months ended September 30, 2011 from $111.3 million during the nine months ended September 30, 2010. The decrease was primarily attributable to:</w:t>
      </w:r>
    </w:p>
    <w:p>
      <w:pPr>
        <w:spacing w:after="0" w:line="8" w:lineRule="exact"/>
        <w:rPr>
          <w:sz w:val="20"/>
          <w:szCs w:val="20"/>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$20.7 million in proceeds from sales of real estate primarily from the sale of Feasterville Shopping Center in July 2011,</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$10.5 million acquisition of a first mortgage loan in March 2010,</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$10.0 million decrease in contributions to the Newbury Street Partnership due to the $16.7 million initial investment in 2010, and</w:t>
      </w:r>
    </w:p>
    <w:p>
      <w:pPr>
        <w:spacing w:after="0" w:line="74" w:lineRule="exact"/>
        <w:rPr>
          <w:rFonts w:ascii="Arial" w:cs="Arial" w:eastAsia="Arial" w:hAnsi="Arial"/>
          <w:sz w:val="17"/>
          <w:szCs w:val="17"/>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$8.7 million payment received in June 2011 related to the refinancing of a mortgage loan receivable,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$32.7 million increase in capital investments,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$8.7 million increase in acquisitions of real estate.</w:t>
      </w:r>
    </w:p>
    <w:p>
      <w:pPr>
        <w:spacing w:after="0" w:line="200" w:lineRule="exact"/>
        <w:rPr>
          <w:sz w:val="20"/>
          <w:szCs w:val="20"/>
          <w:color w:val="auto"/>
        </w:rPr>
      </w:pPr>
    </w:p>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cash used in financing activities decreased $129.2 million to $65.4 million during the nine months ended September 30, 2011 from $194.6 million during the nine months ended September 30, 2010. The decrease was primarily attributable to:</w:t>
      </w:r>
    </w:p>
    <w:p>
      <w:pPr>
        <w:spacing w:after="0" w:line="8" w:lineRule="exact"/>
        <w:rPr>
          <w:sz w:val="20"/>
          <w:szCs w:val="20"/>
          <w:color w:val="auto"/>
        </w:rPr>
      </w:pPr>
    </w:p>
    <w:p>
      <w:pPr>
        <w:ind w:left="1700" w:right="100" w:hanging="801"/>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$170.4 million decrease in repayment of mortgages, capital leases and notes payable due substantially to the $250.0 million payoff of our term loan in 2010 offset by the payoff of two mortgages totaling $37.4 million in 2011,</w:t>
      </w:r>
    </w:p>
    <w:p>
      <w:pPr>
        <w:spacing w:after="0" w:line="8" w:lineRule="exact"/>
        <w:rPr>
          <w:rFonts w:ascii="Arial" w:cs="Arial" w:eastAsia="Arial" w:hAnsi="Arial"/>
          <w:sz w:val="18"/>
          <w:szCs w:val="18"/>
          <w:color w:val="auto"/>
        </w:rPr>
      </w:pPr>
    </w:p>
    <w:p>
      <w:pPr>
        <w:ind w:left="1700" w:right="140" w:hanging="801"/>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$147.8 million increase in net proceeds from the issuance of common shares due primarily to the sale of 1.7 million shares under our ATM equity program entered into in February 2011, and</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$50.3 million increase in net borrowings on our revolving credit facility, net of financing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82"/>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$148.5 million in net proceeds from the issuance of 5.90% senior notes in March 2010 and no issuances in 2011,</w:t>
      </w:r>
    </w:p>
    <w:p>
      <w:pPr>
        <w:spacing w:after="0" w:line="63" w:lineRule="exact"/>
        <w:rPr>
          <w:rFonts w:ascii="Arial" w:cs="Arial" w:eastAsia="Arial" w:hAnsi="Arial"/>
          <w:sz w:val="18"/>
          <w:szCs w:val="18"/>
          <w:color w:val="auto"/>
        </w:rPr>
      </w:pPr>
    </w:p>
    <w:p>
      <w:pPr>
        <w:ind w:left="1700" w:hanging="882"/>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$75.0 million repayment of 4.50% senior notes in February 2011, and</w:t>
      </w:r>
    </w:p>
    <w:p>
      <w:pPr>
        <w:spacing w:after="0" w:line="63" w:lineRule="exact"/>
        <w:rPr>
          <w:rFonts w:ascii="Arial" w:cs="Arial" w:eastAsia="Arial" w:hAnsi="Arial"/>
          <w:sz w:val="18"/>
          <w:szCs w:val="18"/>
          <w:color w:val="auto"/>
        </w:rPr>
      </w:pPr>
    </w:p>
    <w:p>
      <w:pPr>
        <w:ind w:left="1700" w:hanging="882"/>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$10.0 million in public funding received for the development at Assembly Row in April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September 30, 2011, the Partnership owned seven retail real estate properties. We are the manager of the Partnership and its properties, earning fees for acquisitions, management, leasing and financing. We also have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6" w:right="2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September 30, 2011, our investment in the Partnership was $35.0 million and the Partnership had approximately $57.4 million of mortgages payable outstanding. Our share of principal and interest payments is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5"/>
          </w:tcPr>
          <w:p>
            <w:pPr>
              <w:jc w:val="center"/>
              <w:ind w:right="122"/>
              <w:spacing w:after="0"/>
              <w:rPr>
                <w:sz w:val="20"/>
                <w:szCs w:val="20"/>
                <w:color w:val="auto"/>
              </w:rPr>
            </w:pPr>
            <w:r>
              <w:rPr>
                <w:rFonts w:ascii="Arial" w:cs="Arial" w:eastAsia="Arial" w:hAnsi="Arial"/>
                <w:sz w:val="14"/>
                <w:szCs w:val="14"/>
                <w:b w:val="1"/>
                <w:bCs w:val="1"/>
                <w:color w:val="auto"/>
                <w:w w:val="93"/>
              </w:rPr>
              <w:t>Joint Venture Commitments Due by Period</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1060" w:type="dxa"/>
            <w:vAlign w:val="bottom"/>
          </w:tcPr>
          <w:p>
            <w:pPr>
              <w:jc w:val="center"/>
              <w:ind w:right="144"/>
              <w:spacing w:after="0" w:line="153" w:lineRule="exact"/>
              <w:rPr>
                <w:sz w:val="20"/>
                <w:szCs w:val="20"/>
                <w:color w:val="auto"/>
              </w:rPr>
            </w:pPr>
            <w:r>
              <w:rPr>
                <w:rFonts w:ascii="Arial" w:cs="Arial" w:eastAsia="Arial" w:hAnsi="Arial"/>
                <w:sz w:val="14"/>
                <w:szCs w:val="14"/>
                <w:b w:val="1"/>
                <w:bCs w:val="1"/>
                <w:color w:val="auto"/>
                <w:w w:val="92"/>
              </w:rPr>
              <w:t>Less Than</w:t>
            </w:r>
          </w:p>
        </w:tc>
        <w:tc>
          <w:tcPr>
            <w:tcW w:w="240" w:type="dxa"/>
            <w:vAlign w:val="bottom"/>
          </w:tcPr>
          <w:p>
            <w:pPr>
              <w:spacing w:after="0"/>
              <w:rPr>
                <w:sz w:val="13"/>
                <w:szCs w:val="13"/>
                <w:color w:val="auto"/>
              </w:rPr>
            </w:pPr>
          </w:p>
        </w:tc>
        <w:tc>
          <w:tcPr>
            <w:tcW w:w="1120" w:type="dxa"/>
            <w:vAlign w:val="bottom"/>
          </w:tcPr>
          <w:p>
            <w:pPr>
              <w:jc w:val="center"/>
              <w:ind w:right="84"/>
              <w:spacing w:after="0" w:line="153" w:lineRule="exact"/>
              <w:rPr>
                <w:sz w:val="20"/>
                <w:szCs w:val="20"/>
                <w:color w:val="auto"/>
              </w:rPr>
            </w:pPr>
            <w:r>
              <w:rPr>
                <w:rFonts w:ascii="Arial" w:cs="Arial" w:eastAsia="Arial" w:hAnsi="Arial"/>
                <w:sz w:val="14"/>
                <w:szCs w:val="14"/>
                <w:b w:val="1"/>
                <w:bCs w:val="1"/>
                <w:color w:val="auto"/>
                <w:w w:val="98"/>
              </w:rPr>
              <w:t>1-3</w:t>
            </w:r>
          </w:p>
        </w:tc>
        <w:tc>
          <w:tcPr>
            <w:tcW w:w="380" w:type="dxa"/>
            <w:vAlign w:val="bottom"/>
          </w:tcPr>
          <w:p>
            <w:pPr>
              <w:spacing w:after="0"/>
              <w:rPr>
                <w:sz w:val="13"/>
                <w:szCs w:val="13"/>
                <w:color w:val="auto"/>
              </w:rPr>
            </w:pPr>
          </w:p>
        </w:tc>
        <w:tc>
          <w:tcPr>
            <w:tcW w:w="980" w:type="dxa"/>
            <w:vAlign w:val="bottom"/>
          </w:tcPr>
          <w:p>
            <w:pPr>
              <w:jc w:val="right"/>
              <w:ind w:right="462"/>
              <w:spacing w:after="0" w:line="153" w:lineRule="exact"/>
              <w:rPr>
                <w:sz w:val="20"/>
                <w:szCs w:val="20"/>
                <w:color w:val="auto"/>
              </w:rPr>
            </w:pPr>
            <w:r>
              <w:rPr>
                <w:rFonts w:ascii="Arial" w:cs="Arial" w:eastAsia="Arial" w:hAnsi="Arial"/>
                <w:sz w:val="14"/>
                <w:szCs w:val="14"/>
                <w:b w:val="1"/>
                <w:bCs w:val="1"/>
                <w:color w:val="auto"/>
              </w:rPr>
              <w:t>3-5</w:t>
            </w:r>
          </w:p>
        </w:tc>
        <w:tc>
          <w:tcPr>
            <w:tcW w:w="360" w:type="dxa"/>
            <w:vAlign w:val="bottom"/>
          </w:tcPr>
          <w:p>
            <w:pPr>
              <w:spacing w:after="0"/>
              <w:rPr>
                <w:sz w:val="13"/>
                <w:szCs w:val="13"/>
                <w:color w:val="auto"/>
              </w:rPr>
            </w:pPr>
          </w:p>
        </w:tc>
        <w:tc>
          <w:tcPr>
            <w:tcW w:w="100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4"/>
              </w:rPr>
              <w:t>After 5</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5"/>
              </w:rPr>
              <w:t>1 Year</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Years</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9"/>
              </w:rPr>
              <w:t>Years</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rate debt (principal and interest)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21,322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1,056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5,634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14,632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May 2010, we formed Taurus Newbury Street JV II Limited Partnership (“Newbury Street Partnership”), a joint venture with an affiliate of Taurus Investment Holdings, LLC (“Taurus”), to acquire, operate and redevelop properties located primarily in the Back Bay section of Boston, Massachusetts. We hold an 85% limited partnership interest in Newbury Street Partnership and Taurus holds a 15% limited partnership interest and serves as general partner. As general partner, Taurus is responsible for the operation and management of the properties, subject to our approval on major decisions. We have evaluated the entity and determined that it is not a VIE. Accordingly, given Taurus’ role as general partner, we account for our interest in Newbury Street Partnership using the equity method. Accounting policies for the Newbury Street Partnership are similar to accounting policies followed by the Trust. The entity is subject to a buy-sell provision which is customary for real estate joint venture agreements and the industry. The buy-sell can be exercised only in certain circumstances through May 2014 and may be initiated by either party at anytime thereafter which could result in either the sale of our interest or the use of available cash or borrowings to acquire Taurus’ interest.</w:t>
      </w:r>
    </w:p>
    <w:p>
      <w:pPr>
        <w:spacing w:after="0" w:line="12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September 30, 2011, Newbury Street Partnership owned three buildings all located on Newbury Street with a total of approximately 41,000 square feet of mixed-use gross leasable area. We had invested approximately $23.7 million in Newbury Street Partnership including $11.8 million in mortgage loans at September 30, 2011. The mortgage loans are secured by the three buildings, bear interest at LIBOR plus 400 basis points and mature on May 25, 2012, subject to a one-year extension option.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6" w:right="2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2011: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8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4"/>
                <w:szCs w:val="14"/>
                <w:color w:val="auto"/>
              </w:rPr>
            </w:pPr>
          </w:p>
        </w:tc>
        <w:tc>
          <w:tcPr>
            <w:tcW w:w="15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1"/>
              </w:rPr>
              <w:t>Principal Balance as of</w:t>
            </w:r>
          </w:p>
        </w:tc>
        <w:tc>
          <w:tcPr>
            <w:tcW w:w="1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4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6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6"/>
                <w:szCs w:val="16"/>
                <w:color w:val="auto"/>
              </w:rPr>
            </w:pPr>
          </w:p>
        </w:tc>
        <w:tc>
          <w:tcPr>
            <w:tcW w:w="1560" w:type="dxa"/>
            <w:vAlign w:val="bottom"/>
          </w:tcPr>
          <w:p>
            <w:pPr>
              <w:jc w:val="right"/>
              <w:ind w:right="159"/>
              <w:spacing w:after="0"/>
              <w:rPr>
                <w:sz w:val="20"/>
                <w:szCs w:val="20"/>
                <w:color w:val="auto"/>
              </w:rPr>
            </w:pPr>
            <w:r>
              <w:rPr>
                <w:rFonts w:ascii="Arial" w:cs="Arial" w:eastAsia="Arial" w:hAnsi="Arial"/>
                <w:sz w:val="14"/>
                <w:szCs w:val="14"/>
                <w:b w:val="1"/>
                <w:bCs w:val="1"/>
                <w:color w:val="auto"/>
                <w:w w:val="99"/>
              </w:rPr>
              <w:t>September 30, 2011</w:t>
            </w:r>
          </w:p>
        </w:tc>
        <w:tc>
          <w:tcPr>
            <w:tcW w:w="12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2011</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160" w:type="dxa"/>
            <w:vAlign w:val="bottom"/>
            <w:tcBorders>
              <w:top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 (1)</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Courtyard Shops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7,108</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2012</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Bethesda Row</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19,993</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 2013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Bethesda Row</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February 1, 2013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White Marsh Plaza (2)</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9,360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April 1, 2013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Crow Canyon</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20,065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11, 2013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Idylwood Plaza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16,910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16,345</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Leesburg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29,423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28,440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Loehmann’s Plaza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38,047</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36,776</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Pentagon Row</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54,619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52,794</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Melville Mall (3)</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22,515</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September 1,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56,909</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Barracks Road</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44,300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39,215</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Hauppauge</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16,700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14,783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Lawrence Park</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31,400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27,796</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Wildwood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27,600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24,432</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Wynnewood</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32,000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28,327</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Brick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33,000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28,929</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Rollingwood Apartments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24,050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23,322</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Shoppers’ World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5,482</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Mount Vernon (4)</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13,250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10,652</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April 15, 2028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Chelsea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7,670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484,966</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discount</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Total mortgages payable</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484,502</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 (5)</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15,308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10,832</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2013</w:t>
            </w: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Revolving credit facility (6)</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158,000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LIBOR + 1.15%</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6,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Escondido (Municipal bonds) (7)</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9,400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178,232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6.00%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175,000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July 15, 2012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5.40%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135,000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2013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5.95%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5.65%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6.20%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5.90%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7.48% debentures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1,004,200</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premium</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Total senior notes and debentures</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1,004,686</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600"/>
              <w:spacing w:after="0"/>
              <w:rPr>
                <w:sz w:val="20"/>
                <w:szCs w:val="20"/>
                <w:color w:val="auto"/>
              </w:rPr>
            </w:pPr>
            <w:r>
              <w:rPr>
                <w:rFonts w:ascii="Arial" w:cs="Arial" w:eastAsia="Arial" w:hAnsi="Arial"/>
                <w:sz w:val="16"/>
                <w:szCs w:val="16"/>
                <w:color w:val="auto"/>
              </w:rPr>
              <w:t>Various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63,455</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Various</w:t>
            </w:r>
          </w:p>
        </w:tc>
        <w:tc>
          <w:tcPr>
            <w:tcW w:w="216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1,730,875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6" w:right="239" w:bottom="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02" w:lineRule="exact"/>
        <w:rPr>
          <w:sz w:val="20"/>
          <w:szCs w:val="20"/>
          <w:color w:val="auto"/>
        </w:rPr>
      </w:pPr>
    </w:p>
    <w:p>
      <w:pPr>
        <w:jc w:val="both"/>
        <w:ind w:left="660" w:right="240" w:hanging="652"/>
        <w:spacing w:after="0" w:line="317"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Mortgages payable do not include our 30% share ($17.2 million) of the $57.4 million debt of the partnership with a discretionary fund created and advised by ING Clarion Partners. It also excludes $11.8 million in mortgage loans on our Newbury Street Partnership for which we are the lender.</w:t>
      </w:r>
    </w:p>
    <w:p>
      <w:pPr>
        <w:ind w:left="660" w:right="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loans secured by this property. The loan balance represents an interest only loan of $4.4 million at a stated rate of 6.18% and the remaining balance at a stated rate of 5.96%.</w:t>
      </w:r>
    </w:p>
    <w:p>
      <w:pPr>
        <w:spacing w:after="0" w:line="8" w:lineRule="exact"/>
        <w:rPr>
          <w:rFonts w:ascii="Arial" w:cs="Arial" w:eastAsia="Arial" w:hAnsi="Arial"/>
          <w:sz w:val="18"/>
          <w:szCs w:val="18"/>
          <w:color w:val="auto"/>
        </w:rPr>
      </w:pPr>
    </w:p>
    <w:p>
      <w:pPr>
        <w:ind w:left="660" w:right="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9"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 time thereafter.</w:t>
      </w:r>
    </w:p>
    <w:p>
      <w:pPr>
        <w:spacing w:after="0" w:line="8" w:lineRule="exact"/>
        <w:rPr>
          <w:rFonts w:ascii="Arial" w:cs="Arial" w:eastAsia="Arial" w:hAnsi="Arial"/>
          <w:sz w:val="18"/>
          <w:szCs w:val="18"/>
          <w:color w:val="auto"/>
        </w:rPr>
      </w:pPr>
    </w:p>
    <w:p>
      <w:pPr>
        <w:ind w:left="660" w:right="32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rate of 3.32% represents the weighted average interest rate for three unsecured fixed rate notes payable. These notes mature between April 1, 2012 and January 31, 2013.</w:t>
      </w:r>
    </w:p>
    <w:p>
      <w:pPr>
        <w:spacing w:after="0" w:line="8" w:lineRule="exact"/>
        <w:rPr>
          <w:rFonts w:ascii="Arial" w:cs="Arial" w:eastAsia="Arial" w:hAnsi="Arial"/>
          <w:sz w:val="18"/>
          <w:szCs w:val="18"/>
          <w:color w:val="auto"/>
        </w:rPr>
      </w:pPr>
    </w:p>
    <w:p>
      <w:pPr>
        <w:ind w:left="660" w:right="40" w:hanging="652"/>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maximum amount drawn under our revolving credit facility during the three and nine months ended September 30, 2011 was $219.0 million and $265.0 million, respectively. The weighted average effective interest rate on borrowings under our revolving credit facility, before amortization of debt fees, was 1.31% and 0.89% for the three and nine months ended September 30, 2011, respectively.</w:t>
      </w:r>
    </w:p>
    <w:p>
      <w:pPr>
        <w:spacing w:after="0" w:line="3" w:lineRule="exact"/>
        <w:rPr>
          <w:rFonts w:ascii="Arial" w:cs="Arial" w:eastAsia="Arial" w:hAnsi="Arial"/>
          <w:sz w:val="17"/>
          <w:szCs w:val="17"/>
          <w:color w:val="auto"/>
        </w:rPr>
      </w:pPr>
    </w:p>
    <w:p>
      <w:pPr>
        <w:ind w:left="660" w:right="44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9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revolving credit facility and other debt agreements include financial and other covenants that may limit our operating activities in the future. As of September 30, 2011,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September 30, 2011:</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2,802</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185,727</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17,380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204,621</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135,030</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208,761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150,000</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156,364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308,105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158,000</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363,265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553,600</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33,355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56,344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643,299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1,182,432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484,966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63,455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1,730,853</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$400.0 million revolving credit facility matures on July 6, 2015, subject to a one-year extension at our option. As of September 30, 2011, there was $158.0 million drawn under this credit facility.</w:t>
      </w:r>
    </w:p>
    <w:p>
      <w:pPr>
        <w:spacing w:after="0" w:line="8"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September 30, 2011.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6" w:right="2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had no hedging instruments outstanding during the three and nine months ended September 30, 2011. 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460" w:hanging="801"/>
        <w:spacing w:after="0" w:line="277"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6" w:right="2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25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48,302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117,157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93,932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on deconsolidation of VIE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84,723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80,375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7,737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7,226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Funds from operations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64,097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58,928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189,934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177,229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63,925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58,842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189,468</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176,969</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diluted (1)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63,350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61,729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61,667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1"/>
              </w:rPr>
              <w:t>Funds from operations available for common shareholders, per diluted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562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60" w:hanging="652"/>
        <w:spacing w:after="0" w:line="31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2011 and 2010, 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September 30, 2011, we were not party to any open derivative financial instruments. 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September 30, 2011, we had $1.5 billion of fixed-rate debt outstanding and $63.5 million of capital lease obligations. If market interest rates used to calculate the fair value on our fixed-rate debt instruments at September 30, 2011 had been 1.0% higher, the fair value of those debt instruments on that date would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6" w:right="2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have decreased by approximately $58.2 million. If market interest rates used to calculate the fair value on our fixed-rate debt instruments at September 30, 2011 had been 1.0% lower, the fair value of those debt instruments on that date would have increased by approximately $61.9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variable rate debt. At September 30, 2011, we had $167.4 million of variable rate debt outstanding which consisted of $158.0 million outstanding on our revolving credit facility and $9.4 million of municipal bonds. Based upon this amount of variable rate debt and the specific terms, if market interest rates increased 1.0%, our annual interest expense would increase by approximately $1.7 million, and our net income and cash flows for the year would decrease by approximately $1.7 million. Conversely, if market interest rates decreased 1.0%, our annual interest expense would decrease by approximately $0.3 million with a corresponding increase in our net income and cash flows for the year.</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September 30, 2011. Based on this evaluation, our management, including our Chief Executive Officer and Chief Financial Officer, concluded that our disclosure controls and procedures were effective as of September 30, 2011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2010 filed with the SEC on February 15, 2011. These factors include, but are not limited to, the following:</w:t>
      </w:r>
    </w:p>
    <w:p>
      <w:pPr>
        <w:spacing w:after="0" w:line="8" w:lineRule="exact"/>
        <w:rPr>
          <w:sz w:val="20"/>
          <w:szCs w:val="20"/>
          <w:color w:val="auto"/>
        </w:rPr>
      </w:pPr>
    </w:p>
    <w:p>
      <w:pPr>
        <w:ind w:left="1700" w:right="60" w:hanging="801"/>
        <w:spacing w:after="0" w:line="277"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8" w:lineRule="exact"/>
        <w:rPr>
          <w:rFonts w:ascii="Arial" w:cs="Arial" w:eastAsia="Arial" w:hAnsi="Arial"/>
          <w:sz w:val="18"/>
          <w:szCs w:val="18"/>
          <w:color w:val="auto"/>
        </w:rPr>
      </w:pPr>
    </w:p>
    <w:p>
      <w:pPr>
        <w:ind w:left="1700" w:right="20" w:hanging="801"/>
        <w:spacing w:after="0" w:line="264"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40" w:hanging="801"/>
        <w:spacing w:after="0" w:line="277"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partnerships;</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20" w:hanging="807"/>
        <w:spacing w:after="0" w:line="277" w:lineRule="auto"/>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right="180" w:hanging="807"/>
        <w:spacing w:after="0" w:line="277" w:lineRule="auto"/>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costs associated with the periodic maintenance and repair or renovation of space, insurance and other operations may increase;</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6" w:right="27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02" w:lineRule="exact"/>
        <w:rPr>
          <w:sz w:val="20"/>
          <w:szCs w:val="20"/>
          <w:color w:val="auto"/>
        </w:rPr>
      </w:pPr>
    </w:p>
    <w:p>
      <w:pPr>
        <w:ind w:left="1700" w:right="200" w:hanging="801"/>
        <w:spacing w:after="0" w:line="286" w:lineRule="auto"/>
        <w:tabs>
          <w:tab w:leader="none" w:pos="1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hanging="801"/>
        <w:spacing w:after="0" w:line="264"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related to our status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[REMOVED AND RESERVED]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126" w:right="31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November 3, 2011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189" w:lineRule="exact"/>
        <w:rPr>
          <w:sz w:val="20"/>
          <w:szCs w:val="20"/>
          <w:color w:val="auto"/>
        </w:rPr>
      </w:pPr>
    </w:p>
    <w:p>
      <w:pPr>
        <w:ind w:left="40"/>
        <w:spacing w:after="0"/>
        <w:tabs>
          <w:tab w:leader="none" w:pos="7580" w:val="left"/>
          <w:tab w:leader="none" w:pos="7920" w:val="left"/>
        </w:tabs>
        <w:rPr>
          <w:sz w:val="20"/>
          <w:szCs w:val="20"/>
          <w:color w:val="auto"/>
        </w:rPr>
      </w:pPr>
      <w:r>
        <w:rPr>
          <w:rFonts w:ascii="Arial" w:cs="Arial" w:eastAsia="Arial" w:hAnsi="Arial"/>
          <w:sz w:val="18"/>
          <w:szCs w:val="18"/>
          <w:color w:val="auto"/>
        </w:rPr>
        <w:t>November 3, 2011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Andrew P. Blocher,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Senior Vice President -</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126" w:right="379" w:bottom="1440" w:gutter="0" w:footer="0" w:header="0"/>
        </w:sectPr>
      </w:pPr>
    </w:p>
    <w:bookmarkStart w:id="35" w:name="page36"/>
    <w:bookmarkEnd w:id="3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2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574"/>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574"/>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574"/>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574"/>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Amended and Restated Rights Agreement, dated March 11, 1999, between the Trust and American Stock Transfer &amp; Trust Company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(previously filed as Exhibit 1 to the Trust’s Registration Statement on Form 8-A/A filed on March 11, 1999 (File No. 1-07533)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574"/>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First Amendment to Amended and Restated Rights Agreement, dated as of November 2003, between the Trust and American Stock Transfer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&amp; Trust Company (previously filed as Exhibit 4.5 to the Trust’s Annual Report on Form 10-K for the year ended December 31, 2003 (File No.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1-07533) and incorporated herein by reference)</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Second Amendment to Amended and Restated Rights Agreement, dated as of March 11, 2009, between the Trust and American Stock Transfer</w:t>
      </w:r>
    </w:p>
    <w:p>
      <w:pPr>
        <w:spacing w:after="0" w:line="23" w:lineRule="exact"/>
        <w:rPr>
          <w:sz w:val="20"/>
          <w:szCs w:val="20"/>
          <w:color w:val="auto"/>
        </w:rPr>
      </w:pPr>
    </w:p>
    <w:p>
      <w:pPr>
        <w:ind w:left="1080" w:right="140" w:hanging="5"/>
        <w:spacing w:after="0" w:line="261" w:lineRule="auto"/>
        <w:tabs>
          <w:tab w:leader="none" w:pos="12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Trust Company (previously filed as Exhibit 4.3 to the Trust’s current Report on Form 8-K (File No. 001-07533) and incorporated herein by reference)</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4.6</w:t>
            </w:r>
          </w:p>
        </w:tc>
        <w:tc>
          <w:tcPr>
            <w:tcW w:w="10660" w:type="dxa"/>
            <w:vAlign w:val="bottom"/>
          </w:tcPr>
          <w:p>
            <w:pPr>
              <w:ind w:left="360"/>
              <w:spacing w:after="0"/>
              <w:rPr>
                <w:sz w:val="20"/>
                <w:szCs w:val="20"/>
                <w:color w:val="auto"/>
              </w:rPr>
            </w:pPr>
            <w:r>
              <w:rPr>
                <w:rFonts w:ascii="Arial" w:cs="Arial" w:eastAsia="Arial" w:hAnsi="Arial"/>
                <w:sz w:val="18"/>
                <w:szCs w:val="18"/>
                <w:color w:val="auto"/>
                <w:w w:val="95"/>
              </w:rPr>
              <w:t>Indenture dated December 1, 1993 related to the Trust’s 7.48% Debentures due August 15, 2026; and 6.82% Medium Term Notes due</w:t>
            </w:r>
          </w:p>
        </w:tc>
      </w:tr>
      <w:tr>
        <w:trPr>
          <w:trHeight w:val="216"/>
        </w:trPr>
        <w:tc>
          <w:tcPr>
            <w:tcW w:w="680" w:type="dxa"/>
            <w:vAlign w:val="bottom"/>
          </w:tcPr>
          <w:p>
            <w:pPr>
              <w:spacing w:after="0"/>
              <w:rPr>
                <w:sz w:val="18"/>
                <w:szCs w:val="18"/>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w w:val="94"/>
              </w:rPr>
              <w:t>August 1, 2027; (previously filed as Exhibit 4(a) to the Trust’s Registration Statement on Form S-3 (File No. 33-51029), and amended on</w:t>
            </w:r>
          </w:p>
        </w:tc>
      </w:tr>
      <w:tr>
        <w:trPr>
          <w:trHeight w:val="230"/>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4.7</w:t>
            </w:r>
          </w:p>
        </w:tc>
        <w:tc>
          <w:tcPr>
            <w:tcW w:w="10660" w:type="dxa"/>
            <w:vAlign w:val="bottom"/>
          </w:tcPr>
          <w:p>
            <w:pPr>
              <w:ind w:left="360"/>
              <w:spacing w:after="0"/>
              <w:rPr>
                <w:sz w:val="20"/>
                <w:szCs w:val="20"/>
                <w:color w:val="auto"/>
              </w:rPr>
            </w:pPr>
            <w:r>
              <w:rPr>
                <w:rFonts w:ascii="Arial" w:cs="Arial" w:eastAsia="Arial" w:hAnsi="Arial"/>
                <w:sz w:val="18"/>
                <w:szCs w:val="18"/>
                <w:color w:val="auto"/>
                <w:w w:val="90"/>
              </w:rPr>
              <w:t>Indenture dated September 1, 1998 related to the Trust’s 5.65% Notes due 2016; 6.00% Notes due 2012; 6.20% Notes due 2017; 5.40% Notes</w:t>
            </w:r>
          </w:p>
        </w:tc>
      </w:tr>
      <w:tr>
        <w:trPr>
          <w:trHeight w:val="216"/>
        </w:trPr>
        <w:tc>
          <w:tcPr>
            <w:tcW w:w="680" w:type="dxa"/>
            <w:vAlign w:val="bottom"/>
          </w:tcPr>
          <w:p>
            <w:pPr>
              <w:spacing w:after="0"/>
              <w:rPr>
                <w:sz w:val="18"/>
                <w:szCs w:val="18"/>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w w:val="93"/>
              </w:rPr>
              <w:t>due 2013; 5.95% Notes due 2014 and the 5.90% Notes due 2020 (previously filed as Exhibit 4(a) to the Trust’s Registration Statement on</w:t>
            </w:r>
          </w:p>
        </w:tc>
      </w:tr>
      <w:tr>
        <w:trPr>
          <w:trHeight w:val="230"/>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rPr>
              <w:t>Form S-3 (File No. 333-63619) filed on September 17, 1998 and incorporated herein by reference)</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4.8</w:t>
            </w:r>
          </w:p>
        </w:tc>
        <w:tc>
          <w:tcPr>
            <w:tcW w:w="10660" w:type="dxa"/>
            <w:vAlign w:val="bottom"/>
          </w:tcPr>
          <w:p>
            <w:pPr>
              <w:ind w:left="360"/>
              <w:spacing w:after="0"/>
              <w:rPr>
                <w:sz w:val="20"/>
                <w:szCs w:val="20"/>
                <w:color w:val="auto"/>
              </w:rPr>
            </w:pPr>
            <w:r>
              <w:rPr>
                <w:rFonts w:ascii="Arial" w:cs="Arial" w:eastAsia="Arial" w:hAnsi="Arial"/>
                <w:sz w:val="18"/>
                <w:szCs w:val="18"/>
                <w:color w:val="auto"/>
                <w:w w:val="97"/>
              </w:rPr>
              <w:t>Pursuant to Regulation S-K Item 601(b)(4)(iii), the Trust by this filing agrees, upon request, to furnish to the Securities and Exchange</w:t>
            </w:r>
          </w:p>
        </w:tc>
      </w:tr>
      <w:tr>
        <w:trPr>
          <w:trHeight w:val="230"/>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660" w:type="dxa"/>
            <w:vAlign w:val="bottom"/>
          </w:tcPr>
          <w:p>
            <w:pPr>
              <w:ind w:left="360"/>
              <w:spacing w:after="0"/>
              <w:rPr>
                <w:sz w:val="20"/>
                <w:szCs w:val="20"/>
                <w:color w:val="auto"/>
              </w:rPr>
            </w:pPr>
            <w:r>
              <w:rPr>
                <w:rFonts w:ascii="Arial" w:cs="Arial" w:eastAsia="Arial" w:hAnsi="Arial"/>
                <w:sz w:val="18"/>
                <w:szCs w:val="18"/>
                <w:color w:val="auto"/>
                <w:w w:val="92"/>
              </w:rPr>
              <w:t>Amended and Restated 1993 Long-Term Incentive Plan, as amended on October 6, 1997 and further amended on May 6, 1998 (previously</w:t>
            </w:r>
          </w:p>
        </w:tc>
      </w:tr>
      <w:tr>
        <w:trPr>
          <w:trHeight w:val="216"/>
        </w:trPr>
        <w:tc>
          <w:tcPr>
            <w:tcW w:w="680" w:type="dxa"/>
            <w:vAlign w:val="bottom"/>
          </w:tcPr>
          <w:p>
            <w:pPr>
              <w:spacing w:after="0"/>
              <w:rPr>
                <w:sz w:val="18"/>
                <w:szCs w:val="18"/>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w w:val="92"/>
              </w:rPr>
              <w:t>filed as Exhibit 10.26 to the Trust’s Annual Report on Form 10-K for the year ended December 31, 1998 (File No. 1-07533) and incorporated</w:t>
            </w:r>
          </w:p>
        </w:tc>
      </w:tr>
      <w:tr>
        <w:trPr>
          <w:trHeight w:val="230"/>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rPr>
              <w:t>herein by reference)</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10660" w:type="dxa"/>
            <w:vAlign w:val="bottom"/>
          </w:tcPr>
          <w:p>
            <w:pPr>
              <w:ind w:left="360"/>
              <w:spacing w:after="0"/>
              <w:rPr>
                <w:sz w:val="20"/>
                <w:szCs w:val="20"/>
                <w:color w:val="auto"/>
              </w:rPr>
            </w:pPr>
            <w:r>
              <w:rPr>
                <w:rFonts w:ascii="Arial" w:cs="Arial" w:eastAsia="Arial" w:hAnsi="Arial"/>
                <w:sz w:val="18"/>
                <w:szCs w:val="18"/>
                <w:color w:val="auto"/>
                <w:w w:val="94"/>
              </w:rPr>
              <w:t>Severance Agreement between the Trust and Donald C. Wood dated February 22, 1999 (previously filed as a portion of Exhibit 10 to the</w:t>
            </w:r>
          </w:p>
        </w:tc>
      </w:tr>
      <w:tr>
        <w:trPr>
          <w:trHeight w:val="216"/>
        </w:trPr>
        <w:tc>
          <w:tcPr>
            <w:tcW w:w="680" w:type="dxa"/>
            <w:vAlign w:val="bottom"/>
          </w:tcPr>
          <w:p>
            <w:pPr>
              <w:spacing w:after="0"/>
              <w:rPr>
                <w:sz w:val="18"/>
                <w:szCs w:val="18"/>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r>
      <w:tr>
        <w:trPr>
          <w:trHeight w:val="230"/>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rPr>
              <w:t>herein by reference)</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10660" w:type="dxa"/>
            <w:vAlign w:val="bottom"/>
          </w:tcPr>
          <w:p>
            <w:pPr>
              <w:ind w:left="360"/>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r>
      <w:tr>
        <w:trPr>
          <w:trHeight w:val="230"/>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rPr>
              <w:t>Exhibit 10 to the 1999 1Q Form 10-Q and incorporated herein by reference)</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10660" w:type="dxa"/>
            <w:vAlign w:val="bottom"/>
          </w:tcPr>
          <w:p>
            <w:pPr>
              <w:ind w:left="360"/>
              <w:spacing w:after="0"/>
              <w:rPr>
                <w:sz w:val="20"/>
                <w:szCs w:val="20"/>
                <w:color w:val="auto"/>
              </w:rPr>
            </w:pPr>
            <w:r>
              <w:rPr>
                <w:rFonts w:ascii="Arial" w:cs="Arial" w:eastAsia="Arial" w:hAnsi="Arial"/>
                <w:sz w:val="18"/>
                <w:szCs w:val="18"/>
                <w:color w:val="auto"/>
                <w:w w:val="90"/>
              </w:rPr>
              <w:t>Amendment to Executive Agreement between Federal Realty Investment Trust and Donald C. Wood dated February 16, 2005 (previously filed</w:t>
            </w:r>
          </w:p>
        </w:tc>
      </w:tr>
      <w:tr>
        <w:trPr>
          <w:trHeight w:val="216"/>
        </w:trPr>
        <w:tc>
          <w:tcPr>
            <w:tcW w:w="680" w:type="dxa"/>
            <w:vAlign w:val="bottom"/>
          </w:tcPr>
          <w:p>
            <w:pPr>
              <w:spacing w:after="0"/>
              <w:rPr>
                <w:sz w:val="18"/>
                <w:szCs w:val="18"/>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w w:val="93"/>
              </w:rPr>
              <w:t>as Exhibit 10.12 to the Trust’s Annual Report on Form 10-K for the year ended December 31, 2004 (File No. 1-07533) (the “2004 Form 10-</w:t>
            </w:r>
          </w:p>
        </w:tc>
      </w:tr>
      <w:tr>
        <w:trPr>
          <w:trHeight w:val="230"/>
        </w:trPr>
        <w:tc>
          <w:tcPr>
            <w:tcW w:w="680" w:type="dxa"/>
            <w:vAlign w:val="bottom"/>
          </w:tcPr>
          <w:p>
            <w:pPr>
              <w:spacing w:after="0"/>
              <w:rPr>
                <w:sz w:val="20"/>
                <w:szCs w:val="20"/>
                <w:color w:val="auto"/>
              </w:rPr>
            </w:pPr>
          </w:p>
        </w:tc>
        <w:tc>
          <w:tcPr>
            <w:tcW w:w="10660" w:type="dxa"/>
            <w:vAlign w:val="bottom"/>
          </w:tcPr>
          <w:p>
            <w:pPr>
              <w:ind w:left="360"/>
              <w:spacing w:after="0"/>
              <w:rPr>
                <w:sz w:val="20"/>
                <w:szCs w:val="20"/>
                <w:color w:val="auto"/>
              </w:rPr>
            </w:pPr>
            <w:r>
              <w:rPr>
                <w:rFonts w:ascii="Arial" w:cs="Arial" w:eastAsia="Arial" w:hAnsi="Arial"/>
                <w:sz w:val="18"/>
                <w:szCs w:val="18"/>
                <w:color w:val="auto"/>
              </w:rPr>
              <w:t>K”) and incorporated herein by reference)</w:t>
            </w:r>
          </w:p>
        </w:tc>
      </w:tr>
      <w:tr>
        <w:trPr>
          <w:trHeight w:val="702"/>
        </w:trPr>
        <w:tc>
          <w:tcPr>
            <w:tcW w:w="680" w:type="dxa"/>
            <w:vAlign w:val="bottom"/>
          </w:tcPr>
          <w:p>
            <w:pPr>
              <w:spacing w:after="0"/>
              <w:rPr>
                <w:sz w:val="24"/>
                <w:szCs w:val="24"/>
                <w:color w:val="auto"/>
              </w:rPr>
            </w:pPr>
          </w:p>
        </w:tc>
        <w:tc>
          <w:tcPr>
            <w:tcW w:w="10660" w:type="dxa"/>
            <w:vAlign w:val="bottom"/>
          </w:tcPr>
          <w:p>
            <w:pPr>
              <w:ind w:left="490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20"/>
          </w:cols>
          <w:pgMar w:left="240" w:top="126" w:right="2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7"/>
              </w:rPr>
              <w:t>Split Dollar Life Insurance Agreement dated August 12, 1998 between the Trust and Donald C. Wood (previously filed as a portion of</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Exhibit 10 to the Trust’s Annual Report on Form 10-K for the year ended December 31, 2000 (File No. 1-07533) and incorporated herein by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Jeffrey S. Berkes dated March 1, 2000 (previously filed as a portion of Exhibit 10 to the Trust’s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Annual Report on Form 10-K for the year ended December 31, 2001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Amendment to Severance Agreement between Federal Realty Investment Trust and Jeffrey S. Berkes dated February 16, 2005 (previously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as Exhibit 10.17 to the 2004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10-Q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Form of Restricted Share Award Agreement for awards made under the Trust’s Annual Incentive Bonus Program for shares issued out of 2001</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Long-Term Incentive Plan (previously filed as Exhibit 10.29 to the 2004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Form of Option Award Agreement for options awarded under 2001 Long-Term Incentive Plan (previously filed as Exhibit 10.30 to the 2004</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2001 Long-Term Incentive Plan (previously filed as Exhibit 10.34 to the Trust’s Quarterly Report on Form 10-Q for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quarter ended June 30, 2008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Change in Control Agreement between the Trust and Andrew P. Blocher dated February 12, 2007 (previously filed as Exhibit 10.27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Trust’s Quarterly Report on Form 10-Q for the quarter ended September 30, 2008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Second Amendment to Executive Agreement between the Trust and Donald C. Wood dated January 1, 2009 (previously filed as Exhibit 10.27</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Second Amendment to Severance Agreement between the Trust and Jeffrey S. Berkes dated January 1, 2009 (previously filed as Exhibit 10.29</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486"/>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2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color w:val="auto"/>
                <w:w w:val="93"/>
              </w:rPr>
              <w:t>10.22</w:t>
            </w:r>
          </w:p>
        </w:tc>
        <w:tc>
          <w:tcPr>
            <w:tcW w:w="12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0"/>
              </w:rPr>
              <w:t>Second Amendment to Severance Agreement between the Trust and Dawn M. Becker dated January 1, 2009 (previously filed as Exhibit 10.30</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10.23</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Change in Control Agreement between the Trust and Andrew P. Blocher dated January 1, 2009 (previously filed as Exhibit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10.31 to the Trust’s 2008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10.24</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Amendment to Stock Option Agreements between the Trust and Andrew P. Blocher dated February 17, 2009 (previously filed as Exhibit 10.32</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10.25</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Restricted Share Award Agreement between the Trust and Andrew P. Blocher dated February 17, 2009 (previously filed as Exhibit 10.33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10.26</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8"/>
              </w:rPr>
              <w:t>Combined Incentive and Non-Qualified Stock Option Agreement between the Trust and Andrew P. Blocher dated February 17, 2009</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(previously filed as Exhibit 10.34 to the Trust’s 2008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10.27</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Severance Agreement between the Trust and Andrew P. Blocher dated February 17, 2009 (previously filed as Exhibit 10.35 to the Trust’s 2008</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10.28</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10.29</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10.30</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10.31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2010 (File No. 1-07533) (the “2010 Form 10-K”) and incorporated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10.32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Restricted Share Award Agreement for long-term vesting and retention awards made under the Trust’s Long-Term Incentive Award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Program for shares issued out of the 2010 Plan (previously filed as Exhibit 10.35 to the Trust’s 2010 Form 10-K (File No. 1-07533)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10.33</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front loaded awards made under the Trust’s Long-Term Incentive Award Program for shares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issued out of the 2010 Plan (previously filed as Exhibit 10.36 to the Trust’s 2010 Form 10-K (File No. 1-07533) and incorporated herein by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10.34</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Performance Share Award Agreement for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10.37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10.35</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10.36</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10.37</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486"/>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0"/>
              </w:rPr>
              <w:t>Form of Restricted Share Award Agreement, dated as of February 10, 2011, between the Trust and each of Dawn M. Becker, Jeffrey S. Berkes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and Andrew P. Blocher (previously filed as Exhibit 10.41 to the Trust’s 2010 Form 10-K (File No. 1-07533) and incorporated herein by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July 11, 2011 and incorporated herein by reference)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320" w:hanging="1045"/>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September 30, 2011, formatted in XBRL (Extensible Business Reporting Language): (1) the Consolidated Balance Sheets, (2) the Consolidated Statements of Operations, (3) the Consolidated Statement of Shareholders’ Equity, (4) the Consolidated Statements of Cash Flows, and (5) Notes to Consolidated Financial Statements that have been detail tagged.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6"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117" w:lineRule="exact"/>
        <w:rPr>
          <w:sz w:val="20"/>
          <w:szCs w:val="20"/>
          <w:color w:val="auto"/>
        </w:rPr>
      </w:pPr>
    </w:p>
    <w:p>
      <w:pPr>
        <w:ind w:left="1700" w:hanging="882"/>
        <w:spacing w:after="0"/>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117" w:lineRule="exact"/>
        <w:rPr>
          <w:rFonts w:ascii="Arial" w:cs="Arial" w:eastAsia="Arial" w:hAnsi="Arial"/>
          <w:sz w:val="18"/>
          <w:szCs w:val="18"/>
          <w:color w:val="auto"/>
        </w:rPr>
      </w:pPr>
    </w:p>
    <w:p>
      <w:pPr>
        <w:ind w:left="1700" w:right="20" w:hanging="882"/>
        <w:spacing w:after="0" w:line="264" w:lineRule="auto"/>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700" w:right="100" w:hanging="882"/>
        <w:spacing w:after="0" w:line="264" w:lineRule="auto"/>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1700" w:right="200" w:hanging="882"/>
        <w:spacing w:after="0" w:line="264" w:lineRule="auto"/>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60" w:right="120" w:hanging="897"/>
        <w:spacing w:after="0" w:line="259" w:lineRule="auto"/>
        <w:tabs>
          <w:tab w:leader="none" w:pos="3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3660" w:right="80" w:hanging="897"/>
        <w:spacing w:after="0" w:line="259" w:lineRule="auto"/>
        <w:tabs>
          <w:tab w:leader="none" w:pos="3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3660" w:hanging="897"/>
        <w:spacing w:after="0" w:line="264" w:lineRule="auto"/>
        <w:tabs>
          <w:tab w:leader="none" w:pos="3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3660" w:right="100" w:hanging="897"/>
        <w:spacing w:after="0" w:line="259" w:lineRule="auto"/>
        <w:tabs>
          <w:tab w:leader="none" w:pos="3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1700" w:right="320" w:hanging="882"/>
        <w:spacing w:after="0" w:line="264" w:lineRule="auto"/>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73" w:lineRule="exact"/>
        <w:rPr>
          <w:rFonts w:ascii="Arial" w:cs="Arial" w:eastAsia="Arial" w:hAnsi="Arial"/>
          <w:sz w:val="18"/>
          <w:szCs w:val="18"/>
          <w:color w:val="auto"/>
        </w:rPr>
      </w:pPr>
    </w:p>
    <w:p>
      <w:pPr>
        <w:ind w:left="3660" w:right="60" w:hanging="897"/>
        <w:spacing w:after="0" w:line="264" w:lineRule="auto"/>
        <w:tabs>
          <w:tab w:leader="none" w:pos="3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3660" w:right="240" w:hanging="897"/>
        <w:spacing w:after="0" w:line="277" w:lineRule="auto"/>
        <w:tabs>
          <w:tab w:leader="none" w:pos="3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November 3, 2011</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Andrew P. Blocher</w:t>
      </w:r>
      <w:r>
        <w:rPr>
          <w:rFonts w:ascii="Arial" w:cs="Arial" w:eastAsia="Arial" w:hAnsi="Arial"/>
          <w:sz w:val="18"/>
          <w:szCs w:val="18"/>
          <w:color w:val="auto"/>
        </w:rPr>
        <w:t>, certify that:</w:t>
      </w:r>
    </w:p>
    <w:p>
      <w:pPr>
        <w:spacing w:after="0" w:line="117" w:lineRule="exact"/>
        <w:rPr>
          <w:sz w:val="20"/>
          <w:szCs w:val="20"/>
          <w:color w:val="auto"/>
        </w:rPr>
      </w:pPr>
    </w:p>
    <w:p>
      <w:pPr>
        <w:ind w:left="1700" w:hanging="882"/>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117" w:lineRule="exact"/>
        <w:rPr>
          <w:rFonts w:ascii="Arial" w:cs="Arial" w:eastAsia="Arial" w:hAnsi="Arial"/>
          <w:sz w:val="18"/>
          <w:szCs w:val="18"/>
          <w:color w:val="auto"/>
        </w:rPr>
      </w:pPr>
    </w:p>
    <w:p>
      <w:pPr>
        <w:ind w:left="1700" w:right="20" w:hanging="882"/>
        <w:spacing w:after="0" w:line="264" w:lineRule="auto"/>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700" w:right="100" w:hanging="882"/>
        <w:spacing w:after="0" w:line="264" w:lineRule="auto"/>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1700" w:right="200" w:hanging="882"/>
        <w:spacing w:after="0" w:line="264" w:lineRule="auto"/>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60" w:right="120" w:hanging="897"/>
        <w:spacing w:after="0" w:line="259" w:lineRule="auto"/>
        <w:tabs>
          <w:tab w:leader="none" w:pos="3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3660" w:right="80" w:hanging="897"/>
        <w:spacing w:after="0" w:line="259" w:lineRule="auto"/>
        <w:tabs>
          <w:tab w:leader="none" w:pos="3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3660" w:hanging="897"/>
        <w:spacing w:after="0" w:line="264" w:lineRule="auto"/>
        <w:tabs>
          <w:tab w:leader="none" w:pos="3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3660" w:right="100" w:hanging="897"/>
        <w:spacing w:after="0" w:line="259" w:lineRule="auto"/>
        <w:tabs>
          <w:tab w:leader="none" w:pos="3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1700" w:right="320" w:hanging="882"/>
        <w:spacing w:after="0" w:line="264" w:lineRule="auto"/>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73" w:lineRule="exact"/>
        <w:rPr>
          <w:rFonts w:ascii="Arial" w:cs="Arial" w:eastAsia="Arial" w:hAnsi="Arial"/>
          <w:sz w:val="18"/>
          <w:szCs w:val="18"/>
          <w:color w:val="auto"/>
        </w:rPr>
      </w:pPr>
    </w:p>
    <w:p>
      <w:pPr>
        <w:ind w:left="3660" w:right="60" w:hanging="897"/>
        <w:spacing w:after="0" w:line="264" w:lineRule="auto"/>
        <w:tabs>
          <w:tab w:leader="none" w:pos="3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3660" w:right="240" w:hanging="897"/>
        <w:spacing w:after="0" w:line="277" w:lineRule="auto"/>
        <w:tabs>
          <w:tab w:leader="none" w:pos="3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18"/>
          <w:szCs w:val="18"/>
          <w:color w:val="auto"/>
        </w:rPr>
        <w:t>November 3, 2011</w:t>
      </w:r>
      <w:r>
        <w:rPr>
          <w:sz w:val="20"/>
          <w:szCs w:val="20"/>
          <w:color w:val="auto"/>
        </w:rPr>
        <w:tab/>
      </w:r>
      <w:r>
        <w:rPr>
          <w:rFonts w:ascii="Arial" w:cs="Arial" w:eastAsia="Arial" w:hAnsi="Arial"/>
          <w:sz w:val="16"/>
          <w:szCs w:val="16"/>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Andrew P. Blocher,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Senior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2011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November 3, 2011</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The undersigned, Andrew P. Blocher, the Senior Vice President and Chief Financial Officer and Treasurer of Federal Realty Investment Trust (the “Company”), has executed this certification in connection with the filing with the Securities and Exchange Commission of the Company’s Quarterly Report on Form 10-Q for the period ended June 30, 2011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18"/>
          <w:szCs w:val="18"/>
          <w:color w:val="auto"/>
        </w:rPr>
        <w:t>November 3, 2011</w:t>
      </w:r>
      <w:r>
        <w:rPr>
          <w:sz w:val="20"/>
          <w:szCs w:val="20"/>
          <w:color w:val="auto"/>
        </w:rPr>
        <w:tab/>
      </w:r>
      <w:r>
        <w:rPr>
          <w:rFonts w:ascii="Arial" w:cs="Arial" w:eastAsia="Arial" w:hAnsi="Arial"/>
          <w:sz w:val="16"/>
          <w:szCs w:val="16"/>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Andrew P. Blocher,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Senior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
      <w:numFmt w:val="bullet"/>
      <w:start w:val="1"/>
    </w:lvl>
    <w:lvl w:ilvl="1">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amp;"/>
      <w:numFmt w:val="bullet"/>
      <w:start w:val="1"/>
    </w:lvl>
  </w:abstractNum>
  <w:abstractNum w:abstractNumId="26">
    <w:nsid w:val="2901D82"/>
    <w:multiLevelType w:val="hybridMultilevel"/>
    <w:lvl w:ilvl="0">
      <w:lvlJc w:val="left"/>
      <w:lvlText w:val="%1"/>
      <w:numFmt w:val="decimal"/>
      <w:start w:val="10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2019-12-10T00:46:08Z</dcterms:created>
  <dcterms:modified xsi:type="dcterms:W3CDTF">2019-12-10T00:46:08Z</dcterms:modified>
</cp:coreProperties>
</file>