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2012</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the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17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Cohen &amp; Steers, Inc. 14-1904657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1,865,673</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bl>
    <w:p>
      <w:pPr>
        <w:sectPr>
          <w:pgSz w:w="11900" w:h="16855" w:orient="portrait"/>
          <w:cols w:equalWidth="0" w:num="1">
            <w:col w:w="10219"/>
          </w:cols>
          <w:pgMar w:left="240" w:top="649" w:right="1440" w:bottom="0" w:gutter="0" w:footer="0" w:header="0"/>
        </w:sectPr>
      </w:pPr>
    </w:p>
    <w:bookmarkStart w:id="1" w:name="page2"/>
    <w:bookmarkEnd w:id="1"/>
    <w:p>
      <w:pPr>
        <w:spacing w:after="0" w:line="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8"/>
          <w:szCs w:val="18"/>
          <w:color w:val="auto"/>
        </w:rPr>
        <w:t>3,951,671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1180" w:space="720"/>
            <w:col w:w="8319"/>
          </w:cols>
          <w:pgMar w:left="240" w:top="136" w:right="1440" w:bottom="0" w:gutter="0" w:footer="0" w:header="0"/>
        </w:sectPr>
      </w:pPr>
    </w:p>
    <w:p>
      <w:pPr>
        <w:ind w:left="2440" w:hanging="536"/>
        <w:spacing w:after="0"/>
        <w:tabs>
          <w:tab w:leader="none" w:pos="24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3,951,671</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6.11%</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Cohen &amp; Steers Capital Management, Inc.</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13-3353336</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1,865,673</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3,937,180</w:t>
            </w:r>
          </w:p>
        </w:tc>
      </w:tr>
    </w:tbl>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440" w:hanging="536"/>
        <w:spacing w:after="0"/>
        <w:tabs>
          <w:tab w:leader="none" w:pos="24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3,937,180</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6.09%</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(entities only)</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Cohen &amp; Steers Europe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Belgium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1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4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14,491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1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380" w:type="dxa"/>
            <w:vAlign w:val="bottom"/>
          </w:tcPr>
          <w:p>
            <w:pPr>
              <w:spacing w:after="0"/>
              <w:rPr>
                <w:sz w:val="17"/>
                <w:szCs w:val="17"/>
                <w:color w:val="auto"/>
              </w:rPr>
            </w:pP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14,491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CHECK BOX IF THE AGGREGATE AMOUNT IN ROW (9) EXCLUDES CERTAIN SHARES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Investment Trust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380" w:right="6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1626 East Jefferson Street Rockville, Maryland 20852</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580" w:right="6419" w:hanging="729"/>
        <w:spacing w:after="0" w:line="268" w:lineRule="auto"/>
        <w:tabs>
          <w:tab w:leader="none" w:pos="136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Cohen &amp; Steers, Inc.</w:t>
      </w:r>
    </w:p>
    <w:p>
      <w:pPr>
        <w:ind w:left="1580" w:right="4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Cohen &amp; Steers Capital Management, Inc. Cohen &amp; Steers Europe S.A.</w:t>
      </w:r>
    </w:p>
    <w:p>
      <w:pPr>
        <w:spacing w:after="0" w:line="1" w:lineRule="exact"/>
        <w:rPr>
          <w:rFonts w:ascii="Courier New" w:cs="Courier New" w:eastAsia="Courier New" w:hAnsi="Courier New"/>
          <w:sz w:val="16"/>
          <w:szCs w:val="16"/>
          <w:color w:val="auto"/>
        </w:rPr>
      </w:pPr>
    </w:p>
    <w:p>
      <w:pPr>
        <w:ind w:left="1380" w:hanging="529"/>
        <w:spacing w:after="0" w:line="238" w:lineRule="auto"/>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1580"/>
        <w:spacing w:after="0"/>
        <w:rPr>
          <w:sz w:val="20"/>
          <w:szCs w:val="20"/>
          <w:color w:val="auto"/>
        </w:rPr>
      </w:pPr>
      <w:r>
        <w:rPr>
          <w:rFonts w:ascii="Courier New" w:cs="Courier New" w:eastAsia="Courier New" w:hAnsi="Courier New"/>
          <w:sz w:val="18"/>
          <w:szCs w:val="18"/>
          <w:color w:val="auto"/>
        </w:rPr>
        <w:t>The principal address for Cohen &amp; Steers, Inc. and Cohen &amp;</w:t>
      </w:r>
    </w:p>
    <w:p>
      <w:pPr>
        <w:ind w:left="1580"/>
        <w:spacing w:after="0" w:line="237" w:lineRule="auto"/>
        <w:rPr>
          <w:sz w:val="20"/>
          <w:szCs w:val="20"/>
          <w:color w:val="auto"/>
        </w:rPr>
      </w:pPr>
      <w:r>
        <w:rPr>
          <w:rFonts w:ascii="Courier New" w:cs="Courier New" w:eastAsia="Courier New" w:hAnsi="Courier New"/>
          <w:sz w:val="18"/>
          <w:szCs w:val="18"/>
          <w:color w:val="auto"/>
        </w:rPr>
        <w:t>Steers Capital Management,Inc. is:</w:t>
      </w:r>
    </w:p>
    <w:p>
      <w:pPr>
        <w:ind w:left="1580"/>
        <w:spacing w:after="0" w:line="238" w:lineRule="auto"/>
        <w:rPr>
          <w:sz w:val="20"/>
          <w:szCs w:val="20"/>
          <w:color w:val="auto"/>
        </w:rPr>
      </w:pPr>
      <w:r>
        <w:rPr>
          <w:rFonts w:ascii="Courier New" w:cs="Courier New" w:eastAsia="Courier New" w:hAnsi="Courier New"/>
          <w:sz w:val="18"/>
          <w:szCs w:val="18"/>
          <w:color w:val="auto"/>
        </w:rPr>
        <w:t>280 Park Avenue</w:t>
      </w:r>
    </w:p>
    <w:p>
      <w:pPr>
        <w:ind w:left="1580"/>
        <w:spacing w:after="0"/>
        <w:rPr>
          <w:sz w:val="20"/>
          <w:szCs w:val="20"/>
          <w:color w:val="auto"/>
        </w:rPr>
      </w:pPr>
      <w:r>
        <w:rPr>
          <w:rFonts w:ascii="Courier New" w:cs="Courier New" w:eastAsia="Courier New" w:hAnsi="Courier New"/>
          <w:sz w:val="18"/>
          <w:szCs w:val="18"/>
          <w:color w:val="auto"/>
        </w:rPr>
        <w:t>10th Floor</w:t>
      </w:r>
    </w:p>
    <w:p>
      <w:pPr>
        <w:ind w:left="1580"/>
        <w:spacing w:after="0" w:line="237" w:lineRule="auto"/>
        <w:rPr>
          <w:sz w:val="20"/>
          <w:szCs w:val="20"/>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principal address for Cohen &amp; Steers Europe S.A. is:</w:t>
      </w:r>
    </w:p>
    <w:p>
      <w:pPr>
        <w:ind w:left="1580"/>
        <w:spacing w:after="0" w:line="238" w:lineRule="auto"/>
        <w:rPr>
          <w:sz w:val="20"/>
          <w:szCs w:val="20"/>
          <w:color w:val="auto"/>
        </w:rPr>
      </w:pPr>
      <w:r>
        <w:rPr>
          <w:rFonts w:ascii="Courier New" w:cs="Courier New" w:eastAsia="Courier New" w:hAnsi="Courier New"/>
          <w:sz w:val="18"/>
          <w:szCs w:val="18"/>
          <w:color w:val="auto"/>
        </w:rPr>
        <w:t>Chausee de la Hulpe 116,</w:t>
      </w:r>
    </w:p>
    <w:p>
      <w:pPr>
        <w:sectPr>
          <w:pgSz w:w="11900" w:h="16838" w:orient="portrait"/>
          <w:cols w:equalWidth="0" w:num="1">
            <w:col w:w="10219"/>
          </w:cols>
          <w:pgMar w:left="240" w:top="136" w:right="1440" w:bottom="0" w:gutter="0" w:footer="0" w:header="0"/>
        </w:sectPr>
      </w:pPr>
    </w:p>
    <w:bookmarkStart w:id="3" w:name="page4"/>
    <w:bookmarkEnd w:id="3"/>
    <w:p>
      <w:pPr>
        <w:ind w:left="1580"/>
        <w:spacing w:after="0"/>
        <w:rPr>
          <w:sz w:val="20"/>
          <w:szCs w:val="20"/>
          <w:color w:val="auto"/>
        </w:rPr>
      </w:pPr>
      <w:r>
        <w:rPr>
          <w:rFonts w:ascii="Courier New" w:cs="Courier New" w:eastAsia="Courier New" w:hAnsi="Courier New"/>
          <w:sz w:val="18"/>
          <w:szCs w:val="18"/>
          <w:color w:val="auto"/>
        </w:rPr>
        <w:t>1170 Brussels, Belgium</w:t>
      </w:r>
    </w:p>
    <w:p>
      <w:pPr>
        <w:ind w:left="1380" w:hanging="529"/>
        <w:spacing w:after="0" w:line="238"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rPr>
          <w:sz w:val="20"/>
          <w:szCs w:val="20"/>
          <w:color w:val="auto"/>
        </w:rPr>
      </w:pPr>
      <w:r>
        <w:rPr>
          <w:rFonts w:ascii="Courier New" w:cs="Courier New" w:eastAsia="Courier New" w:hAnsi="Courier New"/>
          <w:sz w:val="18"/>
          <w:szCs w:val="18"/>
          <w:color w:val="auto"/>
        </w:rPr>
        <w:t>Cohen &amp; Steers, Inc: Delaware corporation</w:t>
      </w:r>
    </w:p>
    <w:p>
      <w:pPr>
        <w:ind w:left="1580"/>
        <w:spacing w:after="0" w:line="237" w:lineRule="auto"/>
        <w:rPr>
          <w:sz w:val="20"/>
          <w:szCs w:val="20"/>
          <w:color w:val="auto"/>
        </w:rPr>
      </w:pPr>
      <w:r>
        <w:rPr>
          <w:rFonts w:ascii="Courier New" w:cs="Courier New" w:eastAsia="Courier New" w:hAnsi="Courier New"/>
          <w:sz w:val="18"/>
          <w:szCs w:val="18"/>
          <w:color w:val="auto"/>
        </w:rPr>
        <w:t>Cohen &amp; Steers Capital Management, Inc: New York corporation</w:t>
      </w:r>
    </w:p>
    <w:p>
      <w:pPr>
        <w:ind w:left="1580"/>
        <w:spacing w:after="0" w:line="238" w:lineRule="auto"/>
        <w:rPr>
          <w:sz w:val="20"/>
          <w:szCs w:val="20"/>
          <w:color w:val="auto"/>
        </w:rPr>
      </w:pPr>
      <w:r>
        <w:rPr>
          <w:rFonts w:ascii="Courier New" w:cs="Courier New" w:eastAsia="Courier New" w:hAnsi="Courier New"/>
          <w:sz w:val="18"/>
          <w:szCs w:val="18"/>
          <w:color w:val="auto"/>
        </w:rPr>
        <w:t>Cohen &amp; Steers Europe S.A.: Belgium limited company</w:t>
      </w:r>
    </w:p>
    <w:p>
      <w:pPr>
        <w:spacing w:after="0" w:line="5" w:lineRule="exact"/>
        <w:rPr>
          <w:sz w:val="20"/>
          <w:szCs w:val="20"/>
          <w:color w:val="auto"/>
        </w:rPr>
      </w:pPr>
    </w:p>
    <w:p>
      <w:pPr>
        <w:ind w:left="1580" w:right="6099" w:hanging="729"/>
        <w:spacing w:after="0" w:line="235" w:lineRule="auto"/>
        <w:tabs>
          <w:tab w:leader="none" w:pos="136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313747206</w:t>
      </w:r>
    </w:p>
    <w:p>
      <w:pPr>
        <w:spacing w:after="0" w:line="200" w:lineRule="exact"/>
        <w:rPr>
          <w:sz w:val="20"/>
          <w:szCs w:val="20"/>
          <w:color w:val="auto"/>
        </w:rPr>
      </w:pPr>
    </w:p>
    <w:p>
      <w:pPr>
        <w:spacing w:after="0" w:line="209"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8" w:lineRule="exact"/>
        <w:rPr>
          <w:sz w:val="20"/>
          <w:szCs w:val="20"/>
          <w:color w:val="auto"/>
        </w:rPr>
      </w:pPr>
    </w:p>
    <w:p>
      <w:pPr>
        <w:ind w:left="1800" w:hanging="528"/>
        <w:spacing w:after="0"/>
        <w:tabs>
          <w:tab w:leader="none" w:pos="18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320" w:right="2519" w:hanging="1048"/>
        <w:spacing w:after="0" w:line="235" w:lineRule="auto"/>
        <w:tabs>
          <w:tab w:leader="none" w:pos="179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320" w:right="2419" w:hanging="1048"/>
        <w:spacing w:after="0" w:line="235" w:lineRule="auto"/>
        <w:tabs>
          <w:tab w:leader="none" w:pos="179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320" w:right="1999" w:hanging="1048"/>
        <w:spacing w:after="0" w:line="235" w:lineRule="auto"/>
        <w:tabs>
          <w:tab w:leader="none" w:pos="17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2320" w:right="1999" w:hanging="1048"/>
        <w:spacing w:after="0" w:line="235" w:lineRule="auto"/>
        <w:tabs>
          <w:tab w:leader="none" w:pos="17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240.13d-l(b)(1)(ii)(G)</w:t>
      </w:r>
    </w:p>
    <w:p>
      <w:pPr>
        <w:spacing w:after="0" w:line="208" w:lineRule="exact"/>
        <w:rPr>
          <w:rFonts w:ascii="Courier New" w:cs="Courier New" w:eastAsia="Courier New" w:hAnsi="Courier New"/>
          <w:sz w:val="18"/>
          <w:szCs w:val="18"/>
          <w:color w:val="auto"/>
        </w:rPr>
      </w:pPr>
    </w:p>
    <w:p>
      <w:pPr>
        <w:ind w:left="2320" w:right="2099" w:hanging="1048"/>
        <w:spacing w:after="0" w:line="235" w:lineRule="auto"/>
        <w:tabs>
          <w:tab w:leader="none" w:pos="17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320" w:right="1999" w:hanging="1048"/>
        <w:spacing w:after="0" w:line="236" w:lineRule="auto"/>
        <w:tabs>
          <w:tab w:leader="none" w:pos="17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(15U.S.C. 80a-3)</w:t>
      </w:r>
    </w:p>
    <w:p>
      <w:pPr>
        <w:spacing w:after="0" w:line="208"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240.13d-1(b)(l)(ii)(J)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580" w:right="3579" w:hanging="624"/>
        <w:spacing w:after="0" w:line="470"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as of December 31, 2012: See row 9 on cover sheet</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row 11 on cover sheet</w:t>
      </w:r>
    </w:p>
    <w:p>
      <w:pPr>
        <w:spacing w:after="0" w:line="200" w:lineRule="exact"/>
        <w:rPr>
          <w:sz w:val="20"/>
          <w:szCs w:val="20"/>
          <w:color w:val="auto"/>
        </w:rPr>
      </w:pPr>
    </w:p>
    <w:p>
      <w:pPr>
        <w:spacing w:after="0" w:line="204" w:lineRule="exact"/>
        <w:rPr>
          <w:sz w:val="20"/>
          <w:szCs w:val="20"/>
          <w:color w:val="auto"/>
        </w:rPr>
      </w:pPr>
    </w:p>
    <w:p>
      <w:pPr>
        <w:ind w:left="1480" w:hanging="419"/>
        <w:spacing w:after="0"/>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899" w:hanging="947"/>
        <w:spacing w:after="0" w:line="235" w:lineRule="auto"/>
        <w:tabs>
          <w:tab w:leader="none" w:pos="2324"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See row 5 on cover sheet</w:t>
      </w:r>
    </w:p>
    <w:p>
      <w:pPr>
        <w:spacing w:after="0" w:line="208" w:lineRule="exact"/>
        <w:rPr>
          <w:rFonts w:ascii="Courier New" w:cs="Courier New" w:eastAsia="Courier New" w:hAnsi="Courier New"/>
          <w:sz w:val="18"/>
          <w:szCs w:val="18"/>
          <w:color w:val="auto"/>
        </w:rPr>
      </w:pPr>
    </w:p>
    <w:p>
      <w:pPr>
        <w:ind w:left="2640" w:right="3679" w:hanging="947"/>
        <w:spacing w:after="0" w:line="235" w:lineRule="auto"/>
        <w:tabs>
          <w:tab w:leader="none" w:pos="2324"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See row 6 on cover sheet</w:t>
      </w:r>
    </w:p>
    <w:p>
      <w:pPr>
        <w:spacing w:after="0" w:line="208"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7 on cover sheet</w:t>
      </w:r>
    </w:p>
    <w:p>
      <w:pPr>
        <w:spacing w:after="0" w:line="207" w:lineRule="exact"/>
        <w:rPr>
          <w:rFonts w:ascii="Courier New" w:cs="Courier New" w:eastAsia="Courier New" w:hAnsi="Courier New"/>
          <w:sz w:val="18"/>
          <w:szCs w:val="18"/>
          <w:color w:val="auto"/>
        </w:rPr>
      </w:pPr>
    </w:p>
    <w:p>
      <w:pPr>
        <w:ind w:left="2320" w:right="4419" w:hanging="627"/>
        <w:spacing w:after="0" w:line="235" w:lineRule="auto"/>
        <w:tabs>
          <w:tab w:leader="none" w:pos="23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8 on cover sheet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Item 5.</w:t>
        <w:tab/>
        <w:t>OWNERSHIP</w:t>
      </w:r>
      <w:r>
        <w:rPr>
          <w:sz w:val="20"/>
          <w:szCs w:val="20"/>
          <w:color w:val="auto"/>
        </w:rPr>
        <w:tab/>
      </w:r>
      <w:r>
        <w:rPr>
          <w:rFonts w:ascii="Courier New" w:cs="Courier New" w:eastAsia="Courier New" w:hAnsi="Courier New"/>
          <w:sz w:val="16"/>
          <w:szCs w:val="16"/>
          <w:color w:val="auto"/>
        </w:rPr>
        <w:t>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N/A</w:t>
      </w:r>
    </w:p>
    <w:p>
      <w:pPr>
        <w:spacing w:after="0" w:line="208"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ectPr>
          <w:pgSz w:w="11900" w:h="16838" w:orient="portrait"/>
          <w:cols w:equalWidth="0" w:num="1">
            <w:col w:w="10219"/>
          </w:cols>
          <w:pgMar w:left="240" w:top="136" w:right="1440" w:bottom="0" w:gutter="0" w:footer="0" w:header="0"/>
        </w:sectPr>
      </w:pPr>
    </w:p>
    <w:bookmarkStart w:id="4" w:name="page5"/>
    <w:bookmarkEnd w:id="4"/>
    <w:p>
      <w:pPr>
        <w:ind w:left="960"/>
        <w:spacing w:after="0"/>
        <w:rPr>
          <w:sz w:val="20"/>
          <w:szCs w:val="20"/>
          <w:color w:val="auto"/>
        </w:rPr>
      </w:pPr>
      <w:r>
        <w:rPr>
          <w:rFonts w:ascii="Courier New" w:cs="Courier New" w:eastAsia="Courier New" w:hAnsi="Courier New"/>
          <w:sz w:val="18"/>
          <w:szCs w:val="18"/>
          <w:color w:val="auto"/>
        </w:rPr>
        <w:t>Cohen &amp; Steers, Inc. holds a 100% interest in Cohen &amp; Steers Capital</w:t>
      </w:r>
    </w:p>
    <w:p>
      <w:pPr>
        <w:ind w:left="960"/>
        <w:spacing w:after="0" w:line="238" w:lineRule="auto"/>
        <w:rPr>
          <w:sz w:val="20"/>
          <w:szCs w:val="20"/>
          <w:color w:val="auto"/>
        </w:rPr>
      </w:pPr>
      <w:r>
        <w:rPr>
          <w:rFonts w:ascii="Courier New" w:cs="Courier New" w:eastAsia="Courier New" w:hAnsi="Courier New"/>
          <w:sz w:val="18"/>
          <w:szCs w:val="18"/>
          <w:color w:val="auto"/>
        </w:rPr>
        <w:t>Management, Inc., an investment advisor registered under Section 203</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of the Investment Advisers Act. Cohen &amp; Steers, Inc. and Cohen &amp; Steers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Capital Management, Inc. together hold a 100% interest in</w:t>
      </w:r>
    </w:p>
    <w:p>
      <w:pPr>
        <w:spacing w:after="0" w:line="4" w:lineRule="exact"/>
        <w:rPr>
          <w:sz w:val="20"/>
          <w:szCs w:val="20"/>
          <w:color w:val="auto"/>
        </w:rPr>
      </w:pPr>
    </w:p>
    <w:p>
      <w:pPr>
        <w:ind w:left="960" w:right="2319"/>
        <w:spacing w:after="0" w:line="235" w:lineRule="auto"/>
        <w:rPr>
          <w:sz w:val="20"/>
          <w:szCs w:val="20"/>
          <w:color w:val="auto"/>
        </w:rPr>
      </w:pPr>
      <w:r>
        <w:rPr>
          <w:rFonts w:ascii="Courier New" w:cs="Courier New" w:eastAsia="Courier New" w:hAnsi="Courier New"/>
          <w:sz w:val="18"/>
          <w:szCs w:val="18"/>
          <w:color w:val="auto"/>
        </w:rPr>
        <w:t>Cohen &amp; Steers Europe S.A., an investment advisor registered under Section 203 of the Investment Advisers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Cohen &amp; Steers, Inc. holds a 100% interest in Cohen &amp; Steers Capital Management, Inc., an investment advisor registered under Section 203 of the Investment Advisers Act. Cohen &amp; Steers, Inc. and Cohen &amp; Steers Capital Management, Inc. together hold a 100% interest in Cohen &amp; Steers Europe S.A., an investment advisor registered under Section 203 of the Investment Advisers Act.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NOTICE OF</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DISSOLUTION OF</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GROUP</w:t>
            </w:r>
          </w:p>
        </w:tc>
        <w:tc>
          <w:tcPr>
            <w:tcW w:w="406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N/A</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10.</w:t>
            </w:r>
          </w:p>
        </w:tc>
        <w:tc>
          <w:tcPr>
            <w:tcW w:w="26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Certification</w:t>
            </w: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By signing below I</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certify  that,</w:t>
            </w:r>
          </w:p>
        </w:tc>
        <w:tc>
          <w:tcPr>
            <w:tcW w:w="47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to the best of my knowledge  and belief,</w:t>
            </w:r>
          </w:p>
        </w:tc>
      </w:tr>
      <w:tr>
        <w:trPr>
          <w:trHeight w:val="203"/>
        </w:trPr>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the securities  referred to above</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were</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acquired and are held in the ordinary</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course of business</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were not</w:t>
            </w:r>
          </w:p>
        </w:tc>
        <w:tc>
          <w:tcPr>
            <w:tcW w:w="4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acquired and are not held for the purpose of</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or with</w:t>
            </w:r>
          </w:p>
        </w:tc>
        <w:tc>
          <w:tcPr>
            <w:tcW w:w="11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effect</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 changing or</w:t>
            </w:r>
          </w:p>
        </w:tc>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influencing  the  control  of the  issuer</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of such</w:t>
            </w: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securities</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and were not</w:t>
            </w:r>
          </w:p>
        </w:tc>
        <w:tc>
          <w:tcPr>
            <w:tcW w:w="4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acquired and are not held in connection with</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or as a</w:t>
            </w:r>
          </w:p>
        </w:tc>
        <w:tc>
          <w:tcPr>
            <w:tcW w:w="33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participant in any transaction</w:t>
            </w:r>
          </w:p>
        </w:tc>
        <w:tc>
          <w:tcPr>
            <w:tcW w:w="4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8"/>
              </w:rPr>
              <w:t>having that purposes or effect.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report is not an admission that Cohen &amp; Steers, Inc. or its subsidiaries are the beneficial owner of any securities covered by this report, and Cohen &amp; Steers, Inc. and its subsidiaries expressly disclaim beneficial ownership of all shares reported herein pursuant to Rule 13d-4.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2013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Senior Vice President,</w:t>
      </w:r>
    </w:p>
    <w:p>
      <w:pPr>
        <w:ind w:left="43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960"/>
        <w:spacing w:after="0"/>
        <w:rPr>
          <w:sz w:val="20"/>
          <w:szCs w:val="20"/>
          <w:color w:val="auto"/>
        </w:rPr>
      </w:pPr>
      <w:r>
        <w:rPr>
          <w:rFonts w:ascii="Courier New" w:cs="Courier New" w:eastAsia="Courier New" w:hAnsi="Courier New"/>
          <w:sz w:val="18"/>
          <w:szCs w:val="18"/>
          <w:color w:val="auto"/>
        </w:rPr>
        <w:t>Cohen &amp; Steers, Inc.</w:t>
      </w:r>
    </w:p>
    <w:p>
      <w:pPr>
        <w:ind w:left="29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Europe S.A.</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Joseph Houlihan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Joseph Houlihan, Managing Director</w:t>
      </w:r>
    </w:p>
    <w:p>
      <w:pPr>
        <w:ind w:left="2960"/>
        <w:spacing w:after="0" w:line="238" w:lineRule="auto"/>
        <w:rPr>
          <w:sz w:val="20"/>
          <w:szCs w:val="20"/>
          <w:color w:val="auto"/>
        </w:rPr>
      </w:pPr>
      <w:r>
        <w:rPr>
          <w:rFonts w:ascii="Courier New" w:cs="Courier New" w:eastAsia="Courier New" w:hAnsi="Courier New"/>
          <w:sz w:val="18"/>
          <w:szCs w:val="18"/>
          <w:color w:val="auto"/>
        </w:rPr>
        <w:t>Cohen &amp; Steers Europe S.A.</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In accordance with Rule 13d-1(k) promulgated under the Securities Exchange Act of 1934, as amended, the undersigned hereby agree to the joint filing with all other Reporting Persons (as such term is defined in the Schedule 13G referred to</w:t>
      </w:r>
    </w:p>
    <w:p>
      <w:pPr>
        <w:sectPr>
          <w:pgSz w:w="11900" w:h="16838" w:orient="portrait"/>
          <w:cols w:equalWidth="0" w:num="1">
            <w:col w:w="10219"/>
          </w:cols>
          <w:pgMar w:left="240" w:top="339" w:right="1440" w:bottom="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below) on behalf of each of them of a Statement on Schedule 13G including amendments thereto) with respect to the Common Shares of Federal Realty Investment Trust and that this Agreement may be included as an Exhibit to such joint filing. This Agreement may be executed in any number of counterparts, all of which together shall constitute one and the same instrument.</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as of February 14, 2013.</w:t>
      </w: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Senior Vice President,</w:t>
      </w:r>
    </w:p>
    <w:p>
      <w:pPr>
        <w:ind w:left="43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960"/>
        <w:spacing w:after="0"/>
        <w:rPr>
          <w:sz w:val="20"/>
          <w:szCs w:val="20"/>
          <w:color w:val="auto"/>
        </w:rPr>
      </w:pPr>
      <w:r>
        <w:rPr>
          <w:rFonts w:ascii="Courier New" w:cs="Courier New" w:eastAsia="Courier New" w:hAnsi="Courier New"/>
          <w:sz w:val="18"/>
          <w:szCs w:val="18"/>
          <w:color w:val="auto"/>
        </w:rPr>
        <w:t>Cohen &amp; Steers, Inc.</w:t>
      </w:r>
    </w:p>
    <w:p>
      <w:pPr>
        <w:ind w:left="29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Europe S.A.</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Joseph Houlihan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Joseph Houlihan, Managing Director</w:t>
      </w:r>
    </w:p>
    <w:p>
      <w:pPr>
        <w:ind w:left="2960"/>
        <w:spacing w:after="0" w:line="238" w:lineRule="auto"/>
        <w:rPr>
          <w:sz w:val="20"/>
          <w:szCs w:val="20"/>
          <w:color w:val="auto"/>
        </w:rPr>
      </w:pPr>
      <w:r>
        <w:rPr>
          <w:rFonts w:ascii="Courier New" w:cs="Courier New" w:eastAsia="Courier New" w:hAnsi="Courier New"/>
          <w:sz w:val="18"/>
          <w:szCs w:val="18"/>
          <w:color w:val="auto"/>
        </w:rPr>
        <w:t>Cohen &amp; Steers Europe S.A.</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Roman"/>
      <w:start w:val="10"/>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lvl w:ilvl="1">
      <w:lvlJc w:val="left"/>
      <w:lvlText w:val="%2"/>
      <w:numFmt w:val="decimal"/>
      <w:start w:val="1"/>
    </w:lvl>
  </w:abstractNum>
  <w:abstractNum w:abstractNumId="3">
    <w:nsid w:val="DED7263"/>
    <w:multiLevelType w:val="hybridMultilevel"/>
    <w:lvl w:ilvl="0">
      <w:lvlJc w:val="left"/>
      <w:lvlText w:val="-"/>
      <w:numFmt w:val="bullet"/>
      <w:start w:val="1"/>
    </w:lvl>
    <w:lvl w:ilvl="1">
      <w:lvlJc w:val="left"/>
      <w:lvlText w:val="(%2)"/>
      <w:numFmt w:val="lowerLetter"/>
      <w:start w:val="1"/>
    </w:lvl>
  </w:abstractNum>
  <w:abstractNum w:abstractNumId="4">
    <w:nsid w:val="7FDCC233"/>
    <w:multiLevelType w:val="hybridMultilevel"/>
    <w:lvl w:ilvl="0">
      <w:lvlJc w:val="left"/>
      <w:lvlText w:val="-"/>
      <w:numFmt w:val="bullet"/>
      <w:start w:val="1"/>
    </w:lvl>
    <w:lvl w:ilvl="1">
      <w:lvlJc w:val="left"/>
      <w:lvlText w:val="8"/>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lvl w:ilvl="1">
      <w:lvlJc w:val="left"/>
      <w:lvlText w:val="%2"/>
      <w:numFmt w:val="decimal"/>
      <w:start w:val="1"/>
    </w:lvl>
  </w:abstractNum>
  <w:abstractNum w:abstractNumId="9">
    <w:nsid w:val="25E45D32"/>
    <w:multiLevelType w:val="hybridMultilevel"/>
    <w:lvl w:ilvl="0">
      <w:lvlJc w:val="left"/>
      <w:lvlText w:val="-"/>
      <w:numFmt w:val="bullet"/>
      <w:start w:val="1"/>
    </w:lvl>
    <w:lvl w:ilvl="1">
      <w:lvlJc w:val="left"/>
      <w:lvlText w:val="(%2)"/>
      <w:numFmt w:val="lowerLetter"/>
      <w:start w:val="1"/>
    </w:lvl>
  </w:abstractNum>
  <w:abstractNum w:abstractNumId="10">
    <w:nsid w:val="519B500D"/>
    <w:multiLevelType w:val="hybridMultilevel"/>
    <w:lvl w:ilvl="0">
      <w:lvlJc w:val="left"/>
      <w:lvlText w:val="-"/>
      <w:numFmt w:val="bullet"/>
      <w:start w:val="1"/>
    </w:lvl>
    <w:lvl w:ilvl="1">
      <w:lvlJc w:val="left"/>
      <w:lvlText w:val="8"/>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9"/>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3"/>
    </w:lvl>
  </w:abstractNum>
  <w:abstractNum w:abstractNumId="19">
    <w:nsid w:val="721DA317"/>
    <w:multiLevelType w:val="hybridMultilevel"/>
    <w:lvl w:ilvl="0">
      <w:lvlJc w:val="left"/>
      <w:lvlText w:val="(%1)"/>
      <w:numFmt w:val="lowerLetter"/>
      <w:start w:val="4"/>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6"/>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2019-12-05T09:53:23Z</dcterms:created>
  <dcterms:modified xsi:type="dcterms:W3CDTF">2019-12-05T09:53:23Z</dcterms:modified>
</cp:coreProperties>
</file>