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403860</wp:posOffset>
            </wp:positionH>
            <wp:positionV relativeFrom="page">
              <wp:posOffset>163195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204470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t>UNITED STATES</w:t>
      </w:r>
    </w:p>
    <w:p>
      <w:pPr>
        <w:spacing w:after="0" w:line="44" w:lineRule="exact"/>
        <w:rPr>
          <w:sz w:val="24"/>
          <w:szCs w:val="24"/>
          <w:color w:val="auto"/>
        </w:rPr>
      </w:pPr>
    </w:p>
    <w:p>
      <w:pPr>
        <w:jc w:val="center"/>
        <w:ind w:right="-804"/>
        <w:spacing w:after="0"/>
        <w:rPr>
          <w:sz w:val="20"/>
          <w:szCs w:val="20"/>
          <w:color w:val="auto"/>
        </w:rPr>
      </w:pPr>
      <w:r>
        <w:rPr>
          <w:rFonts w:ascii="Arial" w:cs="Arial" w:eastAsia="Arial" w:hAnsi="Arial"/>
          <w:sz w:val="31"/>
          <w:szCs w:val="31"/>
          <w:b w:val="1"/>
          <w:bCs w:val="1"/>
          <w:color w:val="auto"/>
        </w:rPr>
        <w:t>SECURITIES AND EXCHANGE COMMISSION</w:t>
      </w:r>
    </w:p>
    <w:p>
      <w:pPr>
        <w:ind w:left="4124"/>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139700</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3" w:lineRule="exact"/>
        <w:rPr>
          <w:sz w:val="24"/>
          <w:szCs w:val="24"/>
          <w:color w:val="auto"/>
        </w:rPr>
      </w:pPr>
    </w:p>
    <w:p>
      <w:pPr>
        <w:jc w:val="center"/>
        <w:ind w:right="-784"/>
        <w:spacing w:after="0"/>
        <w:rPr>
          <w:sz w:val="20"/>
          <w:szCs w:val="20"/>
          <w:color w:val="auto"/>
        </w:rPr>
      </w:pPr>
      <w:r>
        <w:rPr>
          <w:rFonts w:ascii="Arial" w:cs="Arial" w:eastAsia="Arial" w:hAnsi="Arial"/>
          <w:sz w:val="31"/>
          <w:szCs w:val="31"/>
          <w:b w:val="1"/>
          <w:bCs w:val="1"/>
          <w:color w:val="auto"/>
        </w:rPr>
        <w:t>SCHEDULE 14A</w:t>
      </w:r>
    </w:p>
    <w:p>
      <w:pPr>
        <w:spacing w:after="0" w:line="29" w:lineRule="exact"/>
        <w:rPr>
          <w:sz w:val="24"/>
          <w:szCs w:val="24"/>
          <w:color w:val="auto"/>
        </w:rPr>
      </w:pPr>
    </w:p>
    <w:p>
      <w:pPr>
        <w:jc w:val="center"/>
        <w:ind w:right="-784"/>
        <w:spacing w:after="0"/>
        <w:rPr>
          <w:sz w:val="20"/>
          <w:szCs w:val="20"/>
          <w:color w:val="auto"/>
        </w:rPr>
      </w:pPr>
      <w:r>
        <w:rPr>
          <w:rFonts w:ascii="Arial" w:cs="Arial" w:eastAsia="Arial" w:hAnsi="Arial"/>
          <w:sz w:val="21"/>
          <w:szCs w:val="21"/>
          <w:b w:val="1"/>
          <w:bCs w:val="1"/>
          <w:color w:val="auto"/>
        </w:rPr>
        <w:t>(Rule 14a-101)</w:t>
      </w:r>
    </w:p>
    <w:p>
      <w:pPr>
        <w:jc w:val="center"/>
        <w:ind w:right="-804"/>
        <w:spacing w:after="0" w:line="232" w:lineRule="auto"/>
        <w:rPr>
          <w:sz w:val="20"/>
          <w:szCs w:val="20"/>
          <w:color w:val="auto"/>
        </w:rPr>
      </w:pPr>
      <w:r>
        <w:rPr>
          <w:rFonts w:ascii="Arial" w:cs="Arial" w:eastAsia="Arial" w:hAnsi="Arial"/>
          <w:sz w:val="21"/>
          <w:szCs w:val="21"/>
          <w:b w:val="1"/>
          <w:bCs w:val="1"/>
          <w:color w:val="auto"/>
        </w:rPr>
        <w:t>INFORMATION REQUIRED IN PROXY STATEMENT</w:t>
      </w:r>
    </w:p>
    <w:p>
      <w:pPr>
        <w:spacing w:after="0" w:line="1" w:lineRule="exact"/>
        <w:rPr>
          <w:sz w:val="24"/>
          <w:szCs w:val="24"/>
          <w:color w:val="auto"/>
        </w:rPr>
      </w:pPr>
    </w:p>
    <w:p>
      <w:pPr>
        <w:jc w:val="center"/>
        <w:ind w:right="-804"/>
        <w:spacing w:after="0"/>
        <w:rPr>
          <w:sz w:val="20"/>
          <w:szCs w:val="20"/>
          <w:color w:val="auto"/>
        </w:rPr>
      </w:pPr>
      <w:r>
        <w:rPr>
          <w:rFonts w:ascii="Arial" w:cs="Arial" w:eastAsia="Arial" w:hAnsi="Arial"/>
          <w:sz w:val="21"/>
          <w:szCs w:val="21"/>
          <w:b w:val="1"/>
          <w:bCs w:val="1"/>
          <w:color w:val="auto"/>
        </w:rPr>
        <w:t>SCHEDULE 14A INFORMATION</w:t>
      </w:r>
    </w:p>
    <w:p>
      <w:pPr>
        <w:spacing w:after="0" w:line="71" w:lineRule="exact"/>
        <w:rPr>
          <w:sz w:val="24"/>
          <w:szCs w:val="24"/>
          <w:color w:val="auto"/>
        </w:rPr>
      </w:pPr>
    </w:p>
    <w:p>
      <w:pPr>
        <w:jc w:val="center"/>
        <w:ind w:right="-804"/>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9" w:lineRule="exact"/>
        <w:rPr>
          <w:sz w:val="24"/>
          <w:szCs w:val="24"/>
          <w:color w:val="auto"/>
        </w:rPr>
      </w:pPr>
    </w:p>
    <w:p>
      <w:pPr>
        <w:jc w:val="center"/>
        <w:ind w:right="-784"/>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139700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87" w:lineRule="exact"/>
        <w:rPr>
          <w:sz w:val="24"/>
          <w:szCs w:val="24"/>
          <w:color w:val="auto"/>
        </w:rPr>
      </w:pPr>
    </w:p>
    <w:p>
      <w:pPr>
        <w:ind w:left="4"/>
        <w:spacing w:after="0" w:line="161" w:lineRule="exact"/>
        <w:tabs>
          <w:tab w:leader="none" w:pos="2683"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7"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pacing w:after="0" w:line="11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9"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5"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5" w:lineRule="exact"/>
        <w:rPr>
          <w:rFonts w:ascii="MS PGothic" w:cs="MS PGothic" w:eastAsia="MS PGothic" w:hAnsi="MS PGothic"/>
          <w:sz w:val="14"/>
          <w:szCs w:val="1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70" w:lineRule="exact"/>
        <w:rPr>
          <w:sz w:val="24"/>
          <w:szCs w:val="24"/>
          <w:color w:val="auto"/>
        </w:rPr>
      </w:pPr>
    </w:p>
    <w:p>
      <w:pPr>
        <w:jc w:val="center"/>
        <w:ind w:right="-804"/>
        <w:spacing w:after="0"/>
        <w:rPr>
          <w:sz w:val="20"/>
          <w:szCs w:val="20"/>
          <w:color w:val="auto"/>
        </w:rPr>
      </w:pPr>
      <w:r>
        <w:rPr>
          <w:rFonts w:ascii="Arial" w:cs="Arial" w:eastAsia="Arial" w:hAnsi="Arial"/>
          <w:sz w:val="37"/>
          <w:szCs w:val="37"/>
          <w:b w:val="1"/>
          <w:bCs w:val="1"/>
          <w:color w:val="auto"/>
        </w:rPr>
        <w:t>FEDERAL REALTY INVESTMENT TRUST</w:t>
      </w:r>
    </w:p>
    <w:p>
      <w:pPr>
        <w:spacing w:after="0" w:line="58" w:lineRule="exact"/>
        <w:rPr>
          <w:sz w:val="24"/>
          <w:szCs w:val="24"/>
          <w:color w:val="auto"/>
        </w:rPr>
      </w:pPr>
    </w:p>
    <w:p>
      <w:pPr>
        <w:jc w:val="center"/>
        <w:ind w:right="-804"/>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82" w:lineRule="exact"/>
        <w:rPr>
          <w:sz w:val="24"/>
          <w:szCs w:val="24"/>
          <w:color w:val="auto"/>
        </w:rPr>
      </w:pPr>
    </w:p>
    <w:p>
      <w:pPr>
        <w:jc w:val="center"/>
        <w:ind w:right="-804"/>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ind w:left="29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9"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all boxes that apply):</w:t>
      </w:r>
    </w:p>
    <w:p>
      <w:pPr>
        <w:spacing w:after="0" w:line="99"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12" w:lineRule="exact"/>
        <w:rPr>
          <w:sz w:val="24"/>
          <w:szCs w:val="24"/>
          <w:color w:val="auto"/>
        </w:rPr>
      </w:pPr>
    </w:p>
    <w:p>
      <w:pPr>
        <w:ind w:left="544" w:hanging="544"/>
        <w:spacing w:after="0"/>
        <w:tabs>
          <w:tab w:leader="none" w:pos="54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12" w:lineRule="exact"/>
        <w:rPr>
          <w:rFonts w:ascii="MS PGothic" w:cs="MS PGothic" w:eastAsia="MS PGothic" w:hAnsi="MS PGothic"/>
          <w:sz w:val="14"/>
          <w:szCs w:val="14"/>
          <w:color w:val="auto"/>
        </w:rPr>
      </w:pPr>
    </w:p>
    <w:p>
      <w:pPr>
        <w:ind w:left="544" w:hanging="544"/>
        <w:spacing w:after="0"/>
        <w:tabs>
          <w:tab w:leader="none" w:pos="54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9823"/>
          </w:cols>
          <w:pgMar w:left="636" w:top="33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211060" cy="9326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060" cy="9326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212725</wp:posOffset>
            </wp:positionV>
            <wp:extent cx="674052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33020"/>
                    </a:xfrm>
                    <a:prstGeom prst="rect">
                      <a:avLst/>
                    </a:prstGeom>
                    <a:noFill/>
                  </pic:spPr>
                </pic:pic>
              </a:graphicData>
            </a:graphic>
          </wp:anchor>
        </w:drawing>
        <w:t>Letter from our Chairman and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March 25,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Shareholders:</w:t>
      </w:r>
    </w:p>
    <w:p>
      <w:pPr>
        <w:spacing w:after="0" w:line="208"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On behalf of the Board of Trustees and the entire Federal team, we’d like you to join us at our 2022 Annual Meeting of Shareholders. We will hold our meeting virtually so that more shareholders are able to participate. This proxy statement includes important information for how you can join and ask questions at the meeting and about the matters that will be voted on at the meeting.</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looking back on 2021, we began the year with the hope that the most challenging year in our nearly 60-year history was behind us but with little clarity on how quickly our business would rebound from the COVID-inflicted challenges of 2020. We were pleased as industry conditions improved faster than we had anticipated and we were able to end the year collecting about 97% of our contractual rents for the fourth quarter, up significantly from what we were collecting as the governmental lockdowns designed to stop the spread of the virus were felt by many of our retail tenants early in 2020. There were challenges we worked through in 2021 and continue to work through today as our business and the broader economy continue to recover from the pandemic but one thing that remained consistent through these difficult years has been our focus on long-term growth and positioning the company for future success. Our prudent balance sheet management allowed us to take advantage of the economic disruption in the economy and acquire 5 new properties having a gross value of $440 million. Each of these properties has future growth opportunities and was priced more attractively than if we were to acquire them today. We also continued to deliver on our development pipeline in 2021, placing more than $486 million of investment into service that will generate additional revenue and create additional long-term value over the next several years.</w:t>
      </w:r>
    </w:p>
    <w:p>
      <w:pPr>
        <w:spacing w:after="0" w:line="195"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These accomplishments were only possible through the considerable efforts of our Board and each and every one of our employees. Their ability to address the continuing challenges of the pandemic while also delivering results to position the company for future growth has been extraordinary. We are extremely proud of the work this team has accomplished.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your participation in the meeting and want to thank you for your continued support of Federal.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4452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525" cy="44577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149225</wp:posOffset>
            </wp:positionV>
            <wp:extent cx="1007745" cy="537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7745" cy="537210"/>
                    </a:xfrm>
                    <a:prstGeom prst="rect">
                      <a:avLst/>
                    </a:prstGeom>
                    <a:noFill/>
                  </pic:spPr>
                </pic:pic>
              </a:graphicData>
            </a:graphic>
          </wp:anchor>
        </w:drawing>
      </w:r>
    </w:p>
    <w:p>
      <w:pPr>
        <w:sectPr>
          <w:pgSz w:w="11900" w:h="16838" w:orient="portrait"/>
          <w:cols w:equalWidth="0" w:num="1">
            <w:col w:w="10620"/>
          </w:cols>
          <w:pgMar w:left="640" w:top="3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David W. Faeder</w:t>
      </w:r>
    </w:p>
    <w:p>
      <w:pPr>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Donald C. Wood</w:t>
      </w: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4800" w:space="720"/>
            <w:col w:w="5100"/>
          </w:cols>
          <w:pgMar w:left="640" w:top="391" w:right="6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7"/>
          <w:szCs w:val="2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Notice of Annual Meeting of Shareholders</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748780" cy="2354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8780" cy="2354580"/>
                    </a:xfrm>
                    <a:prstGeom prst="rect">
                      <a:avLst/>
                    </a:prstGeom>
                    <a:noFill/>
                  </pic:spPr>
                </pic:pic>
              </a:graphicData>
            </a:graphic>
          </wp:anchor>
        </w:drawing>
      </w:r>
    </w:p>
    <w:p>
      <w:pPr>
        <w:sectPr>
          <w:pgSz w:w="11900" w:h="16838" w:orient="portrait"/>
          <w:cols w:equalWidth="0" w:num="1">
            <w:col w:w="10620"/>
          </w:cols>
          <w:pgMar w:left="640" w:top="245" w:right="639" w:bottom="1440" w:gutter="0" w:footer="0" w:header="0"/>
        </w:sectPr>
      </w:pPr>
    </w:p>
    <w:p>
      <w:pPr>
        <w:spacing w:after="0" w:line="26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FFFFFF"/>
        </w:rPr>
        <w:t>Board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50165</wp:posOffset>
            </wp:positionV>
            <wp:extent cx="3642995" cy="594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42995" cy="5949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3642995" cy="594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42995" cy="594995"/>
                    </a:xfrm>
                    <a:prstGeom prst="rect">
                      <a:avLst/>
                    </a:prstGeom>
                    <a:noFill/>
                  </pic:spPr>
                </pic:pic>
              </a:graphicData>
            </a:graphic>
          </wp:anchor>
        </w:drawing>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4"/>
          <w:szCs w:val="14"/>
          <w:color w:val="FF160F"/>
        </w:rPr>
        <w:t>Proposal 1</w:t>
      </w:r>
    </w:p>
    <w:p>
      <w:pPr>
        <w:spacing w:after="0" w:line="34" w:lineRule="exact"/>
        <w:rPr>
          <w:sz w:val="20"/>
          <w:szCs w:val="20"/>
          <w:color w:val="auto"/>
        </w:rPr>
      </w:pPr>
    </w:p>
    <w:p>
      <w:pPr>
        <w:ind w:left="160" w:right="2280"/>
        <w:spacing w:after="0" w:line="239" w:lineRule="auto"/>
        <w:rPr>
          <w:sz w:val="20"/>
          <w:szCs w:val="20"/>
          <w:color w:val="auto"/>
        </w:rPr>
      </w:pPr>
      <w:r>
        <w:rPr>
          <w:rFonts w:ascii="Arial" w:cs="Arial" w:eastAsia="Arial" w:hAnsi="Arial"/>
          <w:sz w:val="14"/>
          <w:szCs w:val="14"/>
          <w:color w:val="auto"/>
        </w:rPr>
        <w:t>Election of our seven nominees to serve as trustees for a term of one year</w:t>
      </w:r>
    </w:p>
    <w:p>
      <w:pPr>
        <w:spacing w:after="0" w:line="154" w:lineRule="exact"/>
        <w:rPr>
          <w:sz w:val="20"/>
          <w:szCs w:val="20"/>
          <w:color w:val="auto"/>
        </w:rPr>
      </w:pPr>
    </w:p>
    <w:p>
      <w:pPr>
        <w:ind w:left="4460"/>
        <w:spacing w:after="0"/>
        <w:rPr>
          <w:sz w:val="20"/>
          <w:szCs w:val="20"/>
          <w:color w:val="auto"/>
        </w:rPr>
      </w:pPr>
      <w:r>
        <w:rPr>
          <w:rFonts w:ascii="Arial" w:cs="Arial" w:eastAsia="Arial" w:hAnsi="Arial"/>
          <w:sz w:val="10"/>
          <w:szCs w:val="10"/>
          <w:b w:val="1"/>
          <w:bCs w:val="1"/>
          <w:color w:val="FFFFFF"/>
        </w:rPr>
        <w:t xml:space="preserve">FOR </w:t>
      </w:r>
      <w:r>
        <w:rPr>
          <w:rFonts w:ascii="Arial" w:cs="Arial" w:eastAsia="Arial" w:hAnsi="Arial"/>
          <w:sz w:val="10"/>
          <w:szCs w:val="10"/>
          <w:color w:val="FFFFFF"/>
        </w:rPr>
        <w:t>(see p.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3642995" cy="611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2995" cy="61150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60325</wp:posOffset>
            </wp:positionV>
            <wp:extent cx="3642995" cy="611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42995" cy="611505"/>
                    </a:xfrm>
                    <a:prstGeom prst="rect">
                      <a:avLst/>
                    </a:prstGeom>
                    <a:noFill/>
                  </pic:spPr>
                </pic:pic>
              </a:graphicData>
            </a:graphic>
          </wp:anchor>
        </w:drawing>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4"/>
          <w:szCs w:val="14"/>
          <w:color w:val="FF160F"/>
        </w:rPr>
        <w:t>Proposal 2</w:t>
      </w:r>
    </w:p>
    <w:p>
      <w:pPr>
        <w:spacing w:after="0" w:line="34" w:lineRule="exact"/>
        <w:rPr>
          <w:sz w:val="20"/>
          <w:szCs w:val="20"/>
          <w:color w:val="auto"/>
        </w:rPr>
      </w:pPr>
    </w:p>
    <w:p>
      <w:pPr>
        <w:ind w:left="160" w:right="2580"/>
        <w:spacing w:after="0" w:line="239" w:lineRule="auto"/>
        <w:rPr>
          <w:sz w:val="20"/>
          <w:szCs w:val="20"/>
          <w:color w:val="auto"/>
        </w:rPr>
      </w:pPr>
      <w:r>
        <w:rPr>
          <w:rFonts w:ascii="Arial" w:cs="Arial" w:eastAsia="Arial" w:hAnsi="Arial"/>
          <w:sz w:val="14"/>
          <w:szCs w:val="14"/>
          <w:color w:val="auto"/>
        </w:rPr>
        <w:t>Approval on an advisory basis of our 2021 executive compensation</w:t>
      </w:r>
    </w:p>
    <w:p>
      <w:pPr>
        <w:spacing w:after="0" w:line="154" w:lineRule="exact"/>
        <w:rPr>
          <w:sz w:val="20"/>
          <w:szCs w:val="20"/>
          <w:color w:val="auto"/>
        </w:rPr>
      </w:pPr>
    </w:p>
    <w:p>
      <w:pPr>
        <w:ind w:left="4460"/>
        <w:spacing w:after="0"/>
        <w:rPr>
          <w:sz w:val="20"/>
          <w:szCs w:val="20"/>
          <w:color w:val="auto"/>
        </w:rPr>
      </w:pPr>
      <w:r>
        <w:rPr>
          <w:rFonts w:ascii="Arial" w:cs="Arial" w:eastAsia="Arial" w:hAnsi="Arial"/>
          <w:sz w:val="10"/>
          <w:szCs w:val="10"/>
          <w:b w:val="1"/>
          <w:bCs w:val="1"/>
          <w:color w:val="FFFFFF"/>
        </w:rPr>
        <w:t xml:space="preserve">FOR </w:t>
      </w:r>
      <w:r>
        <w:rPr>
          <w:rFonts w:ascii="Arial" w:cs="Arial" w:eastAsia="Arial" w:hAnsi="Arial"/>
          <w:sz w:val="10"/>
          <w:szCs w:val="10"/>
          <w:color w:val="FFFFFF"/>
        </w:rPr>
        <w:t>(see p.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3642995" cy="611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42995" cy="61150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60325</wp:posOffset>
            </wp:positionV>
            <wp:extent cx="3642995" cy="611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2995" cy="611505"/>
                    </a:xfrm>
                    <a:prstGeom prst="rect">
                      <a:avLst/>
                    </a:prstGeom>
                    <a:noFill/>
                  </pic:spPr>
                </pic:pic>
              </a:graphicData>
            </a:graphic>
          </wp:anchor>
        </w:drawing>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4"/>
          <w:szCs w:val="14"/>
          <w:color w:val="FF160F"/>
        </w:rPr>
        <w:t>Proposal 3</w:t>
      </w:r>
    </w:p>
    <w:p>
      <w:pPr>
        <w:spacing w:after="0" w:line="34" w:lineRule="exact"/>
        <w:rPr>
          <w:sz w:val="20"/>
          <w:szCs w:val="20"/>
          <w:color w:val="auto"/>
        </w:rPr>
      </w:pPr>
    </w:p>
    <w:p>
      <w:pPr>
        <w:ind w:left="160" w:right="2280"/>
        <w:spacing w:after="0" w:line="239" w:lineRule="auto"/>
        <w:rPr>
          <w:sz w:val="20"/>
          <w:szCs w:val="20"/>
          <w:color w:val="auto"/>
        </w:rPr>
      </w:pPr>
      <w:r>
        <w:rPr>
          <w:rFonts w:ascii="Arial" w:cs="Arial" w:eastAsia="Arial" w:hAnsi="Arial"/>
          <w:sz w:val="14"/>
          <w:szCs w:val="14"/>
          <w:color w:val="auto"/>
        </w:rPr>
        <w:t>Ratification of the appointment of Grant Thornton, LLP as our registered public accountants for fiscal year 2022</w:t>
      </w:r>
    </w:p>
    <w:p>
      <w:pPr>
        <w:spacing w:after="0" w:line="154" w:lineRule="exact"/>
        <w:rPr>
          <w:sz w:val="20"/>
          <w:szCs w:val="20"/>
          <w:color w:val="auto"/>
        </w:rPr>
      </w:pPr>
    </w:p>
    <w:p>
      <w:pPr>
        <w:ind w:left="4460"/>
        <w:spacing w:after="0"/>
        <w:rPr>
          <w:sz w:val="20"/>
          <w:szCs w:val="20"/>
          <w:color w:val="auto"/>
        </w:rPr>
      </w:pPr>
      <w:r>
        <w:rPr>
          <w:rFonts w:ascii="Arial" w:cs="Arial" w:eastAsia="Arial" w:hAnsi="Arial"/>
          <w:sz w:val="10"/>
          <w:szCs w:val="10"/>
          <w:b w:val="1"/>
          <w:bCs w:val="1"/>
          <w:color w:val="FFFFFF"/>
        </w:rPr>
        <w:t xml:space="preserve">FOR </w:t>
      </w:r>
      <w:r>
        <w:rPr>
          <w:rFonts w:ascii="Arial" w:cs="Arial" w:eastAsia="Arial" w:hAnsi="Arial"/>
          <w:sz w:val="10"/>
          <w:szCs w:val="10"/>
          <w:color w:val="FFFFFF"/>
        </w:rPr>
        <w:t>(see p. 39)</w:t>
      </w:r>
    </w:p>
    <w:p>
      <w:pPr>
        <w:spacing w:after="0" w:line="303"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Other business will be transacted as may properly come before the 2022 annual meeting of shareholders (“Annual Meeting”).</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LOGISTICS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Date and Time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Wednesday, May 4, 2022</w:t>
      </w:r>
    </w:p>
    <w:p>
      <w:pPr>
        <w:ind w:left="680"/>
        <w:spacing w:after="0"/>
        <w:rPr>
          <w:sz w:val="20"/>
          <w:szCs w:val="20"/>
          <w:color w:val="auto"/>
        </w:rPr>
      </w:pPr>
      <w:r>
        <w:rPr>
          <w:rFonts w:ascii="Arial" w:cs="Arial" w:eastAsia="Arial" w:hAnsi="Arial"/>
          <w:sz w:val="14"/>
          <w:szCs w:val="14"/>
          <w:color w:val="auto"/>
        </w:rPr>
        <w:t>9:00 a.m. Eastern Time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Record Date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Monday, March 14, 2022</w:t>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Annual Meeting will be virtual. To participate,</w:t>
      </w:r>
    </w:p>
    <w:p>
      <w:pPr>
        <w:ind w:left="680"/>
        <w:spacing w:after="0"/>
        <w:rPr>
          <w:sz w:val="20"/>
          <w:szCs w:val="20"/>
          <w:color w:val="auto"/>
        </w:rPr>
      </w:pPr>
      <w:r>
        <w:rPr>
          <w:rFonts w:ascii="Arial" w:cs="Arial" w:eastAsia="Arial" w:hAnsi="Arial"/>
          <w:sz w:val="13"/>
          <w:szCs w:val="13"/>
          <w:color w:val="auto"/>
        </w:rPr>
        <w:t>vote or submit questions during the meeting via live</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webcast, please visit:</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https://web.lumiagm.com/202329683</w:t>
      </w:r>
    </w:p>
    <w:p>
      <w:pPr>
        <w:spacing w:after="0" w:line="242" w:lineRule="exact"/>
        <w:rPr>
          <w:sz w:val="20"/>
          <w:szCs w:val="20"/>
          <w:color w:val="auto"/>
        </w:rPr>
      </w:pPr>
    </w:p>
    <w:p>
      <w:pPr>
        <w:ind w:left="680" w:right="300"/>
        <w:spacing w:after="0" w:line="239" w:lineRule="auto"/>
        <w:rPr>
          <w:sz w:val="20"/>
          <w:szCs w:val="20"/>
          <w:color w:val="auto"/>
        </w:rPr>
      </w:pPr>
      <w:r>
        <w:rPr>
          <w:rFonts w:ascii="Arial" w:cs="Arial" w:eastAsia="Arial" w:hAnsi="Arial"/>
          <w:sz w:val="14"/>
          <w:szCs w:val="14"/>
          <w:color w:val="auto"/>
        </w:rPr>
        <w:t>See page 43 for additional information on how to attend the virtual Annual Meeting.</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Mailing Date</w:t>
      </w:r>
    </w:p>
    <w:p>
      <w:pPr>
        <w:spacing w:after="0" w:line="24" w:lineRule="exact"/>
        <w:rPr>
          <w:sz w:val="20"/>
          <w:szCs w:val="20"/>
          <w:color w:val="auto"/>
        </w:rPr>
      </w:pPr>
    </w:p>
    <w:p>
      <w:pPr>
        <w:ind w:left="680" w:right="700"/>
        <w:spacing w:after="0" w:line="276" w:lineRule="auto"/>
        <w:rPr>
          <w:sz w:val="20"/>
          <w:szCs w:val="20"/>
          <w:color w:val="auto"/>
        </w:rPr>
      </w:pPr>
      <w:r>
        <w:rPr>
          <w:rFonts w:ascii="Arial" w:cs="Arial" w:eastAsia="Arial" w:hAnsi="Arial"/>
          <w:sz w:val="13"/>
          <w:szCs w:val="13"/>
          <w:color w:val="auto"/>
        </w:rPr>
        <w:t>This proxy statement was first mailed to shareholders on or about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241300</wp:posOffset>
            </wp:positionV>
            <wp:extent cx="2610485" cy="141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0485" cy="1412875"/>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5940" w:space="720"/>
            <w:col w:w="3960"/>
          </w:cols>
          <w:pgMar w:left="640" w:top="245" w:right="6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w:t>
      </w:r>
    </w:p>
    <w:p>
      <w:pPr>
        <w:spacing w:after="0" w:line="22" w:lineRule="exact"/>
        <w:rPr>
          <w:sz w:val="20"/>
          <w:szCs w:val="20"/>
          <w:color w:val="auto"/>
        </w:rPr>
      </w:pPr>
    </w:p>
    <w:p>
      <w:pPr>
        <w:ind w:right="420"/>
        <w:spacing w:after="0" w:line="247" w:lineRule="auto"/>
        <w:rPr>
          <w:sz w:val="20"/>
          <w:szCs w:val="20"/>
          <w:color w:val="auto"/>
        </w:rPr>
      </w:pPr>
      <w:r>
        <w:rPr>
          <w:rFonts w:ascii="Arial" w:cs="Arial" w:eastAsia="Arial" w:hAnsi="Arial"/>
          <w:sz w:val="17"/>
          <w:szCs w:val="17"/>
          <w:color w:val="auto"/>
        </w:rPr>
        <w:t>If you own shares registered in the name of a broker, bank or other nominee, please follow the instructions they provide on how to vote your shares.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Voting</w:t>
      </w:r>
    </w:p>
    <w:p>
      <w:pPr>
        <w:spacing w:after="0" w:line="22"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Please submit your proxy or voting instructions as soon as possible to instruct how your shares are to be voted at the Annual Meeting, even if you plan to attend the meeting. If you later vote at the Annual Meeting, your previously submitted proxy or voting instructions will not be used.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 of Trustees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Dawn M. Becker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President-General Counsel</w:t>
      </w:r>
    </w:p>
    <w:p>
      <w:pPr>
        <w:spacing w:after="0"/>
        <w:rPr>
          <w:sz w:val="20"/>
          <w:szCs w:val="20"/>
          <w:color w:val="auto"/>
        </w:rPr>
      </w:pPr>
      <w:r>
        <w:rPr>
          <w:rFonts w:ascii="Arial" w:cs="Arial" w:eastAsia="Arial" w:hAnsi="Arial"/>
          <w:sz w:val="17"/>
          <w:szCs w:val="17"/>
          <w:color w:val="auto"/>
        </w:rPr>
        <w:t>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FFFF"/>
        </w:rPr>
        <w:t>HOW TO VOTE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of Record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By Internet</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4"/>
          <w:szCs w:val="14"/>
          <w:u w:val="single" w:color="auto"/>
          <w:color w:val="auto"/>
        </w:rPr>
        <w:t>www.voteproxy.com</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By Telephone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1-800-776-9437</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By Mail</w:t>
      </w:r>
    </w:p>
    <w:p>
      <w:pPr>
        <w:spacing w:after="0" w:line="24" w:lineRule="exact"/>
        <w:rPr>
          <w:sz w:val="20"/>
          <w:szCs w:val="20"/>
          <w:color w:val="auto"/>
        </w:rPr>
      </w:pPr>
    </w:p>
    <w:p>
      <w:pPr>
        <w:ind w:left="680" w:right="340"/>
        <w:spacing w:after="0" w:line="239" w:lineRule="auto"/>
        <w:rPr>
          <w:sz w:val="20"/>
          <w:szCs w:val="20"/>
          <w:color w:val="auto"/>
        </w:rPr>
      </w:pPr>
      <w:r>
        <w:rPr>
          <w:rFonts w:ascii="Arial" w:cs="Arial" w:eastAsia="Arial" w:hAnsi="Arial"/>
          <w:sz w:val="14"/>
          <w:szCs w:val="14"/>
          <w:color w:val="auto"/>
        </w:rPr>
        <w:t>Complete your proxy card and cast your vote by pre-paid mail</w:t>
      </w:r>
    </w:p>
    <w:p>
      <w:pPr>
        <w:spacing w:after="0" w:line="1213" w:lineRule="exact"/>
        <w:rPr>
          <w:sz w:val="20"/>
          <w:szCs w:val="20"/>
          <w:color w:val="auto"/>
        </w:rPr>
      </w:pPr>
    </w:p>
    <w:p>
      <w:pPr>
        <w:sectPr>
          <w:pgSz w:w="11900" w:h="16838" w:orient="portrait"/>
          <w:cols w:equalWidth="0" w:num="2">
            <w:col w:w="5940" w:space="720"/>
            <w:col w:w="3960"/>
          </w:cols>
          <w:pgMar w:left="640" w:top="245" w:right="6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Important Notice Regarding Internet Availability of Proxy Materials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The proxy statement and annual report to shareholders, including our annual report on Form 10-K for the year ended December 31, 2021, are available at </w:t>
      </w:r>
      <w:r>
        <w:rPr>
          <w:rFonts w:ascii="Arial" w:cs="Arial" w:eastAsia="Arial" w:hAnsi="Arial"/>
          <w:sz w:val="17"/>
          <w:szCs w:val="17"/>
          <w:i w:val="1"/>
          <w:iCs w:val="1"/>
          <w:color w:val="auto"/>
        </w:rPr>
        <w:t>www.federalrealty.com.</w:t>
      </w:r>
      <w:r>
        <w:rPr>
          <w:rFonts w:ascii="Arial" w:cs="Arial" w:eastAsia="Arial" w:hAnsi="Arial"/>
          <w:sz w:val="17"/>
          <w:szCs w:val="17"/>
          <w:color w:val="auto"/>
        </w:rPr>
        <w:t xml:space="preserve"> References in this proxy statement to our website are provided for your convenience only and the content on our website does not constitute part of this proxy statement.</w:t>
      </w:r>
    </w:p>
    <w:p>
      <w:pPr>
        <w:sectPr>
          <w:pgSz w:w="11900" w:h="16838" w:orient="portrait"/>
          <w:cols w:equalWidth="0" w:num="1">
            <w:col w:w="10620"/>
          </w:cols>
          <w:pgMar w:left="640" w:top="245" w:right="6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4"/>
          <w:szCs w:val="24"/>
          <w:b w:val="1"/>
          <w:bCs w:val="1"/>
          <w:color w:val="auto"/>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1"/>
                <w:szCs w:val="21"/>
                <w:color w:val="auto"/>
              </w:rPr>
            </w:pPr>
          </w:p>
        </w:tc>
        <w:tc>
          <w:tcPr>
            <w:tcW w:w="4460" w:type="dxa"/>
            <w:vAlign w:val="bottom"/>
            <w:gridSpan w:val="6"/>
          </w:tcPr>
          <w:p>
            <w:pPr>
              <w:spacing w:after="0"/>
              <w:rPr>
                <w:rFonts w:ascii="Arial" w:cs="Arial" w:eastAsia="Arial" w:hAnsi="Arial"/>
                <w:sz w:val="21"/>
                <w:szCs w:val="21"/>
                <w:b w:val="1"/>
                <w:bCs w:val="1"/>
                <w:color w:val="0000EE"/>
              </w:rPr>
            </w:pPr>
            <w:hyperlink w:anchor="page6">
              <w:r>
                <w:rPr>
                  <w:rFonts w:ascii="Arial" w:cs="Arial" w:eastAsia="Arial" w:hAnsi="Arial"/>
                  <w:sz w:val="21"/>
                  <w:szCs w:val="21"/>
                  <w:b w:val="1"/>
                  <w:bCs w:val="1"/>
                  <w:color w:val="0000EE"/>
                </w:rPr>
                <w:t>W</w:t>
              </w:r>
              <w:r>
                <w:rPr>
                  <w:rFonts w:ascii="Arial" w:cs="Arial" w:eastAsia="Arial" w:hAnsi="Arial"/>
                  <w:sz w:val="17"/>
                  <w:szCs w:val="17"/>
                  <w:b w:val="1"/>
                  <w:bCs w:val="1"/>
                  <w:color w:val="0000EE"/>
                </w:rPr>
                <w:t>HO</w:t>
              </w:r>
              <w:r>
                <w:rPr>
                  <w:rFonts w:ascii="Arial" w:cs="Arial" w:eastAsia="Arial" w:hAnsi="Arial"/>
                  <w:sz w:val="21"/>
                  <w:szCs w:val="21"/>
                  <w:b w:val="1"/>
                  <w:bCs w:val="1"/>
                  <w:color w:val="0000EE"/>
                </w:rPr>
                <w:t xml:space="preserve"> W</w:t>
              </w:r>
              <w:r>
                <w:rPr>
                  <w:rFonts w:ascii="Arial" w:cs="Arial" w:eastAsia="Arial" w:hAnsi="Arial"/>
                  <w:sz w:val="17"/>
                  <w:szCs w:val="17"/>
                  <w:b w:val="1"/>
                  <w:bCs w:val="1"/>
                  <w:color w:val="0000EE"/>
                </w:rPr>
                <w:t>E</w:t>
              </w:r>
              <w:r>
                <w:rPr>
                  <w:rFonts w:ascii="Arial" w:cs="Arial" w:eastAsia="Arial" w:hAnsi="Arial"/>
                  <w:sz w:val="21"/>
                  <w:szCs w:val="21"/>
                  <w:b w:val="1"/>
                  <w:bCs w:val="1"/>
                  <w:color w:val="0000EE"/>
                </w:rPr>
                <w:t xml:space="preserve"> A</w:t>
              </w:r>
              <w:r>
                <w:rPr>
                  <w:rFonts w:ascii="Arial" w:cs="Arial" w:eastAsia="Arial" w:hAnsi="Arial"/>
                  <w:sz w:val="17"/>
                  <w:szCs w:val="17"/>
                  <w:b w:val="1"/>
                  <w:bCs w:val="1"/>
                  <w:color w:val="0000EE"/>
                </w:rPr>
                <w:t>RE</w:t>
              </w:r>
            </w:hyperlink>
          </w:p>
        </w:tc>
        <w:tc>
          <w:tcPr>
            <w:tcW w:w="540" w:type="dxa"/>
            <w:vAlign w:val="bottom"/>
          </w:tcPr>
          <w:p>
            <w:pPr>
              <w:jc w:val="right"/>
              <w:spacing w:after="0"/>
              <w:rPr>
                <w:sz w:val="20"/>
                <w:szCs w:val="20"/>
                <w:color w:val="auto"/>
              </w:rPr>
            </w:pPr>
            <w:r>
              <w:rPr>
                <w:rFonts w:ascii="Arial" w:cs="Arial" w:eastAsia="Arial" w:hAnsi="Arial"/>
                <w:sz w:val="21"/>
                <w:szCs w:val="21"/>
                <w:b w:val="1"/>
                <w:bCs w:val="1"/>
                <w:color w:val="FF160F"/>
              </w:rPr>
              <w:t>1</w:t>
            </w: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2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bottom w:val="single" w:sz="8" w:color="0000EE"/>
            </w:tcBorders>
            <w:gridSpan w:val="2"/>
          </w:tcPr>
          <w:p>
            <w:pPr>
              <w:spacing w:after="0" w:line="143" w:lineRule="exact"/>
              <w:rPr>
                <w:rFonts w:ascii="Arial" w:cs="Arial" w:eastAsia="Arial" w:hAnsi="Arial"/>
                <w:sz w:val="14"/>
                <w:szCs w:val="14"/>
                <w:color w:val="0000EE"/>
                <w:w w:val="97"/>
              </w:rPr>
            </w:pPr>
            <w:hyperlink w:anchor="page6">
              <w:r>
                <w:rPr>
                  <w:rFonts w:ascii="Arial" w:cs="Arial" w:eastAsia="Arial" w:hAnsi="Arial"/>
                  <w:sz w:val="14"/>
                  <w:szCs w:val="14"/>
                  <w:color w:val="0000EE"/>
                  <w:w w:val="97"/>
                </w:rPr>
                <w:t>Company Reorganization</w:t>
              </w:r>
            </w:hyperlink>
          </w:p>
        </w:tc>
        <w:tc>
          <w:tcPr>
            <w:tcW w:w="2640" w:type="dxa"/>
            <w:vAlign w:val="bottom"/>
            <w:gridSpan w:val="2"/>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rPr>
                <w:rFonts w:ascii="Arial" w:cs="Arial" w:eastAsia="Arial" w:hAnsi="Arial"/>
                <w:sz w:val="14"/>
                <w:szCs w:val="14"/>
                <w:color w:val="0000EE"/>
                <w:w w:val="97"/>
              </w:rPr>
            </w:pPr>
            <w:hyperlink w:anchor="page7">
              <w:r>
                <w:rPr>
                  <w:rFonts w:ascii="Arial" w:cs="Arial" w:eastAsia="Arial" w:hAnsi="Arial"/>
                  <w:sz w:val="14"/>
                  <w:szCs w:val="14"/>
                  <w:color w:val="0000EE"/>
                  <w:w w:val="97"/>
                </w:rPr>
                <w:t>Operating Performance Highlights</w:t>
              </w:r>
            </w:hyperlink>
          </w:p>
        </w:tc>
        <w:tc>
          <w:tcPr>
            <w:tcW w:w="2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5"/>
          </w:tcPr>
          <w:p>
            <w:pPr>
              <w:spacing w:after="0"/>
              <w:rPr>
                <w:rFonts w:ascii="Arial" w:cs="Arial" w:eastAsia="Arial" w:hAnsi="Arial"/>
                <w:sz w:val="14"/>
                <w:szCs w:val="14"/>
                <w:color w:val="0000EE"/>
                <w:w w:val="98"/>
              </w:rPr>
            </w:pPr>
            <w:hyperlink w:anchor="page8">
              <w:r>
                <w:rPr>
                  <w:rFonts w:ascii="Arial" w:cs="Arial" w:eastAsia="Arial" w:hAnsi="Arial"/>
                  <w:sz w:val="14"/>
                  <w:szCs w:val="14"/>
                  <w:color w:val="0000EE"/>
                  <w:w w:val="98"/>
                </w:rPr>
                <w:t>Environmental and Social Responsibility Highlights and Commitment</w:t>
              </w:r>
            </w:hyperlink>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1"/>
                <w:szCs w:val="21"/>
                <w:color w:val="auto"/>
              </w:rPr>
            </w:pPr>
          </w:p>
        </w:tc>
        <w:tc>
          <w:tcPr>
            <w:tcW w:w="4400" w:type="dxa"/>
            <w:vAlign w:val="bottom"/>
            <w:gridSpan w:val="12"/>
          </w:tcPr>
          <w:p>
            <w:pPr>
              <w:spacing w:after="0"/>
              <w:rPr>
                <w:rFonts w:ascii="Arial" w:cs="Arial" w:eastAsia="Arial" w:hAnsi="Arial"/>
                <w:sz w:val="21"/>
                <w:szCs w:val="21"/>
                <w:b w:val="1"/>
                <w:bCs w:val="1"/>
                <w:color w:val="0000EE"/>
              </w:rPr>
            </w:pPr>
            <w:hyperlink w:anchor="page10">
              <w:r>
                <w:rPr>
                  <w:rFonts w:ascii="Arial" w:cs="Arial" w:eastAsia="Arial" w:hAnsi="Arial"/>
                  <w:sz w:val="21"/>
                  <w:szCs w:val="21"/>
                  <w:b w:val="1"/>
                  <w:bCs w:val="1"/>
                  <w:color w:val="0000EE"/>
                </w:rPr>
                <w:t>G</w:t>
              </w:r>
              <w:r>
                <w:rPr>
                  <w:rFonts w:ascii="Arial" w:cs="Arial" w:eastAsia="Arial" w:hAnsi="Arial"/>
                  <w:sz w:val="17"/>
                  <w:szCs w:val="17"/>
                  <w:b w:val="1"/>
                  <w:bCs w:val="1"/>
                  <w:color w:val="0000EE"/>
                </w:rPr>
                <w:t>OVERNING THE</w:t>
              </w:r>
              <w:r>
                <w:rPr>
                  <w:rFonts w:ascii="Arial" w:cs="Arial" w:eastAsia="Arial" w:hAnsi="Arial"/>
                  <w:sz w:val="21"/>
                  <w:szCs w:val="21"/>
                  <w:b w:val="1"/>
                  <w:bCs w:val="1"/>
                  <w:color w:val="0000EE"/>
                </w:rPr>
                <w:t xml:space="preserve"> C</w:t>
              </w:r>
              <w:r>
                <w:rPr>
                  <w:rFonts w:ascii="Arial" w:cs="Arial" w:eastAsia="Arial" w:hAnsi="Arial"/>
                  <w:sz w:val="17"/>
                  <w:szCs w:val="17"/>
                  <w:b w:val="1"/>
                  <w:bCs w:val="1"/>
                  <w:color w:val="0000EE"/>
                </w:rPr>
                <w:t>OMPANY</w:t>
              </w:r>
            </w:hyperlink>
          </w:p>
        </w:tc>
        <w:tc>
          <w:tcPr>
            <w:tcW w:w="600" w:type="dxa"/>
            <w:vAlign w:val="bottom"/>
          </w:tcPr>
          <w:p>
            <w:pPr>
              <w:jc w:val="right"/>
              <w:spacing w:after="0"/>
              <w:rPr>
                <w:sz w:val="20"/>
                <w:szCs w:val="20"/>
                <w:color w:val="auto"/>
              </w:rPr>
            </w:pPr>
            <w:r>
              <w:rPr>
                <w:rFonts w:ascii="Arial" w:cs="Arial" w:eastAsia="Arial" w:hAnsi="Arial"/>
                <w:sz w:val="21"/>
                <w:szCs w:val="21"/>
                <w:b w:val="1"/>
                <w:bCs w:val="1"/>
                <w:color w:val="FF160F"/>
              </w:rPr>
              <w:t>5</w:t>
            </w: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96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bottom w:val="single" w:sz="8" w:color="0000EE"/>
            </w:tcBorders>
            <w:gridSpan w:val="8"/>
          </w:tcPr>
          <w:p>
            <w:pPr>
              <w:spacing w:after="0" w:line="143" w:lineRule="exact"/>
              <w:rPr>
                <w:rFonts w:ascii="Arial" w:cs="Arial" w:eastAsia="Arial" w:hAnsi="Arial"/>
                <w:sz w:val="14"/>
                <w:szCs w:val="14"/>
                <w:color w:val="0000EE"/>
                <w:w w:val="98"/>
              </w:rPr>
            </w:pPr>
            <w:hyperlink w:anchor="page10">
              <w:r>
                <w:rPr>
                  <w:rFonts w:ascii="Arial" w:cs="Arial" w:eastAsia="Arial" w:hAnsi="Arial"/>
                  <w:sz w:val="14"/>
                  <w:szCs w:val="14"/>
                  <w:color w:val="0000EE"/>
                  <w:w w:val="98"/>
                </w:rPr>
                <w:t>Corporate Governance Policies and Procedures</w:t>
              </w:r>
            </w:hyperlink>
          </w:p>
        </w:tc>
        <w:tc>
          <w:tcPr>
            <w:tcW w:w="1200" w:type="dxa"/>
            <w:vAlign w:val="bottom"/>
            <w:gridSpan w:val="2"/>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5</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0"/>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Board Leadership</w:t>
              </w:r>
            </w:hyperlink>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rPr>
                <w:rFonts w:ascii="Arial" w:cs="Arial" w:eastAsia="Arial" w:hAnsi="Arial"/>
                <w:sz w:val="14"/>
                <w:szCs w:val="14"/>
                <w:color w:val="0000EE"/>
                <w:w w:val="97"/>
              </w:rPr>
            </w:pPr>
            <w:hyperlink w:anchor="page12">
              <w:r>
                <w:rPr>
                  <w:rFonts w:ascii="Arial" w:cs="Arial" w:eastAsia="Arial" w:hAnsi="Arial"/>
                  <w:sz w:val="14"/>
                  <w:szCs w:val="14"/>
                  <w:color w:val="0000EE"/>
                  <w:w w:val="97"/>
                </w:rPr>
                <w:t>Trustee Independence</w:t>
              </w:r>
            </w:hyperlink>
          </w:p>
        </w:tc>
        <w:tc>
          <w:tcPr>
            <w:tcW w:w="2760" w:type="dxa"/>
            <w:vAlign w:val="bottom"/>
            <w:gridSpan w:val="6"/>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0"/>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Board Meetings</w:t>
              </w:r>
            </w:hyperlink>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EE"/>
            </w:tcBorders>
            <w:gridSpan w:val="6"/>
          </w:tcPr>
          <w:p>
            <w:pPr>
              <w:spacing w:after="0"/>
              <w:rPr>
                <w:rFonts w:ascii="Arial" w:cs="Arial" w:eastAsia="Arial" w:hAnsi="Arial"/>
                <w:sz w:val="14"/>
                <w:szCs w:val="14"/>
                <w:color w:val="0000EE"/>
                <w:w w:val="97"/>
              </w:rPr>
            </w:pPr>
            <w:hyperlink w:anchor="page13">
              <w:r>
                <w:rPr>
                  <w:rFonts w:ascii="Arial" w:cs="Arial" w:eastAsia="Arial" w:hAnsi="Arial"/>
                  <w:sz w:val="14"/>
                  <w:szCs w:val="14"/>
                  <w:color w:val="0000EE"/>
                  <w:w w:val="97"/>
                </w:rPr>
                <w:t>Overseeing Risk Management</w:t>
              </w:r>
            </w:hyperlink>
          </w:p>
        </w:tc>
        <w:tc>
          <w:tcPr>
            <w:tcW w:w="2280" w:type="dxa"/>
            <w:vAlign w:val="bottom"/>
            <w:gridSpan w:val="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rPr>
                <w:rFonts w:ascii="Arial" w:cs="Arial" w:eastAsia="Arial" w:hAnsi="Arial"/>
                <w:sz w:val="14"/>
                <w:szCs w:val="14"/>
                <w:color w:val="0000EE"/>
                <w:w w:val="96"/>
              </w:rPr>
            </w:pPr>
            <w:hyperlink w:anchor="page14">
              <w:r>
                <w:rPr>
                  <w:rFonts w:ascii="Arial" w:cs="Arial" w:eastAsia="Arial" w:hAnsi="Arial"/>
                  <w:sz w:val="14"/>
                  <w:szCs w:val="14"/>
                  <w:color w:val="0000EE"/>
                  <w:w w:val="96"/>
                </w:rPr>
                <w:t>Board Committees</w:t>
              </w:r>
            </w:hyperlink>
          </w:p>
        </w:tc>
        <w:tc>
          <w:tcPr>
            <w:tcW w:w="3000" w:type="dxa"/>
            <w:vAlign w:val="bottom"/>
            <w:gridSpan w:val="7"/>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10"/>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Board and Committee Assessments</w:t>
              </w:r>
            </w:hyperlink>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11"/>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Compensation Committee Interlocks and Insider Participation</w:t>
              </w:r>
            </w:hyperlink>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8"/>
        </w:trPr>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tcBorders>
              <w:top w:val="single" w:sz="8" w:color="0000EE"/>
            </w:tcBorders>
            <w:gridSpan w:val="10"/>
          </w:tcPr>
          <w:p>
            <w:pPr>
              <w:spacing w:after="0"/>
              <w:rPr>
                <w:sz w:val="20"/>
                <w:szCs w:val="20"/>
                <w:color w:val="auto"/>
              </w:rPr>
            </w:pPr>
            <w:r>
              <w:rPr>
                <w:rFonts w:ascii="Arial" w:cs="Arial" w:eastAsia="Arial" w:hAnsi="Arial"/>
                <w:sz w:val="14"/>
                <w:szCs w:val="14"/>
                <w:color w:val="auto"/>
              </w:rPr>
              <w:t>Communications with the Board</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4"/>
        </w:trPr>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bottom w:val="single" w:sz="8" w:color="0000EE"/>
            </w:tcBorders>
            <w:gridSpan w:val="5"/>
          </w:tcPr>
          <w:p>
            <w:pPr>
              <w:spacing w:after="0"/>
              <w:rPr>
                <w:rFonts w:ascii="Arial" w:cs="Arial" w:eastAsia="Arial" w:hAnsi="Arial"/>
                <w:sz w:val="14"/>
                <w:szCs w:val="14"/>
                <w:color w:val="0000EE"/>
                <w:w w:val="97"/>
              </w:rPr>
            </w:pPr>
            <w:hyperlink w:anchor="page16">
              <w:r>
                <w:rPr>
                  <w:rFonts w:ascii="Arial" w:cs="Arial" w:eastAsia="Arial" w:hAnsi="Arial"/>
                  <w:sz w:val="14"/>
                  <w:szCs w:val="14"/>
                  <w:color w:val="0000EE"/>
                  <w:w w:val="97"/>
                </w:rPr>
                <w:t>Related Party Transactions</w:t>
              </w:r>
            </w:hyperlink>
          </w:p>
        </w:tc>
        <w:tc>
          <w:tcPr>
            <w:tcW w:w="2480" w:type="dxa"/>
            <w:vAlign w:val="bottom"/>
            <w:gridSpan w:val="5"/>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1"/>
                <w:szCs w:val="21"/>
                <w:color w:val="auto"/>
              </w:rPr>
            </w:pPr>
          </w:p>
        </w:tc>
        <w:tc>
          <w:tcPr>
            <w:tcW w:w="4340" w:type="dxa"/>
            <w:vAlign w:val="bottom"/>
            <w:gridSpan w:val="17"/>
          </w:tcPr>
          <w:p>
            <w:pPr>
              <w:spacing w:after="0"/>
              <w:rPr>
                <w:rFonts w:ascii="Arial" w:cs="Arial" w:eastAsia="Arial" w:hAnsi="Arial"/>
                <w:sz w:val="21"/>
                <w:szCs w:val="21"/>
                <w:b w:val="1"/>
                <w:bCs w:val="1"/>
                <w:color w:val="0000EE"/>
              </w:rPr>
            </w:pPr>
            <w:hyperlink w:anchor="page16">
              <w:r>
                <w:rPr>
                  <w:rFonts w:ascii="Arial" w:cs="Arial" w:eastAsia="Arial" w:hAnsi="Arial"/>
                  <w:sz w:val="21"/>
                  <w:szCs w:val="21"/>
                  <w:b w:val="1"/>
                  <w:bCs w:val="1"/>
                  <w:color w:val="0000EE"/>
                </w:rPr>
                <w:t>P</w:t>
              </w:r>
              <w:r>
                <w:rPr>
                  <w:rFonts w:ascii="Arial" w:cs="Arial" w:eastAsia="Arial" w:hAnsi="Arial"/>
                  <w:sz w:val="17"/>
                  <w:szCs w:val="17"/>
                  <w:b w:val="1"/>
                  <w:bCs w:val="1"/>
                  <w:color w:val="0000EE"/>
                </w:rPr>
                <w:t>ROPOSAL</w:t>
              </w:r>
              <w:r>
                <w:rPr>
                  <w:rFonts w:ascii="Arial" w:cs="Arial" w:eastAsia="Arial" w:hAnsi="Arial"/>
                  <w:sz w:val="21"/>
                  <w:szCs w:val="21"/>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1"/>
                  <w:szCs w:val="21"/>
                  <w:b w:val="1"/>
                  <w:bCs w:val="1"/>
                  <w:color w:val="0000EE"/>
                </w:rPr>
                <w:t xml:space="preserve"> O</w:t>
              </w:r>
              <w:r>
                <w:rPr>
                  <w:rFonts w:ascii="Arial" w:cs="Arial" w:eastAsia="Arial" w:hAnsi="Arial"/>
                  <w:sz w:val="17"/>
                  <w:szCs w:val="17"/>
                  <w:b w:val="1"/>
                  <w:bCs w:val="1"/>
                  <w:color w:val="0000EE"/>
                </w:rPr>
                <w:t>UR</w:t>
              </w:r>
              <w:r>
                <w:rPr>
                  <w:rFonts w:ascii="Arial" w:cs="Arial" w:eastAsia="Arial" w:hAnsi="Arial"/>
                  <w:sz w:val="21"/>
                  <w:szCs w:val="21"/>
                  <w:b w:val="1"/>
                  <w:bCs w:val="1"/>
                  <w:color w:val="0000EE"/>
                </w:rPr>
                <w:t xml:space="preserve"> T</w:t>
              </w:r>
              <w:r>
                <w:rPr>
                  <w:rFonts w:ascii="Arial" w:cs="Arial" w:eastAsia="Arial" w:hAnsi="Arial"/>
                  <w:sz w:val="17"/>
                  <w:szCs w:val="17"/>
                  <w:b w:val="1"/>
                  <w:bCs w:val="1"/>
                  <w:color w:val="0000EE"/>
                </w:rPr>
                <w:t>RUSTEES</w:t>
              </w:r>
            </w:hyperlink>
          </w:p>
        </w:tc>
        <w:tc>
          <w:tcPr>
            <w:tcW w:w="660" w:type="dxa"/>
            <w:vAlign w:val="bottom"/>
          </w:tcPr>
          <w:p>
            <w:pPr>
              <w:jc w:val="right"/>
              <w:spacing w:after="0"/>
              <w:rPr>
                <w:sz w:val="20"/>
                <w:szCs w:val="20"/>
                <w:color w:val="auto"/>
              </w:rPr>
            </w:pPr>
            <w:r>
              <w:rPr>
                <w:rFonts w:ascii="Arial" w:cs="Arial" w:eastAsia="Arial" w:hAnsi="Arial"/>
                <w:sz w:val="21"/>
                <w:szCs w:val="21"/>
                <w:b w:val="1"/>
                <w:bCs w:val="1"/>
                <w:color w:val="FF160F"/>
              </w:rPr>
              <w:t>11</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80" w:type="dxa"/>
            <w:vAlign w:val="bottom"/>
            <w:gridSpan w:val="16"/>
          </w:tcPr>
          <w:p>
            <w:pPr>
              <w:spacing w:after="0" w:line="143" w:lineRule="exact"/>
              <w:rPr>
                <w:rFonts w:ascii="Arial" w:cs="Arial" w:eastAsia="Arial" w:hAnsi="Arial"/>
                <w:sz w:val="14"/>
                <w:szCs w:val="14"/>
                <w:color w:val="0000EE"/>
              </w:rPr>
            </w:pPr>
            <w:hyperlink w:anchor="page17">
              <w:r>
                <w:rPr>
                  <w:rFonts w:ascii="Arial" w:cs="Arial" w:eastAsia="Arial" w:hAnsi="Arial"/>
                  <w:sz w:val="14"/>
                  <w:szCs w:val="14"/>
                  <w:color w:val="0000EE"/>
                </w:rPr>
                <w:t>Trustee Characteristics and Selection</w:t>
              </w:r>
            </w:hyperlink>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Borders>
              <w:top w:val="single" w:sz="8" w:color="0000EE"/>
            </w:tcBorders>
            <w:gridSpan w:val="10"/>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Board Diversity and Tenure</w:t>
              </w:r>
            </w:hyperlink>
          </w:p>
        </w:tc>
        <w:tc>
          <w:tcPr>
            <w:tcW w:w="1800" w:type="dxa"/>
            <w:vAlign w:val="bottom"/>
            <w:gridSpan w:val="6"/>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gridSpan w:val="16"/>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Qualifications and Experience of Nominees</w:t>
              </w:r>
            </w:hyperlink>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tcBorders>
              <w:top w:val="single" w:sz="8" w:color="0000EE"/>
            </w:tcBorders>
            <w:gridSpan w:val="12"/>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Additional Board Service</w:t>
              </w:r>
            </w:hyperlink>
          </w:p>
        </w:tc>
        <w:tc>
          <w:tcPr>
            <w:tcW w:w="1440" w:type="dxa"/>
            <w:vAlign w:val="bottom"/>
            <w:gridSpan w:val="4"/>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top w:val="single" w:sz="8" w:color="0000EE"/>
            </w:tcBorders>
            <w:gridSpan w:val="5"/>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Our Nominees</w:t>
              </w:r>
            </w:hyperlink>
          </w:p>
        </w:tc>
        <w:tc>
          <w:tcPr>
            <w:tcW w:w="2580" w:type="dxa"/>
            <w:vAlign w:val="bottom"/>
            <w:gridSpan w:val="11"/>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gridSpan w:val="16"/>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Trustee Compensation</w:t>
              </w:r>
            </w:hyperlink>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P</w:t>
              </w:r>
              <w:r>
                <w:rPr>
                  <w:rFonts w:ascii="Arial" w:cs="Arial" w:eastAsia="Arial" w:hAnsi="Arial"/>
                  <w:sz w:val="17"/>
                  <w:szCs w:val="17"/>
                  <w:b w:val="1"/>
                  <w:bCs w:val="1"/>
                  <w:color w:val="0000EE"/>
                </w:rPr>
                <w:t>ROPOSAL</w:t>
              </w:r>
              <w:r>
                <w:rPr>
                  <w:rFonts w:ascii="Arial" w:cs="Arial" w:eastAsia="Arial" w:hAnsi="Arial"/>
                  <w:sz w:val="21"/>
                  <w:szCs w:val="21"/>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1"/>
                  <w:szCs w:val="21"/>
                  <w:b w:val="1"/>
                  <w:bCs w:val="1"/>
                  <w:color w:val="0000EE"/>
                </w:rPr>
                <w:t xml:space="preserve"> E</w:t>
              </w:r>
              <w:r>
                <w:rPr>
                  <w:rFonts w:ascii="Arial" w:cs="Arial" w:eastAsia="Arial" w:hAnsi="Arial"/>
                  <w:sz w:val="17"/>
                  <w:szCs w:val="17"/>
                  <w:b w:val="1"/>
                  <w:bCs w:val="1"/>
                  <w:color w:val="0000EE"/>
                </w:rPr>
                <w:t>XECUTIVE</w:t>
              </w:r>
            </w:hyperlink>
          </w:p>
        </w:tc>
        <w:tc>
          <w:tcPr>
            <w:tcW w:w="660" w:type="dxa"/>
            <w:vAlign w:val="bottom"/>
            <w:vMerge w:val="restart"/>
          </w:tcPr>
          <w:p>
            <w:pPr>
              <w:jc w:val="right"/>
              <w:spacing w:after="0"/>
              <w:rPr>
                <w:sz w:val="20"/>
                <w:szCs w:val="20"/>
                <w:color w:val="auto"/>
              </w:rPr>
            </w:pPr>
            <w:r>
              <w:rPr>
                <w:rFonts w:ascii="Arial" w:cs="Arial" w:eastAsia="Arial" w:hAnsi="Arial"/>
                <w:sz w:val="21"/>
                <w:szCs w:val="21"/>
                <w:b w:val="1"/>
                <w:bCs w:val="1"/>
                <w:color w:val="FF160F"/>
              </w:rPr>
              <w:t>19</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60" w:type="dxa"/>
            <w:vAlign w:val="bottom"/>
            <w:tcBorders>
              <w:top w:val="single" w:sz="8" w:color="0000EE"/>
            </w:tcBorders>
            <w:gridSpan w:val="15"/>
          </w:tcPr>
          <w:p>
            <w:pPr>
              <w:spacing w:after="0" w:line="214" w:lineRule="exact"/>
              <w:rPr>
                <w:rFonts w:ascii="Arial" w:cs="Arial" w:eastAsia="Arial" w:hAnsi="Arial"/>
                <w:sz w:val="21"/>
                <w:szCs w:val="21"/>
                <w:b w:val="1"/>
                <w:bCs w:val="1"/>
                <w:color w:val="0000EE"/>
              </w:rPr>
            </w:pPr>
            <w:hyperlink w:anchor="page24">
              <w:r>
                <w:rPr>
                  <w:rFonts w:ascii="Arial" w:cs="Arial" w:eastAsia="Arial" w:hAnsi="Arial"/>
                  <w:sz w:val="21"/>
                  <w:szCs w:val="21"/>
                  <w:b w:val="1"/>
                  <w:bCs w:val="1"/>
                  <w:color w:val="0000EE"/>
                </w:rPr>
                <w:t>C</w:t>
              </w:r>
              <w:r>
                <w:rPr>
                  <w:rFonts w:ascii="Arial" w:cs="Arial" w:eastAsia="Arial" w:hAnsi="Arial"/>
                  <w:sz w:val="17"/>
                  <w:szCs w:val="17"/>
                  <w:b w:val="1"/>
                  <w:bCs w:val="1"/>
                  <w:color w:val="0000EE"/>
                </w:rPr>
                <w:t>OMPENSATION</w:t>
              </w:r>
            </w:hyperlink>
          </w:p>
        </w:tc>
        <w:tc>
          <w:tcPr>
            <w:tcW w:w="480" w:type="dxa"/>
            <w:vAlign w:val="bottom"/>
            <w:gridSpan w:val="2"/>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20" w:type="dxa"/>
            <w:vAlign w:val="bottom"/>
            <w:tcBorders>
              <w:bottom w:val="single" w:sz="8" w:color="0000EE"/>
            </w:tcBorders>
            <w:gridSpan w:val="11"/>
          </w:tcPr>
          <w:p>
            <w:pPr>
              <w:spacing w:after="0" w:line="143" w:lineRule="exact"/>
              <w:rPr>
                <w:rFonts w:ascii="Arial" w:cs="Arial" w:eastAsia="Arial" w:hAnsi="Arial"/>
                <w:sz w:val="14"/>
                <w:szCs w:val="14"/>
                <w:color w:val="0000EE"/>
                <w:w w:val="97"/>
              </w:rPr>
            </w:pPr>
            <w:hyperlink w:anchor="page24">
              <w:r>
                <w:rPr>
                  <w:rFonts w:ascii="Arial" w:cs="Arial" w:eastAsia="Arial" w:hAnsi="Arial"/>
                  <w:sz w:val="14"/>
                  <w:szCs w:val="14"/>
                  <w:color w:val="0000EE"/>
                  <w:w w:val="97"/>
                </w:rPr>
                <w:t>Compensation Discussion and Analysis</w:t>
              </w:r>
            </w:hyperlink>
          </w:p>
        </w:tc>
        <w:tc>
          <w:tcPr>
            <w:tcW w:w="1660" w:type="dxa"/>
            <w:vAlign w:val="bottom"/>
            <w:gridSpan w:val="5"/>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rPr>
                <w:rFonts w:ascii="Arial" w:cs="Arial" w:eastAsia="Arial" w:hAnsi="Arial"/>
                <w:sz w:val="14"/>
                <w:szCs w:val="14"/>
                <w:color w:val="0000EE"/>
                <w:w w:val="99"/>
              </w:rPr>
            </w:pPr>
            <w:hyperlink w:anchor="page25">
              <w:r>
                <w:rPr>
                  <w:rFonts w:ascii="Arial" w:cs="Arial" w:eastAsia="Arial" w:hAnsi="Arial"/>
                  <w:sz w:val="14"/>
                  <w:szCs w:val="14"/>
                  <w:color w:val="0000EE"/>
                  <w:w w:val="99"/>
                </w:rPr>
                <w:t>2021 Summary Information</w:t>
              </w:r>
            </w:hyperlink>
          </w:p>
        </w:tc>
        <w:tc>
          <w:tcPr>
            <w:tcW w:w="2040" w:type="dxa"/>
            <w:vAlign w:val="bottom"/>
            <w:gridSpan w:val="9"/>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gridSpan w:val="15"/>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Compensation Plan Overview</w:t>
              </w:r>
            </w:hyperlink>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rPr>
                <w:rFonts w:ascii="Arial" w:cs="Arial" w:eastAsia="Arial" w:hAnsi="Arial"/>
                <w:sz w:val="14"/>
                <w:szCs w:val="14"/>
                <w:color w:val="0000EE"/>
                <w:w w:val="97"/>
              </w:rPr>
            </w:pPr>
            <w:hyperlink w:anchor="page27">
              <w:r>
                <w:rPr>
                  <w:rFonts w:ascii="Arial" w:cs="Arial" w:eastAsia="Arial" w:hAnsi="Arial"/>
                  <w:sz w:val="14"/>
                  <w:szCs w:val="14"/>
                  <w:color w:val="0000EE"/>
                  <w:w w:val="97"/>
                </w:rPr>
                <w:t>2021 Compensation Decisions</w:t>
              </w:r>
            </w:hyperlink>
          </w:p>
        </w:tc>
        <w:tc>
          <w:tcPr>
            <w:tcW w:w="1880" w:type="dxa"/>
            <w:vAlign w:val="bottom"/>
            <w:gridSpan w:val="7"/>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gridSpan w:val="15"/>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Compensation Policies and Procedures</w:t>
              </w:r>
            </w:hyperlink>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right w:val="single" w:sz="8" w:color="0000EE"/>
            </w:tcBorders>
            <w:gridSpan w:val="6"/>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gridSpan w:val="16"/>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Compensation Committee Report</w:t>
              </w:r>
            </w:hyperlink>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1"/>
                <w:szCs w:val="21"/>
                <w:color w:val="auto"/>
              </w:rPr>
            </w:pPr>
          </w:p>
        </w:tc>
        <w:tc>
          <w:tcPr>
            <w:tcW w:w="4420" w:type="dxa"/>
            <w:vAlign w:val="bottom"/>
            <w:gridSpan w:val="30"/>
          </w:tcPr>
          <w:p>
            <w:pPr>
              <w:spacing w:after="0"/>
              <w:rPr>
                <w:rFonts w:ascii="Arial" w:cs="Arial" w:eastAsia="Arial" w:hAnsi="Arial"/>
                <w:sz w:val="21"/>
                <w:szCs w:val="21"/>
                <w:b w:val="1"/>
                <w:bCs w:val="1"/>
                <w:color w:val="0000EE"/>
              </w:rPr>
            </w:pPr>
            <w:hyperlink w:anchor="page38">
              <w:r>
                <w:rPr>
                  <w:rFonts w:ascii="Arial" w:cs="Arial" w:eastAsia="Arial" w:hAnsi="Arial"/>
                  <w:sz w:val="21"/>
                  <w:szCs w:val="21"/>
                  <w:b w:val="1"/>
                  <w:bCs w:val="1"/>
                  <w:color w:val="0000EE"/>
                </w:rPr>
                <w:t>E</w:t>
              </w:r>
              <w:r>
                <w:rPr>
                  <w:rFonts w:ascii="Arial" w:cs="Arial" w:eastAsia="Arial" w:hAnsi="Arial"/>
                  <w:sz w:val="17"/>
                  <w:szCs w:val="17"/>
                  <w:b w:val="1"/>
                  <w:bCs w:val="1"/>
                  <w:color w:val="0000EE"/>
                </w:rPr>
                <w:t>XECUTIVE</w:t>
              </w:r>
              <w:r>
                <w:rPr>
                  <w:rFonts w:ascii="Arial" w:cs="Arial" w:eastAsia="Arial" w:hAnsi="Arial"/>
                  <w:sz w:val="21"/>
                  <w:szCs w:val="21"/>
                  <w:b w:val="1"/>
                  <w:bCs w:val="1"/>
                  <w:color w:val="0000EE"/>
                </w:rPr>
                <w:t xml:space="preserve"> C</w:t>
              </w:r>
              <w:r>
                <w:rPr>
                  <w:rFonts w:ascii="Arial" w:cs="Arial" w:eastAsia="Arial" w:hAnsi="Arial"/>
                  <w:sz w:val="17"/>
                  <w:szCs w:val="17"/>
                  <w:b w:val="1"/>
                  <w:bCs w:val="1"/>
                  <w:color w:val="0000EE"/>
                </w:rPr>
                <w:t>OMPENSATION</w:t>
              </w:r>
            </w:hyperlink>
          </w:p>
        </w:tc>
        <w:tc>
          <w:tcPr>
            <w:tcW w:w="700" w:type="dxa"/>
            <w:vAlign w:val="bottom"/>
          </w:tcPr>
          <w:p>
            <w:pPr>
              <w:jc w:val="right"/>
              <w:ind w:right="3"/>
              <w:spacing w:after="0"/>
              <w:rPr>
                <w:sz w:val="20"/>
                <w:szCs w:val="20"/>
                <w:color w:val="auto"/>
              </w:rPr>
            </w:pPr>
            <w:r>
              <w:rPr>
                <w:rFonts w:ascii="Arial" w:cs="Arial" w:eastAsia="Arial" w:hAnsi="Arial"/>
                <w:sz w:val="21"/>
                <w:szCs w:val="21"/>
                <w:b w:val="1"/>
                <w:bCs w:val="1"/>
                <w:color w:val="FF160F"/>
              </w:rPr>
              <w:t>33</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gridSpan w:val="28"/>
          </w:tcPr>
          <w:p>
            <w:pPr>
              <w:spacing w:after="0" w:line="143" w:lineRule="exact"/>
              <w:rPr>
                <w:rFonts w:ascii="Arial" w:cs="Arial" w:eastAsia="Arial" w:hAnsi="Arial"/>
                <w:sz w:val="14"/>
                <w:szCs w:val="14"/>
                <w:color w:val="0000EE"/>
              </w:rPr>
            </w:pPr>
            <w:hyperlink w:anchor="page38">
              <w:r>
                <w:rPr>
                  <w:rFonts w:ascii="Arial" w:cs="Arial" w:eastAsia="Arial" w:hAnsi="Arial"/>
                  <w:sz w:val="14"/>
                  <w:szCs w:val="14"/>
                  <w:color w:val="0000EE"/>
                </w:rPr>
                <w:t>Summary Compensation Table</w:t>
              </w:r>
            </w:hyperlink>
          </w:p>
        </w:tc>
        <w:tc>
          <w:tcPr>
            <w:tcW w:w="700" w:type="dxa"/>
            <w:vAlign w:val="bottom"/>
          </w:tcPr>
          <w:p>
            <w:pPr>
              <w:jc w:val="right"/>
              <w:ind w:right="3"/>
              <w:spacing w:after="0" w:line="143"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rPr>
                <w:rFonts w:ascii="Arial" w:cs="Arial" w:eastAsia="Arial" w:hAnsi="Arial"/>
                <w:sz w:val="14"/>
                <w:szCs w:val="14"/>
                <w:color w:val="0000EE"/>
                <w:w w:val="96"/>
              </w:rPr>
            </w:pPr>
            <w:hyperlink w:anchor="page39">
              <w:r>
                <w:rPr>
                  <w:rFonts w:ascii="Arial" w:cs="Arial" w:eastAsia="Arial" w:hAnsi="Arial"/>
                  <w:sz w:val="14"/>
                  <w:szCs w:val="14"/>
                  <w:color w:val="0000EE"/>
                  <w:w w:val="96"/>
                </w:rPr>
                <w:t>Grants of Plan-Based Awards Table</w:t>
              </w:r>
            </w:hyperlink>
          </w:p>
        </w:tc>
        <w:tc>
          <w:tcPr>
            <w:tcW w:w="1980" w:type="dxa"/>
            <w:vAlign w:val="bottom"/>
            <w:gridSpan w:val="17"/>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22"/>
          </w:tcPr>
          <w:p>
            <w:pPr>
              <w:spacing w:after="0"/>
              <w:rPr>
                <w:rFonts w:ascii="Arial" w:cs="Arial" w:eastAsia="Arial" w:hAnsi="Arial"/>
                <w:sz w:val="14"/>
                <w:szCs w:val="14"/>
                <w:color w:val="0000EE"/>
                <w:w w:val="97"/>
              </w:rPr>
            </w:pPr>
            <w:hyperlink w:anchor="page40">
              <w:r>
                <w:rPr>
                  <w:rFonts w:ascii="Arial" w:cs="Arial" w:eastAsia="Arial" w:hAnsi="Arial"/>
                  <w:sz w:val="14"/>
                  <w:szCs w:val="14"/>
                  <w:color w:val="0000EE"/>
                  <w:w w:val="97"/>
                </w:rPr>
                <w:t>Outstanding Equity Awards at Fiscal Year-End Table</w:t>
              </w:r>
            </w:hyperlink>
          </w:p>
        </w:tc>
        <w:tc>
          <w:tcPr>
            <w:tcW w:w="960" w:type="dxa"/>
            <w:vAlign w:val="bottom"/>
            <w:gridSpan w:val="6"/>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28"/>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Options Exercised and Stock Vested in 2021</w:t>
              </w:r>
            </w:hyperlink>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top w:val="single" w:sz="8" w:color="0000EE"/>
            </w:tcBorders>
            <w:gridSpan w:val="18"/>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Non-Qualified Deferred Compensation</w:t>
              </w:r>
            </w:hyperlink>
          </w:p>
        </w:tc>
        <w:tc>
          <w:tcPr>
            <w:tcW w:w="1440" w:type="dxa"/>
            <w:vAlign w:val="bottom"/>
            <w:gridSpan w:val="10"/>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rPr>
                <w:rFonts w:ascii="Arial" w:cs="Arial" w:eastAsia="Arial" w:hAnsi="Arial"/>
                <w:sz w:val="14"/>
                <w:szCs w:val="14"/>
                <w:color w:val="0000EE"/>
                <w:w w:val="98"/>
              </w:rPr>
            </w:pPr>
            <w:hyperlink w:anchor="page41">
              <w:r>
                <w:rPr>
                  <w:rFonts w:ascii="Arial" w:cs="Arial" w:eastAsia="Arial" w:hAnsi="Arial"/>
                  <w:sz w:val="14"/>
                  <w:szCs w:val="14"/>
                  <w:color w:val="0000EE"/>
                  <w:w w:val="98"/>
                </w:rPr>
                <w:t>Potential Payments on Termination of Employment and</w:t>
              </w:r>
            </w:hyperlink>
          </w:p>
        </w:tc>
        <w:tc>
          <w:tcPr>
            <w:tcW w:w="800" w:type="dxa"/>
            <w:vAlign w:val="bottom"/>
            <w:gridSpan w:val="5"/>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80" w:type="dxa"/>
            <w:vAlign w:val="bottom"/>
            <w:gridSpan w:val="27"/>
          </w:tcPr>
          <w:p>
            <w:pPr>
              <w:spacing w:after="0" w:line="136" w:lineRule="exact"/>
              <w:rPr>
                <w:rFonts w:ascii="Arial" w:cs="Arial" w:eastAsia="Arial" w:hAnsi="Arial"/>
                <w:sz w:val="14"/>
                <w:szCs w:val="14"/>
                <w:color w:val="0000EE"/>
              </w:rPr>
            </w:pPr>
            <w:hyperlink w:anchor="page41">
              <w:r>
                <w:rPr>
                  <w:rFonts w:ascii="Arial" w:cs="Arial" w:eastAsia="Arial" w:hAnsi="Arial"/>
                  <w:sz w:val="14"/>
                  <w:szCs w:val="14"/>
                  <w:color w:val="0000EE"/>
                </w:rPr>
                <w:t>Change-in-Control</w:t>
              </w:r>
            </w:hyperlink>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28"/>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CEO Pay Ratio</w:t>
              </w:r>
            </w:hyperlink>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bottom w:val="single" w:sz="8" w:color="0000EE"/>
            </w:tcBorders>
            <w:gridSpan w:val="14"/>
          </w:tcPr>
          <w:p>
            <w:pPr>
              <w:spacing w:after="0"/>
              <w:rPr>
                <w:rFonts w:ascii="Arial" w:cs="Arial" w:eastAsia="Arial" w:hAnsi="Arial"/>
                <w:sz w:val="14"/>
                <w:szCs w:val="14"/>
                <w:color w:val="0000EE"/>
                <w:w w:val="97"/>
              </w:rPr>
            </w:pPr>
            <w:hyperlink w:anchor="page44">
              <w:r>
                <w:rPr>
                  <w:rFonts w:ascii="Arial" w:cs="Arial" w:eastAsia="Arial" w:hAnsi="Arial"/>
                  <w:sz w:val="14"/>
                  <w:szCs w:val="14"/>
                  <w:color w:val="0000EE"/>
                  <w:w w:val="97"/>
                </w:rPr>
                <w:t>Equity Compensation Plan Information</w:t>
              </w:r>
            </w:hyperlink>
          </w:p>
        </w:tc>
        <w:tc>
          <w:tcPr>
            <w:tcW w:w="1800" w:type="dxa"/>
            <w:vAlign w:val="bottom"/>
            <w:gridSpan w:val="14"/>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396"/>
        </w:trPr>
        <w:tc>
          <w:tcPr>
            <w:tcW w:w="80" w:type="dxa"/>
            <w:vAlign w:val="bottom"/>
          </w:tcPr>
          <w:p>
            <w:pPr>
              <w:spacing w:after="0"/>
              <w:rPr>
                <w:sz w:val="24"/>
                <w:szCs w:val="24"/>
                <w:color w:val="auto"/>
              </w:rPr>
            </w:pPr>
          </w:p>
        </w:tc>
        <w:tc>
          <w:tcPr>
            <w:tcW w:w="4420" w:type="dxa"/>
            <w:vAlign w:val="bottom"/>
            <w:gridSpan w:val="30"/>
          </w:tcPr>
          <w:p>
            <w:pPr>
              <w:spacing w:after="0"/>
              <w:rPr>
                <w:rFonts w:ascii="Arial" w:cs="Arial" w:eastAsia="Arial" w:hAnsi="Arial"/>
                <w:sz w:val="21"/>
                <w:szCs w:val="21"/>
                <w:b w:val="1"/>
                <w:bCs w:val="1"/>
                <w:color w:val="0000EE"/>
              </w:rPr>
            </w:pPr>
            <w:hyperlink w:anchor="page44">
              <w:r>
                <w:rPr>
                  <w:rFonts w:ascii="Arial" w:cs="Arial" w:eastAsia="Arial" w:hAnsi="Arial"/>
                  <w:sz w:val="21"/>
                  <w:szCs w:val="21"/>
                  <w:b w:val="1"/>
                  <w:bCs w:val="1"/>
                  <w:color w:val="0000EE"/>
                </w:rPr>
                <w:t>P</w:t>
              </w:r>
              <w:r>
                <w:rPr>
                  <w:rFonts w:ascii="Arial" w:cs="Arial" w:eastAsia="Arial" w:hAnsi="Arial"/>
                  <w:sz w:val="17"/>
                  <w:szCs w:val="17"/>
                  <w:b w:val="1"/>
                  <w:bCs w:val="1"/>
                  <w:color w:val="0000EE"/>
                </w:rPr>
                <w:t>ROPOSAL</w:t>
              </w:r>
              <w:r>
                <w:rPr>
                  <w:rFonts w:ascii="Arial" w:cs="Arial" w:eastAsia="Arial" w:hAnsi="Arial"/>
                  <w:sz w:val="21"/>
                  <w:szCs w:val="21"/>
                  <w:b w:val="1"/>
                  <w:bCs w:val="1"/>
                  <w:color w:val="0000EE"/>
                </w:rPr>
                <w:t xml:space="preserve"> 3: R</w:t>
              </w:r>
              <w:r>
                <w:rPr>
                  <w:rFonts w:ascii="Arial" w:cs="Arial" w:eastAsia="Arial" w:hAnsi="Arial"/>
                  <w:sz w:val="17"/>
                  <w:szCs w:val="17"/>
                  <w:b w:val="1"/>
                  <w:bCs w:val="1"/>
                  <w:color w:val="0000EE"/>
                </w:rPr>
                <w:t>ATIFICATION OF</w:t>
              </w:r>
              <w:r>
                <w:rPr>
                  <w:rFonts w:ascii="Arial" w:cs="Arial" w:eastAsia="Arial" w:hAnsi="Arial"/>
                  <w:sz w:val="21"/>
                  <w:szCs w:val="21"/>
                  <w:b w:val="1"/>
                  <w:bCs w:val="1"/>
                  <w:color w:val="0000EE"/>
                </w:rPr>
                <w:t xml:space="preserve"> I</w:t>
              </w:r>
              <w:r>
                <w:rPr>
                  <w:rFonts w:ascii="Arial" w:cs="Arial" w:eastAsia="Arial" w:hAnsi="Arial"/>
                  <w:sz w:val="17"/>
                  <w:szCs w:val="17"/>
                  <w:b w:val="1"/>
                  <w:bCs w:val="1"/>
                  <w:color w:val="0000EE"/>
                </w:rPr>
                <w:t>NDEPENDENT</w:t>
              </w:r>
            </w:hyperlink>
          </w:p>
        </w:tc>
        <w:tc>
          <w:tcPr>
            <w:tcW w:w="700" w:type="dxa"/>
            <w:vAlign w:val="bottom"/>
            <w:vMerge w:val="restart"/>
          </w:tcPr>
          <w:p>
            <w:pPr>
              <w:jc w:val="right"/>
              <w:ind w:right="3"/>
              <w:spacing w:after="0"/>
              <w:rPr>
                <w:sz w:val="20"/>
                <w:szCs w:val="20"/>
                <w:color w:val="auto"/>
              </w:rPr>
            </w:pPr>
            <w:r>
              <w:rPr>
                <w:rFonts w:ascii="Arial" w:cs="Arial" w:eastAsia="Arial" w:hAnsi="Arial"/>
                <w:sz w:val="21"/>
                <w:szCs w:val="21"/>
                <w:b w:val="1"/>
                <w:bCs w:val="1"/>
                <w:color w:val="FF160F"/>
              </w:rPr>
              <w:t>39</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120" w:type="dxa"/>
            <w:vAlign w:val="bottom"/>
            <w:tcBorders>
              <w:top w:val="single" w:sz="8" w:color="0000EE"/>
            </w:tcBorders>
            <w:gridSpan w:val="29"/>
          </w:tcPr>
          <w:p>
            <w:pPr>
              <w:spacing w:after="0" w:line="214" w:lineRule="exact"/>
              <w:rPr>
                <w:rFonts w:ascii="Arial" w:cs="Arial" w:eastAsia="Arial" w:hAnsi="Arial"/>
                <w:sz w:val="21"/>
                <w:szCs w:val="21"/>
                <w:b w:val="1"/>
                <w:bCs w:val="1"/>
                <w:color w:val="0000EE"/>
              </w:rPr>
            </w:pPr>
            <w:hyperlink w:anchor="page44">
              <w:r>
                <w:rPr>
                  <w:rFonts w:ascii="Arial" w:cs="Arial" w:eastAsia="Arial" w:hAnsi="Arial"/>
                  <w:sz w:val="21"/>
                  <w:szCs w:val="21"/>
                  <w:b w:val="1"/>
                  <w:bCs w:val="1"/>
                  <w:color w:val="0000EE"/>
                </w:rPr>
                <w:t>R</w:t>
              </w:r>
              <w:r>
                <w:rPr>
                  <w:rFonts w:ascii="Arial" w:cs="Arial" w:eastAsia="Arial" w:hAnsi="Arial"/>
                  <w:sz w:val="17"/>
                  <w:szCs w:val="17"/>
                  <w:b w:val="1"/>
                  <w:bCs w:val="1"/>
                  <w:color w:val="0000EE"/>
                </w:rPr>
                <w:t>EGISTERED</w:t>
              </w:r>
              <w:r>
                <w:rPr>
                  <w:rFonts w:ascii="Arial" w:cs="Arial" w:eastAsia="Arial" w:hAnsi="Arial"/>
                  <w:sz w:val="21"/>
                  <w:szCs w:val="21"/>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1"/>
                  <w:szCs w:val="21"/>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1"/>
                  <w:szCs w:val="21"/>
                  <w:b w:val="1"/>
                  <w:bCs w:val="1"/>
                  <w:color w:val="0000EE"/>
                </w:rPr>
                <w:t xml:space="preserve"> F</w:t>
              </w:r>
              <w:r>
                <w:rPr>
                  <w:rFonts w:ascii="Arial" w:cs="Arial" w:eastAsia="Arial" w:hAnsi="Arial"/>
                  <w:sz w:val="17"/>
                  <w:szCs w:val="17"/>
                  <w:b w:val="1"/>
                  <w:bCs w:val="1"/>
                  <w:color w:val="0000EE"/>
                </w:rPr>
                <w:t>IRM</w:t>
              </w:r>
            </w:hyperlink>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bottom w:val="single" w:sz="8" w:color="0000EE"/>
            </w:tcBorders>
            <w:gridSpan w:val="8"/>
          </w:tcPr>
          <w:p>
            <w:pPr>
              <w:spacing w:after="0" w:line="123" w:lineRule="exact"/>
              <w:rPr>
                <w:rFonts w:ascii="Arial" w:cs="Arial" w:eastAsia="Arial" w:hAnsi="Arial"/>
                <w:sz w:val="14"/>
                <w:szCs w:val="14"/>
                <w:color w:val="0000EE"/>
                <w:w w:val="96"/>
              </w:rPr>
            </w:pPr>
            <w:hyperlink w:anchor="page45">
              <w:r>
                <w:rPr>
                  <w:rFonts w:ascii="Arial" w:cs="Arial" w:eastAsia="Arial" w:hAnsi="Arial"/>
                  <w:sz w:val="14"/>
                  <w:szCs w:val="14"/>
                  <w:color w:val="0000EE"/>
                  <w:w w:val="96"/>
                </w:rPr>
                <w:t>Audit Committee Report</w:t>
              </w:r>
            </w:hyperlink>
          </w:p>
        </w:tc>
        <w:tc>
          <w:tcPr>
            <w:tcW w:w="500" w:type="dxa"/>
            <w:vAlign w:val="bottom"/>
            <w:gridSpan w:val="2"/>
          </w:tcPr>
          <w:p>
            <w:pPr>
              <w:spacing w:after="0"/>
              <w:rPr>
                <w:sz w:val="12"/>
                <w:szCs w:val="12"/>
                <w:color w:val="auto"/>
              </w:rPr>
            </w:pPr>
          </w:p>
        </w:tc>
        <w:tc>
          <w:tcPr>
            <w:tcW w:w="28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700" w:type="dxa"/>
            <w:vAlign w:val="bottom"/>
          </w:tcPr>
          <w:p>
            <w:pPr>
              <w:jc w:val="right"/>
              <w:ind w:right="3"/>
              <w:spacing w:after="0" w:line="136"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435"/>
        </w:trPr>
        <w:tc>
          <w:tcPr>
            <w:tcW w:w="80" w:type="dxa"/>
            <w:vAlign w:val="bottom"/>
          </w:tcPr>
          <w:p>
            <w:pPr>
              <w:spacing w:after="0"/>
              <w:rPr>
                <w:sz w:val="24"/>
                <w:szCs w:val="24"/>
                <w:color w:val="auto"/>
              </w:rPr>
            </w:pPr>
          </w:p>
        </w:tc>
        <w:tc>
          <w:tcPr>
            <w:tcW w:w="4420" w:type="dxa"/>
            <w:vAlign w:val="bottom"/>
            <w:gridSpan w:val="30"/>
          </w:tcPr>
          <w:p>
            <w:pPr>
              <w:spacing w:after="0"/>
              <w:rPr>
                <w:rFonts w:ascii="Arial" w:cs="Arial" w:eastAsia="Arial" w:hAnsi="Arial"/>
                <w:sz w:val="21"/>
                <w:szCs w:val="21"/>
                <w:b w:val="1"/>
                <w:bCs w:val="1"/>
                <w:color w:val="0000EE"/>
              </w:rPr>
            </w:pPr>
            <w:hyperlink w:anchor="page46">
              <w:r>
                <w:rPr>
                  <w:rFonts w:ascii="Arial" w:cs="Arial" w:eastAsia="Arial" w:hAnsi="Arial"/>
                  <w:sz w:val="21"/>
                  <w:szCs w:val="21"/>
                  <w:b w:val="1"/>
                  <w:bCs w:val="1"/>
                  <w:color w:val="0000EE"/>
                </w:rPr>
                <w:t>B</w:t>
              </w:r>
              <w:r>
                <w:rPr>
                  <w:rFonts w:ascii="Arial" w:cs="Arial" w:eastAsia="Arial" w:hAnsi="Arial"/>
                  <w:sz w:val="17"/>
                  <w:szCs w:val="17"/>
                  <w:b w:val="1"/>
                  <w:bCs w:val="1"/>
                  <w:color w:val="0000EE"/>
                </w:rPr>
                <w:t>ENEFICIAL</w:t>
              </w:r>
              <w:r>
                <w:rPr>
                  <w:rFonts w:ascii="Arial" w:cs="Arial" w:eastAsia="Arial" w:hAnsi="Arial"/>
                  <w:sz w:val="21"/>
                  <w:szCs w:val="21"/>
                  <w:b w:val="1"/>
                  <w:bCs w:val="1"/>
                  <w:color w:val="0000EE"/>
                </w:rPr>
                <w:t xml:space="preserve"> O</w:t>
              </w:r>
              <w:r>
                <w:rPr>
                  <w:rFonts w:ascii="Arial" w:cs="Arial" w:eastAsia="Arial" w:hAnsi="Arial"/>
                  <w:sz w:val="17"/>
                  <w:szCs w:val="17"/>
                  <w:b w:val="1"/>
                  <w:bCs w:val="1"/>
                  <w:color w:val="0000EE"/>
                </w:rPr>
                <w:t>WNERSHIP</w:t>
              </w:r>
            </w:hyperlink>
          </w:p>
        </w:tc>
        <w:tc>
          <w:tcPr>
            <w:tcW w:w="700" w:type="dxa"/>
            <w:vAlign w:val="bottom"/>
          </w:tcPr>
          <w:p>
            <w:pPr>
              <w:jc w:val="right"/>
              <w:ind w:right="3"/>
              <w:spacing w:after="0"/>
              <w:rPr>
                <w:sz w:val="20"/>
                <w:szCs w:val="20"/>
                <w:color w:val="auto"/>
              </w:rPr>
            </w:pPr>
            <w:r>
              <w:rPr>
                <w:rFonts w:ascii="Arial" w:cs="Arial" w:eastAsia="Arial" w:hAnsi="Arial"/>
                <w:sz w:val="21"/>
                <w:szCs w:val="21"/>
                <w:b w:val="1"/>
                <w:bCs w:val="1"/>
                <w:color w:val="FF160F"/>
              </w:rPr>
              <w:t>41</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0000EE"/>
            </w:tcBorders>
            <w:gridSpan w:val="12"/>
          </w:tcPr>
          <w:p>
            <w:pPr>
              <w:spacing w:after="0" w:line="143" w:lineRule="exact"/>
              <w:rPr>
                <w:rFonts w:ascii="Arial" w:cs="Arial" w:eastAsia="Arial" w:hAnsi="Arial"/>
                <w:sz w:val="14"/>
                <w:szCs w:val="14"/>
                <w:color w:val="0000EE"/>
                <w:w w:val="97"/>
              </w:rPr>
            </w:pPr>
            <w:hyperlink w:anchor="page46">
              <w:r>
                <w:rPr>
                  <w:rFonts w:ascii="Arial" w:cs="Arial" w:eastAsia="Arial" w:hAnsi="Arial"/>
                  <w:sz w:val="14"/>
                  <w:szCs w:val="14"/>
                  <w:color w:val="0000EE"/>
                  <w:w w:val="97"/>
                </w:rPr>
                <w:t>Ownership of Principal Shareholders</w:t>
              </w:r>
            </w:hyperlink>
          </w:p>
        </w:tc>
        <w:tc>
          <w:tcPr>
            <w:tcW w:w="1920" w:type="dxa"/>
            <w:vAlign w:val="bottom"/>
            <w:gridSpan w:val="16"/>
          </w:tcPr>
          <w:p>
            <w:pPr>
              <w:spacing w:after="0"/>
              <w:rPr>
                <w:sz w:val="12"/>
                <w:szCs w:val="12"/>
                <w:color w:val="auto"/>
              </w:rPr>
            </w:pPr>
          </w:p>
        </w:tc>
        <w:tc>
          <w:tcPr>
            <w:tcW w:w="700" w:type="dxa"/>
            <w:vAlign w:val="bottom"/>
          </w:tcPr>
          <w:p>
            <w:pPr>
              <w:jc w:val="right"/>
              <w:ind w:right="3"/>
              <w:spacing w:after="0" w:line="143"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rPr>
                <w:rFonts w:ascii="Arial" w:cs="Arial" w:eastAsia="Arial" w:hAnsi="Arial"/>
                <w:sz w:val="14"/>
                <w:szCs w:val="14"/>
                <w:color w:val="0000EE"/>
                <w:w w:val="97"/>
              </w:rPr>
            </w:pPr>
            <w:hyperlink w:anchor="page47">
              <w:r>
                <w:rPr>
                  <w:rFonts w:ascii="Arial" w:cs="Arial" w:eastAsia="Arial" w:hAnsi="Arial"/>
                  <w:sz w:val="14"/>
                  <w:szCs w:val="14"/>
                  <w:color w:val="0000EE"/>
                  <w:w w:val="97"/>
                </w:rPr>
                <w:t>Ownership of Trustees and Executive Officers</w:t>
              </w:r>
            </w:hyperlink>
          </w:p>
        </w:tc>
        <w:tc>
          <w:tcPr>
            <w:tcW w:w="1360" w:type="dxa"/>
            <w:vAlign w:val="bottom"/>
            <w:gridSpan w:val="9"/>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396"/>
        </w:trPr>
        <w:tc>
          <w:tcPr>
            <w:tcW w:w="80" w:type="dxa"/>
            <w:vAlign w:val="bottom"/>
          </w:tcPr>
          <w:p>
            <w:pPr>
              <w:spacing w:after="0"/>
              <w:rPr>
                <w:sz w:val="24"/>
                <w:szCs w:val="24"/>
                <w:color w:val="auto"/>
              </w:rPr>
            </w:pPr>
          </w:p>
        </w:tc>
        <w:tc>
          <w:tcPr>
            <w:tcW w:w="4420" w:type="dxa"/>
            <w:vAlign w:val="bottom"/>
            <w:gridSpan w:val="30"/>
          </w:tcPr>
          <w:p>
            <w:pPr>
              <w:spacing w:after="0"/>
              <w:rPr>
                <w:rFonts w:ascii="Arial" w:cs="Arial" w:eastAsia="Arial" w:hAnsi="Arial"/>
                <w:sz w:val="21"/>
                <w:szCs w:val="21"/>
                <w:b w:val="1"/>
                <w:bCs w:val="1"/>
                <w:color w:val="0000EE"/>
              </w:rPr>
            </w:pPr>
            <w:hyperlink w:anchor="page48">
              <w:r>
                <w:rPr>
                  <w:rFonts w:ascii="Arial" w:cs="Arial" w:eastAsia="Arial" w:hAnsi="Arial"/>
                  <w:sz w:val="21"/>
                  <w:szCs w:val="21"/>
                  <w:b w:val="1"/>
                  <w:bCs w:val="1"/>
                  <w:color w:val="0000EE"/>
                </w:rPr>
                <w:t>I</w:t>
              </w:r>
              <w:r>
                <w:rPr>
                  <w:rFonts w:ascii="Arial" w:cs="Arial" w:eastAsia="Arial" w:hAnsi="Arial"/>
                  <w:sz w:val="17"/>
                  <w:szCs w:val="17"/>
                  <w:b w:val="1"/>
                  <w:bCs w:val="1"/>
                  <w:color w:val="0000EE"/>
                </w:rPr>
                <w:t>NFORMATION</w:t>
              </w:r>
              <w:r>
                <w:rPr>
                  <w:rFonts w:ascii="Arial" w:cs="Arial" w:eastAsia="Arial" w:hAnsi="Arial"/>
                  <w:sz w:val="21"/>
                  <w:szCs w:val="21"/>
                  <w:b w:val="1"/>
                  <w:bCs w:val="1"/>
                  <w:color w:val="0000EE"/>
                </w:rPr>
                <w:t xml:space="preserve"> A</w:t>
              </w:r>
              <w:r>
                <w:rPr>
                  <w:rFonts w:ascii="Arial" w:cs="Arial" w:eastAsia="Arial" w:hAnsi="Arial"/>
                  <w:sz w:val="17"/>
                  <w:szCs w:val="17"/>
                  <w:b w:val="1"/>
                  <w:bCs w:val="1"/>
                  <w:color w:val="0000EE"/>
                </w:rPr>
                <w:t>BOUT THE</w:t>
              </w:r>
              <w:r>
                <w:rPr>
                  <w:rFonts w:ascii="Arial" w:cs="Arial" w:eastAsia="Arial" w:hAnsi="Arial"/>
                  <w:sz w:val="21"/>
                  <w:szCs w:val="21"/>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1"/>
                  <w:szCs w:val="21"/>
                  <w:b w:val="1"/>
                  <w:bCs w:val="1"/>
                  <w:color w:val="0000EE"/>
                </w:rPr>
                <w:t xml:space="preserve"> M</w:t>
              </w:r>
              <w:r>
                <w:rPr>
                  <w:rFonts w:ascii="Arial" w:cs="Arial" w:eastAsia="Arial" w:hAnsi="Arial"/>
                  <w:sz w:val="17"/>
                  <w:szCs w:val="17"/>
                  <w:b w:val="1"/>
                  <w:bCs w:val="1"/>
                  <w:color w:val="0000EE"/>
                </w:rPr>
                <w:t>EETING</w:t>
              </w:r>
            </w:hyperlink>
          </w:p>
        </w:tc>
        <w:tc>
          <w:tcPr>
            <w:tcW w:w="700" w:type="dxa"/>
            <w:vAlign w:val="bottom"/>
          </w:tcPr>
          <w:p>
            <w:pPr>
              <w:jc w:val="right"/>
              <w:ind w:right="3"/>
              <w:spacing w:after="0"/>
              <w:rPr>
                <w:sz w:val="20"/>
                <w:szCs w:val="20"/>
                <w:color w:val="auto"/>
              </w:rPr>
            </w:pPr>
            <w:r>
              <w:rPr>
                <w:rFonts w:ascii="Arial" w:cs="Arial" w:eastAsia="Arial" w:hAnsi="Arial"/>
                <w:sz w:val="21"/>
                <w:szCs w:val="21"/>
                <w:b w:val="1"/>
                <w:bCs w:val="1"/>
                <w:color w:val="FF160F"/>
              </w:rPr>
              <w:t>43</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bottom w:val="single" w:sz="8" w:color="0000EE"/>
            </w:tcBorders>
            <w:gridSpan w:val="20"/>
          </w:tcPr>
          <w:p>
            <w:pPr>
              <w:spacing w:after="0" w:line="143" w:lineRule="exact"/>
              <w:rPr>
                <w:rFonts w:ascii="Arial" w:cs="Arial" w:eastAsia="Arial" w:hAnsi="Arial"/>
                <w:sz w:val="14"/>
                <w:szCs w:val="14"/>
                <w:color w:val="0000EE"/>
                <w:w w:val="97"/>
              </w:rPr>
            </w:pPr>
            <w:hyperlink w:anchor="page48">
              <w:r>
                <w:rPr>
                  <w:rFonts w:ascii="Arial" w:cs="Arial" w:eastAsia="Arial" w:hAnsi="Arial"/>
                  <w:sz w:val="14"/>
                  <w:szCs w:val="14"/>
                  <w:color w:val="0000EE"/>
                  <w:w w:val="97"/>
                </w:rPr>
                <w:t>Notice of Electronic Availability of Proxy Materials</w:t>
              </w:r>
            </w:hyperlink>
          </w:p>
        </w:tc>
        <w:tc>
          <w:tcPr>
            <w:tcW w:w="1140" w:type="dxa"/>
            <w:vAlign w:val="bottom"/>
            <w:gridSpan w:val="8"/>
          </w:tcPr>
          <w:p>
            <w:pPr>
              <w:spacing w:after="0"/>
              <w:rPr>
                <w:sz w:val="12"/>
                <w:szCs w:val="12"/>
                <w:color w:val="auto"/>
              </w:rPr>
            </w:pPr>
          </w:p>
        </w:tc>
        <w:tc>
          <w:tcPr>
            <w:tcW w:w="700" w:type="dxa"/>
            <w:vAlign w:val="bottom"/>
          </w:tcPr>
          <w:p>
            <w:pPr>
              <w:jc w:val="right"/>
              <w:ind w:right="3"/>
              <w:spacing w:after="0" w:line="143"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28"/>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Why You Are Receiving These Materials</w:t>
              </w:r>
            </w:hyperlink>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6"/>
              </w:rPr>
            </w:pPr>
            <w:hyperlink w:anchor="page48">
              <w:r>
                <w:rPr>
                  <w:rFonts w:ascii="Arial" w:cs="Arial" w:eastAsia="Arial" w:hAnsi="Arial"/>
                  <w:sz w:val="14"/>
                  <w:szCs w:val="14"/>
                  <w:color w:val="0000EE"/>
                  <w:w w:val="96"/>
                </w:rPr>
                <w:t>Accessing Materials</w:t>
              </w:r>
            </w:hyperlink>
          </w:p>
        </w:tc>
        <w:tc>
          <w:tcPr>
            <w:tcW w:w="1240" w:type="dxa"/>
            <w:vAlign w:val="bottom"/>
            <w:tcBorders>
              <w:top w:val="single" w:sz="8" w:color="0000EE"/>
            </w:tcBorders>
            <w:gridSpan w:val="10"/>
          </w:tcPr>
          <w:p>
            <w:pPr>
              <w:spacing w:after="0"/>
              <w:rPr>
                <w:sz w:val="17"/>
                <w:szCs w:val="17"/>
                <w:color w:val="auto"/>
              </w:rPr>
            </w:pPr>
          </w:p>
        </w:tc>
        <w:tc>
          <w:tcPr>
            <w:tcW w:w="1700" w:type="dxa"/>
            <w:vAlign w:val="bottom"/>
            <w:gridSpan w:val="12"/>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rPr>
                <w:rFonts w:ascii="Arial" w:cs="Arial" w:eastAsia="Arial" w:hAnsi="Arial"/>
                <w:sz w:val="14"/>
                <w:szCs w:val="14"/>
                <w:color w:val="0000EE"/>
                <w:w w:val="94"/>
              </w:rPr>
            </w:pPr>
            <w:hyperlink w:anchor="page48">
              <w:r>
                <w:rPr>
                  <w:rFonts w:ascii="Arial" w:cs="Arial" w:eastAsia="Arial" w:hAnsi="Arial"/>
                  <w:sz w:val="14"/>
                  <w:szCs w:val="14"/>
                  <w:color w:val="0000EE"/>
                  <w:w w:val="94"/>
                </w:rPr>
                <w:t>How to Vote</w:t>
              </w:r>
            </w:hyperlink>
          </w:p>
        </w:tc>
        <w:tc>
          <w:tcPr>
            <w:tcW w:w="3420" w:type="dxa"/>
            <w:vAlign w:val="bottom"/>
            <w:gridSpan w:val="25"/>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28"/>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How to Participate in the Annual Meeting</w:t>
              </w:r>
            </w:hyperlink>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5"/>
          </w:tcPr>
          <w:p>
            <w:pPr>
              <w:spacing w:after="0"/>
              <w:rPr>
                <w:rFonts w:ascii="Arial" w:cs="Arial" w:eastAsia="Arial" w:hAnsi="Arial"/>
                <w:sz w:val="14"/>
                <w:szCs w:val="14"/>
                <w:color w:val="0000EE"/>
                <w:w w:val="97"/>
              </w:rPr>
            </w:pPr>
            <w:hyperlink w:anchor="page50">
              <w:r>
                <w:rPr>
                  <w:rFonts w:ascii="Arial" w:cs="Arial" w:eastAsia="Arial" w:hAnsi="Arial"/>
                  <w:sz w:val="14"/>
                  <w:szCs w:val="14"/>
                  <w:color w:val="0000EE"/>
                  <w:w w:val="97"/>
                </w:rPr>
                <w:t>Eliminating Duplicative Proxy Materials</w:t>
              </w:r>
            </w:hyperlink>
          </w:p>
        </w:tc>
        <w:tc>
          <w:tcPr>
            <w:tcW w:w="100" w:type="dxa"/>
            <w:vAlign w:val="bottom"/>
            <w:tcBorders>
              <w:top w:val="single" w:sz="8" w:color="0000EE"/>
            </w:tcBorders>
            <w:gridSpan w:val="2"/>
          </w:tcPr>
          <w:p>
            <w:pPr>
              <w:spacing w:after="0"/>
              <w:rPr>
                <w:sz w:val="17"/>
                <w:szCs w:val="17"/>
                <w:color w:val="auto"/>
              </w:rPr>
            </w:pPr>
          </w:p>
        </w:tc>
        <w:tc>
          <w:tcPr>
            <w:tcW w:w="1680" w:type="dxa"/>
            <w:vAlign w:val="bottom"/>
            <w:gridSpan w:val="11"/>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rPr>
                <w:rFonts w:ascii="Arial" w:cs="Arial" w:eastAsia="Arial" w:hAnsi="Arial"/>
                <w:sz w:val="14"/>
                <w:szCs w:val="14"/>
                <w:color w:val="0000EE"/>
                <w:w w:val="97"/>
              </w:rPr>
            </w:pPr>
            <w:hyperlink w:anchor="page50">
              <w:r>
                <w:rPr>
                  <w:rFonts w:ascii="Arial" w:cs="Arial" w:eastAsia="Arial" w:hAnsi="Arial"/>
                  <w:sz w:val="14"/>
                  <w:szCs w:val="14"/>
                  <w:color w:val="0000EE"/>
                  <w:w w:val="97"/>
                </w:rPr>
                <w:t>Solicitation of Proxies</w:t>
              </w:r>
            </w:hyperlink>
          </w:p>
        </w:tc>
        <w:tc>
          <w:tcPr>
            <w:tcW w:w="2840" w:type="dxa"/>
            <w:vAlign w:val="bottom"/>
            <w:gridSpan w:val="21"/>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21"/>
          </w:tcPr>
          <w:p>
            <w:pPr>
              <w:spacing w:after="0"/>
              <w:rPr>
                <w:rFonts w:ascii="Arial" w:cs="Arial" w:eastAsia="Arial" w:hAnsi="Arial"/>
                <w:sz w:val="14"/>
                <w:szCs w:val="14"/>
                <w:color w:val="0000EE"/>
                <w:w w:val="98"/>
              </w:rPr>
            </w:pPr>
            <w:hyperlink w:anchor="page50">
              <w:r>
                <w:rPr>
                  <w:rFonts w:ascii="Arial" w:cs="Arial" w:eastAsia="Arial" w:hAnsi="Arial"/>
                  <w:sz w:val="14"/>
                  <w:szCs w:val="14"/>
                  <w:color w:val="0000EE"/>
                  <w:w w:val="98"/>
                </w:rPr>
                <w:t>Shareholder Proposals for the 2023 Annual Meeting</w:t>
              </w:r>
            </w:hyperlink>
          </w:p>
        </w:tc>
        <w:tc>
          <w:tcPr>
            <w:tcW w:w="980" w:type="dxa"/>
            <w:vAlign w:val="bottom"/>
            <w:gridSpan w:val="7"/>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396"/>
        </w:trPr>
        <w:tc>
          <w:tcPr>
            <w:tcW w:w="80" w:type="dxa"/>
            <w:vAlign w:val="bottom"/>
          </w:tcPr>
          <w:p>
            <w:pPr>
              <w:spacing w:after="0"/>
              <w:rPr>
                <w:sz w:val="24"/>
                <w:szCs w:val="24"/>
                <w:color w:val="auto"/>
              </w:rPr>
            </w:pPr>
          </w:p>
        </w:tc>
        <w:tc>
          <w:tcPr>
            <w:tcW w:w="4420" w:type="dxa"/>
            <w:vAlign w:val="bottom"/>
            <w:gridSpan w:val="30"/>
          </w:tcPr>
          <w:p>
            <w:pPr>
              <w:spacing w:after="0"/>
              <w:rPr>
                <w:rFonts w:ascii="Arial" w:cs="Arial" w:eastAsia="Arial" w:hAnsi="Arial"/>
                <w:sz w:val="21"/>
                <w:szCs w:val="21"/>
                <w:b w:val="1"/>
                <w:bCs w:val="1"/>
                <w:color w:val="0000EE"/>
              </w:rPr>
            </w:pPr>
            <w:hyperlink w:anchor="page52">
              <w:r>
                <w:rPr>
                  <w:rFonts w:ascii="Arial" w:cs="Arial" w:eastAsia="Arial" w:hAnsi="Arial"/>
                  <w:sz w:val="21"/>
                  <w:szCs w:val="21"/>
                  <w:b w:val="1"/>
                  <w:bCs w:val="1"/>
                  <w:color w:val="0000EE"/>
                </w:rPr>
                <w:t>A</w:t>
              </w:r>
              <w:r>
                <w:rPr>
                  <w:rFonts w:ascii="Arial" w:cs="Arial" w:eastAsia="Arial" w:hAnsi="Arial"/>
                  <w:sz w:val="17"/>
                  <w:szCs w:val="17"/>
                  <w:b w:val="1"/>
                  <w:bCs w:val="1"/>
                  <w:color w:val="0000EE"/>
                </w:rPr>
                <w:t>PPENDIX</w:t>
              </w:r>
            </w:hyperlink>
          </w:p>
        </w:tc>
        <w:tc>
          <w:tcPr>
            <w:tcW w:w="700" w:type="dxa"/>
            <w:vAlign w:val="bottom"/>
          </w:tcPr>
          <w:p>
            <w:pPr>
              <w:jc w:val="right"/>
              <w:ind w:right="3"/>
              <w:spacing w:after="0"/>
              <w:rPr>
                <w:sz w:val="20"/>
                <w:szCs w:val="20"/>
                <w:color w:val="auto"/>
              </w:rPr>
            </w:pPr>
            <w:r>
              <w:rPr>
                <w:rFonts w:ascii="Arial" w:cs="Arial" w:eastAsia="Arial" w:hAnsi="Arial"/>
                <w:sz w:val="21"/>
                <w:szCs w:val="21"/>
                <w:b w:val="1"/>
                <w:bCs w:val="1"/>
                <w:color w:val="FF160F"/>
              </w:rPr>
              <w:t>A-1</w:t>
            </w:r>
          </w:p>
        </w:tc>
        <w:tc>
          <w:tcPr>
            <w:tcW w:w="0" w:type="dxa"/>
            <w:vAlign w:val="bottom"/>
          </w:tcPr>
          <w:p>
            <w:pPr>
              <w:spacing w:after="0"/>
              <w:rPr>
                <w:sz w:val="1"/>
                <w:szCs w:val="1"/>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bottom w:val="single" w:sz="8" w:color="0000EE"/>
            </w:tcBorders>
            <w:gridSpan w:val="26"/>
          </w:tcPr>
          <w:p>
            <w:pPr>
              <w:spacing w:after="0" w:line="123" w:lineRule="exact"/>
              <w:rPr>
                <w:rFonts w:ascii="Arial" w:cs="Arial" w:eastAsia="Arial" w:hAnsi="Arial"/>
                <w:sz w:val="14"/>
                <w:szCs w:val="14"/>
                <w:color w:val="0000EE"/>
                <w:w w:val="98"/>
              </w:rPr>
            </w:pPr>
            <w:hyperlink w:anchor="page52">
              <w:r>
                <w:rPr>
                  <w:rFonts w:ascii="Arial" w:cs="Arial" w:eastAsia="Arial" w:hAnsi="Arial"/>
                  <w:sz w:val="14"/>
                  <w:szCs w:val="14"/>
                  <w:color w:val="0000EE"/>
                  <w:w w:val="98"/>
                </w:rPr>
                <w:t>Appendix A – Reconciliation of Non-GAAP Financial Measures</w:t>
              </w:r>
            </w:hyperlink>
          </w:p>
        </w:tc>
        <w:tc>
          <w:tcPr>
            <w:tcW w:w="320" w:type="dxa"/>
            <w:vAlign w:val="bottom"/>
            <w:gridSpan w:val="2"/>
          </w:tcPr>
          <w:p>
            <w:pPr>
              <w:spacing w:after="0"/>
              <w:rPr>
                <w:sz w:val="12"/>
                <w:szCs w:val="12"/>
                <w:color w:val="auto"/>
              </w:rPr>
            </w:pPr>
          </w:p>
        </w:tc>
        <w:tc>
          <w:tcPr>
            <w:tcW w:w="700" w:type="dxa"/>
            <w:vAlign w:val="bottom"/>
          </w:tcPr>
          <w:p>
            <w:pPr>
              <w:jc w:val="right"/>
              <w:ind w:right="3"/>
              <w:spacing w:after="0" w:line="136" w:lineRule="exact"/>
              <w:rPr>
                <w:sz w:val="20"/>
                <w:szCs w:val="20"/>
                <w:color w:val="auto"/>
              </w:rPr>
            </w:pPr>
            <w:r>
              <w:rPr>
                <w:rFonts w:ascii="Arial" w:cs="Arial" w:eastAsia="Arial" w:hAnsi="Arial"/>
                <w:sz w:val="15"/>
                <w:szCs w:val="15"/>
                <w:color w:val="auto"/>
              </w:rPr>
              <w:t>A-1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-4815205</wp:posOffset>
            </wp:positionV>
            <wp:extent cx="717931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sectPr>
          <w:pgSz w:w="11900" w:h="16838" w:orient="portrait"/>
          <w:cols w:equalWidth="0" w:num="2">
            <w:col w:w="5080" w:space="340"/>
            <w:col w:w="5200"/>
          </w:cols>
          <w:pgMar w:left="640" w:top="254" w:right="639" w:bottom="1440" w:gutter="0" w:footer="0" w:header="0"/>
        </w:sectPr>
      </w:pPr>
    </w:p>
    <w:bookmarkStart w:id="5" w:name="page6"/>
    <w:bookmarkEnd w:id="5"/>
    <w:p>
      <w:pPr>
        <w:ind w:left="1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212725</wp:posOffset>
            </wp:positionV>
            <wp:extent cx="674052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0525" cy="33020"/>
                    </a:xfrm>
                    <a:prstGeom prst="rect">
                      <a:avLst/>
                    </a:prstGeom>
                    <a:noFill/>
                  </pic:spPr>
                </pic:pic>
              </a:graphicData>
            </a:graphic>
          </wp:anchor>
        </w:drawing>
        <w:t>Who We Are</w:t>
      </w:r>
    </w:p>
    <w:p>
      <w:pPr>
        <w:spacing w:after="0" w:line="249" w:lineRule="exact"/>
        <w:rPr>
          <w:sz w:val="20"/>
          <w:szCs w:val="20"/>
          <w:color w:val="auto"/>
        </w:rPr>
      </w:pPr>
    </w:p>
    <w:p>
      <w:pPr>
        <w:ind w:left="100" w:right="20"/>
        <w:spacing w:after="0" w:line="256" w:lineRule="auto"/>
        <w:rPr>
          <w:sz w:val="20"/>
          <w:szCs w:val="20"/>
          <w:color w:val="auto"/>
        </w:rPr>
      </w:pPr>
      <w:r>
        <w:rPr>
          <w:rFonts w:ascii="Arial" w:cs="Arial" w:eastAsia="Arial" w:hAnsi="Arial"/>
          <w:sz w:val="17"/>
          <w:szCs w:val="17"/>
          <w:color w:val="auto"/>
        </w:rPr>
        <w:t>Federal Realty Investment Trust is an S&amp;P 500 company that owns, operates and redevelops high-quality retail based real estate located primarily in major coastal markets and headquartered in North Bethesda, Maryland.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tcBorders>
              <w:right w:val="single" w:sz="8" w:color="FF160F"/>
            </w:tcBorders>
            <w:shd w:val="clear" w:color="auto" w:fill="D8D8D8"/>
          </w:tcPr>
          <w:p>
            <w:pPr>
              <w:ind w:left="160"/>
              <w:spacing w:after="0"/>
              <w:rPr>
                <w:sz w:val="20"/>
                <w:szCs w:val="20"/>
                <w:color w:val="auto"/>
              </w:rPr>
            </w:pPr>
            <w:r>
              <w:rPr>
                <w:rFonts w:ascii="Arial" w:cs="Arial" w:eastAsia="Arial" w:hAnsi="Arial"/>
                <w:sz w:val="17"/>
                <w:szCs w:val="17"/>
                <w:b w:val="1"/>
                <w:bCs w:val="1"/>
                <w:color w:val="auto"/>
              </w:rPr>
              <w:t>Company Information</w:t>
            </w:r>
          </w:p>
        </w:tc>
        <w:tc>
          <w:tcPr>
            <w:tcW w:w="3600" w:type="dxa"/>
            <w:vAlign w:val="bottom"/>
            <w:tcBorders>
              <w:right w:val="single" w:sz="8" w:color="FF160F"/>
            </w:tcBorders>
            <w:shd w:val="clear" w:color="auto" w:fill="D8D8D8"/>
          </w:tcPr>
          <w:p>
            <w:pPr>
              <w:ind w:left="120"/>
              <w:spacing w:after="0"/>
              <w:rPr>
                <w:sz w:val="20"/>
                <w:szCs w:val="20"/>
                <w:color w:val="auto"/>
              </w:rPr>
            </w:pPr>
            <w:r>
              <w:rPr>
                <w:rFonts w:ascii="Arial" w:cs="Arial" w:eastAsia="Arial" w:hAnsi="Arial"/>
                <w:sz w:val="17"/>
                <w:szCs w:val="17"/>
                <w:b w:val="1"/>
                <w:bCs w:val="1"/>
                <w:color w:val="auto"/>
              </w:rPr>
              <w:t>Our Properties</w:t>
            </w:r>
            <w:r>
              <w:rPr>
                <w:rFonts w:ascii="Arial" w:cs="Arial" w:eastAsia="Arial" w:hAnsi="Arial"/>
                <w:sz w:val="14"/>
                <w:szCs w:val="14"/>
                <w:b w:val="1"/>
                <w:bCs w:val="1"/>
                <w:color w:val="auto"/>
              </w:rPr>
              <w:t>[1]</w:t>
            </w:r>
          </w:p>
        </w:tc>
        <w:tc>
          <w:tcPr>
            <w:tcW w:w="3500" w:type="dxa"/>
            <w:vAlign w:val="bottom"/>
            <w:shd w:val="clear" w:color="auto" w:fill="D8D8D8"/>
          </w:tcPr>
          <w:p>
            <w:pPr>
              <w:ind w:left="140"/>
              <w:spacing w:after="0"/>
              <w:rPr>
                <w:sz w:val="20"/>
                <w:szCs w:val="20"/>
                <w:color w:val="auto"/>
              </w:rPr>
            </w:pPr>
            <w:r>
              <w:rPr>
                <w:rFonts w:ascii="Arial" w:cs="Arial" w:eastAsia="Arial" w:hAnsi="Arial"/>
                <w:sz w:val="17"/>
                <w:szCs w:val="17"/>
                <w:b w:val="1"/>
                <w:bCs w:val="1"/>
                <w:color w:val="auto"/>
              </w:rPr>
              <w:t>Our Employees</w:t>
            </w:r>
            <w:r>
              <w:rPr>
                <w:rFonts w:ascii="Arial" w:cs="Arial" w:eastAsia="Arial" w:hAnsi="Arial"/>
                <w:sz w:val="14"/>
                <w:szCs w:val="14"/>
                <w:b w:val="1"/>
                <w:bCs w:val="1"/>
                <w:color w:val="auto"/>
              </w:rPr>
              <w:t>[1]</w:t>
            </w:r>
          </w:p>
        </w:tc>
      </w:tr>
      <w:tr>
        <w:trPr>
          <w:trHeight w:val="195"/>
        </w:trPr>
        <w:tc>
          <w:tcPr>
            <w:tcW w:w="3520" w:type="dxa"/>
            <w:vAlign w:val="bottom"/>
            <w:tcBorders>
              <w:right w:val="single" w:sz="8" w:color="FF160F"/>
            </w:tcBorders>
            <w:shd w:val="clear" w:color="auto" w:fill="D8D8D8"/>
          </w:tcPr>
          <w:p>
            <w:pPr>
              <w:ind w:left="160"/>
              <w:spacing w:after="0"/>
              <w:rPr>
                <w:sz w:val="20"/>
                <w:szCs w:val="20"/>
                <w:color w:val="auto"/>
              </w:rPr>
            </w:pPr>
            <w:r>
              <w:rPr>
                <w:rFonts w:ascii="Arial" w:cs="Arial" w:eastAsia="Arial" w:hAnsi="Arial"/>
                <w:sz w:val="17"/>
                <w:szCs w:val="17"/>
                <w:color w:val="auto"/>
              </w:rPr>
              <w:t>Established in 1962</w:t>
            </w:r>
          </w:p>
        </w:tc>
        <w:tc>
          <w:tcPr>
            <w:tcW w:w="3600" w:type="dxa"/>
            <w:vAlign w:val="bottom"/>
            <w:tcBorders>
              <w:right w:val="single" w:sz="8" w:color="FF160F"/>
            </w:tcBorders>
            <w:shd w:val="clear" w:color="auto" w:fill="D8D8D8"/>
          </w:tcPr>
          <w:p>
            <w:pPr>
              <w:ind w:left="120"/>
              <w:spacing w:after="0"/>
              <w:rPr>
                <w:sz w:val="20"/>
                <w:szCs w:val="20"/>
                <w:color w:val="auto"/>
              </w:rPr>
            </w:pPr>
            <w:r>
              <w:rPr>
                <w:rFonts w:ascii="Arial" w:cs="Arial" w:eastAsia="Arial" w:hAnsi="Arial"/>
                <w:sz w:val="17"/>
                <w:szCs w:val="17"/>
                <w:color w:val="auto"/>
              </w:rPr>
              <w:t>104 properties</w:t>
            </w:r>
          </w:p>
        </w:tc>
        <w:tc>
          <w:tcPr>
            <w:tcW w:w="3500" w:type="dxa"/>
            <w:vAlign w:val="bottom"/>
            <w:shd w:val="clear" w:color="auto" w:fill="D8D8D8"/>
          </w:tcPr>
          <w:p>
            <w:pPr>
              <w:ind w:left="140"/>
              <w:spacing w:after="0"/>
              <w:rPr>
                <w:sz w:val="20"/>
                <w:szCs w:val="20"/>
                <w:color w:val="auto"/>
              </w:rPr>
            </w:pPr>
            <w:r>
              <w:rPr>
                <w:rFonts w:ascii="Arial" w:cs="Arial" w:eastAsia="Arial" w:hAnsi="Arial"/>
                <w:sz w:val="17"/>
                <w:szCs w:val="17"/>
                <w:color w:val="auto"/>
              </w:rPr>
              <w:t>310 employees</w:t>
            </w:r>
          </w:p>
        </w:tc>
      </w:tr>
      <w:tr>
        <w:trPr>
          <w:trHeight w:val="195"/>
        </w:trPr>
        <w:tc>
          <w:tcPr>
            <w:tcW w:w="3520" w:type="dxa"/>
            <w:vAlign w:val="bottom"/>
            <w:tcBorders>
              <w:right w:val="single" w:sz="8" w:color="FF160F"/>
            </w:tcBorders>
            <w:shd w:val="clear" w:color="auto" w:fill="D8D8D8"/>
          </w:tcPr>
          <w:p>
            <w:pPr>
              <w:ind w:left="160"/>
              <w:spacing w:after="0"/>
              <w:rPr>
                <w:sz w:val="20"/>
                <w:szCs w:val="20"/>
                <w:color w:val="auto"/>
              </w:rPr>
            </w:pPr>
            <w:r>
              <w:rPr>
                <w:rFonts w:ascii="Arial" w:cs="Arial" w:eastAsia="Arial" w:hAnsi="Arial"/>
                <w:sz w:val="17"/>
                <w:szCs w:val="17"/>
                <w:color w:val="auto"/>
              </w:rPr>
              <w:t>Member of the S&amp;P 500</w:t>
            </w:r>
          </w:p>
        </w:tc>
        <w:tc>
          <w:tcPr>
            <w:tcW w:w="3600" w:type="dxa"/>
            <w:vAlign w:val="bottom"/>
            <w:tcBorders>
              <w:right w:val="single" w:sz="8" w:color="FF160F"/>
            </w:tcBorders>
            <w:shd w:val="clear" w:color="auto" w:fill="D8D8D8"/>
          </w:tcPr>
          <w:p>
            <w:pPr>
              <w:ind w:left="120"/>
              <w:spacing w:after="0"/>
              <w:rPr>
                <w:sz w:val="20"/>
                <w:szCs w:val="20"/>
                <w:color w:val="auto"/>
              </w:rPr>
            </w:pPr>
            <w:r>
              <w:rPr>
                <w:rFonts w:ascii="Arial" w:cs="Arial" w:eastAsia="Arial" w:hAnsi="Arial"/>
                <w:sz w:val="17"/>
                <w:szCs w:val="17"/>
                <w:color w:val="auto"/>
              </w:rPr>
              <w:t>25 million SF of commercial space</w:t>
            </w:r>
          </w:p>
        </w:tc>
        <w:tc>
          <w:tcPr>
            <w:tcW w:w="3500" w:type="dxa"/>
            <w:vAlign w:val="bottom"/>
            <w:shd w:val="clear" w:color="auto" w:fill="D8D8D8"/>
          </w:tcPr>
          <w:p>
            <w:pPr>
              <w:ind w:left="140"/>
              <w:spacing w:after="0"/>
              <w:rPr>
                <w:sz w:val="20"/>
                <w:szCs w:val="20"/>
                <w:color w:val="auto"/>
              </w:rPr>
            </w:pPr>
            <w:r>
              <w:rPr>
                <w:rFonts w:ascii="Arial" w:cs="Arial" w:eastAsia="Arial" w:hAnsi="Arial"/>
                <w:sz w:val="17"/>
                <w:szCs w:val="17"/>
                <w:color w:val="auto"/>
              </w:rPr>
              <w:t>6 primary offices</w:t>
            </w:r>
          </w:p>
        </w:tc>
      </w:tr>
      <w:tr>
        <w:trPr>
          <w:trHeight w:val="209"/>
        </w:trPr>
        <w:tc>
          <w:tcPr>
            <w:tcW w:w="3520" w:type="dxa"/>
            <w:vAlign w:val="bottom"/>
            <w:tcBorders>
              <w:right w:val="single" w:sz="8" w:color="FF160F"/>
            </w:tcBorders>
            <w:shd w:val="clear" w:color="auto" w:fill="D8D8D8"/>
          </w:tcPr>
          <w:p>
            <w:pPr>
              <w:spacing w:after="0"/>
              <w:rPr>
                <w:sz w:val="18"/>
                <w:szCs w:val="18"/>
                <w:color w:val="auto"/>
              </w:rPr>
            </w:pPr>
          </w:p>
        </w:tc>
        <w:tc>
          <w:tcPr>
            <w:tcW w:w="3600" w:type="dxa"/>
            <w:vAlign w:val="bottom"/>
            <w:tcBorders>
              <w:right w:val="single" w:sz="8" w:color="FF160F"/>
            </w:tcBorders>
            <w:shd w:val="clear" w:color="auto" w:fill="D8D8D8"/>
          </w:tcPr>
          <w:p>
            <w:pPr>
              <w:ind w:left="120"/>
              <w:spacing w:after="0"/>
              <w:rPr>
                <w:sz w:val="20"/>
                <w:szCs w:val="20"/>
                <w:color w:val="auto"/>
              </w:rPr>
            </w:pPr>
            <w:r>
              <w:rPr>
                <w:rFonts w:ascii="Arial" w:cs="Arial" w:eastAsia="Arial" w:hAnsi="Arial"/>
                <w:sz w:val="17"/>
                <w:szCs w:val="17"/>
                <w:color w:val="auto"/>
              </w:rPr>
              <w:t>3,369 residential units</w:t>
            </w:r>
          </w:p>
        </w:tc>
        <w:tc>
          <w:tcPr>
            <w:tcW w:w="3500" w:type="dxa"/>
            <w:vAlign w:val="bottom"/>
            <w:shd w:val="clear" w:color="auto" w:fill="D8D8D8"/>
          </w:tcPr>
          <w:p>
            <w:pPr>
              <w:ind w:left="140"/>
              <w:spacing w:after="0"/>
              <w:rPr>
                <w:sz w:val="20"/>
                <w:szCs w:val="20"/>
                <w:color w:val="auto"/>
              </w:rPr>
            </w:pPr>
            <w:r>
              <w:rPr>
                <w:rFonts w:ascii="Arial" w:cs="Arial" w:eastAsia="Arial" w:hAnsi="Arial"/>
                <w:sz w:val="17"/>
                <w:szCs w:val="17"/>
                <w:color w:val="auto"/>
              </w:rPr>
              <w:t>Average tenure of 8.7 years</w:t>
            </w:r>
          </w:p>
        </w:tc>
      </w:tr>
      <w:tr>
        <w:trPr>
          <w:trHeight w:val="26"/>
        </w:trPr>
        <w:tc>
          <w:tcPr>
            <w:tcW w:w="3520" w:type="dxa"/>
            <w:vAlign w:val="bottom"/>
            <w:tcBorders>
              <w:right w:val="single" w:sz="8" w:color="FF160F"/>
            </w:tcBorders>
            <w:shd w:val="clear" w:color="auto" w:fill="D8D8D8"/>
          </w:tcPr>
          <w:p>
            <w:pPr>
              <w:spacing w:after="0"/>
              <w:rPr>
                <w:sz w:val="2"/>
                <w:szCs w:val="2"/>
                <w:color w:val="auto"/>
              </w:rPr>
            </w:pPr>
          </w:p>
        </w:tc>
        <w:tc>
          <w:tcPr>
            <w:tcW w:w="3600" w:type="dxa"/>
            <w:vAlign w:val="bottom"/>
            <w:tcBorders>
              <w:right w:val="single" w:sz="8" w:color="FF160F"/>
            </w:tcBorders>
            <w:shd w:val="clear" w:color="auto" w:fill="D8D8D8"/>
          </w:tcPr>
          <w:p>
            <w:pPr>
              <w:spacing w:after="0"/>
              <w:rPr>
                <w:sz w:val="2"/>
                <w:szCs w:val="2"/>
                <w:color w:val="auto"/>
              </w:rPr>
            </w:pPr>
          </w:p>
        </w:tc>
        <w:tc>
          <w:tcPr>
            <w:tcW w:w="3500" w:type="dxa"/>
            <w:vAlign w:val="bottom"/>
            <w:shd w:val="clear" w:color="auto" w:fill="D8D8D8"/>
          </w:tcPr>
          <w:p>
            <w:pPr>
              <w:spacing w:after="0"/>
              <w:rPr>
                <w:sz w:val="2"/>
                <w:szCs w:val="2"/>
                <w:color w:val="auto"/>
              </w:rPr>
            </w:pPr>
          </w:p>
        </w:tc>
      </w:tr>
    </w:tbl>
    <w:p>
      <w:pPr>
        <w:spacing w:after="0" w:line="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 As of 12/31/2021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Company Reorganization</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Through the end of 2021, we conducted our business through Federal Realty Investment Trust, a Maryland real estate investment trust (“Old FRT”). Effective as of January 1, 2022, Old FRT completed a holding company merger for the purpose of converting Old FRT into an umbrella partnership real estate investment trust or “UPREIT”. On January 5, 2022, Old FRT converted to a Delaware limited partnership and changed its name to Federal Realty OP LP to complete that conversion. The holding company created for the merger, FRT Holdco REIT, is now the parent company of Old FRT and pursuant to a name change effectuated immediately following the merger, is now known as Federal Realty Investment Trust (“New FRT”). The business, management and trustees of New FRT, and the rights and limitations of the holders of New FRT’s shares of beneficial interest, immediately following the merger were identical to the business, management and trustees of Old FRT, and the rights and limitations of holders of Old FRT’s shares of beneficial interest, immediately prior to the merger. The consolidated assets and liabilities of New FRT immediately following the merger and partnership conversion were the same as the consolidated assets and liabilities of Old FRT immediately prior to the merger and partnership conversion.</w:t>
      </w:r>
    </w:p>
    <w:p>
      <w:pPr>
        <w:spacing w:after="0" w:line="19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New FRT, as the successor to Old FRT, is filing this proxy statement on behalf of itself and Old FRT for 2021 and on behalf of itself for 2022. All references in this proxy statement to “we”, “our”, the “Company”, “Federal” or “Federal Realty” refer to New FRT for itself and as successor to Old FRT, as applicable. More detailed information regarding the holding company merger and partnership conversion of Old FRT can be found in our Form 8-K12B filed with the Securities and Exchange Commission (“SEC”) on January 3, 2022 and our Form 8-K filed with the SEC on January 5, 2022.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640" w:top="391" w:right="639" w:bottom="1440" w:gutter="0" w:footer="0" w:header="0"/>
        </w:sectPr>
      </w:pPr>
    </w:p>
    <w:bookmarkStart w:id="6" w:name="page7"/>
    <w:bookmarkEnd w:id="6"/>
    <w:p>
      <w:pPr>
        <w:ind w:left="4"/>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Operating Performance Highlights</w:t>
      </w:r>
    </w:p>
    <w:p>
      <w:pPr>
        <w:spacing w:after="0" w:line="230"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2021 was characterized by improved operating performance and continued focus and investment on avenues for future growth. COVID-driven governmental shutdowns in 2020 had a significant adverse impact on our ability to collect full rents from our tenants given their inability to operate their businesses and generate revenue. Although 2021 was still impacted by governmental restrictions and the emergence of new strains of COVID, the vast majority of our tenants experienced significant rebounds in their businesses which in turn drove our improved operating performance. Tenant optimism in a post-COVID recovery was also evident in the record volume of leases we signed during the year. We also continued to focus on making smart investments that are expected to lead to future growth. We acquired 5 new properties during 2021, each with potential for significant future value creation, placed significant portions of our development pipeline into service and began our next phase of development at Pike &amp; Rose with a lease in hand for approximately 40% of the building. Following are a few of our 2021 operating performance highlights.</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2200" w:type="dxa"/>
            <w:vAlign w:val="bottom"/>
            <w:tcBorders>
              <w:top w:val="single" w:sz="8" w:color="FF160F"/>
            </w:tcBorders>
            <w:gridSpan w:val="2"/>
            <w:shd w:val="clear" w:color="auto" w:fill="D8D8D8"/>
          </w:tcPr>
          <w:p>
            <w:pPr>
              <w:jc w:val="center"/>
              <w:spacing w:after="0"/>
              <w:rPr>
                <w:sz w:val="20"/>
                <w:szCs w:val="20"/>
                <w:color w:val="auto"/>
              </w:rPr>
            </w:pPr>
            <w:r>
              <w:rPr>
                <w:rFonts w:ascii="Arial" w:cs="Arial" w:eastAsia="Arial" w:hAnsi="Arial"/>
                <w:sz w:val="17"/>
                <w:szCs w:val="17"/>
                <w:i w:val="1"/>
                <w:iCs w:val="1"/>
                <w:color w:val="auto"/>
              </w:rPr>
              <w:t>Strong Earnings Growth</w:t>
            </w:r>
          </w:p>
        </w:tc>
        <w:tc>
          <w:tcPr>
            <w:tcW w:w="420" w:type="dxa"/>
            <w:vAlign w:val="bottom"/>
          </w:tcPr>
          <w:p>
            <w:pPr>
              <w:spacing w:after="0"/>
              <w:rPr>
                <w:sz w:val="21"/>
                <w:szCs w:val="21"/>
                <w:color w:val="auto"/>
              </w:rPr>
            </w:pPr>
          </w:p>
        </w:tc>
        <w:tc>
          <w:tcPr>
            <w:tcW w:w="4100" w:type="dxa"/>
            <w:vAlign w:val="bottom"/>
            <w:tcBorders>
              <w:top w:val="single" w:sz="8" w:color="FF160F"/>
            </w:tcBorders>
            <w:gridSpan w:val="2"/>
            <w:shd w:val="clear" w:color="auto" w:fill="D8D8D8"/>
          </w:tcPr>
          <w:p>
            <w:pPr>
              <w:jc w:val="center"/>
              <w:spacing w:after="0"/>
              <w:rPr>
                <w:sz w:val="20"/>
                <w:szCs w:val="20"/>
                <w:color w:val="auto"/>
              </w:rPr>
            </w:pPr>
            <w:r>
              <w:rPr>
                <w:rFonts w:ascii="Arial" w:cs="Arial" w:eastAsia="Arial" w:hAnsi="Arial"/>
                <w:sz w:val="17"/>
                <w:szCs w:val="17"/>
                <w:i w:val="1"/>
                <w:iCs w:val="1"/>
                <w:color w:val="auto"/>
              </w:rPr>
              <w:t>Record Leasing Activity</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FF160F"/>
            </w:tcBorders>
            <w:shd w:val="clear" w:color="auto" w:fill="D8D8D8"/>
          </w:tcPr>
          <w:p>
            <w:pPr>
              <w:spacing w:after="0"/>
              <w:rPr>
                <w:sz w:val="21"/>
                <w:szCs w:val="21"/>
                <w:color w:val="auto"/>
              </w:rPr>
            </w:pPr>
          </w:p>
        </w:tc>
        <w:tc>
          <w:tcPr>
            <w:tcW w:w="3240" w:type="dxa"/>
            <w:vAlign w:val="bottom"/>
            <w:tcBorders>
              <w:top w:val="single" w:sz="8" w:color="FF160F"/>
            </w:tcBorders>
            <w:shd w:val="clear" w:color="auto" w:fill="D8D8D8"/>
          </w:tcPr>
          <w:p>
            <w:pPr>
              <w:jc w:val="center"/>
              <w:ind w:right="458"/>
              <w:spacing w:after="0"/>
              <w:rPr>
                <w:sz w:val="20"/>
                <w:szCs w:val="20"/>
                <w:color w:val="auto"/>
              </w:rPr>
            </w:pPr>
            <w:r>
              <w:rPr>
                <w:rFonts w:ascii="Arial" w:cs="Arial" w:eastAsia="Arial" w:hAnsi="Arial"/>
                <w:sz w:val="17"/>
                <w:szCs w:val="17"/>
                <w:i w:val="1"/>
                <w:iCs w:val="1"/>
                <w:color w:val="auto"/>
              </w:rPr>
              <w:t>Value-Add Acquisitions</w:t>
            </w:r>
          </w:p>
        </w:tc>
      </w:tr>
      <w:tr>
        <w:trPr>
          <w:trHeight w:val="446"/>
        </w:trPr>
        <w:tc>
          <w:tcPr>
            <w:tcW w:w="2100" w:type="dxa"/>
            <w:vAlign w:val="bottom"/>
            <w:shd w:val="clear" w:color="auto" w:fill="D8D8D8"/>
          </w:tcPr>
          <w:p>
            <w:pPr>
              <w:jc w:val="center"/>
              <w:ind w:left="1"/>
              <w:spacing w:after="0"/>
              <w:rPr>
                <w:sz w:val="20"/>
                <w:szCs w:val="20"/>
                <w:color w:val="auto"/>
              </w:rPr>
            </w:pPr>
            <w:r>
              <w:rPr>
                <w:rFonts w:ascii="Arial" w:cs="Arial" w:eastAsia="Arial" w:hAnsi="Arial"/>
                <w:sz w:val="21"/>
                <w:szCs w:val="21"/>
                <w:b w:val="1"/>
                <w:bCs w:val="1"/>
                <w:color w:val="auto"/>
                <w:w w:val="99"/>
              </w:rPr>
              <w:t>&gt;25%</w:t>
            </w:r>
          </w:p>
        </w:tc>
        <w:tc>
          <w:tcPr>
            <w:tcW w:w="100" w:type="dxa"/>
            <w:vAlign w:val="bottom"/>
            <w:shd w:val="clear" w:color="auto" w:fill="D8D8D8"/>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gridSpan w:val="2"/>
            <w:shd w:val="clear" w:color="auto" w:fill="D8D8D8"/>
          </w:tcPr>
          <w:p>
            <w:pPr>
              <w:jc w:val="center"/>
              <w:spacing w:after="0"/>
              <w:rPr>
                <w:sz w:val="20"/>
                <w:szCs w:val="20"/>
                <w:color w:val="auto"/>
              </w:rPr>
            </w:pPr>
            <w:r>
              <w:rPr>
                <w:rFonts w:ascii="Arial" w:cs="Arial" w:eastAsia="Arial" w:hAnsi="Arial"/>
                <w:sz w:val="21"/>
                <w:szCs w:val="21"/>
                <w:b w:val="1"/>
                <w:bCs w:val="1"/>
                <w:color w:val="auto"/>
                <w:w w:val="98"/>
              </w:rPr>
              <w:t>573 deals/2.9M square feet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3240" w:type="dxa"/>
            <w:vAlign w:val="bottom"/>
            <w:shd w:val="clear" w:color="auto" w:fill="D8D8D8"/>
          </w:tcPr>
          <w:p>
            <w:pPr>
              <w:jc w:val="center"/>
              <w:ind w:right="478"/>
              <w:spacing w:after="0"/>
              <w:rPr>
                <w:sz w:val="20"/>
                <w:szCs w:val="20"/>
                <w:color w:val="auto"/>
              </w:rPr>
            </w:pPr>
            <w:r>
              <w:rPr>
                <w:rFonts w:ascii="Arial" w:cs="Arial" w:eastAsia="Arial" w:hAnsi="Arial"/>
                <w:sz w:val="21"/>
                <w:szCs w:val="21"/>
                <w:b w:val="1"/>
                <w:bCs w:val="1"/>
                <w:color w:val="auto"/>
                <w:w w:val="99"/>
              </w:rPr>
              <w:t>$440 million</w:t>
            </w:r>
          </w:p>
        </w:tc>
      </w:tr>
      <w:tr>
        <w:trPr>
          <w:trHeight w:val="371"/>
        </w:trPr>
        <w:tc>
          <w:tcPr>
            <w:tcW w:w="2200" w:type="dxa"/>
            <w:vAlign w:val="bottom"/>
            <w:gridSpan w:val="2"/>
            <w:shd w:val="clear" w:color="auto" w:fill="D8D8D8"/>
          </w:tcPr>
          <w:p>
            <w:pPr>
              <w:jc w:val="center"/>
              <w:spacing w:after="0"/>
              <w:rPr>
                <w:sz w:val="20"/>
                <w:szCs w:val="20"/>
                <w:color w:val="auto"/>
              </w:rPr>
            </w:pPr>
            <w:r>
              <w:rPr>
                <w:rFonts w:ascii="Arial" w:cs="Arial" w:eastAsia="Arial" w:hAnsi="Arial"/>
                <w:sz w:val="14"/>
                <w:szCs w:val="14"/>
                <w:i w:val="1"/>
                <w:iCs w:val="1"/>
                <w:color w:val="auto"/>
                <w:w w:val="98"/>
              </w:rPr>
              <w:t>Growth of both net income available</w:t>
            </w:r>
          </w:p>
        </w:tc>
        <w:tc>
          <w:tcPr>
            <w:tcW w:w="420" w:type="dxa"/>
            <w:vAlign w:val="bottom"/>
          </w:tcPr>
          <w:p>
            <w:pPr>
              <w:spacing w:after="0"/>
              <w:rPr>
                <w:sz w:val="24"/>
                <w:szCs w:val="24"/>
                <w:color w:val="auto"/>
              </w:rPr>
            </w:pPr>
          </w:p>
        </w:tc>
        <w:tc>
          <w:tcPr>
            <w:tcW w:w="4100" w:type="dxa"/>
            <w:vAlign w:val="bottom"/>
            <w:gridSpan w:val="2"/>
            <w:shd w:val="clear" w:color="auto" w:fill="D8D8D8"/>
          </w:tcPr>
          <w:p>
            <w:pPr>
              <w:jc w:val="center"/>
              <w:spacing w:after="0"/>
              <w:rPr>
                <w:sz w:val="20"/>
                <w:szCs w:val="20"/>
                <w:color w:val="auto"/>
              </w:rPr>
            </w:pPr>
            <w:r>
              <w:rPr>
                <w:rFonts w:ascii="Arial" w:cs="Arial" w:eastAsia="Arial" w:hAnsi="Arial"/>
                <w:sz w:val="14"/>
                <w:szCs w:val="14"/>
                <w:i w:val="1"/>
                <w:iCs w:val="1"/>
                <w:color w:val="auto"/>
                <w:w w:val="99"/>
              </w:rPr>
              <w:t>New and renewal leases signed in 2021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2"/>
            <w:shd w:val="clear" w:color="auto" w:fill="D8D8D8"/>
          </w:tcPr>
          <w:p>
            <w:pPr>
              <w:jc w:val="center"/>
              <w:ind w:right="238"/>
              <w:spacing w:after="0"/>
              <w:rPr>
                <w:sz w:val="20"/>
                <w:szCs w:val="20"/>
                <w:color w:val="auto"/>
              </w:rPr>
            </w:pPr>
            <w:r>
              <w:rPr>
                <w:rFonts w:ascii="Arial" w:cs="Arial" w:eastAsia="Arial" w:hAnsi="Arial"/>
                <w:sz w:val="14"/>
                <w:szCs w:val="14"/>
                <w:i w:val="1"/>
                <w:iCs w:val="1"/>
                <w:color w:val="auto"/>
                <w:w w:val="98"/>
              </w:rPr>
              <w:t>Acquired 5 new assets with significant value</w:t>
            </w:r>
          </w:p>
        </w:tc>
      </w:tr>
      <w:tr>
        <w:trPr>
          <w:trHeight w:val="156"/>
        </w:trPr>
        <w:tc>
          <w:tcPr>
            <w:tcW w:w="2200" w:type="dxa"/>
            <w:vAlign w:val="bottom"/>
            <w:gridSpan w:val="2"/>
            <w:shd w:val="clear" w:color="auto" w:fill="D8D8D8"/>
          </w:tcPr>
          <w:p>
            <w:pPr>
              <w:jc w:val="center"/>
              <w:spacing w:after="0" w:line="156" w:lineRule="exact"/>
              <w:rPr>
                <w:sz w:val="20"/>
                <w:szCs w:val="20"/>
                <w:color w:val="auto"/>
              </w:rPr>
            </w:pPr>
            <w:r>
              <w:rPr>
                <w:rFonts w:ascii="Arial" w:cs="Arial" w:eastAsia="Arial" w:hAnsi="Arial"/>
                <w:sz w:val="14"/>
                <w:szCs w:val="14"/>
                <w:i w:val="1"/>
                <w:iCs w:val="1"/>
                <w:color w:val="auto"/>
                <w:w w:val="99"/>
              </w:rPr>
              <w:t>for common shareholders and FFO</w:t>
            </w:r>
          </w:p>
        </w:tc>
        <w:tc>
          <w:tcPr>
            <w:tcW w:w="420" w:type="dxa"/>
            <w:vAlign w:val="bottom"/>
          </w:tcPr>
          <w:p>
            <w:pPr>
              <w:spacing w:after="0"/>
              <w:rPr>
                <w:sz w:val="13"/>
                <w:szCs w:val="13"/>
                <w:color w:val="auto"/>
              </w:rPr>
            </w:pPr>
          </w:p>
        </w:tc>
        <w:tc>
          <w:tcPr>
            <w:tcW w:w="160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gridSpan w:val="2"/>
            <w:shd w:val="clear" w:color="auto" w:fill="D8D8D8"/>
          </w:tcPr>
          <w:p>
            <w:pPr>
              <w:jc w:val="center"/>
              <w:ind w:right="238"/>
              <w:spacing w:after="0" w:line="156" w:lineRule="exact"/>
              <w:rPr>
                <w:sz w:val="20"/>
                <w:szCs w:val="20"/>
                <w:color w:val="auto"/>
              </w:rPr>
            </w:pPr>
            <w:r>
              <w:rPr>
                <w:rFonts w:ascii="Arial" w:cs="Arial" w:eastAsia="Arial" w:hAnsi="Arial"/>
                <w:sz w:val="14"/>
                <w:szCs w:val="14"/>
                <w:i w:val="1"/>
                <w:iCs w:val="1"/>
                <w:color w:val="auto"/>
                <w:w w:val="98"/>
              </w:rPr>
              <w:t>add potential through re-leasing, renovation and</w:t>
            </w:r>
          </w:p>
        </w:tc>
      </w:tr>
      <w:tr>
        <w:trPr>
          <w:trHeight w:val="211"/>
        </w:trPr>
        <w:tc>
          <w:tcPr>
            <w:tcW w:w="2200" w:type="dxa"/>
            <w:vAlign w:val="bottom"/>
            <w:tcBorders>
              <w:bottom w:val="single" w:sz="8" w:color="D8D8D8"/>
            </w:tcBorders>
            <w:gridSpan w:val="2"/>
            <w:shd w:val="clear" w:color="auto" w:fill="D8D8D8"/>
          </w:tcPr>
          <w:p>
            <w:pPr>
              <w:jc w:val="center"/>
              <w:spacing w:after="0"/>
              <w:rPr>
                <w:sz w:val="20"/>
                <w:szCs w:val="20"/>
                <w:color w:val="auto"/>
              </w:rPr>
            </w:pPr>
            <w:r>
              <w:rPr>
                <w:rFonts w:ascii="Arial" w:cs="Arial" w:eastAsia="Arial" w:hAnsi="Arial"/>
                <w:sz w:val="14"/>
                <w:szCs w:val="14"/>
                <w:i w:val="1"/>
                <w:iCs w:val="1"/>
                <w:color w:val="auto"/>
                <w:w w:val="99"/>
              </w:rPr>
              <w:t>per share* compared to 2020</w:t>
            </w:r>
          </w:p>
        </w:tc>
        <w:tc>
          <w:tcPr>
            <w:tcW w:w="420" w:type="dxa"/>
            <w:vAlign w:val="bottom"/>
          </w:tcPr>
          <w:p>
            <w:pPr>
              <w:spacing w:after="0"/>
              <w:rPr>
                <w:sz w:val="18"/>
                <w:szCs w:val="18"/>
                <w:color w:val="auto"/>
              </w:rPr>
            </w:pPr>
          </w:p>
        </w:tc>
        <w:tc>
          <w:tcPr>
            <w:tcW w:w="1600" w:type="dxa"/>
            <w:vAlign w:val="bottom"/>
            <w:tcBorders>
              <w:bottom w:val="single" w:sz="8" w:color="D8D8D8"/>
            </w:tcBorders>
            <w:shd w:val="clear" w:color="auto" w:fill="D8D8D8"/>
          </w:tcPr>
          <w:p>
            <w:pPr>
              <w:spacing w:after="0"/>
              <w:rPr>
                <w:sz w:val="18"/>
                <w:szCs w:val="18"/>
                <w:color w:val="auto"/>
              </w:rPr>
            </w:pPr>
          </w:p>
        </w:tc>
        <w:tc>
          <w:tcPr>
            <w:tcW w:w="2500" w:type="dxa"/>
            <w:vAlign w:val="bottom"/>
            <w:tcBorders>
              <w:bottom w:val="single" w:sz="8" w:color="D8D8D8"/>
            </w:tcBorders>
            <w:shd w:val="clear" w:color="auto" w:fill="D8D8D8"/>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D8D8D8"/>
            </w:tcBorders>
            <w:shd w:val="clear" w:color="auto" w:fill="D8D8D8"/>
          </w:tcPr>
          <w:p>
            <w:pPr>
              <w:spacing w:after="0"/>
              <w:rPr>
                <w:sz w:val="18"/>
                <w:szCs w:val="18"/>
                <w:color w:val="auto"/>
              </w:rPr>
            </w:pPr>
          </w:p>
        </w:tc>
        <w:tc>
          <w:tcPr>
            <w:tcW w:w="3240" w:type="dxa"/>
            <w:vAlign w:val="bottom"/>
            <w:tcBorders>
              <w:bottom w:val="single" w:sz="8" w:color="D8D8D8"/>
            </w:tcBorders>
            <w:shd w:val="clear" w:color="auto" w:fill="D8D8D8"/>
          </w:tcPr>
          <w:p>
            <w:pPr>
              <w:jc w:val="center"/>
              <w:ind w:right="478"/>
              <w:spacing w:after="0"/>
              <w:rPr>
                <w:sz w:val="20"/>
                <w:szCs w:val="20"/>
                <w:color w:val="auto"/>
              </w:rPr>
            </w:pPr>
            <w:r>
              <w:rPr>
                <w:rFonts w:ascii="Arial" w:cs="Arial" w:eastAsia="Arial" w:hAnsi="Arial"/>
                <w:sz w:val="14"/>
                <w:szCs w:val="14"/>
                <w:i w:val="1"/>
                <w:iCs w:val="1"/>
                <w:color w:val="auto"/>
                <w:w w:val="99"/>
              </w:rPr>
              <w:t>redevelopment</w:t>
            </w:r>
          </w:p>
        </w:tc>
      </w:tr>
      <w:tr>
        <w:trPr>
          <w:trHeight w:val="214"/>
        </w:trPr>
        <w:tc>
          <w:tcPr>
            <w:tcW w:w="2100" w:type="dxa"/>
            <w:vAlign w:val="bottom"/>
            <w:tcBorders>
              <w:bottom w:val="single" w:sz="8" w:color="FF160F"/>
            </w:tcBorders>
          </w:tcPr>
          <w:p>
            <w:pPr>
              <w:spacing w:after="0"/>
              <w:rPr>
                <w:sz w:val="18"/>
                <w:szCs w:val="18"/>
                <w:color w:val="auto"/>
              </w:rPr>
            </w:pPr>
          </w:p>
        </w:tc>
        <w:tc>
          <w:tcPr>
            <w:tcW w:w="4620" w:type="dxa"/>
            <w:vAlign w:val="bottom"/>
            <w:tcBorders>
              <w:bottom w:val="single" w:sz="8" w:color="FF160F"/>
            </w:tcBorders>
            <w:gridSpan w:val="4"/>
          </w:tcPr>
          <w:p>
            <w:pPr>
              <w:spacing w:after="0"/>
              <w:rPr>
                <w:sz w:val="18"/>
                <w:szCs w:val="18"/>
                <w:color w:val="auto"/>
              </w:rPr>
            </w:pPr>
          </w:p>
        </w:tc>
        <w:tc>
          <w:tcPr>
            <w:tcW w:w="260" w:type="dxa"/>
            <w:vAlign w:val="bottom"/>
            <w:tcBorders>
              <w:bottom w:val="single" w:sz="8" w:color="FF160F"/>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Borders>
              <w:bottom w:val="single" w:sz="8" w:color="FF160F"/>
            </w:tcBorders>
          </w:tcPr>
          <w:p>
            <w:pPr>
              <w:spacing w:after="0"/>
              <w:rPr>
                <w:sz w:val="18"/>
                <w:szCs w:val="18"/>
                <w:color w:val="auto"/>
              </w:rPr>
            </w:pPr>
          </w:p>
        </w:tc>
      </w:tr>
      <w:tr>
        <w:trPr>
          <w:trHeight w:val="195"/>
        </w:trPr>
        <w:tc>
          <w:tcPr>
            <w:tcW w:w="2100" w:type="dxa"/>
            <w:vAlign w:val="bottom"/>
            <w:shd w:val="clear" w:color="auto" w:fill="D8D8D8"/>
          </w:tcPr>
          <w:p>
            <w:pPr>
              <w:spacing w:after="0"/>
              <w:rPr>
                <w:sz w:val="16"/>
                <w:szCs w:val="16"/>
                <w:color w:val="auto"/>
              </w:rPr>
            </w:pPr>
          </w:p>
        </w:tc>
        <w:tc>
          <w:tcPr>
            <w:tcW w:w="4620" w:type="dxa"/>
            <w:vAlign w:val="bottom"/>
            <w:gridSpan w:val="4"/>
            <w:shd w:val="clear" w:color="auto" w:fill="D8D8D8"/>
          </w:tcPr>
          <w:p>
            <w:pPr>
              <w:ind w:left="20"/>
              <w:spacing w:after="0"/>
              <w:rPr>
                <w:sz w:val="20"/>
                <w:szCs w:val="20"/>
                <w:color w:val="auto"/>
              </w:rPr>
            </w:pPr>
            <w:r>
              <w:rPr>
                <w:rFonts w:ascii="Arial" w:cs="Arial" w:eastAsia="Arial" w:hAnsi="Arial"/>
                <w:sz w:val="17"/>
                <w:szCs w:val="17"/>
                <w:i w:val="1"/>
                <w:iCs w:val="1"/>
                <w:color w:val="auto"/>
              </w:rPr>
              <w:t>Execution on Development Pipeline</w:t>
            </w:r>
          </w:p>
        </w:tc>
        <w:tc>
          <w:tcPr>
            <w:tcW w:w="260" w:type="dxa"/>
            <w:vAlign w:val="bottom"/>
            <w:shd w:val="clear" w:color="auto" w:fill="D8D8D8"/>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shd w:val="clear" w:color="auto" w:fill="D8D8D8"/>
          </w:tcPr>
          <w:p>
            <w:pPr>
              <w:jc w:val="center"/>
              <w:spacing w:after="0"/>
              <w:rPr>
                <w:sz w:val="20"/>
                <w:szCs w:val="20"/>
                <w:color w:val="auto"/>
              </w:rPr>
            </w:pPr>
            <w:r>
              <w:rPr>
                <w:rFonts w:ascii="Arial" w:cs="Arial" w:eastAsia="Arial" w:hAnsi="Arial"/>
                <w:sz w:val="17"/>
                <w:szCs w:val="17"/>
                <w:i w:val="1"/>
                <w:iCs w:val="1"/>
                <w:color w:val="auto"/>
              </w:rPr>
              <w:t>Common Share Dividend</w:t>
            </w:r>
          </w:p>
        </w:tc>
      </w:tr>
      <w:tr>
        <w:trPr>
          <w:trHeight w:val="452"/>
        </w:trPr>
        <w:tc>
          <w:tcPr>
            <w:tcW w:w="2100" w:type="dxa"/>
            <w:vAlign w:val="bottom"/>
            <w:shd w:val="clear" w:color="auto" w:fill="D8D8D8"/>
          </w:tcPr>
          <w:p>
            <w:pPr>
              <w:jc w:val="center"/>
              <w:spacing w:after="0"/>
              <w:rPr>
                <w:sz w:val="20"/>
                <w:szCs w:val="20"/>
                <w:color w:val="auto"/>
              </w:rPr>
            </w:pPr>
            <w:r>
              <w:rPr>
                <w:rFonts w:ascii="Arial" w:cs="Arial" w:eastAsia="Arial" w:hAnsi="Arial"/>
                <w:sz w:val="21"/>
                <w:szCs w:val="21"/>
                <w:b w:val="1"/>
                <w:bCs w:val="1"/>
                <w:color w:val="auto"/>
                <w:w w:val="99"/>
              </w:rPr>
              <w:t>$486 million</w:t>
            </w:r>
          </w:p>
        </w:tc>
        <w:tc>
          <w:tcPr>
            <w:tcW w:w="100" w:type="dxa"/>
            <w:vAlign w:val="bottom"/>
            <w:shd w:val="clear" w:color="auto" w:fill="D8D8D8"/>
          </w:tcPr>
          <w:p>
            <w:pPr>
              <w:spacing w:after="0"/>
              <w:rPr>
                <w:sz w:val="24"/>
                <w:szCs w:val="24"/>
                <w:color w:val="auto"/>
              </w:rPr>
            </w:pPr>
          </w:p>
        </w:tc>
        <w:tc>
          <w:tcPr>
            <w:tcW w:w="2020" w:type="dxa"/>
            <w:vAlign w:val="bottom"/>
            <w:gridSpan w:val="2"/>
            <w:shd w:val="clear" w:color="auto" w:fill="D8D8D8"/>
          </w:tcPr>
          <w:p>
            <w:pPr>
              <w:jc w:val="center"/>
              <w:ind w:right="118"/>
              <w:spacing w:after="0"/>
              <w:rPr>
                <w:sz w:val="20"/>
                <w:szCs w:val="20"/>
                <w:color w:val="auto"/>
              </w:rPr>
            </w:pPr>
            <w:r>
              <w:rPr>
                <w:rFonts w:ascii="Arial" w:cs="Arial" w:eastAsia="Arial" w:hAnsi="Arial"/>
                <w:sz w:val="21"/>
                <w:szCs w:val="21"/>
                <w:b w:val="1"/>
                <w:bCs w:val="1"/>
                <w:color w:val="auto"/>
                <w:w w:val="98"/>
              </w:rPr>
              <w:t>$193 million</w:t>
            </w:r>
          </w:p>
        </w:tc>
        <w:tc>
          <w:tcPr>
            <w:tcW w:w="2500" w:type="dxa"/>
            <w:vAlign w:val="bottom"/>
            <w:shd w:val="clear" w:color="auto" w:fill="D8D8D8"/>
          </w:tcPr>
          <w:p>
            <w:pPr>
              <w:jc w:val="center"/>
              <w:ind w:left="99"/>
              <w:spacing w:after="0"/>
              <w:rPr>
                <w:sz w:val="20"/>
                <w:szCs w:val="20"/>
                <w:color w:val="auto"/>
              </w:rPr>
            </w:pPr>
            <w:r>
              <w:rPr>
                <w:rFonts w:ascii="Arial" w:cs="Arial" w:eastAsia="Arial" w:hAnsi="Arial"/>
                <w:sz w:val="21"/>
                <w:szCs w:val="21"/>
                <w:b w:val="1"/>
                <w:bCs w:val="1"/>
                <w:color w:val="auto"/>
                <w:w w:val="99"/>
              </w:rPr>
              <w:t>300,000 square feet</w:t>
            </w:r>
          </w:p>
        </w:tc>
        <w:tc>
          <w:tcPr>
            <w:tcW w:w="260" w:type="dxa"/>
            <w:vAlign w:val="bottom"/>
            <w:shd w:val="clear" w:color="auto" w:fill="D8D8D8"/>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shd w:val="clear" w:color="auto" w:fill="D8D8D8"/>
          </w:tcPr>
          <w:p>
            <w:pPr>
              <w:jc w:val="center"/>
              <w:spacing w:after="0"/>
              <w:rPr>
                <w:sz w:val="20"/>
                <w:szCs w:val="20"/>
                <w:color w:val="auto"/>
              </w:rPr>
            </w:pPr>
            <w:r>
              <w:rPr>
                <w:rFonts w:ascii="Arial" w:cs="Arial" w:eastAsia="Arial" w:hAnsi="Arial"/>
                <w:sz w:val="21"/>
                <w:szCs w:val="21"/>
                <w:b w:val="1"/>
                <w:bCs w:val="1"/>
                <w:color w:val="auto"/>
                <w:w w:val="99"/>
              </w:rPr>
              <w:t>54 years</w:t>
            </w:r>
          </w:p>
        </w:tc>
      </w:tr>
      <w:tr>
        <w:trPr>
          <w:trHeight w:val="371"/>
        </w:trPr>
        <w:tc>
          <w:tcPr>
            <w:tcW w:w="2100" w:type="dxa"/>
            <w:vAlign w:val="bottom"/>
            <w:shd w:val="clear" w:color="auto" w:fill="D8D8D8"/>
          </w:tcPr>
          <w:p>
            <w:pPr>
              <w:jc w:val="center"/>
              <w:spacing w:after="0"/>
              <w:rPr>
                <w:sz w:val="20"/>
                <w:szCs w:val="20"/>
                <w:color w:val="auto"/>
              </w:rPr>
            </w:pPr>
            <w:r>
              <w:rPr>
                <w:rFonts w:ascii="Arial" w:cs="Arial" w:eastAsia="Arial" w:hAnsi="Arial"/>
                <w:sz w:val="14"/>
                <w:szCs w:val="14"/>
                <w:i w:val="1"/>
                <w:iCs w:val="1"/>
                <w:color w:val="auto"/>
                <w:w w:val="98"/>
              </w:rPr>
              <w:t>Active major</w:t>
            </w:r>
          </w:p>
        </w:tc>
        <w:tc>
          <w:tcPr>
            <w:tcW w:w="100" w:type="dxa"/>
            <w:vAlign w:val="bottom"/>
            <w:shd w:val="clear" w:color="auto" w:fill="D8D8D8"/>
          </w:tcPr>
          <w:p>
            <w:pPr>
              <w:spacing w:after="0"/>
              <w:rPr>
                <w:sz w:val="24"/>
                <w:szCs w:val="24"/>
                <w:color w:val="auto"/>
              </w:rPr>
            </w:pPr>
          </w:p>
        </w:tc>
        <w:tc>
          <w:tcPr>
            <w:tcW w:w="2020" w:type="dxa"/>
            <w:vAlign w:val="bottom"/>
            <w:gridSpan w:val="2"/>
            <w:shd w:val="clear" w:color="auto" w:fill="D8D8D8"/>
          </w:tcPr>
          <w:p>
            <w:pPr>
              <w:jc w:val="center"/>
              <w:ind w:right="118"/>
              <w:spacing w:after="0"/>
              <w:rPr>
                <w:sz w:val="20"/>
                <w:szCs w:val="20"/>
                <w:color w:val="auto"/>
              </w:rPr>
            </w:pPr>
            <w:r>
              <w:rPr>
                <w:rFonts w:ascii="Arial" w:cs="Arial" w:eastAsia="Arial" w:hAnsi="Arial"/>
                <w:sz w:val="14"/>
                <w:szCs w:val="14"/>
                <w:i w:val="1"/>
                <w:iCs w:val="1"/>
                <w:color w:val="auto"/>
                <w:w w:val="99"/>
              </w:rPr>
              <w:t>New major development</w:t>
            </w:r>
          </w:p>
        </w:tc>
        <w:tc>
          <w:tcPr>
            <w:tcW w:w="2500" w:type="dxa"/>
            <w:vAlign w:val="bottom"/>
            <w:shd w:val="clear" w:color="auto" w:fill="D8D8D8"/>
          </w:tcPr>
          <w:p>
            <w:pPr>
              <w:jc w:val="center"/>
              <w:ind w:left="99"/>
              <w:spacing w:after="0"/>
              <w:rPr>
                <w:sz w:val="20"/>
                <w:szCs w:val="20"/>
                <w:color w:val="auto"/>
              </w:rPr>
            </w:pPr>
            <w:r>
              <w:rPr>
                <w:rFonts w:ascii="Arial" w:cs="Arial" w:eastAsia="Arial" w:hAnsi="Arial"/>
                <w:sz w:val="14"/>
                <w:szCs w:val="14"/>
                <w:i w:val="1"/>
                <w:iCs w:val="1"/>
                <w:color w:val="auto"/>
                <w:w w:val="98"/>
              </w:rPr>
              <w:t>Executed leases for major</w:t>
            </w:r>
          </w:p>
        </w:tc>
        <w:tc>
          <w:tcPr>
            <w:tcW w:w="260" w:type="dxa"/>
            <w:vAlign w:val="bottom"/>
            <w:shd w:val="clear" w:color="auto" w:fill="D8D8D8"/>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shd w:val="clear" w:color="auto" w:fill="D8D8D8"/>
          </w:tcPr>
          <w:p>
            <w:pPr>
              <w:jc w:val="center"/>
              <w:spacing w:after="0"/>
              <w:rPr>
                <w:sz w:val="20"/>
                <w:szCs w:val="20"/>
                <w:color w:val="auto"/>
              </w:rPr>
            </w:pPr>
            <w:r>
              <w:rPr>
                <w:rFonts w:ascii="Arial" w:cs="Arial" w:eastAsia="Arial" w:hAnsi="Arial"/>
                <w:sz w:val="14"/>
                <w:szCs w:val="14"/>
                <w:i w:val="1"/>
                <w:iCs w:val="1"/>
                <w:color w:val="auto"/>
                <w:w w:val="98"/>
              </w:rPr>
              <w:t>Consecutive years of common share</w:t>
            </w:r>
          </w:p>
        </w:tc>
      </w:tr>
      <w:tr>
        <w:trPr>
          <w:trHeight w:val="156"/>
        </w:trPr>
        <w:tc>
          <w:tcPr>
            <w:tcW w:w="2100" w:type="dxa"/>
            <w:vAlign w:val="bottom"/>
            <w:shd w:val="clear" w:color="auto" w:fill="D8D8D8"/>
          </w:tcPr>
          <w:p>
            <w:pPr>
              <w:jc w:val="center"/>
              <w:spacing w:after="0" w:line="156" w:lineRule="exact"/>
              <w:rPr>
                <w:sz w:val="20"/>
                <w:szCs w:val="20"/>
                <w:color w:val="auto"/>
              </w:rPr>
            </w:pPr>
            <w:r>
              <w:rPr>
                <w:rFonts w:ascii="Arial" w:cs="Arial" w:eastAsia="Arial" w:hAnsi="Arial"/>
                <w:sz w:val="14"/>
                <w:szCs w:val="14"/>
                <w:i w:val="1"/>
                <w:iCs w:val="1"/>
                <w:color w:val="auto"/>
                <w:w w:val="98"/>
              </w:rPr>
              <w:t>development projects placed into</w:t>
            </w:r>
          </w:p>
        </w:tc>
        <w:tc>
          <w:tcPr>
            <w:tcW w:w="10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1600" w:type="dxa"/>
            <w:vAlign w:val="bottom"/>
            <w:shd w:val="clear" w:color="auto" w:fill="D8D8D8"/>
          </w:tcPr>
          <w:p>
            <w:pPr>
              <w:jc w:val="center"/>
              <w:ind w:right="538"/>
              <w:spacing w:after="0" w:line="156" w:lineRule="exact"/>
              <w:rPr>
                <w:sz w:val="20"/>
                <w:szCs w:val="20"/>
                <w:color w:val="auto"/>
              </w:rPr>
            </w:pPr>
            <w:r>
              <w:rPr>
                <w:rFonts w:ascii="Arial" w:cs="Arial" w:eastAsia="Arial" w:hAnsi="Arial"/>
                <w:sz w:val="14"/>
                <w:szCs w:val="14"/>
                <w:i w:val="1"/>
                <w:iCs w:val="1"/>
                <w:color w:val="auto"/>
                <w:w w:val="99"/>
              </w:rPr>
              <w:t>starts</w:t>
            </w:r>
          </w:p>
        </w:tc>
        <w:tc>
          <w:tcPr>
            <w:tcW w:w="2500" w:type="dxa"/>
            <w:vAlign w:val="bottom"/>
            <w:shd w:val="clear" w:color="auto" w:fill="D8D8D8"/>
          </w:tcPr>
          <w:p>
            <w:pPr>
              <w:jc w:val="center"/>
              <w:ind w:left="99"/>
              <w:spacing w:after="0" w:line="156" w:lineRule="exact"/>
              <w:rPr>
                <w:sz w:val="20"/>
                <w:szCs w:val="20"/>
                <w:color w:val="auto"/>
              </w:rPr>
            </w:pPr>
            <w:r>
              <w:rPr>
                <w:rFonts w:ascii="Arial" w:cs="Arial" w:eastAsia="Arial" w:hAnsi="Arial"/>
                <w:sz w:val="14"/>
                <w:szCs w:val="14"/>
                <w:i w:val="1"/>
                <w:iCs w:val="1"/>
                <w:color w:val="auto"/>
                <w:w w:val="99"/>
              </w:rPr>
              <w:t>development projects</w:t>
            </w:r>
          </w:p>
        </w:tc>
        <w:tc>
          <w:tcPr>
            <w:tcW w:w="260" w:type="dxa"/>
            <w:vAlign w:val="bottom"/>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shd w:val="clear" w:color="auto" w:fill="D8D8D8"/>
          </w:tcPr>
          <w:p>
            <w:pPr>
              <w:jc w:val="center"/>
              <w:spacing w:after="0" w:line="156" w:lineRule="exact"/>
              <w:rPr>
                <w:sz w:val="20"/>
                <w:szCs w:val="20"/>
                <w:color w:val="auto"/>
              </w:rPr>
            </w:pPr>
            <w:r>
              <w:rPr>
                <w:rFonts w:ascii="Arial" w:cs="Arial" w:eastAsia="Arial" w:hAnsi="Arial"/>
                <w:sz w:val="14"/>
                <w:szCs w:val="14"/>
                <w:i w:val="1"/>
                <w:iCs w:val="1"/>
                <w:color w:val="auto"/>
                <w:w w:val="99"/>
              </w:rPr>
              <w:t>dividend increases, the longest record in the</w:t>
            </w:r>
          </w:p>
        </w:tc>
      </w:tr>
      <w:tr>
        <w:trPr>
          <w:trHeight w:val="180"/>
        </w:trPr>
        <w:tc>
          <w:tcPr>
            <w:tcW w:w="2100" w:type="dxa"/>
            <w:vAlign w:val="bottom"/>
            <w:shd w:val="clear" w:color="auto" w:fill="D8D8D8"/>
          </w:tcPr>
          <w:p>
            <w:pPr>
              <w:jc w:val="center"/>
              <w:spacing w:after="0"/>
              <w:rPr>
                <w:sz w:val="20"/>
                <w:szCs w:val="20"/>
                <w:color w:val="auto"/>
              </w:rPr>
            </w:pPr>
            <w:r>
              <w:rPr>
                <w:rFonts w:ascii="Arial" w:cs="Arial" w:eastAsia="Arial" w:hAnsi="Arial"/>
                <w:sz w:val="14"/>
                <w:szCs w:val="14"/>
                <w:i w:val="1"/>
                <w:iCs w:val="1"/>
                <w:color w:val="auto"/>
                <w:w w:val="99"/>
              </w:rPr>
              <w:t>service</w:t>
            </w:r>
          </w:p>
        </w:tc>
        <w:tc>
          <w:tcPr>
            <w:tcW w:w="1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1600" w:type="dxa"/>
            <w:vAlign w:val="bottom"/>
            <w:shd w:val="clear" w:color="auto" w:fill="D8D8D8"/>
          </w:tcPr>
          <w:p>
            <w:pPr>
              <w:spacing w:after="0"/>
              <w:rPr>
                <w:sz w:val="15"/>
                <w:szCs w:val="15"/>
                <w:color w:val="auto"/>
              </w:rPr>
            </w:pPr>
          </w:p>
        </w:tc>
        <w:tc>
          <w:tcPr>
            <w:tcW w:w="250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shd w:val="clear" w:color="auto" w:fill="D8D8D8"/>
          </w:tcPr>
          <w:p>
            <w:pPr>
              <w:jc w:val="center"/>
              <w:spacing w:after="0"/>
              <w:rPr>
                <w:sz w:val="20"/>
                <w:szCs w:val="20"/>
                <w:color w:val="auto"/>
              </w:rPr>
            </w:pPr>
            <w:r>
              <w:rPr>
                <w:rFonts w:ascii="Arial" w:cs="Arial" w:eastAsia="Arial" w:hAnsi="Arial"/>
                <w:sz w:val="14"/>
                <w:szCs w:val="14"/>
                <w:i w:val="1"/>
                <w:iCs w:val="1"/>
                <w:color w:val="auto"/>
              </w:rPr>
              <w:t>REIT industry</w:t>
            </w:r>
          </w:p>
        </w:tc>
      </w:tr>
      <w:tr>
        <w:trPr>
          <w:trHeight w:val="25"/>
        </w:trPr>
        <w:tc>
          <w:tcPr>
            <w:tcW w:w="2100" w:type="dxa"/>
            <w:vAlign w:val="bottom"/>
            <w:shd w:val="clear" w:color="auto" w:fill="D8D8D8"/>
          </w:tcPr>
          <w:p>
            <w:pPr>
              <w:spacing w:after="0"/>
              <w:rPr>
                <w:sz w:val="2"/>
                <w:szCs w:val="2"/>
                <w:color w:val="auto"/>
              </w:rPr>
            </w:pPr>
          </w:p>
        </w:tc>
        <w:tc>
          <w:tcPr>
            <w:tcW w:w="100" w:type="dxa"/>
            <w:vAlign w:val="bottom"/>
            <w:shd w:val="clear" w:color="auto" w:fill="D8D8D8"/>
          </w:tcPr>
          <w:p>
            <w:pPr>
              <w:spacing w:after="0"/>
              <w:rPr>
                <w:sz w:val="2"/>
                <w:szCs w:val="2"/>
                <w:color w:val="auto"/>
              </w:rPr>
            </w:pPr>
          </w:p>
        </w:tc>
        <w:tc>
          <w:tcPr>
            <w:tcW w:w="420" w:type="dxa"/>
            <w:vAlign w:val="bottom"/>
            <w:shd w:val="clear" w:color="auto" w:fill="D8D8D8"/>
          </w:tcPr>
          <w:p>
            <w:pPr>
              <w:spacing w:after="0"/>
              <w:rPr>
                <w:sz w:val="2"/>
                <w:szCs w:val="2"/>
                <w:color w:val="auto"/>
              </w:rPr>
            </w:pPr>
          </w:p>
        </w:tc>
        <w:tc>
          <w:tcPr>
            <w:tcW w:w="1600" w:type="dxa"/>
            <w:vAlign w:val="bottom"/>
            <w:shd w:val="clear" w:color="auto" w:fill="D8D8D8"/>
          </w:tcPr>
          <w:p>
            <w:pPr>
              <w:spacing w:after="0"/>
              <w:rPr>
                <w:sz w:val="2"/>
                <w:szCs w:val="2"/>
                <w:color w:val="auto"/>
              </w:rPr>
            </w:pPr>
          </w:p>
        </w:tc>
        <w:tc>
          <w:tcPr>
            <w:tcW w:w="2500" w:type="dxa"/>
            <w:vAlign w:val="bottom"/>
            <w:shd w:val="clear" w:color="auto" w:fill="D8D8D8"/>
          </w:tcPr>
          <w:p>
            <w:pPr>
              <w:spacing w:after="0"/>
              <w:rPr>
                <w:sz w:val="2"/>
                <w:szCs w:val="2"/>
                <w:color w:val="auto"/>
              </w:rPr>
            </w:pPr>
          </w:p>
        </w:tc>
        <w:tc>
          <w:tcPr>
            <w:tcW w:w="260" w:type="dxa"/>
            <w:vAlign w:val="bottom"/>
            <w:shd w:val="clear" w:color="auto" w:fill="D8D8D8"/>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shd w:val="clear" w:color="auto" w:fill="D8D8D8"/>
          </w:tcPr>
          <w:p>
            <w:pPr>
              <w:spacing w:after="0"/>
              <w:rPr>
                <w:sz w:val="2"/>
                <w:szCs w:val="2"/>
                <w:color w:val="auto"/>
              </w:rPr>
            </w:pPr>
          </w:p>
        </w:tc>
      </w:tr>
    </w:tbl>
    <w:p>
      <w:pPr>
        <w:spacing w:after="0" w:line="207" w:lineRule="exact"/>
        <w:rPr>
          <w:sz w:val="20"/>
          <w:szCs w:val="20"/>
          <w:color w:val="auto"/>
        </w:rPr>
      </w:pPr>
    </w:p>
    <w:p>
      <w:pPr>
        <w:ind w:left="4" w:hanging="4"/>
        <w:spacing w:after="0" w:line="256" w:lineRule="auto"/>
        <w:tabs>
          <w:tab w:leader="none" w:pos="122" w:val="left"/>
        </w:tabs>
        <w:numPr>
          <w:ilvl w:val="0"/>
          <w:numId w:val="6"/>
        </w:numPr>
        <w:rPr>
          <w:rFonts w:ascii="Arial" w:cs="Arial" w:eastAsia="Arial" w:hAnsi="Arial"/>
          <w:sz w:val="17"/>
          <w:szCs w:val="17"/>
          <w:color w:val="auto"/>
        </w:rPr>
      </w:pPr>
      <w:r>
        <w:rPr>
          <w:rFonts w:ascii="Arial" w:cs="Arial" w:eastAsia="Arial" w:hAnsi="Arial"/>
          <w:sz w:val="17"/>
          <w:szCs w:val="17"/>
          <w:color w:val="auto"/>
        </w:rPr>
        <w:t>FFO per share is a non-GAAP financial measure that we consider significant in our business. See Appendix A for a reconciliation of FFO per share to net income.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4"/>
          </w:cols>
          <w:pgMar w:left="636" w:top="260" w:right="639" w:bottom="1440" w:gutter="0" w:footer="0" w:header="0"/>
        </w:sectPr>
      </w:pPr>
    </w:p>
    <w:bookmarkStart w:id="7" w:name="page8"/>
    <w:bookmarkEnd w:id="7"/>
    <w:p>
      <w:pPr>
        <w:ind w:left="20"/>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Environmental and Social Responsibility Highlights and Commitment</w:t>
      </w:r>
    </w:p>
    <w:p>
      <w:pPr>
        <w:spacing w:after="0" w:line="230" w:lineRule="exact"/>
        <w:rPr>
          <w:sz w:val="20"/>
          <w:szCs w:val="20"/>
          <w:color w:val="auto"/>
        </w:rPr>
      </w:pPr>
    </w:p>
    <w:p>
      <w:pPr>
        <w:jc w:val="both"/>
        <w:ind w:left="20" w:right="20"/>
        <w:spacing w:after="0" w:line="241" w:lineRule="auto"/>
        <w:rPr>
          <w:sz w:val="20"/>
          <w:szCs w:val="20"/>
          <w:color w:val="auto"/>
        </w:rPr>
      </w:pPr>
      <w:r>
        <w:rPr>
          <w:rFonts w:ascii="Arial" w:cs="Arial" w:eastAsia="Arial" w:hAnsi="Arial"/>
          <w:sz w:val="17"/>
          <w:szCs w:val="17"/>
          <w:color w:val="auto"/>
        </w:rPr>
        <w:t xml:space="preserve">Our corporate responsibility initiatives are set forth in detail in our 2020 Corporate Responsibility Report which is available under the “About Us-Sustainability” tab on our website which can be accessed by using this link </w:t>
      </w:r>
      <w:r>
        <w:rPr>
          <w:rFonts w:ascii="Arial" w:cs="Arial" w:eastAsia="Arial" w:hAnsi="Arial"/>
          <w:sz w:val="17"/>
          <w:szCs w:val="17"/>
          <w:u w:val="single" w:color="auto"/>
          <w:color w:val="auto"/>
        </w:rPr>
        <w:t>https://issuu.com/federalrealty/docs/2020_corporate_responsibility_brochure</w:t>
      </w:r>
      <w:r>
        <w:rPr>
          <w:rFonts w:ascii="Arial" w:cs="Arial" w:eastAsia="Arial" w:hAnsi="Arial"/>
          <w:sz w:val="17"/>
          <w:szCs w:val="17"/>
          <w:color w:val="auto"/>
        </w:rPr>
        <w:t>. This report provides information in alignment with the frameworks established by the Global Reporting Initiative, Task Force for Climate-Related Financial Disclosures and Sustainability Accounting Standards Board as well as detailed information on the demographic make-up of our workforce by classification level. We are planning to provide later this year a new sustainability report for 2021 covering substantially the same topics and providing substantially the same information as is included in the 2020 report. Some of the highlights of our commitment to and progress on environmental and social responsibility topics include the following.</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00" w:type="dxa"/>
            <w:vAlign w:val="bottom"/>
            <w:tcBorders>
              <w:top w:val="single" w:sz="8" w:color="FF160F"/>
              <w:left w:val="single" w:sz="8" w:color="FF160F"/>
              <w:right w:val="single" w:sz="8" w:color="D8D8D8"/>
            </w:tcBorders>
            <w:gridSpan w:val="2"/>
            <w:shd w:val="clear" w:color="auto" w:fill="D8D8D8"/>
          </w:tcPr>
          <w:p>
            <w:pPr>
              <w:ind w:left="160"/>
              <w:spacing w:after="0"/>
              <w:rPr>
                <w:sz w:val="20"/>
                <w:szCs w:val="20"/>
                <w:color w:val="auto"/>
              </w:rPr>
            </w:pPr>
            <w:r>
              <w:rPr>
                <w:rFonts w:ascii="Arial" w:cs="Arial" w:eastAsia="Arial" w:hAnsi="Arial"/>
                <w:sz w:val="17"/>
                <w:szCs w:val="17"/>
                <w:b w:val="1"/>
                <w:bCs w:val="1"/>
                <w:color w:val="auto"/>
              </w:rPr>
              <w:t>Diversity and</w:t>
            </w:r>
          </w:p>
        </w:tc>
        <w:tc>
          <w:tcPr>
            <w:tcW w:w="2920" w:type="dxa"/>
            <w:vAlign w:val="bottom"/>
            <w:tcBorders>
              <w:top w:val="single" w:sz="8" w:color="FF160F"/>
              <w:left w:val="single" w:sz="8" w:color="FF160F"/>
              <w:right w:val="single" w:sz="8" w:color="FF160F"/>
            </w:tcBorders>
            <w:gridSpan w:val="3"/>
            <w:vMerge w:val="restart"/>
          </w:tcPr>
          <w:p>
            <w:pPr>
              <w:ind w:left="1120"/>
              <w:spacing w:after="0"/>
              <w:rPr>
                <w:sz w:val="20"/>
                <w:szCs w:val="20"/>
                <w:color w:val="auto"/>
              </w:rPr>
            </w:pPr>
            <w:r>
              <w:rPr>
                <w:rFonts w:ascii="Arial" w:cs="Arial" w:eastAsia="Arial" w:hAnsi="Arial"/>
                <w:sz w:val="14"/>
                <w:szCs w:val="14"/>
                <w:b w:val="1"/>
                <w:bCs w:val="1"/>
                <w:color w:val="auto"/>
              </w:rPr>
              <w:t>Women</w:t>
            </w:r>
          </w:p>
        </w:tc>
        <w:tc>
          <w:tcPr>
            <w:tcW w:w="140" w:type="dxa"/>
            <w:vAlign w:val="bottom"/>
            <w:tcBorders>
              <w:top w:val="single" w:sz="8" w:color="FF160F"/>
            </w:tcBorders>
          </w:tcPr>
          <w:p>
            <w:pPr>
              <w:spacing w:after="0"/>
              <w:rPr>
                <w:sz w:val="17"/>
                <w:szCs w:val="17"/>
                <w:color w:val="auto"/>
              </w:rPr>
            </w:pPr>
          </w:p>
        </w:tc>
        <w:tc>
          <w:tcPr>
            <w:tcW w:w="1560" w:type="dxa"/>
            <w:vAlign w:val="bottom"/>
            <w:tcBorders>
              <w:top w:val="single" w:sz="8" w:color="FF160F"/>
            </w:tcBorders>
            <w:gridSpan w:val="4"/>
            <w:vMerge w:val="restart"/>
          </w:tcPr>
          <w:p>
            <w:pPr>
              <w:jc w:val="center"/>
              <w:ind w:left="488"/>
              <w:spacing w:after="0"/>
              <w:rPr>
                <w:sz w:val="20"/>
                <w:szCs w:val="20"/>
                <w:color w:val="auto"/>
              </w:rPr>
            </w:pPr>
            <w:r>
              <w:rPr>
                <w:rFonts w:ascii="Arial" w:cs="Arial" w:eastAsia="Arial" w:hAnsi="Arial"/>
                <w:sz w:val="14"/>
                <w:szCs w:val="14"/>
                <w:b w:val="1"/>
                <w:bCs w:val="1"/>
                <w:color w:val="auto"/>
                <w:w w:val="97"/>
              </w:rPr>
              <w:t>Ethnic/Racial</w:t>
            </w:r>
          </w:p>
        </w:tc>
        <w:tc>
          <w:tcPr>
            <w:tcW w:w="620" w:type="dxa"/>
            <w:vAlign w:val="bottom"/>
            <w:tcBorders>
              <w:top w:val="single" w:sz="8" w:color="FF160F"/>
            </w:tcBorders>
          </w:tcPr>
          <w:p>
            <w:pPr>
              <w:spacing w:after="0"/>
              <w:rPr>
                <w:sz w:val="17"/>
                <w:szCs w:val="17"/>
                <w:color w:val="auto"/>
              </w:rPr>
            </w:pPr>
          </w:p>
        </w:tc>
        <w:tc>
          <w:tcPr>
            <w:tcW w:w="300" w:type="dxa"/>
            <w:vAlign w:val="bottom"/>
            <w:tcBorders>
              <w:top w:val="single" w:sz="8" w:color="FF160F"/>
              <w:right w:val="single" w:sz="8" w:color="FF160F"/>
            </w:tcBorders>
          </w:tcPr>
          <w:p>
            <w:pPr>
              <w:spacing w:after="0"/>
              <w:rPr>
                <w:sz w:val="17"/>
                <w:szCs w:val="17"/>
                <w:color w:val="auto"/>
              </w:rPr>
            </w:pPr>
          </w:p>
        </w:tc>
        <w:tc>
          <w:tcPr>
            <w:tcW w:w="560" w:type="dxa"/>
            <w:vAlign w:val="bottom"/>
            <w:tcBorders>
              <w:top w:val="single" w:sz="8" w:color="FF160F"/>
            </w:tcBorders>
          </w:tcPr>
          <w:p>
            <w:pPr>
              <w:spacing w:after="0"/>
              <w:rPr>
                <w:sz w:val="17"/>
                <w:szCs w:val="17"/>
                <w:color w:val="auto"/>
              </w:rPr>
            </w:pPr>
          </w:p>
        </w:tc>
        <w:tc>
          <w:tcPr>
            <w:tcW w:w="2940" w:type="dxa"/>
            <w:vAlign w:val="bottom"/>
            <w:tcBorders>
              <w:top w:val="single" w:sz="8" w:color="FF160F"/>
              <w:right w:val="single" w:sz="8" w:color="FF160F"/>
            </w:tcBorders>
            <w:gridSpan w:val="2"/>
          </w:tcPr>
          <w:p>
            <w:pPr>
              <w:jc w:val="center"/>
              <w:ind w:right="428"/>
              <w:spacing w:after="0"/>
              <w:rPr>
                <w:sz w:val="20"/>
                <w:szCs w:val="20"/>
                <w:color w:val="auto"/>
              </w:rPr>
            </w:pPr>
            <w:r>
              <w:rPr>
                <w:rFonts w:ascii="Arial" w:cs="Arial" w:eastAsia="Arial" w:hAnsi="Arial"/>
                <w:sz w:val="14"/>
                <w:szCs w:val="14"/>
                <w:b w:val="1"/>
                <w:bCs w:val="1"/>
                <w:color w:val="auto"/>
                <w:w w:val="97"/>
              </w:rPr>
              <w:t>Women in Leadership</w:t>
            </w:r>
          </w:p>
        </w:tc>
        <w:tc>
          <w:tcPr>
            <w:tcW w:w="0" w:type="dxa"/>
            <w:vAlign w:val="bottom"/>
          </w:tcPr>
          <w:p>
            <w:pPr>
              <w:spacing w:after="0"/>
              <w:rPr>
                <w:sz w:val="1"/>
                <w:szCs w:val="1"/>
                <w:color w:val="auto"/>
              </w:rPr>
            </w:pPr>
          </w:p>
        </w:tc>
      </w:tr>
      <w:tr>
        <w:trPr>
          <w:trHeight w:val="179"/>
        </w:trPr>
        <w:tc>
          <w:tcPr>
            <w:tcW w:w="1600" w:type="dxa"/>
            <w:vAlign w:val="bottom"/>
            <w:tcBorders>
              <w:left w:val="single" w:sz="8" w:color="FF160F"/>
              <w:right w:val="single" w:sz="8" w:color="D8D8D8"/>
            </w:tcBorders>
            <w:gridSpan w:val="2"/>
            <w:shd w:val="clear" w:color="auto" w:fill="D8D8D8"/>
          </w:tcPr>
          <w:p>
            <w:pPr>
              <w:ind w:left="160"/>
              <w:spacing w:after="0" w:line="179" w:lineRule="exact"/>
              <w:rPr>
                <w:sz w:val="20"/>
                <w:szCs w:val="20"/>
                <w:color w:val="auto"/>
              </w:rPr>
            </w:pPr>
            <w:r>
              <w:rPr>
                <w:rFonts w:ascii="Arial" w:cs="Arial" w:eastAsia="Arial" w:hAnsi="Arial"/>
                <w:sz w:val="17"/>
                <w:szCs w:val="17"/>
                <w:b w:val="1"/>
                <w:bCs w:val="1"/>
                <w:color w:val="auto"/>
              </w:rPr>
              <w:t>Inclusion</w:t>
            </w:r>
          </w:p>
        </w:tc>
        <w:tc>
          <w:tcPr>
            <w:tcW w:w="2920" w:type="dxa"/>
            <w:vAlign w:val="bottom"/>
            <w:tcBorders>
              <w:left w:val="single" w:sz="8" w:color="FF160F"/>
              <w:right w:val="single" w:sz="8" w:color="FF160F"/>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Borders>
              <w:right w:val="single" w:sz="8" w:color="FF160F"/>
            </w:tcBorders>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80" w:type="dxa"/>
            <w:vAlign w:val="bottom"/>
            <w:tcBorders>
              <w:right w:val="single" w:sz="8" w:color="FF160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0" w:type="dxa"/>
            <w:vAlign w:val="bottom"/>
            <w:tcBorders>
              <w:left w:val="single" w:sz="8" w:color="FF160F"/>
              <w:right w:val="single" w:sz="8" w:color="D8D8D8"/>
            </w:tcBorders>
            <w:gridSpan w:val="2"/>
            <w:vMerge w:val="restart"/>
            <w:shd w:val="clear" w:color="auto" w:fill="D8D8D8"/>
          </w:tcPr>
          <w:p>
            <w:pPr>
              <w:ind w:left="160"/>
              <w:spacing w:after="0"/>
              <w:rPr>
                <w:sz w:val="20"/>
                <w:szCs w:val="20"/>
                <w:color w:val="auto"/>
              </w:rPr>
            </w:pPr>
            <w:r>
              <w:rPr>
                <w:rFonts w:ascii="Arial" w:cs="Arial" w:eastAsia="Arial" w:hAnsi="Arial"/>
                <w:sz w:val="14"/>
                <w:szCs w:val="14"/>
                <w:color w:val="auto"/>
              </w:rPr>
              <w:t>(as of 12/31/2021)</w:t>
            </w:r>
          </w:p>
        </w:tc>
        <w:tc>
          <w:tcPr>
            <w:tcW w:w="2640" w:type="dxa"/>
            <w:vAlign w:val="bottom"/>
            <w:tcBorders>
              <w:left w:val="single" w:sz="8" w:color="FF160F"/>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FF160F"/>
            </w:tcBorders>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9"/>
              </w:rPr>
              <w:t>Minorities</w:t>
            </w:r>
          </w:p>
        </w:tc>
        <w:tc>
          <w:tcPr>
            <w:tcW w:w="620" w:type="dxa"/>
            <w:vAlign w:val="bottom"/>
          </w:tcPr>
          <w:p>
            <w:pPr>
              <w:spacing w:after="0"/>
              <w:rPr>
                <w:sz w:val="14"/>
                <w:szCs w:val="14"/>
                <w:color w:val="auto"/>
              </w:rPr>
            </w:pPr>
          </w:p>
        </w:tc>
        <w:tc>
          <w:tcPr>
            <w:tcW w:w="300" w:type="dxa"/>
            <w:vAlign w:val="bottom"/>
            <w:tcBorders>
              <w:right w:val="single" w:sz="8" w:color="FF160F"/>
            </w:tcBorders>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right w:val="single" w:sz="8" w:color="FF160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600" w:type="dxa"/>
            <w:vAlign w:val="bottom"/>
            <w:tcBorders>
              <w:left w:val="single" w:sz="8" w:color="FF160F"/>
              <w:right w:val="single" w:sz="8" w:color="D8D8D8"/>
            </w:tcBorders>
            <w:gridSpan w:val="2"/>
            <w:vMerge w:val="continue"/>
            <w:shd w:val="clear" w:color="auto" w:fill="D8D8D8"/>
          </w:tcPr>
          <w:p>
            <w:pPr>
              <w:spacing w:after="0"/>
              <w:rPr>
                <w:sz w:val="3"/>
                <w:szCs w:val="3"/>
                <w:color w:val="auto"/>
              </w:rPr>
            </w:pPr>
          </w:p>
        </w:tc>
        <w:tc>
          <w:tcPr>
            <w:tcW w:w="2640" w:type="dxa"/>
            <w:vAlign w:val="bottom"/>
            <w:tcBorders>
              <w:left w:val="single" w:sz="8" w:color="FF160F"/>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right w:val="single" w:sz="8" w:color="FF160F"/>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Borders>
              <w:right w:val="single" w:sz="8" w:color="FF160F"/>
            </w:tcBorders>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380" w:type="dxa"/>
            <w:vAlign w:val="bottom"/>
            <w:tcBorders>
              <w:right w:val="single" w:sz="8" w:color="FF160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7"/>
        </w:trPr>
        <w:tc>
          <w:tcPr>
            <w:tcW w:w="1460" w:type="dxa"/>
            <w:vAlign w:val="bottom"/>
            <w:tcBorders>
              <w:left w:val="single" w:sz="8" w:color="FF160F"/>
              <w:bottom w:val="single" w:sz="8" w:color="D8D8D8"/>
              <w:right w:val="single" w:sz="8" w:color="D8D8D8"/>
            </w:tcBorders>
            <w:shd w:val="clear" w:color="auto" w:fill="D8D8D8"/>
          </w:tcPr>
          <w:p>
            <w:pPr>
              <w:spacing w:after="0"/>
              <w:rPr>
                <w:sz w:val="24"/>
                <w:szCs w:val="24"/>
                <w:color w:val="auto"/>
              </w:rPr>
            </w:pPr>
          </w:p>
        </w:tc>
        <w:tc>
          <w:tcPr>
            <w:tcW w:w="140" w:type="dxa"/>
            <w:vAlign w:val="bottom"/>
            <w:tcBorders>
              <w:bottom w:val="single" w:sz="8" w:color="D8D8D8"/>
              <w:right w:val="single" w:sz="8" w:color="D8D8D8"/>
            </w:tcBorders>
            <w:shd w:val="clear" w:color="auto" w:fill="D8D8D8"/>
          </w:tcPr>
          <w:p>
            <w:pPr>
              <w:spacing w:after="0"/>
              <w:rPr>
                <w:sz w:val="24"/>
                <w:szCs w:val="24"/>
                <w:color w:val="auto"/>
              </w:rPr>
            </w:pPr>
          </w:p>
        </w:tc>
        <w:tc>
          <w:tcPr>
            <w:tcW w:w="2640" w:type="dxa"/>
            <w:vAlign w:val="bottom"/>
            <w:tcBorders>
              <w:left w:val="single" w:sz="8" w:color="FF160F"/>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right w:val="single" w:sz="8" w:color="FF160F"/>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right w:val="single" w:sz="8" w:color="FF160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Board</w:t>
            </w:r>
          </w:p>
        </w:tc>
        <w:tc>
          <w:tcPr>
            <w:tcW w:w="2380" w:type="dxa"/>
            <w:vAlign w:val="bottom"/>
            <w:tcBorders>
              <w:right w:val="single" w:sz="8" w:color="FF160F"/>
            </w:tcBorders>
          </w:tcPr>
          <w:p>
            <w:pPr>
              <w:ind w:left="320"/>
              <w:spacing w:after="0"/>
              <w:rPr>
                <w:sz w:val="20"/>
                <w:szCs w:val="20"/>
                <w:color w:val="auto"/>
              </w:rPr>
            </w:pPr>
            <w:r>
              <w:rPr>
                <w:rFonts w:ascii="Arial" w:cs="Arial" w:eastAsia="Arial" w:hAnsi="Arial"/>
                <w:sz w:val="14"/>
                <w:szCs w:val="14"/>
                <w:b w:val="1"/>
                <w:bCs w:val="1"/>
                <w:color w:val="auto"/>
              </w:rPr>
              <w:t>Executive Leadership</w:t>
            </w:r>
          </w:p>
        </w:tc>
        <w:tc>
          <w:tcPr>
            <w:tcW w:w="0" w:type="dxa"/>
            <w:vAlign w:val="bottom"/>
          </w:tcPr>
          <w:p>
            <w:pPr>
              <w:spacing w:after="0"/>
              <w:rPr>
                <w:sz w:val="1"/>
                <w:szCs w:val="1"/>
                <w:color w:val="auto"/>
              </w:rPr>
            </w:pPr>
          </w:p>
        </w:tc>
      </w:tr>
      <w:tr>
        <w:trPr>
          <w:trHeight w:val="221"/>
        </w:trPr>
        <w:tc>
          <w:tcPr>
            <w:tcW w:w="1460" w:type="dxa"/>
            <w:vAlign w:val="bottom"/>
            <w:tcBorders>
              <w:top w:val="single" w:sz="8" w:color="EAEFED"/>
              <w:left w:val="single" w:sz="8" w:color="FF160F"/>
              <w:right w:val="single" w:sz="8" w:color="FF160F"/>
            </w:tcBorders>
            <w:shd w:val="clear" w:color="auto" w:fill="D8D8D8"/>
          </w:tcPr>
          <w:p>
            <w:pPr>
              <w:spacing w:after="0"/>
              <w:rPr>
                <w:sz w:val="19"/>
                <w:szCs w:val="19"/>
                <w:color w:val="auto"/>
              </w:rPr>
            </w:pPr>
          </w:p>
        </w:tc>
        <w:tc>
          <w:tcPr>
            <w:tcW w:w="140" w:type="dxa"/>
            <w:vAlign w:val="bottom"/>
            <w:tcBorders>
              <w:top w:val="single" w:sz="8" w:color="EAEFED"/>
            </w:tcBorders>
          </w:tcPr>
          <w:p>
            <w:pPr>
              <w:spacing w:after="0"/>
              <w:rPr>
                <w:sz w:val="19"/>
                <w:szCs w:val="19"/>
                <w:color w:val="auto"/>
              </w:rPr>
            </w:pPr>
          </w:p>
        </w:tc>
        <w:tc>
          <w:tcPr>
            <w:tcW w:w="4000" w:type="dxa"/>
            <w:vAlign w:val="bottom"/>
            <w:tcBorders>
              <w:top w:val="single" w:sz="8" w:color="FF160F"/>
              <w:right w:val="single" w:sz="8" w:color="FF160F"/>
            </w:tcBorders>
            <w:gridSpan w:val="5"/>
          </w:tcPr>
          <w:p>
            <w:pPr>
              <w:ind w:left="120"/>
              <w:spacing w:after="0" w:line="221" w:lineRule="exact"/>
              <w:rPr>
                <w:sz w:val="20"/>
                <w:szCs w:val="20"/>
                <w:color w:val="auto"/>
              </w:rPr>
            </w:pPr>
            <w:r>
              <w:rPr>
                <w:rFonts w:ascii="Arial" w:cs="Arial" w:eastAsia="Arial" w:hAnsi="Arial"/>
                <w:sz w:val="21"/>
                <w:szCs w:val="21"/>
                <w:color w:val="auto"/>
              </w:rPr>
              <w:t>Signatory for CEO Action for Diversity</w:t>
            </w:r>
          </w:p>
        </w:tc>
        <w:tc>
          <w:tcPr>
            <w:tcW w:w="180" w:type="dxa"/>
            <w:vAlign w:val="bottom"/>
            <w:tcBorders>
              <w:top w:val="single" w:sz="8" w:color="FF160F"/>
            </w:tcBorders>
          </w:tcPr>
          <w:p>
            <w:pPr>
              <w:spacing w:after="0"/>
              <w:rPr>
                <w:sz w:val="19"/>
                <w:szCs w:val="19"/>
                <w:color w:val="auto"/>
              </w:rPr>
            </w:pPr>
          </w:p>
        </w:tc>
        <w:tc>
          <w:tcPr>
            <w:tcW w:w="400" w:type="dxa"/>
            <w:vAlign w:val="bottom"/>
            <w:tcBorders>
              <w:top w:val="single" w:sz="8" w:color="FF160F"/>
            </w:tcBorders>
          </w:tcPr>
          <w:p>
            <w:pPr>
              <w:spacing w:after="0"/>
              <w:rPr>
                <w:sz w:val="19"/>
                <w:szCs w:val="19"/>
                <w:color w:val="auto"/>
              </w:rPr>
            </w:pPr>
          </w:p>
        </w:tc>
        <w:tc>
          <w:tcPr>
            <w:tcW w:w="40" w:type="dxa"/>
            <w:vAlign w:val="bottom"/>
            <w:tcBorders>
              <w:top w:val="single" w:sz="8" w:color="FF160F"/>
            </w:tcBorders>
          </w:tcPr>
          <w:p>
            <w:pPr>
              <w:spacing w:after="0"/>
              <w:rPr>
                <w:sz w:val="19"/>
                <w:szCs w:val="19"/>
                <w:color w:val="auto"/>
              </w:rPr>
            </w:pPr>
          </w:p>
        </w:tc>
        <w:tc>
          <w:tcPr>
            <w:tcW w:w="4420" w:type="dxa"/>
            <w:vAlign w:val="bottom"/>
            <w:tcBorders>
              <w:top w:val="single" w:sz="8" w:color="FF160F"/>
              <w:right w:val="single" w:sz="8" w:color="FF160F"/>
            </w:tcBorders>
            <w:gridSpan w:val="5"/>
          </w:tcPr>
          <w:p>
            <w:pPr>
              <w:jc w:val="center"/>
              <w:ind w:right="588"/>
              <w:spacing w:after="0" w:line="221" w:lineRule="exact"/>
              <w:rPr>
                <w:sz w:val="20"/>
                <w:szCs w:val="20"/>
                <w:color w:val="auto"/>
              </w:rPr>
            </w:pPr>
            <w:r>
              <w:rPr>
                <w:rFonts w:ascii="Arial" w:cs="Arial" w:eastAsia="Arial" w:hAnsi="Arial"/>
                <w:sz w:val="21"/>
                <w:szCs w:val="21"/>
                <w:color w:val="auto"/>
                <w:w w:val="98"/>
              </w:rPr>
              <w:t>CEO Participating in NAREIT Dividends</w:t>
            </w:r>
          </w:p>
        </w:tc>
        <w:tc>
          <w:tcPr>
            <w:tcW w:w="0" w:type="dxa"/>
            <w:vAlign w:val="bottom"/>
          </w:tcPr>
          <w:p>
            <w:pPr>
              <w:spacing w:after="0"/>
              <w:rPr>
                <w:sz w:val="1"/>
                <w:szCs w:val="1"/>
                <w:color w:val="auto"/>
              </w:rPr>
            </w:pPr>
          </w:p>
        </w:tc>
      </w:tr>
      <w:tr>
        <w:trPr>
          <w:trHeight w:val="311"/>
        </w:trPr>
        <w:tc>
          <w:tcPr>
            <w:tcW w:w="1460" w:type="dxa"/>
            <w:vAlign w:val="bottom"/>
            <w:tcBorders>
              <w:left w:val="single" w:sz="8" w:color="FF160F"/>
              <w:bottom w:val="single" w:sz="8" w:color="D8D8D8"/>
              <w:right w:val="single" w:sz="8" w:color="FF160F"/>
            </w:tcBorders>
            <w:shd w:val="clear" w:color="auto" w:fill="D8D8D8"/>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4"/>
          </w:tcPr>
          <w:p>
            <w:pPr>
              <w:ind w:left="1240"/>
              <w:spacing w:after="0"/>
              <w:rPr>
                <w:sz w:val="20"/>
                <w:szCs w:val="20"/>
                <w:color w:val="auto"/>
              </w:rPr>
            </w:pPr>
            <w:r>
              <w:rPr>
                <w:rFonts w:ascii="Arial" w:cs="Arial" w:eastAsia="Arial" w:hAnsi="Arial"/>
                <w:sz w:val="21"/>
                <w:szCs w:val="21"/>
                <w:color w:val="auto"/>
              </w:rPr>
              <w:t>and Inclusion</w:t>
            </w:r>
          </w:p>
        </w:tc>
        <w:tc>
          <w:tcPr>
            <w:tcW w:w="940" w:type="dxa"/>
            <w:vAlign w:val="bottom"/>
            <w:tcBorders>
              <w:right w:val="single" w:sz="8" w:color="FF160F"/>
            </w:tcBorders>
          </w:tcPr>
          <w:p>
            <w:pPr>
              <w:spacing w:after="0"/>
              <w:rPr>
                <w:sz w:val="24"/>
                <w:szCs w:val="24"/>
                <w:color w:val="auto"/>
              </w:rPr>
            </w:pPr>
          </w:p>
        </w:tc>
        <w:tc>
          <w:tcPr>
            <w:tcW w:w="5040" w:type="dxa"/>
            <w:vAlign w:val="bottom"/>
            <w:tcBorders>
              <w:right w:val="single" w:sz="8" w:color="FF160F"/>
            </w:tcBorders>
            <w:gridSpan w:val="8"/>
          </w:tcPr>
          <w:p>
            <w:pPr>
              <w:jc w:val="center"/>
              <w:spacing w:after="0"/>
              <w:rPr>
                <w:sz w:val="20"/>
                <w:szCs w:val="20"/>
                <w:color w:val="auto"/>
              </w:rPr>
            </w:pPr>
            <w:r>
              <w:rPr>
                <w:rFonts w:ascii="Arial" w:cs="Arial" w:eastAsia="Arial" w:hAnsi="Arial"/>
                <w:sz w:val="21"/>
                <w:szCs w:val="21"/>
                <w:color w:val="auto"/>
                <w:w w:val="99"/>
              </w:rPr>
              <w:t>Through Diversity, Equity &amp; Inclusion  CEO Council</w:t>
            </w:r>
          </w:p>
        </w:tc>
        <w:tc>
          <w:tcPr>
            <w:tcW w:w="0" w:type="dxa"/>
            <w:vAlign w:val="bottom"/>
          </w:tcPr>
          <w:p>
            <w:pPr>
              <w:spacing w:after="0"/>
              <w:rPr>
                <w:sz w:val="1"/>
                <w:szCs w:val="1"/>
                <w:color w:val="auto"/>
              </w:rPr>
            </w:pPr>
          </w:p>
        </w:tc>
      </w:tr>
      <w:tr>
        <w:trPr>
          <w:trHeight w:val="240"/>
        </w:trPr>
        <w:tc>
          <w:tcPr>
            <w:tcW w:w="1600" w:type="dxa"/>
            <w:vAlign w:val="bottom"/>
            <w:tcBorders>
              <w:top w:val="single" w:sz="8" w:color="FF160F"/>
              <w:bottom w:val="single" w:sz="8" w:color="FF160F"/>
            </w:tcBorders>
            <w:gridSpan w:val="2"/>
          </w:tcPr>
          <w:p>
            <w:pPr>
              <w:spacing w:after="0"/>
              <w:rPr>
                <w:sz w:val="20"/>
                <w:szCs w:val="20"/>
                <w:color w:val="auto"/>
              </w:rPr>
            </w:pPr>
          </w:p>
        </w:tc>
        <w:tc>
          <w:tcPr>
            <w:tcW w:w="2640" w:type="dxa"/>
            <w:vAlign w:val="bottom"/>
            <w:tcBorders>
              <w:top w:val="single" w:sz="8" w:color="FF160F"/>
              <w:bottom w:val="single" w:sz="8" w:color="FF160F"/>
            </w:tcBorders>
          </w:tcPr>
          <w:p>
            <w:pPr>
              <w:spacing w:after="0"/>
              <w:rPr>
                <w:sz w:val="20"/>
                <w:szCs w:val="20"/>
                <w:color w:val="auto"/>
              </w:rPr>
            </w:pPr>
          </w:p>
        </w:tc>
        <w:tc>
          <w:tcPr>
            <w:tcW w:w="80" w:type="dxa"/>
            <w:vAlign w:val="bottom"/>
            <w:tcBorders>
              <w:top w:val="single" w:sz="8" w:color="FF160F"/>
              <w:bottom w:val="single" w:sz="8" w:color="FF160F"/>
            </w:tcBorders>
          </w:tcPr>
          <w:p>
            <w:pPr>
              <w:spacing w:after="0"/>
              <w:rPr>
                <w:sz w:val="20"/>
                <w:szCs w:val="20"/>
                <w:color w:val="auto"/>
              </w:rPr>
            </w:pPr>
          </w:p>
        </w:tc>
        <w:tc>
          <w:tcPr>
            <w:tcW w:w="200" w:type="dxa"/>
            <w:vAlign w:val="bottom"/>
            <w:tcBorders>
              <w:top w:val="single" w:sz="8" w:color="FF160F"/>
              <w:bottom w:val="single" w:sz="8" w:color="FF160F"/>
            </w:tcBorders>
          </w:tcPr>
          <w:p>
            <w:pPr>
              <w:spacing w:after="0"/>
              <w:rPr>
                <w:sz w:val="20"/>
                <w:szCs w:val="20"/>
                <w:color w:val="auto"/>
              </w:rPr>
            </w:pPr>
          </w:p>
        </w:tc>
        <w:tc>
          <w:tcPr>
            <w:tcW w:w="140" w:type="dxa"/>
            <w:vAlign w:val="bottom"/>
            <w:tcBorders>
              <w:top w:val="single" w:sz="8" w:color="FF160F"/>
              <w:bottom w:val="single" w:sz="8" w:color="FF160F"/>
            </w:tcBorders>
          </w:tcPr>
          <w:p>
            <w:pPr>
              <w:spacing w:after="0"/>
              <w:rPr>
                <w:sz w:val="20"/>
                <w:szCs w:val="20"/>
                <w:color w:val="auto"/>
              </w:rPr>
            </w:pPr>
          </w:p>
        </w:tc>
        <w:tc>
          <w:tcPr>
            <w:tcW w:w="940" w:type="dxa"/>
            <w:vAlign w:val="bottom"/>
            <w:tcBorders>
              <w:top w:val="single" w:sz="8" w:color="FF160F"/>
              <w:bottom w:val="single" w:sz="8" w:color="FF160F"/>
            </w:tcBorders>
          </w:tcPr>
          <w:p>
            <w:pPr>
              <w:spacing w:after="0"/>
              <w:rPr>
                <w:sz w:val="20"/>
                <w:szCs w:val="20"/>
                <w:color w:val="auto"/>
              </w:rPr>
            </w:pPr>
          </w:p>
        </w:tc>
        <w:tc>
          <w:tcPr>
            <w:tcW w:w="180" w:type="dxa"/>
            <w:vAlign w:val="bottom"/>
            <w:tcBorders>
              <w:top w:val="single" w:sz="8" w:color="FF160F"/>
              <w:bottom w:val="single" w:sz="8" w:color="FF160F"/>
            </w:tcBorders>
          </w:tcPr>
          <w:p>
            <w:pPr>
              <w:spacing w:after="0"/>
              <w:rPr>
                <w:sz w:val="20"/>
                <w:szCs w:val="20"/>
                <w:color w:val="auto"/>
              </w:rPr>
            </w:pPr>
          </w:p>
        </w:tc>
        <w:tc>
          <w:tcPr>
            <w:tcW w:w="400" w:type="dxa"/>
            <w:vAlign w:val="bottom"/>
            <w:tcBorders>
              <w:top w:val="single" w:sz="8" w:color="FF160F"/>
              <w:bottom w:val="single" w:sz="8" w:color="FF160F"/>
            </w:tcBorders>
          </w:tcPr>
          <w:p>
            <w:pPr>
              <w:spacing w:after="0"/>
              <w:rPr>
                <w:sz w:val="20"/>
                <w:szCs w:val="20"/>
                <w:color w:val="auto"/>
              </w:rPr>
            </w:pPr>
          </w:p>
        </w:tc>
        <w:tc>
          <w:tcPr>
            <w:tcW w:w="40" w:type="dxa"/>
            <w:vAlign w:val="bottom"/>
            <w:tcBorders>
              <w:top w:val="single" w:sz="8" w:color="FF160F"/>
              <w:bottom w:val="single" w:sz="8" w:color="FF160F"/>
            </w:tcBorders>
          </w:tcPr>
          <w:p>
            <w:pPr>
              <w:spacing w:after="0"/>
              <w:rPr>
                <w:sz w:val="20"/>
                <w:szCs w:val="20"/>
                <w:color w:val="auto"/>
              </w:rPr>
            </w:pPr>
          </w:p>
        </w:tc>
        <w:tc>
          <w:tcPr>
            <w:tcW w:w="620" w:type="dxa"/>
            <w:vAlign w:val="bottom"/>
            <w:tcBorders>
              <w:top w:val="single" w:sz="8" w:color="FF160F"/>
              <w:bottom w:val="single" w:sz="8" w:color="FF160F"/>
            </w:tcBorders>
          </w:tcPr>
          <w:p>
            <w:pPr>
              <w:spacing w:after="0"/>
              <w:rPr>
                <w:sz w:val="20"/>
                <w:szCs w:val="20"/>
                <w:color w:val="auto"/>
              </w:rPr>
            </w:pPr>
          </w:p>
        </w:tc>
        <w:tc>
          <w:tcPr>
            <w:tcW w:w="300" w:type="dxa"/>
            <w:vAlign w:val="bottom"/>
            <w:tcBorders>
              <w:top w:val="single" w:sz="8" w:color="FF160F"/>
              <w:bottom w:val="single" w:sz="8" w:color="FF160F"/>
            </w:tcBorders>
          </w:tcPr>
          <w:p>
            <w:pPr>
              <w:spacing w:after="0"/>
              <w:rPr>
                <w:sz w:val="20"/>
                <w:szCs w:val="20"/>
                <w:color w:val="auto"/>
              </w:rPr>
            </w:pPr>
          </w:p>
        </w:tc>
        <w:tc>
          <w:tcPr>
            <w:tcW w:w="560" w:type="dxa"/>
            <w:vAlign w:val="bottom"/>
            <w:tcBorders>
              <w:top w:val="single" w:sz="8" w:color="FF160F"/>
              <w:bottom w:val="single" w:sz="8" w:color="FF160F"/>
            </w:tcBorders>
          </w:tcPr>
          <w:p>
            <w:pPr>
              <w:spacing w:after="0"/>
              <w:rPr>
                <w:sz w:val="20"/>
                <w:szCs w:val="20"/>
                <w:color w:val="auto"/>
              </w:rPr>
            </w:pPr>
          </w:p>
        </w:tc>
        <w:tc>
          <w:tcPr>
            <w:tcW w:w="560" w:type="dxa"/>
            <w:vAlign w:val="bottom"/>
            <w:tcBorders>
              <w:top w:val="single" w:sz="8" w:color="FF160F"/>
              <w:bottom w:val="single" w:sz="8" w:color="FF160F"/>
            </w:tcBorders>
          </w:tcPr>
          <w:p>
            <w:pPr>
              <w:spacing w:after="0"/>
              <w:rPr>
                <w:sz w:val="20"/>
                <w:szCs w:val="20"/>
                <w:color w:val="auto"/>
              </w:rPr>
            </w:pPr>
          </w:p>
        </w:tc>
        <w:tc>
          <w:tcPr>
            <w:tcW w:w="2380" w:type="dxa"/>
            <w:vAlign w:val="bottom"/>
            <w:tcBorders>
              <w:top w:val="single" w:sz="8" w:color="FF160F"/>
              <w:bottom w:val="single" w:sz="8" w:color="FF160F"/>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600" w:type="dxa"/>
            <w:vAlign w:val="bottom"/>
            <w:tcBorders>
              <w:left w:val="single" w:sz="8" w:color="FF160F"/>
              <w:right w:val="single" w:sz="8" w:color="FF160F"/>
            </w:tcBorders>
            <w:gridSpan w:val="2"/>
            <w:shd w:val="clear" w:color="auto" w:fill="D8D8D8"/>
          </w:tcPr>
          <w:p>
            <w:pPr>
              <w:ind w:left="260"/>
              <w:spacing w:after="0"/>
              <w:rPr>
                <w:sz w:val="20"/>
                <w:szCs w:val="20"/>
                <w:color w:val="auto"/>
              </w:rPr>
            </w:pPr>
            <w:r>
              <w:rPr>
                <w:rFonts w:ascii="Arial" w:cs="Arial" w:eastAsia="Arial" w:hAnsi="Arial"/>
                <w:sz w:val="17"/>
                <w:szCs w:val="17"/>
                <w:b w:val="1"/>
                <w:bCs w:val="1"/>
                <w:color w:val="auto"/>
              </w:rPr>
              <w:t>Employees</w:t>
            </w:r>
          </w:p>
        </w:tc>
        <w:tc>
          <w:tcPr>
            <w:tcW w:w="2640" w:type="dxa"/>
            <w:vAlign w:val="bottom"/>
            <w:tcBorders>
              <w:right w:val="single" w:sz="8" w:color="FF160F"/>
            </w:tcBorders>
            <w:vMerge w:val="restart"/>
          </w:tcPr>
          <w:p>
            <w:pPr>
              <w:jc w:val="center"/>
              <w:spacing w:after="0"/>
              <w:rPr>
                <w:sz w:val="20"/>
                <w:szCs w:val="20"/>
                <w:color w:val="auto"/>
              </w:rPr>
            </w:pPr>
            <w:r>
              <w:rPr>
                <w:rFonts w:ascii="Arial" w:cs="Arial" w:eastAsia="Arial" w:hAnsi="Arial"/>
                <w:sz w:val="31"/>
                <w:szCs w:val="31"/>
                <w:color w:val="auto"/>
                <w:w w:val="99"/>
              </w:rPr>
              <w:t>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right w:val="single" w:sz="8" w:color="FF160F"/>
            </w:tcBorders>
          </w:tcPr>
          <w:p>
            <w:pPr>
              <w:spacing w:after="0"/>
              <w:rPr>
                <w:sz w:val="17"/>
                <w:szCs w:val="17"/>
                <w:color w:val="auto"/>
              </w:rPr>
            </w:pPr>
          </w:p>
        </w:tc>
        <w:tc>
          <w:tcPr>
            <w:tcW w:w="560" w:type="dxa"/>
            <w:vAlign w:val="bottom"/>
          </w:tcPr>
          <w:p>
            <w:pPr>
              <w:spacing w:after="0"/>
              <w:rPr>
                <w:sz w:val="17"/>
                <w:szCs w:val="17"/>
                <w:color w:val="auto"/>
              </w:rPr>
            </w:pPr>
          </w:p>
        </w:tc>
        <w:tc>
          <w:tcPr>
            <w:tcW w:w="2380" w:type="dxa"/>
            <w:vAlign w:val="bottom"/>
            <w:tcBorders>
              <w:right w:val="single" w:sz="8" w:color="FF160F"/>
            </w:tcBorders>
            <w:vMerge w:val="restart"/>
          </w:tcPr>
          <w:p>
            <w:pPr>
              <w:jc w:val="center"/>
              <w:ind w:right="708"/>
              <w:spacing w:after="0"/>
              <w:rPr>
                <w:sz w:val="20"/>
                <w:szCs w:val="20"/>
                <w:color w:val="auto"/>
              </w:rPr>
            </w:pPr>
            <w:r>
              <w:rPr>
                <w:rFonts w:ascii="Arial" w:cs="Arial" w:eastAsia="Arial" w:hAnsi="Arial"/>
                <w:sz w:val="31"/>
                <w:szCs w:val="31"/>
                <w:color w:val="auto"/>
                <w:w w:val="99"/>
              </w:rPr>
              <w:t>15%</w:t>
            </w:r>
          </w:p>
        </w:tc>
        <w:tc>
          <w:tcPr>
            <w:tcW w:w="0" w:type="dxa"/>
            <w:vAlign w:val="bottom"/>
          </w:tcPr>
          <w:p>
            <w:pPr>
              <w:spacing w:after="0"/>
              <w:rPr>
                <w:sz w:val="1"/>
                <w:szCs w:val="1"/>
                <w:color w:val="auto"/>
              </w:rPr>
            </w:pPr>
          </w:p>
        </w:tc>
      </w:tr>
      <w:tr>
        <w:trPr>
          <w:trHeight w:val="164"/>
        </w:trPr>
        <w:tc>
          <w:tcPr>
            <w:tcW w:w="1600" w:type="dxa"/>
            <w:vAlign w:val="bottom"/>
            <w:tcBorders>
              <w:left w:val="single" w:sz="8" w:color="FF160F"/>
              <w:right w:val="single" w:sz="8" w:color="FF160F"/>
            </w:tcBorders>
            <w:gridSpan w:val="2"/>
            <w:shd w:val="clear" w:color="auto" w:fill="D8D8D8"/>
          </w:tcPr>
          <w:p>
            <w:pPr>
              <w:ind w:left="280"/>
              <w:spacing w:after="0"/>
              <w:rPr>
                <w:sz w:val="20"/>
                <w:szCs w:val="20"/>
                <w:color w:val="auto"/>
              </w:rPr>
            </w:pPr>
            <w:r>
              <w:rPr>
                <w:rFonts w:ascii="Arial" w:cs="Arial" w:eastAsia="Arial" w:hAnsi="Arial"/>
                <w:sz w:val="14"/>
                <w:szCs w:val="14"/>
                <w:color w:val="auto"/>
              </w:rPr>
              <w:t>(as of 12/31/2021)</w:t>
            </w:r>
          </w:p>
        </w:tc>
        <w:tc>
          <w:tcPr>
            <w:tcW w:w="2640" w:type="dxa"/>
            <w:vAlign w:val="bottom"/>
            <w:tcBorders>
              <w:right w:val="single" w:sz="8" w:color="FF160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right w:val="single" w:sz="8" w:color="FF160F"/>
            </w:tcBorders>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right w:val="single" w:sz="8" w:color="FF160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FF160F"/>
              <w:right w:val="single" w:sz="8" w:color="D8D8D8"/>
            </w:tcBorders>
            <w:shd w:val="clear" w:color="auto" w:fill="D8D8D8"/>
          </w:tcPr>
          <w:p>
            <w:pPr>
              <w:spacing w:after="0"/>
              <w:rPr>
                <w:sz w:val="16"/>
                <w:szCs w:val="16"/>
                <w:color w:val="auto"/>
              </w:rPr>
            </w:pPr>
          </w:p>
        </w:tc>
        <w:tc>
          <w:tcPr>
            <w:tcW w:w="140" w:type="dxa"/>
            <w:vAlign w:val="bottom"/>
            <w:tcBorders>
              <w:right w:val="single" w:sz="8" w:color="FF160F"/>
            </w:tcBorders>
            <w:shd w:val="clear" w:color="auto" w:fill="D8D8D8"/>
          </w:tcPr>
          <w:p>
            <w:pPr>
              <w:spacing w:after="0"/>
              <w:rPr>
                <w:sz w:val="16"/>
                <w:szCs w:val="16"/>
                <w:color w:val="auto"/>
              </w:rPr>
            </w:pPr>
          </w:p>
        </w:tc>
        <w:tc>
          <w:tcPr>
            <w:tcW w:w="2640" w:type="dxa"/>
            <w:vAlign w:val="bottom"/>
            <w:tcBorders>
              <w:right w:val="single" w:sz="8" w:color="FF160F"/>
            </w:tcBorders>
          </w:tcPr>
          <w:p>
            <w:pPr>
              <w:jc w:val="center"/>
              <w:spacing w:after="0"/>
              <w:rPr>
                <w:sz w:val="20"/>
                <w:szCs w:val="20"/>
                <w:color w:val="auto"/>
              </w:rPr>
            </w:pPr>
            <w:r>
              <w:rPr>
                <w:rFonts w:ascii="Arial" w:cs="Arial" w:eastAsia="Arial" w:hAnsi="Arial"/>
                <w:sz w:val="17"/>
                <w:szCs w:val="17"/>
                <w:color w:val="auto"/>
              </w:rPr>
              <w:t>Employees proud to work at</w:t>
            </w:r>
          </w:p>
        </w:tc>
        <w:tc>
          <w:tcPr>
            <w:tcW w:w="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Borders>
              <w:right w:val="single" w:sz="8" w:color="FF160F"/>
            </w:tcBorders>
          </w:tcPr>
          <w:p>
            <w:pPr>
              <w:spacing w:after="0"/>
              <w:rPr>
                <w:sz w:val="16"/>
                <w:szCs w:val="16"/>
                <w:color w:val="auto"/>
              </w:rPr>
            </w:pPr>
          </w:p>
        </w:tc>
        <w:tc>
          <w:tcPr>
            <w:tcW w:w="2940" w:type="dxa"/>
            <w:vAlign w:val="bottom"/>
            <w:tcBorders>
              <w:right w:val="single" w:sz="8" w:color="FF160F"/>
            </w:tcBorders>
            <w:gridSpan w:val="2"/>
            <w:vMerge w:val="restart"/>
          </w:tcPr>
          <w:p>
            <w:pPr>
              <w:jc w:val="center"/>
              <w:ind w:right="128"/>
              <w:spacing w:after="0"/>
              <w:rPr>
                <w:sz w:val="20"/>
                <w:szCs w:val="20"/>
                <w:color w:val="auto"/>
              </w:rPr>
            </w:pPr>
            <w:r>
              <w:rPr>
                <w:rFonts w:ascii="Arial" w:cs="Arial" w:eastAsia="Arial" w:hAnsi="Arial"/>
                <w:sz w:val="17"/>
                <w:szCs w:val="17"/>
                <w:color w:val="auto"/>
              </w:rPr>
              <w:t>Of all employees were</w:t>
            </w:r>
          </w:p>
        </w:tc>
        <w:tc>
          <w:tcPr>
            <w:tcW w:w="0" w:type="dxa"/>
            <w:vAlign w:val="bottom"/>
          </w:tcPr>
          <w:p>
            <w:pPr>
              <w:spacing w:after="0"/>
              <w:rPr>
                <w:sz w:val="1"/>
                <w:szCs w:val="1"/>
                <w:color w:val="auto"/>
              </w:rPr>
            </w:pPr>
          </w:p>
        </w:tc>
      </w:tr>
      <w:tr>
        <w:trPr>
          <w:trHeight w:val="117"/>
        </w:trPr>
        <w:tc>
          <w:tcPr>
            <w:tcW w:w="1460" w:type="dxa"/>
            <w:vAlign w:val="bottom"/>
            <w:tcBorders>
              <w:left w:val="single" w:sz="8" w:color="FF160F"/>
              <w:right w:val="single" w:sz="8" w:color="D8D8D8"/>
            </w:tcBorders>
            <w:shd w:val="clear" w:color="auto" w:fill="D8D8D8"/>
          </w:tcPr>
          <w:p>
            <w:pPr>
              <w:spacing w:after="0"/>
              <w:rPr>
                <w:sz w:val="10"/>
                <w:szCs w:val="10"/>
                <w:color w:val="auto"/>
              </w:rPr>
            </w:pPr>
          </w:p>
        </w:tc>
        <w:tc>
          <w:tcPr>
            <w:tcW w:w="140" w:type="dxa"/>
            <w:vAlign w:val="bottom"/>
            <w:tcBorders>
              <w:right w:val="single" w:sz="8" w:color="FF160F"/>
            </w:tcBorders>
            <w:shd w:val="clear" w:color="auto" w:fill="D8D8D8"/>
          </w:tcPr>
          <w:p>
            <w:pPr>
              <w:spacing w:after="0"/>
              <w:rPr>
                <w:sz w:val="10"/>
                <w:szCs w:val="10"/>
                <w:color w:val="auto"/>
              </w:rPr>
            </w:pPr>
          </w:p>
        </w:tc>
        <w:tc>
          <w:tcPr>
            <w:tcW w:w="2640" w:type="dxa"/>
            <w:vAlign w:val="bottom"/>
            <w:tcBorders>
              <w:right w:val="single" w:sz="8" w:color="FF160F"/>
            </w:tcBorders>
            <w:vMerge w:val="restart"/>
          </w:tcPr>
          <w:p>
            <w:pPr>
              <w:jc w:val="center"/>
              <w:spacing w:after="0"/>
              <w:rPr>
                <w:sz w:val="20"/>
                <w:szCs w:val="20"/>
                <w:color w:val="auto"/>
              </w:rPr>
            </w:pPr>
            <w:r>
              <w:rPr>
                <w:rFonts w:ascii="Arial" w:cs="Arial" w:eastAsia="Arial" w:hAnsi="Arial"/>
                <w:sz w:val="17"/>
                <w:szCs w:val="17"/>
                <w:color w:val="auto"/>
              </w:rPr>
              <w:t>Federal – 2021 engagement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right w:val="single" w:sz="8" w:color="FF160F"/>
            </w:tcBorders>
          </w:tcPr>
          <w:p>
            <w:pPr>
              <w:spacing w:after="0"/>
              <w:rPr>
                <w:sz w:val="10"/>
                <w:szCs w:val="10"/>
                <w:color w:val="auto"/>
              </w:rPr>
            </w:pPr>
          </w:p>
        </w:tc>
        <w:tc>
          <w:tcPr>
            <w:tcW w:w="2940" w:type="dxa"/>
            <w:vAlign w:val="bottom"/>
            <w:tcBorders>
              <w:right w:val="single" w:sz="8" w:color="FF160F"/>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FF160F"/>
              <w:right w:val="single" w:sz="8" w:color="D8D8D8"/>
            </w:tcBorders>
            <w:shd w:val="clear" w:color="auto" w:fill="D8D8D8"/>
          </w:tcPr>
          <w:p>
            <w:pPr>
              <w:spacing w:after="0"/>
              <w:rPr>
                <w:sz w:val="6"/>
                <w:szCs w:val="6"/>
                <w:color w:val="auto"/>
              </w:rPr>
            </w:pPr>
          </w:p>
        </w:tc>
        <w:tc>
          <w:tcPr>
            <w:tcW w:w="140" w:type="dxa"/>
            <w:vAlign w:val="bottom"/>
            <w:tcBorders>
              <w:right w:val="single" w:sz="8" w:color="FF160F"/>
            </w:tcBorders>
            <w:shd w:val="clear" w:color="auto" w:fill="D8D8D8"/>
          </w:tcPr>
          <w:p>
            <w:pPr>
              <w:spacing w:after="0"/>
              <w:rPr>
                <w:sz w:val="6"/>
                <w:szCs w:val="6"/>
                <w:color w:val="auto"/>
              </w:rPr>
            </w:pPr>
          </w:p>
        </w:tc>
        <w:tc>
          <w:tcPr>
            <w:tcW w:w="2640" w:type="dxa"/>
            <w:vAlign w:val="bottom"/>
            <w:tcBorders>
              <w:right w:val="single" w:sz="8" w:color="FF160F"/>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Borders>
              <w:right w:val="single" w:sz="8" w:color="FF160F"/>
            </w:tcBorders>
          </w:tcPr>
          <w:p>
            <w:pPr>
              <w:spacing w:after="0"/>
              <w:rPr>
                <w:sz w:val="6"/>
                <w:szCs w:val="6"/>
                <w:color w:val="auto"/>
              </w:rPr>
            </w:pPr>
          </w:p>
        </w:tc>
        <w:tc>
          <w:tcPr>
            <w:tcW w:w="560" w:type="dxa"/>
            <w:vAlign w:val="bottom"/>
          </w:tcPr>
          <w:p>
            <w:pPr>
              <w:spacing w:after="0"/>
              <w:rPr>
                <w:sz w:val="6"/>
                <w:szCs w:val="6"/>
                <w:color w:val="auto"/>
              </w:rPr>
            </w:pPr>
          </w:p>
        </w:tc>
        <w:tc>
          <w:tcPr>
            <w:tcW w:w="2380" w:type="dxa"/>
            <w:vAlign w:val="bottom"/>
            <w:tcBorders>
              <w:right w:val="single" w:sz="8" w:color="FF160F"/>
            </w:tcBorders>
            <w:vMerge w:val="restart"/>
          </w:tcPr>
          <w:p>
            <w:pPr>
              <w:jc w:val="center"/>
              <w:ind w:right="688"/>
              <w:spacing w:after="0"/>
              <w:rPr>
                <w:sz w:val="20"/>
                <w:szCs w:val="20"/>
                <w:color w:val="auto"/>
              </w:rPr>
            </w:pPr>
            <w:r>
              <w:rPr>
                <w:rFonts w:ascii="Arial" w:cs="Arial" w:eastAsia="Arial" w:hAnsi="Arial"/>
                <w:sz w:val="17"/>
                <w:szCs w:val="17"/>
                <w:color w:val="auto"/>
              </w:rPr>
              <w:t>promoted in 2021</w:t>
            </w:r>
          </w:p>
        </w:tc>
        <w:tc>
          <w:tcPr>
            <w:tcW w:w="0" w:type="dxa"/>
            <w:vAlign w:val="bottom"/>
          </w:tcPr>
          <w:p>
            <w:pPr>
              <w:spacing w:after="0"/>
              <w:rPr>
                <w:sz w:val="1"/>
                <w:szCs w:val="1"/>
                <w:color w:val="auto"/>
              </w:rPr>
            </w:pPr>
          </w:p>
        </w:tc>
      </w:tr>
      <w:tr>
        <w:trPr>
          <w:trHeight w:val="131"/>
        </w:trPr>
        <w:tc>
          <w:tcPr>
            <w:tcW w:w="1460" w:type="dxa"/>
            <w:vAlign w:val="bottom"/>
            <w:tcBorders>
              <w:left w:val="single" w:sz="8" w:color="FF160F"/>
              <w:right w:val="single" w:sz="8" w:color="D8D8D8"/>
            </w:tcBorders>
            <w:shd w:val="clear" w:color="auto" w:fill="D8D8D8"/>
          </w:tcPr>
          <w:p>
            <w:pPr>
              <w:spacing w:after="0"/>
              <w:rPr>
                <w:sz w:val="11"/>
                <w:szCs w:val="11"/>
                <w:color w:val="auto"/>
              </w:rPr>
            </w:pPr>
          </w:p>
        </w:tc>
        <w:tc>
          <w:tcPr>
            <w:tcW w:w="140" w:type="dxa"/>
            <w:vAlign w:val="bottom"/>
            <w:tcBorders>
              <w:right w:val="single" w:sz="8" w:color="FF160F"/>
            </w:tcBorders>
            <w:shd w:val="clear" w:color="auto" w:fill="D8D8D8"/>
          </w:tcPr>
          <w:p>
            <w:pPr>
              <w:spacing w:after="0"/>
              <w:rPr>
                <w:sz w:val="11"/>
                <w:szCs w:val="11"/>
                <w:color w:val="auto"/>
              </w:rPr>
            </w:pPr>
          </w:p>
        </w:tc>
        <w:tc>
          <w:tcPr>
            <w:tcW w:w="2640" w:type="dxa"/>
            <w:vAlign w:val="bottom"/>
            <w:tcBorders>
              <w:right w:val="single" w:sz="8" w:color="FF160F"/>
            </w:tcBorders>
            <w:vMerge w:val="restart"/>
          </w:tcPr>
          <w:p>
            <w:pPr>
              <w:jc w:val="center"/>
              <w:spacing w:after="0"/>
              <w:rPr>
                <w:sz w:val="20"/>
                <w:szCs w:val="20"/>
                <w:color w:val="auto"/>
              </w:rPr>
            </w:pPr>
            <w:r>
              <w:rPr>
                <w:rFonts w:ascii="Arial" w:cs="Arial" w:eastAsia="Arial" w:hAnsi="Arial"/>
                <w:sz w:val="17"/>
                <w:szCs w:val="17"/>
                <w:color w:val="auto"/>
                <w:w w:val="99"/>
              </w:rPr>
              <w:t>survey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right w:val="single" w:sz="8" w:color="FF160F"/>
            </w:tcBorders>
          </w:tcPr>
          <w:p>
            <w:pPr>
              <w:spacing w:after="0"/>
              <w:rPr>
                <w:sz w:val="11"/>
                <w:szCs w:val="11"/>
                <w:color w:val="auto"/>
              </w:rPr>
            </w:pPr>
          </w:p>
        </w:tc>
        <w:tc>
          <w:tcPr>
            <w:tcW w:w="560" w:type="dxa"/>
            <w:vAlign w:val="bottom"/>
          </w:tcPr>
          <w:p>
            <w:pPr>
              <w:spacing w:after="0"/>
              <w:rPr>
                <w:sz w:val="11"/>
                <w:szCs w:val="11"/>
                <w:color w:val="auto"/>
              </w:rPr>
            </w:pPr>
          </w:p>
        </w:tc>
        <w:tc>
          <w:tcPr>
            <w:tcW w:w="2380" w:type="dxa"/>
            <w:vAlign w:val="bottom"/>
            <w:tcBorders>
              <w:right w:val="single" w:sz="8" w:color="FF160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60" w:type="dxa"/>
            <w:vAlign w:val="bottom"/>
            <w:tcBorders>
              <w:left w:val="single" w:sz="8" w:color="FF160F"/>
              <w:right w:val="single" w:sz="8" w:color="D8D8D8"/>
            </w:tcBorders>
            <w:shd w:val="clear" w:color="auto" w:fill="D8D8D8"/>
          </w:tcPr>
          <w:p>
            <w:pPr>
              <w:spacing w:after="0"/>
              <w:rPr>
                <w:sz w:val="6"/>
                <w:szCs w:val="6"/>
                <w:color w:val="auto"/>
              </w:rPr>
            </w:pPr>
          </w:p>
        </w:tc>
        <w:tc>
          <w:tcPr>
            <w:tcW w:w="140" w:type="dxa"/>
            <w:vAlign w:val="bottom"/>
            <w:tcBorders>
              <w:right w:val="single" w:sz="8" w:color="FF160F"/>
            </w:tcBorders>
            <w:shd w:val="clear" w:color="auto" w:fill="D8D8D8"/>
          </w:tcPr>
          <w:p>
            <w:pPr>
              <w:spacing w:after="0"/>
              <w:rPr>
                <w:sz w:val="6"/>
                <w:szCs w:val="6"/>
                <w:color w:val="auto"/>
              </w:rPr>
            </w:pPr>
          </w:p>
        </w:tc>
        <w:tc>
          <w:tcPr>
            <w:tcW w:w="2640" w:type="dxa"/>
            <w:vAlign w:val="bottom"/>
            <w:tcBorders>
              <w:right w:val="single" w:sz="8" w:color="FF160F"/>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Borders>
              <w:right w:val="single" w:sz="8" w:color="FF160F"/>
            </w:tcBorders>
          </w:tcPr>
          <w:p>
            <w:pPr>
              <w:spacing w:after="0"/>
              <w:rPr>
                <w:sz w:val="6"/>
                <w:szCs w:val="6"/>
                <w:color w:val="auto"/>
              </w:rPr>
            </w:pPr>
          </w:p>
        </w:tc>
        <w:tc>
          <w:tcPr>
            <w:tcW w:w="560" w:type="dxa"/>
            <w:vAlign w:val="bottom"/>
          </w:tcPr>
          <w:p>
            <w:pPr>
              <w:spacing w:after="0"/>
              <w:rPr>
                <w:sz w:val="6"/>
                <w:szCs w:val="6"/>
                <w:color w:val="auto"/>
              </w:rPr>
            </w:pPr>
          </w:p>
        </w:tc>
        <w:tc>
          <w:tcPr>
            <w:tcW w:w="2380" w:type="dxa"/>
            <w:vAlign w:val="bottom"/>
            <w:tcBorders>
              <w:right w:val="single" w:sz="8" w:color="FF160F"/>
            </w:tcBorders>
          </w:tcPr>
          <w:p>
            <w:pPr>
              <w:spacing w:after="0"/>
              <w:rPr>
                <w:sz w:val="6"/>
                <w:szCs w:val="6"/>
                <w:color w:val="auto"/>
              </w:rPr>
            </w:pPr>
          </w:p>
        </w:tc>
        <w:tc>
          <w:tcPr>
            <w:tcW w:w="0" w:type="dxa"/>
            <w:vAlign w:val="bottom"/>
          </w:tcPr>
          <w:p>
            <w:pPr>
              <w:spacing w:after="0"/>
              <w:rPr>
                <w:sz w:val="1"/>
                <w:szCs w:val="1"/>
                <w:color w:val="auto"/>
              </w:rPr>
            </w:pPr>
          </w:p>
        </w:tc>
      </w:tr>
      <w:tr>
        <w:trPr>
          <w:trHeight w:val="507"/>
        </w:trPr>
        <w:tc>
          <w:tcPr>
            <w:tcW w:w="1460" w:type="dxa"/>
            <w:vAlign w:val="bottom"/>
            <w:tcBorders>
              <w:left w:val="single" w:sz="8" w:color="FF160F"/>
              <w:bottom w:val="single" w:sz="8" w:color="EAEFED"/>
              <w:right w:val="single" w:sz="8" w:color="D8D8D8"/>
            </w:tcBorders>
            <w:shd w:val="clear" w:color="auto" w:fill="D8D8D8"/>
          </w:tcPr>
          <w:p>
            <w:pPr>
              <w:spacing w:after="0"/>
              <w:rPr>
                <w:sz w:val="24"/>
                <w:szCs w:val="24"/>
                <w:color w:val="auto"/>
              </w:rPr>
            </w:pPr>
          </w:p>
        </w:tc>
        <w:tc>
          <w:tcPr>
            <w:tcW w:w="140" w:type="dxa"/>
            <w:vAlign w:val="bottom"/>
            <w:tcBorders>
              <w:bottom w:val="single" w:sz="8" w:color="EAEFED"/>
              <w:right w:val="single" w:sz="8" w:color="FF160F"/>
            </w:tcBorders>
            <w:shd w:val="clear" w:color="auto" w:fill="D8D8D8"/>
          </w:tcPr>
          <w:p>
            <w:pPr>
              <w:spacing w:after="0"/>
              <w:rPr>
                <w:sz w:val="24"/>
                <w:szCs w:val="24"/>
                <w:color w:val="auto"/>
              </w:rPr>
            </w:pPr>
          </w:p>
        </w:tc>
        <w:tc>
          <w:tcPr>
            <w:tcW w:w="2640" w:type="dxa"/>
            <w:vAlign w:val="bottom"/>
            <w:tcBorders>
              <w:bottom w:val="single" w:sz="8" w:color="FF160F"/>
              <w:right w:val="single" w:sz="8" w:color="FF160F"/>
            </w:tcBorders>
          </w:tcPr>
          <w:p>
            <w:pPr>
              <w:spacing w:after="0"/>
              <w:rPr>
                <w:sz w:val="24"/>
                <w:szCs w:val="24"/>
                <w:color w:val="auto"/>
              </w:rPr>
            </w:pPr>
          </w:p>
        </w:tc>
        <w:tc>
          <w:tcPr>
            <w:tcW w:w="80" w:type="dxa"/>
            <w:vAlign w:val="bottom"/>
            <w:tcBorders>
              <w:bottom w:val="single" w:sz="8" w:color="FF160F"/>
            </w:tcBorders>
          </w:tcPr>
          <w:p>
            <w:pPr>
              <w:spacing w:after="0"/>
              <w:rPr>
                <w:sz w:val="24"/>
                <w:szCs w:val="24"/>
                <w:color w:val="auto"/>
              </w:rPr>
            </w:pPr>
          </w:p>
        </w:tc>
        <w:tc>
          <w:tcPr>
            <w:tcW w:w="1460" w:type="dxa"/>
            <w:vAlign w:val="bottom"/>
            <w:tcBorders>
              <w:bottom w:val="single" w:sz="8" w:color="FF160F"/>
            </w:tcBorders>
            <w:gridSpan w:val="4"/>
          </w:tcPr>
          <w:p>
            <w:pPr>
              <w:spacing w:after="0"/>
              <w:rPr>
                <w:sz w:val="24"/>
                <w:szCs w:val="24"/>
                <w:color w:val="auto"/>
              </w:rPr>
            </w:pPr>
          </w:p>
        </w:tc>
        <w:tc>
          <w:tcPr>
            <w:tcW w:w="400" w:type="dxa"/>
            <w:vAlign w:val="bottom"/>
            <w:tcBorders>
              <w:bottom w:val="single" w:sz="8" w:color="FF160F"/>
            </w:tcBorders>
          </w:tcPr>
          <w:p>
            <w:pPr>
              <w:spacing w:after="0"/>
              <w:rPr>
                <w:sz w:val="24"/>
                <w:szCs w:val="24"/>
                <w:color w:val="auto"/>
              </w:rPr>
            </w:pPr>
          </w:p>
        </w:tc>
        <w:tc>
          <w:tcPr>
            <w:tcW w:w="40" w:type="dxa"/>
            <w:vAlign w:val="bottom"/>
            <w:tcBorders>
              <w:bottom w:val="single" w:sz="8" w:color="FF160F"/>
            </w:tcBorders>
          </w:tcPr>
          <w:p>
            <w:pPr>
              <w:spacing w:after="0"/>
              <w:rPr>
                <w:sz w:val="24"/>
                <w:szCs w:val="24"/>
                <w:color w:val="auto"/>
              </w:rPr>
            </w:pPr>
          </w:p>
        </w:tc>
        <w:tc>
          <w:tcPr>
            <w:tcW w:w="620" w:type="dxa"/>
            <w:vAlign w:val="bottom"/>
            <w:tcBorders>
              <w:bottom w:val="single" w:sz="8" w:color="FF160F"/>
            </w:tcBorders>
          </w:tcPr>
          <w:p>
            <w:pPr>
              <w:spacing w:after="0"/>
              <w:rPr>
                <w:sz w:val="24"/>
                <w:szCs w:val="24"/>
                <w:color w:val="auto"/>
              </w:rPr>
            </w:pPr>
          </w:p>
        </w:tc>
        <w:tc>
          <w:tcPr>
            <w:tcW w:w="300" w:type="dxa"/>
            <w:vAlign w:val="bottom"/>
            <w:tcBorders>
              <w:bottom w:val="single" w:sz="8" w:color="FF160F"/>
            </w:tcBorders>
          </w:tcPr>
          <w:p>
            <w:pPr>
              <w:spacing w:after="0"/>
              <w:rPr>
                <w:sz w:val="24"/>
                <w:szCs w:val="24"/>
                <w:color w:val="auto"/>
              </w:rPr>
            </w:pPr>
          </w:p>
        </w:tc>
        <w:tc>
          <w:tcPr>
            <w:tcW w:w="560" w:type="dxa"/>
            <w:vAlign w:val="bottom"/>
            <w:tcBorders>
              <w:bottom w:val="single" w:sz="8" w:color="FF160F"/>
              <w:right w:val="single" w:sz="8" w:color="FF160F"/>
            </w:tcBorders>
          </w:tcPr>
          <w:p>
            <w:pPr>
              <w:spacing w:after="0"/>
              <w:rPr>
                <w:sz w:val="24"/>
                <w:szCs w:val="24"/>
                <w:color w:val="auto"/>
              </w:rPr>
            </w:pPr>
          </w:p>
        </w:tc>
        <w:tc>
          <w:tcPr>
            <w:tcW w:w="2940" w:type="dxa"/>
            <w:vAlign w:val="bottom"/>
            <w:tcBorders>
              <w:bottom w:val="single" w:sz="8" w:color="FF160F"/>
              <w:right w:val="single" w:sz="8" w:color="FF160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tcBorders>
              <w:left w:val="single" w:sz="8" w:color="FF160F"/>
              <w:right w:val="single" w:sz="8" w:color="D8D8D8"/>
            </w:tcBorders>
            <w:shd w:val="clear" w:color="auto" w:fill="D8D8D8"/>
          </w:tcPr>
          <w:p>
            <w:pPr>
              <w:spacing w:after="0"/>
              <w:rPr>
                <w:sz w:val="24"/>
                <w:szCs w:val="24"/>
                <w:color w:val="auto"/>
              </w:rPr>
            </w:pPr>
          </w:p>
        </w:tc>
        <w:tc>
          <w:tcPr>
            <w:tcW w:w="140" w:type="dxa"/>
            <w:vAlign w:val="bottom"/>
            <w:tcBorders>
              <w:right w:val="single" w:sz="8" w:color="FF160F"/>
            </w:tcBorders>
            <w:shd w:val="clear" w:color="auto" w:fill="D8D8D8"/>
          </w:tcPr>
          <w:p>
            <w:pPr>
              <w:spacing w:after="0"/>
              <w:rPr>
                <w:sz w:val="24"/>
                <w:szCs w:val="24"/>
                <w:color w:val="auto"/>
              </w:rPr>
            </w:pPr>
          </w:p>
        </w:tc>
        <w:tc>
          <w:tcPr>
            <w:tcW w:w="4180" w:type="dxa"/>
            <w:vAlign w:val="bottom"/>
            <w:tcBorders>
              <w:right w:val="single" w:sz="8" w:color="FF160F"/>
            </w:tcBorders>
            <w:gridSpan w:val="6"/>
          </w:tcPr>
          <w:p>
            <w:pPr>
              <w:jc w:val="center"/>
              <w:ind w:left="1047"/>
              <w:spacing w:after="0"/>
              <w:rPr>
                <w:sz w:val="20"/>
                <w:szCs w:val="20"/>
                <w:color w:val="auto"/>
              </w:rPr>
            </w:pPr>
            <w:r>
              <w:rPr>
                <w:rFonts w:ascii="Arial" w:cs="Arial" w:eastAsia="Arial" w:hAnsi="Arial"/>
                <w:sz w:val="24"/>
                <w:szCs w:val="24"/>
                <w:color w:val="auto"/>
              </w:rPr>
              <w:t>Pay Equity</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0" w:type="dxa"/>
            <w:vAlign w:val="bottom"/>
            <w:tcBorders>
              <w:right w:val="single" w:sz="8" w:color="FF160F"/>
            </w:tcBorders>
            <w:gridSpan w:val="4"/>
          </w:tcPr>
          <w:p>
            <w:pPr>
              <w:ind w:left="160"/>
              <w:spacing w:after="0"/>
              <w:rPr>
                <w:sz w:val="20"/>
                <w:szCs w:val="20"/>
                <w:color w:val="auto"/>
              </w:rPr>
            </w:pPr>
            <w:r>
              <w:rPr>
                <w:rFonts w:ascii="Arial" w:cs="Arial" w:eastAsia="Arial" w:hAnsi="Arial"/>
                <w:sz w:val="24"/>
                <w:szCs w:val="24"/>
                <w:color w:val="auto"/>
              </w:rPr>
              <w:t>Philanthropic Support</w:t>
            </w:r>
          </w:p>
        </w:tc>
        <w:tc>
          <w:tcPr>
            <w:tcW w:w="0" w:type="dxa"/>
            <w:vAlign w:val="bottom"/>
          </w:tcPr>
          <w:p>
            <w:pPr>
              <w:spacing w:after="0"/>
              <w:rPr>
                <w:sz w:val="1"/>
                <w:szCs w:val="1"/>
                <w:color w:val="auto"/>
              </w:rPr>
            </w:pPr>
          </w:p>
        </w:tc>
      </w:tr>
      <w:tr>
        <w:trPr>
          <w:trHeight w:val="552"/>
        </w:trPr>
        <w:tc>
          <w:tcPr>
            <w:tcW w:w="1460" w:type="dxa"/>
            <w:vAlign w:val="bottom"/>
            <w:tcBorders>
              <w:left w:val="single" w:sz="8" w:color="FF160F"/>
              <w:right w:val="single" w:sz="8" w:color="D8D8D8"/>
            </w:tcBorders>
            <w:shd w:val="clear" w:color="auto" w:fill="D8D8D8"/>
          </w:tcPr>
          <w:p>
            <w:pPr>
              <w:spacing w:after="0"/>
              <w:rPr>
                <w:sz w:val="24"/>
                <w:szCs w:val="24"/>
                <w:color w:val="auto"/>
              </w:rPr>
            </w:pPr>
          </w:p>
        </w:tc>
        <w:tc>
          <w:tcPr>
            <w:tcW w:w="140" w:type="dxa"/>
            <w:vAlign w:val="bottom"/>
            <w:tcBorders>
              <w:right w:val="single" w:sz="8" w:color="FF160F"/>
            </w:tcBorders>
            <w:shd w:val="clear" w:color="auto" w:fill="D8D8D8"/>
          </w:tcPr>
          <w:p>
            <w:pPr>
              <w:spacing w:after="0"/>
              <w:rPr>
                <w:sz w:val="24"/>
                <w:szCs w:val="24"/>
                <w:color w:val="auto"/>
              </w:rPr>
            </w:pPr>
          </w:p>
        </w:tc>
        <w:tc>
          <w:tcPr>
            <w:tcW w:w="4180" w:type="dxa"/>
            <w:vAlign w:val="bottom"/>
            <w:tcBorders>
              <w:right w:val="single" w:sz="8" w:color="FF160F"/>
            </w:tcBorders>
            <w:gridSpan w:val="6"/>
          </w:tcPr>
          <w:p>
            <w:pPr>
              <w:jc w:val="center"/>
              <w:ind w:left="1027"/>
              <w:spacing w:after="0"/>
              <w:rPr>
                <w:sz w:val="20"/>
                <w:szCs w:val="20"/>
                <w:color w:val="auto"/>
              </w:rPr>
            </w:pPr>
            <w:r>
              <w:rPr>
                <w:rFonts w:ascii="Arial" w:cs="Arial" w:eastAsia="Arial" w:hAnsi="Arial"/>
                <w:sz w:val="17"/>
                <w:szCs w:val="17"/>
                <w:color w:val="auto"/>
              </w:rPr>
              <w:t>Third party study found equal</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Borders>
              <w:right w:val="single" w:sz="8" w:color="FF160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60" w:type="dxa"/>
            <w:vAlign w:val="bottom"/>
            <w:tcBorders>
              <w:left w:val="single" w:sz="8" w:color="FF160F"/>
              <w:right w:val="single" w:sz="8" w:color="D8D8D8"/>
            </w:tcBorders>
            <w:shd w:val="clear" w:color="auto" w:fill="D8D8D8"/>
          </w:tcPr>
          <w:p>
            <w:pPr>
              <w:spacing w:after="0"/>
              <w:rPr>
                <w:sz w:val="16"/>
                <w:szCs w:val="16"/>
                <w:color w:val="auto"/>
              </w:rPr>
            </w:pPr>
          </w:p>
        </w:tc>
        <w:tc>
          <w:tcPr>
            <w:tcW w:w="140" w:type="dxa"/>
            <w:vAlign w:val="bottom"/>
            <w:tcBorders>
              <w:right w:val="single" w:sz="8" w:color="FF160F"/>
            </w:tcBorders>
            <w:shd w:val="clear" w:color="auto" w:fill="D8D8D8"/>
          </w:tcPr>
          <w:p>
            <w:pPr>
              <w:spacing w:after="0"/>
              <w:rPr>
                <w:sz w:val="16"/>
                <w:szCs w:val="16"/>
                <w:color w:val="auto"/>
              </w:rPr>
            </w:pPr>
          </w:p>
        </w:tc>
        <w:tc>
          <w:tcPr>
            <w:tcW w:w="4180" w:type="dxa"/>
            <w:vAlign w:val="bottom"/>
            <w:tcBorders>
              <w:right w:val="single" w:sz="8" w:color="FF160F"/>
            </w:tcBorders>
            <w:gridSpan w:val="6"/>
          </w:tcPr>
          <w:p>
            <w:pPr>
              <w:jc w:val="center"/>
              <w:ind w:left="1027"/>
              <w:spacing w:after="0"/>
              <w:rPr>
                <w:sz w:val="20"/>
                <w:szCs w:val="20"/>
                <w:color w:val="auto"/>
              </w:rPr>
            </w:pPr>
            <w:r>
              <w:rPr>
                <w:rFonts w:ascii="Arial" w:cs="Arial" w:eastAsia="Arial" w:hAnsi="Arial"/>
                <w:sz w:val="17"/>
                <w:szCs w:val="17"/>
                <w:color w:val="auto"/>
              </w:rPr>
              <w:t>pay for equal work</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tcBorders>
              <w:right w:val="single" w:sz="8" w:color="FF160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60" w:type="dxa"/>
            <w:vAlign w:val="bottom"/>
            <w:tcBorders>
              <w:left w:val="single" w:sz="8" w:color="FF160F"/>
              <w:right w:val="single" w:sz="8" w:color="D8D8D8"/>
            </w:tcBorders>
            <w:shd w:val="clear" w:color="auto" w:fill="D8D8D8"/>
          </w:tcPr>
          <w:p>
            <w:pPr>
              <w:spacing w:after="0"/>
              <w:rPr>
                <w:sz w:val="18"/>
                <w:szCs w:val="18"/>
                <w:color w:val="auto"/>
              </w:rPr>
            </w:pPr>
          </w:p>
        </w:tc>
        <w:tc>
          <w:tcPr>
            <w:tcW w:w="140" w:type="dxa"/>
            <w:vAlign w:val="bottom"/>
            <w:tcBorders>
              <w:right w:val="single" w:sz="8" w:color="FF160F"/>
            </w:tcBorders>
            <w:shd w:val="clear" w:color="auto" w:fill="D8D8D8"/>
          </w:tcPr>
          <w:p>
            <w:pPr>
              <w:spacing w:after="0"/>
              <w:rPr>
                <w:sz w:val="18"/>
                <w:szCs w:val="18"/>
                <w:color w:val="auto"/>
              </w:rPr>
            </w:pPr>
          </w:p>
        </w:tc>
        <w:tc>
          <w:tcPr>
            <w:tcW w:w="4180" w:type="dxa"/>
            <w:vAlign w:val="bottom"/>
            <w:tcBorders>
              <w:right w:val="single" w:sz="8" w:color="FF160F"/>
            </w:tcBorders>
            <w:gridSpan w:val="6"/>
          </w:tcPr>
          <w:p>
            <w:pPr>
              <w:jc w:val="center"/>
              <w:ind w:left="1027"/>
              <w:spacing w:after="0"/>
              <w:rPr>
                <w:sz w:val="20"/>
                <w:szCs w:val="20"/>
                <w:color w:val="auto"/>
              </w:rPr>
            </w:pPr>
            <w:r>
              <w:rPr>
                <w:rFonts w:ascii="Arial" w:cs="Arial" w:eastAsia="Arial" w:hAnsi="Arial"/>
                <w:sz w:val="17"/>
                <w:szCs w:val="17"/>
                <w:color w:val="auto"/>
              </w:rPr>
              <w:t>throughout the Company</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80" w:type="dxa"/>
            <w:vAlign w:val="bottom"/>
            <w:tcBorders>
              <w:right w:val="single" w:sz="8" w:color="FF160F"/>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600" w:type="dxa"/>
            <w:vAlign w:val="bottom"/>
            <w:tcBorders>
              <w:left w:val="single" w:sz="8" w:color="FF160F"/>
              <w:bottom w:val="single" w:sz="8" w:color="FF160F"/>
              <w:right w:val="single" w:sz="8" w:color="FF160F"/>
            </w:tcBorders>
            <w:gridSpan w:val="2"/>
            <w:shd w:val="clear" w:color="auto" w:fill="D8D8D8"/>
          </w:tcPr>
          <w:p>
            <w:pPr>
              <w:spacing w:after="0"/>
              <w:rPr>
                <w:sz w:val="24"/>
                <w:szCs w:val="24"/>
                <w:color w:val="auto"/>
              </w:rPr>
            </w:pPr>
          </w:p>
        </w:tc>
        <w:tc>
          <w:tcPr>
            <w:tcW w:w="2720" w:type="dxa"/>
            <w:vAlign w:val="bottom"/>
            <w:tcBorders>
              <w:bottom w:val="single" w:sz="8" w:color="FF160F"/>
            </w:tcBorders>
            <w:gridSpan w:val="2"/>
          </w:tcPr>
          <w:p>
            <w:pPr>
              <w:spacing w:after="0"/>
              <w:rPr>
                <w:sz w:val="24"/>
                <w:szCs w:val="24"/>
                <w:color w:val="auto"/>
              </w:rPr>
            </w:pPr>
          </w:p>
        </w:tc>
        <w:tc>
          <w:tcPr>
            <w:tcW w:w="340" w:type="dxa"/>
            <w:vAlign w:val="bottom"/>
            <w:tcBorders>
              <w:bottom w:val="single" w:sz="8" w:color="FF160F"/>
            </w:tcBorders>
            <w:gridSpan w:val="2"/>
          </w:tcPr>
          <w:p>
            <w:pPr>
              <w:spacing w:after="0"/>
              <w:rPr>
                <w:sz w:val="24"/>
                <w:szCs w:val="24"/>
                <w:color w:val="auto"/>
              </w:rPr>
            </w:pPr>
          </w:p>
        </w:tc>
        <w:tc>
          <w:tcPr>
            <w:tcW w:w="940" w:type="dxa"/>
            <w:vAlign w:val="bottom"/>
            <w:tcBorders>
              <w:bottom w:val="single" w:sz="8" w:color="FF160F"/>
            </w:tcBorders>
          </w:tcPr>
          <w:p>
            <w:pPr>
              <w:spacing w:after="0"/>
              <w:rPr>
                <w:sz w:val="24"/>
                <w:szCs w:val="24"/>
                <w:color w:val="auto"/>
              </w:rPr>
            </w:pPr>
          </w:p>
        </w:tc>
        <w:tc>
          <w:tcPr>
            <w:tcW w:w="180" w:type="dxa"/>
            <w:vAlign w:val="bottom"/>
            <w:tcBorders>
              <w:bottom w:val="single" w:sz="8" w:color="FF160F"/>
              <w:right w:val="single" w:sz="8" w:color="FF160F"/>
            </w:tcBorders>
          </w:tcPr>
          <w:p>
            <w:pPr>
              <w:spacing w:after="0"/>
              <w:rPr>
                <w:sz w:val="24"/>
                <w:szCs w:val="24"/>
                <w:color w:val="auto"/>
              </w:rPr>
            </w:pPr>
          </w:p>
        </w:tc>
        <w:tc>
          <w:tcPr>
            <w:tcW w:w="400" w:type="dxa"/>
            <w:vAlign w:val="bottom"/>
            <w:tcBorders>
              <w:bottom w:val="single" w:sz="8" w:color="FF160F"/>
            </w:tcBorders>
          </w:tcPr>
          <w:p>
            <w:pPr>
              <w:spacing w:after="0"/>
              <w:rPr>
                <w:sz w:val="24"/>
                <w:szCs w:val="24"/>
                <w:color w:val="auto"/>
              </w:rPr>
            </w:pPr>
          </w:p>
        </w:tc>
        <w:tc>
          <w:tcPr>
            <w:tcW w:w="40" w:type="dxa"/>
            <w:vAlign w:val="bottom"/>
            <w:tcBorders>
              <w:bottom w:val="single" w:sz="8" w:color="FF160F"/>
            </w:tcBorders>
          </w:tcPr>
          <w:p>
            <w:pPr>
              <w:spacing w:after="0"/>
              <w:rPr>
                <w:sz w:val="24"/>
                <w:szCs w:val="24"/>
                <w:color w:val="auto"/>
              </w:rPr>
            </w:pPr>
          </w:p>
        </w:tc>
        <w:tc>
          <w:tcPr>
            <w:tcW w:w="620" w:type="dxa"/>
            <w:vAlign w:val="bottom"/>
            <w:tcBorders>
              <w:bottom w:val="single" w:sz="8" w:color="FF160F"/>
            </w:tcBorders>
          </w:tcPr>
          <w:p>
            <w:pPr>
              <w:spacing w:after="0"/>
              <w:rPr>
                <w:sz w:val="24"/>
                <w:szCs w:val="24"/>
                <w:color w:val="auto"/>
              </w:rPr>
            </w:pPr>
          </w:p>
        </w:tc>
        <w:tc>
          <w:tcPr>
            <w:tcW w:w="300" w:type="dxa"/>
            <w:vAlign w:val="bottom"/>
            <w:tcBorders>
              <w:bottom w:val="single" w:sz="8" w:color="FF160F"/>
            </w:tcBorders>
          </w:tcPr>
          <w:p>
            <w:pPr>
              <w:spacing w:after="0"/>
              <w:rPr>
                <w:sz w:val="24"/>
                <w:szCs w:val="24"/>
                <w:color w:val="auto"/>
              </w:rPr>
            </w:pPr>
          </w:p>
        </w:tc>
        <w:tc>
          <w:tcPr>
            <w:tcW w:w="3500" w:type="dxa"/>
            <w:vAlign w:val="bottom"/>
            <w:tcBorders>
              <w:bottom w:val="single" w:sz="8" w:color="FF160F"/>
              <w:right w:val="single" w:sz="8" w:color="FF160F"/>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600" w:type="dxa"/>
            <w:vAlign w:val="bottom"/>
            <w:tcBorders>
              <w:bottom w:val="single" w:sz="8" w:color="FF160F"/>
            </w:tcBorders>
            <w:gridSpan w:val="2"/>
          </w:tcPr>
          <w:p>
            <w:pPr>
              <w:spacing w:after="0"/>
              <w:rPr>
                <w:sz w:val="20"/>
                <w:szCs w:val="20"/>
                <w:color w:val="auto"/>
              </w:rPr>
            </w:pPr>
          </w:p>
        </w:tc>
        <w:tc>
          <w:tcPr>
            <w:tcW w:w="2720" w:type="dxa"/>
            <w:vAlign w:val="bottom"/>
            <w:tcBorders>
              <w:bottom w:val="single" w:sz="8" w:color="FF160F"/>
            </w:tcBorders>
            <w:gridSpan w:val="2"/>
          </w:tcPr>
          <w:p>
            <w:pPr>
              <w:spacing w:after="0"/>
              <w:rPr>
                <w:sz w:val="20"/>
                <w:szCs w:val="20"/>
                <w:color w:val="auto"/>
              </w:rPr>
            </w:pPr>
          </w:p>
        </w:tc>
        <w:tc>
          <w:tcPr>
            <w:tcW w:w="340" w:type="dxa"/>
            <w:vAlign w:val="bottom"/>
            <w:tcBorders>
              <w:bottom w:val="single" w:sz="8" w:color="FF160F"/>
            </w:tcBorders>
            <w:gridSpan w:val="2"/>
          </w:tcPr>
          <w:p>
            <w:pPr>
              <w:spacing w:after="0"/>
              <w:rPr>
                <w:sz w:val="20"/>
                <w:szCs w:val="20"/>
                <w:color w:val="auto"/>
              </w:rPr>
            </w:pPr>
          </w:p>
        </w:tc>
        <w:tc>
          <w:tcPr>
            <w:tcW w:w="940" w:type="dxa"/>
            <w:vAlign w:val="bottom"/>
            <w:tcBorders>
              <w:bottom w:val="single" w:sz="8" w:color="FF160F"/>
            </w:tcBorders>
          </w:tcPr>
          <w:p>
            <w:pPr>
              <w:spacing w:after="0"/>
              <w:rPr>
                <w:sz w:val="20"/>
                <w:szCs w:val="20"/>
                <w:color w:val="auto"/>
              </w:rPr>
            </w:pPr>
          </w:p>
        </w:tc>
        <w:tc>
          <w:tcPr>
            <w:tcW w:w="180" w:type="dxa"/>
            <w:vAlign w:val="bottom"/>
            <w:tcBorders>
              <w:bottom w:val="single" w:sz="8" w:color="FF160F"/>
            </w:tcBorders>
          </w:tcPr>
          <w:p>
            <w:pPr>
              <w:spacing w:after="0"/>
              <w:rPr>
                <w:sz w:val="20"/>
                <w:szCs w:val="20"/>
                <w:color w:val="auto"/>
              </w:rPr>
            </w:pPr>
          </w:p>
        </w:tc>
        <w:tc>
          <w:tcPr>
            <w:tcW w:w="400" w:type="dxa"/>
            <w:vAlign w:val="bottom"/>
            <w:tcBorders>
              <w:bottom w:val="single" w:sz="8" w:color="FF160F"/>
            </w:tcBorders>
          </w:tcPr>
          <w:p>
            <w:pPr>
              <w:spacing w:after="0"/>
              <w:rPr>
                <w:sz w:val="20"/>
                <w:szCs w:val="20"/>
                <w:color w:val="auto"/>
              </w:rPr>
            </w:pPr>
          </w:p>
        </w:tc>
        <w:tc>
          <w:tcPr>
            <w:tcW w:w="40" w:type="dxa"/>
            <w:vAlign w:val="bottom"/>
            <w:tcBorders>
              <w:bottom w:val="single" w:sz="8" w:color="FF160F"/>
            </w:tcBorders>
          </w:tcPr>
          <w:p>
            <w:pPr>
              <w:spacing w:after="0"/>
              <w:rPr>
                <w:sz w:val="20"/>
                <w:szCs w:val="20"/>
                <w:color w:val="auto"/>
              </w:rPr>
            </w:pPr>
          </w:p>
        </w:tc>
        <w:tc>
          <w:tcPr>
            <w:tcW w:w="620" w:type="dxa"/>
            <w:vAlign w:val="bottom"/>
            <w:tcBorders>
              <w:bottom w:val="single" w:sz="8" w:color="FF160F"/>
            </w:tcBorders>
          </w:tcPr>
          <w:p>
            <w:pPr>
              <w:spacing w:after="0"/>
              <w:rPr>
                <w:sz w:val="20"/>
                <w:szCs w:val="20"/>
                <w:color w:val="auto"/>
              </w:rPr>
            </w:pPr>
          </w:p>
        </w:tc>
        <w:tc>
          <w:tcPr>
            <w:tcW w:w="300" w:type="dxa"/>
            <w:vAlign w:val="bottom"/>
            <w:tcBorders>
              <w:bottom w:val="single" w:sz="8" w:color="FF160F"/>
            </w:tcBorders>
          </w:tcPr>
          <w:p>
            <w:pPr>
              <w:spacing w:after="0"/>
              <w:rPr>
                <w:sz w:val="20"/>
                <w:szCs w:val="20"/>
                <w:color w:val="auto"/>
              </w:rPr>
            </w:pPr>
          </w:p>
        </w:tc>
        <w:tc>
          <w:tcPr>
            <w:tcW w:w="3500" w:type="dxa"/>
            <w:vAlign w:val="bottom"/>
            <w:tcBorders>
              <w:bottom w:val="single" w:sz="8" w:color="FF160F"/>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FF160F"/>
              <w:right w:val="single" w:sz="8" w:color="FF160F"/>
            </w:tcBorders>
            <w:gridSpan w:val="2"/>
            <w:shd w:val="clear" w:color="auto" w:fill="D8D8D8"/>
          </w:tcPr>
          <w:p>
            <w:pPr>
              <w:ind w:left="320"/>
              <w:spacing w:after="0" w:line="172" w:lineRule="exact"/>
              <w:rPr>
                <w:sz w:val="20"/>
                <w:szCs w:val="20"/>
                <w:color w:val="auto"/>
              </w:rPr>
            </w:pPr>
            <w:r>
              <w:rPr>
                <w:rFonts w:ascii="Arial" w:cs="Arial" w:eastAsia="Arial" w:hAnsi="Arial"/>
                <w:sz w:val="17"/>
                <w:szCs w:val="17"/>
                <w:b w:val="1"/>
                <w:bCs w:val="1"/>
                <w:color w:val="auto"/>
              </w:rPr>
              <w:t>Environment</w:t>
            </w:r>
          </w:p>
        </w:tc>
        <w:tc>
          <w:tcPr>
            <w:tcW w:w="3060" w:type="dxa"/>
            <w:vAlign w:val="bottom"/>
            <w:gridSpan w:val="4"/>
          </w:tcPr>
          <w:p>
            <w:pPr>
              <w:jc w:val="center"/>
              <w:ind w:left="1527"/>
              <w:spacing w:after="0" w:line="172" w:lineRule="exact"/>
              <w:rPr>
                <w:sz w:val="20"/>
                <w:szCs w:val="20"/>
                <w:color w:val="auto"/>
              </w:rPr>
            </w:pPr>
            <w:r>
              <w:rPr>
                <w:rFonts w:ascii="Arial" w:cs="Arial" w:eastAsia="Arial" w:hAnsi="Arial"/>
                <w:sz w:val="17"/>
                <w:szCs w:val="17"/>
                <w:b w:val="1"/>
                <w:bCs w:val="1"/>
                <w:color w:val="auto"/>
              </w:rPr>
              <w:t>Scope 1 and 2</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right w:val="single" w:sz="8" w:color="FF160F"/>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tcBorders>
              <w:right w:val="single" w:sz="8" w:color="FF160F"/>
            </w:tcBorders>
            <w:gridSpan w:val="3"/>
          </w:tcPr>
          <w:p>
            <w:pPr>
              <w:jc w:val="center"/>
              <w:ind w:right="808"/>
              <w:spacing w:after="0" w:line="172" w:lineRule="exact"/>
              <w:rPr>
                <w:sz w:val="20"/>
                <w:szCs w:val="20"/>
                <w:color w:val="auto"/>
              </w:rPr>
            </w:pPr>
            <w:r>
              <w:rPr>
                <w:rFonts w:ascii="Arial" w:cs="Arial" w:eastAsia="Arial" w:hAnsi="Arial"/>
                <w:sz w:val="17"/>
                <w:szCs w:val="17"/>
                <w:b w:val="1"/>
                <w:bCs w:val="1"/>
                <w:color w:val="auto"/>
              </w:rPr>
              <w:t>Electric Consumption</w:t>
            </w:r>
          </w:p>
        </w:tc>
        <w:tc>
          <w:tcPr>
            <w:tcW w:w="0" w:type="dxa"/>
            <w:vAlign w:val="bottom"/>
          </w:tcPr>
          <w:p>
            <w:pPr>
              <w:spacing w:after="0"/>
              <w:rPr>
                <w:sz w:val="1"/>
                <w:szCs w:val="1"/>
                <w:color w:val="auto"/>
              </w:rPr>
            </w:pPr>
          </w:p>
        </w:tc>
      </w:tr>
      <w:tr>
        <w:trPr>
          <w:trHeight w:val="231"/>
        </w:trPr>
        <w:tc>
          <w:tcPr>
            <w:tcW w:w="1600" w:type="dxa"/>
            <w:vAlign w:val="bottom"/>
            <w:tcBorders>
              <w:left w:val="single" w:sz="8" w:color="FF160F"/>
              <w:right w:val="single" w:sz="8" w:color="FF160F"/>
            </w:tcBorders>
            <w:gridSpan w:val="2"/>
            <w:shd w:val="clear" w:color="auto" w:fill="D8D8D8"/>
          </w:tcPr>
          <w:p>
            <w:pPr>
              <w:ind w:left="280"/>
              <w:spacing w:after="0"/>
              <w:rPr>
                <w:sz w:val="20"/>
                <w:szCs w:val="20"/>
                <w:color w:val="auto"/>
              </w:rPr>
            </w:pPr>
            <w:r>
              <w:rPr>
                <w:rFonts w:ascii="Arial" w:cs="Arial" w:eastAsia="Arial" w:hAnsi="Arial"/>
                <w:sz w:val="14"/>
                <w:szCs w:val="14"/>
                <w:color w:val="auto"/>
              </w:rPr>
              <w:t>(as of 12/31/2021)</w:t>
            </w:r>
          </w:p>
        </w:tc>
        <w:tc>
          <w:tcPr>
            <w:tcW w:w="3060" w:type="dxa"/>
            <w:vAlign w:val="bottom"/>
            <w:gridSpan w:val="4"/>
          </w:tcPr>
          <w:p>
            <w:pPr>
              <w:jc w:val="center"/>
              <w:ind w:left="1527"/>
              <w:spacing w:after="0"/>
              <w:rPr>
                <w:sz w:val="20"/>
                <w:szCs w:val="20"/>
                <w:color w:val="auto"/>
              </w:rPr>
            </w:pPr>
            <w:r>
              <w:rPr>
                <w:rFonts w:ascii="Arial" w:cs="Arial" w:eastAsia="Arial" w:hAnsi="Arial"/>
                <w:sz w:val="17"/>
                <w:szCs w:val="17"/>
                <w:b w:val="1"/>
                <w:bCs w:val="1"/>
                <w:color w:val="auto"/>
              </w:rPr>
              <w:t>GHG Emissions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right w:val="single" w:sz="8" w:color="FF160F"/>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Borders>
              <w:right w:val="single" w:sz="8" w:color="FF160F"/>
            </w:tcBorders>
            <w:gridSpan w:val="3"/>
          </w:tcPr>
          <w:p>
            <w:pPr>
              <w:jc w:val="center"/>
              <w:ind w:right="828"/>
              <w:spacing w:after="0"/>
              <w:rPr>
                <w:sz w:val="20"/>
                <w:szCs w:val="20"/>
                <w:color w:val="auto"/>
              </w:rPr>
            </w:pPr>
            <w:r>
              <w:rPr>
                <w:rFonts w:ascii="Arial" w:cs="Arial" w:eastAsia="Arial" w:hAnsi="Arial"/>
                <w:sz w:val="17"/>
                <w:szCs w:val="17"/>
                <w:b w:val="1"/>
                <w:bCs w:val="1"/>
                <w:color w:val="auto"/>
              </w:rPr>
              <w:t>Landlord Controlled</w:t>
            </w:r>
          </w:p>
        </w:tc>
        <w:tc>
          <w:tcPr>
            <w:tcW w:w="0" w:type="dxa"/>
            <w:vAlign w:val="bottom"/>
          </w:tcPr>
          <w:p>
            <w:pPr>
              <w:spacing w:after="0"/>
              <w:rPr>
                <w:sz w:val="1"/>
                <w:szCs w:val="1"/>
                <w:color w:val="auto"/>
              </w:rPr>
            </w:pPr>
          </w:p>
        </w:tc>
      </w:tr>
      <w:tr>
        <w:trPr>
          <w:trHeight w:val="348"/>
        </w:trPr>
        <w:tc>
          <w:tcPr>
            <w:tcW w:w="1460" w:type="dxa"/>
            <w:vAlign w:val="bottom"/>
            <w:tcBorders>
              <w:left w:val="single" w:sz="8" w:color="FF160F"/>
              <w:right w:val="single" w:sz="8" w:color="D8D8D8"/>
            </w:tcBorders>
            <w:shd w:val="clear" w:color="auto" w:fill="D8D8D8"/>
          </w:tcPr>
          <w:p>
            <w:pPr>
              <w:spacing w:after="0"/>
              <w:rPr>
                <w:sz w:val="24"/>
                <w:szCs w:val="24"/>
                <w:color w:val="auto"/>
              </w:rPr>
            </w:pPr>
          </w:p>
        </w:tc>
        <w:tc>
          <w:tcPr>
            <w:tcW w:w="140" w:type="dxa"/>
            <w:vAlign w:val="bottom"/>
            <w:tcBorders>
              <w:right w:val="single" w:sz="8" w:color="FF160F"/>
            </w:tcBorders>
            <w:shd w:val="clear" w:color="auto" w:fill="D8D8D8"/>
          </w:tcPr>
          <w:p>
            <w:pPr>
              <w:spacing w:after="0"/>
              <w:rPr>
                <w:sz w:val="24"/>
                <w:szCs w:val="24"/>
                <w:color w:val="auto"/>
              </w:rPr>
            </w:pPr>
          </w:p>
        </w:tc>
        <w:tc>
          <w:tcPr>
            <w:tcW w:w="4580" w:type="dxa"/>
            <w:vAlign w:val="bottom"/>
            <w:tcBorders>
              <w:right w:val="single" w:sz="8" w:color="FF160F"/>
            </w:tcBorders>
            <w:gridSpan w:val="7"/>
          </w:tcPr>
          <w:p>
            <w:pPr>
              <w:jc w:val="center"/>
              <w:ind w:left="7"/>
              <w:spacing w:after="0"/>
              <w:rPr>
                <w:sz w:val="20"/>
                <w:szCs w:val="20"/>
                <w:color w:val="auto"/>
              </w:rPr>
            </w:pPr>
            <w:r>
              <w:rPr>
                <w:rFonts w:ascii="Arial" w:cs="Arial" w:eastAsia="Arial" w:hAnsi="Arial"/>
                <w:sz w:val="21"/>
                <w:szCs w:val="21"/>
                <w:b w:val="1"/>
                <w:bCs w:val="1"/>
                <w:color w:val="FF160F"/>
                <w:w w:val="97"/>
              </w:rPr>
              <w:t>30% Reduction Target</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Borders>
              <w:right w:val="single" w:sz="8" w:color="FF160F"/>
            </w:tcBorders>
            <w:gridSpan w:val="3"/>
          </w:tcPr>
          <w:p>
            <w:pPr>
              <w:jc w:val="center"/>
              <w:ind w:right="808"/>
              <w:spacing w:after="0"/>
              <w:rPr>
                <w:sz w:val="20"/>
                <w:szCs w:val="20"/>
                <w:color w:val="auto"/>
              </w:rPr>
            </w:pPr>
            <w:r>
              <w:rPr>
                <w:rFonts w:ascii="Arial" w:cs="Arial" w:eastAsia="Arial" w:hAnsi="Arial"/>
                <w:sz w:val="21"/>
                <w:szCs w:val="21"/>
                <w:b w:val="1"/>
                <w:bCs w:val="1"/>
                <w:color w:val="FF160F"/>
                <w:w w:val="97"/>
              </w:rPr>
              <w:t>15% Reduction Target</w:t>
            </w:r>
          </w:p>
        </w:tc>
        <w:tc>
          <w:tcPr>
            <w:tcW w:w="0" w:type="dxa"/>
            <w:vAlign w:val="bottom"/>
          </w:tcPr>
          <w:p>
            <w:pPr>
              <w:spacing w:after="0"/>
              <w:rPr>
                <w:sz w:val="1"/>
                <w:szCs w:val="1"/>
                <w:color w:val="auto"/>
              </w:rPr>
            </w:pPr>
          </w:p>
        </w:tc>
      </w:tr>
      <w:tr>
        <w:trPr>
          <w:trHeight w:val="372"/>
        </w:trPr>
        <w:tc>
          <w:tcPr>
            <w:tcW w:w="1460" w:type="dxa"/>
            <w:vAlign w:val="bottom"/>
            <w:tcBorders>
              <w:left w:val="single" w:sz="8" w:color="FF160F"/>
              <w:right w:val="single" w:sz="8" w:color="D8D8D8"/>
            </w:tcBorders>
            <w:shd w:val="clear" w:color="auto" w:fill="D8D8D8"/>
          </w:tcPr>
          <w:p>
            <w:pPr>
              <w:spacing w:after="0"/>
              <w:rPr>
                <w:sz w:val="24"/>
                <w:szCs w:val="24"/>
                <w:color w:val="auto"/>
              </w:rPr>
            </w:pPr>
          </w:p>
        </w:tc>
        <w:tc>
          <w:tcPr>
            <w:tcW w:w="140" w:type="dxa"/>
            <w:vAlign w:val="bottom"/>
            <w:tcBorders>
              <w:right w:val="single" w:sz="8" w:color="FF160F"/>
            </w:tcBorders>
            <w:shd w:val="clear" w:color="auto" w:fill="D8D8D8"/>
          </w:tcPr>
          <w:p>
            <w:pPr>
              <w:spacing w:after="0"/>
              <w:rPr>
                <w:sz w:val="24"/>
                <w:szCs w:val="24"/>
                <w:color w:val="auto"/>
              </w:rPr>
            </w:pPr>
          </w:p>
        </w:tc>
        <w:tc>
          <w:tcPr>
            <w:tcW w:w="4580" w:type="dxa"/>
            <w:vAlign w:val="bottom"/>
            <w:tcBorders>
              <w:right w:val="single" w:sz="8" w:color="FF160F"/>
            </w:tcBorders>
            <w:gridSpan w:val="7"/>
          </w:tcPr>
          <w:p>
            <w:pPr>
              <w:ind w:left="2440"/>
              <w:spacing w:after="0"/>
              <w:rPr>
                <w:sz w:val="20"/>
                <w:szCs w:val="20"/>
                <w:color w:val="auto"/>
              </w:rPr>
            </w:pPr>
            <w:r>
              <w:rPr>
                <w:rFonts w:ascii="Arial" w:cs="Arial" w:eastAsia="Arial" w:hAnsi="Arial"/>
                <w:sz w:val="14"/>
                <w:szCs w:val="14"/>
                <w:color w:val="auto"/>
              </w:rPr>
              <w:t>Decrease landlord</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Borders>
              <w:right w:val="single" w:sz="8" w:color="FF160F"/>
            </w:tcBorders>
          </w:tcPr>
          <w:p>
            <w:pPr>
              <w:jc w:val="center"/>
              <w:ind w:right="648"/>
              <w:spacing w:after="0"/>
              <w:rPr>
                <w:sz w:val="20"/>
                <w:szCs w:val="20"/>
                <w:color w:val="auto"/>
              </w:rPr>
            </w:pPr>
            <w:r>
              <w:rPr>
                <w:rFonts w:ascii="Arial" w:cs="Arial" w:eastAsia="Arial" w:hAnsi="Arial"/>
                <w:sz w:val="14"/>
                <w:szCs w:val="14"/>
                <w:color w:val="auto"/>
                <w:w w:val="98"/>
              </w:rPr>
              <w:t>Decrease landlord</w:t>
            </w:r>
          </w:p>
        </w:tc>
        <w:tc>
          <w:tcPr>
            <w:tcW w:w="0" w:type="dxa"/>
            <w:vAlign w:val="bottom"/>
          </w:tcPr>
          <w:p>
            <w:pPr>
              <w:spacing w:after="0"/>
              <w:rPr>
                <w:sz w:val="1"/>
                <w:szCs w:val="1"/>
                <w:color w:val="auto"/>
              </w:rPr>
            </w:pPr>
          </w:p>
        </w:tc>
      </w:tr>
      <w:tr>
        <w:trPr>
          <w:trHeight w:val="156"/>
        </w:trPr>
        <w:tc>
          <w:tcPr>
            <w:tcW w:w="1460" w:type="dxa"/>
            <w:vAlign w:val="bottom"/>
            <w:tcBorders>
              <w:left w:val="single" w:sz="8" w:color="FF160F"/>
              <w:right w:val="single" w:sz="8" w:color="D8D8D8"/>
            </w:tcBorders>
            <w:shd w:val="clear" w:color="auto" w:fill="D8D8D8"/>
          </w:tcPr>
          <w:p>
            <w:pPr>
              <w:spacing w:after="0"/>
              <w:rPr>
                <w:sz w:val="13"/>
                <w:szCs w:val="13"/>
                <w:color w:val="auto"/>
              </w:rPr>
            </w:pPr>
          </w:p>
        </w:tc>
        <w:tc>
          <w:tcPr>
            <w:tcW w:w="140" w:type="dxa"/>
            <w:vAlign w:val="bottom"/>
            <w:tcBorders>
              <w:right w:val="single" w:sz="8" w:color="FF160F"/>
            </w:tcBorders>
            <w:shd w:val="clear" w:color="auto" w:fill="D8D8D8"/>
          </w:tcPr>
          <w:p>
            <w:pPr>
              <w:spacing w:after="0"/>
              <w:rPr>
                <w:sz w:val="13"/>
                <w:szCs w:val="13"/>
                <w:color w:val="auto"/>
              </w:rPr>
            </w:pPr>
          </w:p>
        </w:tc>
        <w:tc>
          <w:tcPr>
            <w:tcW w:w="4580" w:type="dxa"/>
            <w:vAlign w:val="bottom"/>
            <w:tcBorders>
              <w:right w:val="single" w:sz="8" w:color="FF160F"/>
            </w:tcBorders>
            <w:gridSpan w:val="7"/>
          </w:tcPr>
          <w:p>
            <w:pPr>
              <w:ind w:left="2440"/>
              <w:spacing w:after="0" w:line="156" w:lineRule="exact"/>
              <w:rPr>
                <w:sz w:val="20"/>
                <w:szCs w:val="20"/>
                <w:color w:val="auto"/>
              </w:rPr>
            </w:pPr>
            <w:r>
              <w:rPr>
                <w:rFonts w:ascii="Arial" w:cs="Arial" w:eastAsia="Arial" w:hAnsi="Arial"/>
                <w:sz w:val="14"/>
                <w:szCs w:val="14"/>
                <w:color w:val="auto"/>
              </w:rPr>
              <w:t>controlled emissions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tcBorders>
              <w:right w:val="single" w:sz="8" w:color="FF160F"/>
            </w:tcBorders>
          </w:tcPr>
          <w:p>
            <w:pPr>
              <w:jc w:val="center"/>
              <w:ind w:right="688"/>
              <w:spacing w:after="0" w:line="156" w:lineRule="exact"/>
              <w:rPr>
                <w:sz w:val="20"/>
                <w:szCs w:val="20"/>
                <w:color w:val="auto"/>
              </w:rPr>
            </w:pPr>
            <w:r>
              <w:rPr>
                <w:rFonts w:ascii="Arial" w:cs="Arial" w:eastAsia="Arial" w:hAnsi="Arial"/>
                <w:sz w:val="14"/>
                <w:szCs w:val="14"/>
                <w:color w:val="auto"/>
                <w:w w:val="99"/>
              </w:rPr>
              <w:t>controlled electric</w:t>
            </w:r>
          </w:p>
        </w:tc>
        <w:tc>
          <w:tcPr>
            <w:tcW w:w="0" w:type="dxa"/>
            <w:vAlign w:val="bottom"/>
          </w:tcPr>
          <w:p>
            <w:pPr>
              <w:spacing w:after="0"/>
              <w:rPr>
                <w:sz w:val="1"/>
                <w:szCs w:val="1"/>
                <w:color w:val="auto"/>
              </w:rPr>
            </w:pPr>
          </w:p>
        </w:tc>
      </w:tr>
      <w:tr>
        <w:trPr>
          <w:trHeight w:val="156"/>
        </w:trPr>
        <w:tc>
          <w:tcPr>
            <w:tcW w:w="1460" w:type="dxa"/>
            <w:vAlign w:val="bottom"/>
            <w:tcBorders>
              <w:left w:val="single" w:sz="8" w:color="FF160F"/>
              <w:right w:val="single" w:sz="8" w:color="D8D8D8"/>
            </w:tcBorders>
            <w:shd w:val="clear" w:color="auto" w:fill="D8D8D8"/>
          </w:tcPr>
          <w:p>
            <w:pPr>
              <w:spacing w:after="0"/>
              <w:rPr>
                <w:sz w:val="13"/>
                <w:szCs w:val="13"/>
                <w:color w:val="auto"/>
              </w:rPr>
            </w:pPr>
          </w:p>
        </w:tc>
        <w:tc>
          <w:tcPr>
            <w:tcW w:w="140" w:type="dxa"/>
            <w:vAlign w:val="bottom"/>
            <w:tcBorders>
              <w:right w:val="single" w:sz="8" w:color="FF160F"/>
            </w:tcBorders>
            <w:shd w:val="clear" w:color="auto" w:fill="D8D8D8"/>
          </w:tcPr>
          <w:p>
            <w:pPr>
              <w:spacing w:after="0"/>
              <w:rPr>
                <w:sz w:val="13"/>
                <w:szCs w:val="13"/>
                <w:color w:val="auto"/>
              </w:rPr>
            </w:pPr>
          </w:p>
        </w:tc>
        <w:tc>
          <w:tcPr>
            <w:tcW w:w="4580" w:type="dxa"/>
            <w:vAlign w:val="bottom"/>
            <w:tcBorders>
              <w:right w:val="single" w:sz="8" w:color="FF160F"/>
            </w:tcBorders>
            <w:gridSpan w:val="7"/>
          </w:tcPr>
          <w:p>
            <w:pPr>
              <w:ind w:left="2440"/>
              <w:spacing w:after="0" w:line="156" w:lineRule="exact"/>
              <w:rPr>
                <w:sz w:val="20"/>
                <w:szCs w:val="20"/>
                <w:color w:val="auto"/>
              </w:rPr>
            </w:pPr>
            <w:r>
              <w:rPr>
                <w:rFonts w:ascii="Arial" w:cs="Arial" w:eastAsia="Arial" w:hAnsi="Arial"/>
                <w:sz w:val="14"/>
                <w:szCs w:val="14"/>
                <w:color w:val="auto"/>
              </w:rPr>
              <w:t>between 2019 and</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tcBorders>
              <w:right w:val="single" w:sz="8" w:color="FF160F"/>
            </w:tcBorders>
          </w:tcPr>
          <w:p>
            <w:pPr>
              <w:ind w:left="260"/>
              <w:spacing w:after="0" w:line="156" w:lineRule="exact"/>
              <w:rPr>
                <w:sz w:val="20"/>
                <w:szCs w:val="20"/>
                <w:color w:val="auto"/>
              </w:rPr>
            </w:pPr>
            <w:r>
              <w:rPr>
                <w:rFonts w:ascii="Arial" w:cs="Arial" w:eastAsia="Arial" w:hAnsi="Arial"/>
                <w:sz w:val="14"/>
                <w:szCs w:val="14"/>
                <w:color w:val="auto"/>
              </w:rPr>
              <w:t>consumption between</w:t>
            </w:r>
          </w:p>
        </w:tc>
        <w:tc>
          <w:tcPr>
            <w:tcW w:w="0" w:type="dxa"/>
            <w:vAlign w:val="bottom"/>
          </w:tcPr>
          <w:p>
            <w:pPr>
              <w:spacing w:after="0"/>
              <w:rPr>
                <w:sz w:val="1"/>
                <w:szCs w:val="1"/>
                <w:color w:val="auto"/>
              </w:rPr>
            </w:pPr>
          </w:p>
        </w:tc>
      </w:tr>
      <w:tr>
        <w:trPr>
          <w:trHeight w:val="166"/>
        </w:trPr>
        <w:tc>
          <w:tcPr>
            <w:tcW w:w="1460" w:type="dxa"/>
            <w:vAlign w:val="bottom"/>
            <w:tcBorders>
              <w:left w:val="single" w:sz="8" w:color="FF160F"/>
              <w:right w:val="single" w:sz="8" w:color="D8D8D8"/>
            </w:tcBorders>
            <w:shd w:val="clear" w:color="auto" w:fill="D8D8D8"/>
          </w:tcPr>
          <w:p>
            <w:pPr>
              <w:spacing w:after="0"/>
              <w:rPr>
                <w:sz w:val="14"/>
                <w:szCs w:val="14"/>
                <w:color w:val="auto"/>
              </w:rPr>
            </w:pPr>
          </w:p>
        </w:tc>
        <w:tc>
          <w:tcPr>
            <w:tcW w:w="140" w:type="dxa"/>
            <w:vAlign w:val="bottom"/>
            <w:tcBorders>
              <w:right w:val="single" w:sz="8" w:color="FF160F"/>
            </w:tcBorders>
            <w:shd w:val="clear" w:color="auto" w:fill="D8D8D8"/>
          </w:tcPr>
          <w:p>
            <w:pPr>
              <w:spacing w:after="0"/>
              <w:rPr>
                <w:sz w:val="14"/>
                <w:szCs w:val="14"/>
                <w:color w:val="auto"/>
              </w:rPr>
            </w:pPr>
          </w:p>
        </w:tc>
        <w:tc>
          <w:tcPr>
            <w:tcW w:w="2920" w:type="dxa"/>
            <w:vAlign w:val="bottom"/>
            <w:gridSpan w:val="3"/>
          </w:tcPr>
          <w:p>
            <w:pPr>
              <w:ind w:left="2440"/>
              <w:spacing w:after="0"/>
              <w:rPr>
                <w:sz w:val="20"/>
                <w:szCs w:val="20"/>
                <w:color w:val="auto"/>
              </w:rPr>
            </w:pPr>
            <w:r>
              <w:rPr>
                <w:rFonts w:ascii="Arial" w:cs="Arial" w:eastAsia="Arial" w:hAnsi="Arial"/>
                <w:sz w:val="14"/>
                <w:szCs w:val="14"/>
                <w:color w:val="auto"/>
              </w:rPr>
              <w:t>2025</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right w:val="single" w:sz="8" w:color="FF160F"/>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right w:val="single" w:sz="8" w:color="FF160F"/>
            </w:tcBorders>
          </w:tcPr>
          <w:p>
            <w:pPr>
              <w:ind w:left="260"/>
              <w:spacing w:after="0"/>
              <w:rPr>
                <w:sz w:val="20"/>
                <w:szCs w:val="20"/>
                <w:color w:val="auto"/>
              </w:rPr>
            </w:pPr>
            <w:r>
              <w:rPr>
                <w:rFonts w:ascii="Arial" w:cs="Arial" w:eastAsia="Arial" w:hAnsi="Arial"/>
                <w:sz w:val="14"/>
                <w:szCs w:val="14"/>
                <w:color w:val="auto"/>
              </w:rPr>
              <w:t>2019 and 2025</w:t>
            </w:r>
          </w:p>
        </w:tc>
        <w:tc>
          <w:tcPr>
            <w:tcW w:w="0" w:type="dxa"/>
            <w:vAlign w:val="bottom"/>
          </w:tcPr>
          <w:p>
            <w:pPr>
              <w:spacing w:after="0"/>
              <w:rPr>
                <w:sz w:val="1"/>
                <w:szCs w:val="1"/>
                <w:color w:val="auto"/>
              </w:rPr>
            </w:pPr>
          </w:p>
        </w:tc>
      </w:tr>
      <w:tr>
        <w:trPr>
          <w:trHeight w:val="155"/>
        </w:trPr>
        <w:tc>
          <w:tcPr>
            <w:tcW w:w="1460" w:type="dxa"/>
            <w:vAlign w:val="bottom"/>
            <w:tcBorders>
              <w:left w:val="single" w:sz="8" w:color="FF160F"/>
              <w:bottom w:val="single" w:sz="8" w:color="EAEFED"/>
              <w:right w:val="single" w:sz="8" w:color="D8D8D8"/>
            </w:tcBorders>
            <w:shd w:val="clear" w:color="auto" w:fill="D8D8D8"/>
          </w:tcPr>
          <w:p>
            <w:pPr>
              <w:spacing w:after="0"/>
              <w:rPr>
                <w:sz w:val="13"/>
                <w:szCs w:val="13"/>
                <w:color w:val="auto"/>
              </w:rPr>
            </w:pPr>
          </w:p>
        </w:tc>
        <w:tc>
          <w:tcPr>
            <w:tcW w:w="140" w:type="dxa"/>
            <w:vAlign w:val="bottom"/>
            <w:tcBorders>
              <w:bottom w:val="single" w:sz="8" w:color="EAEFED"/>
              <w:right w:val="single" w:sz="8" w:color="FF160F"/>
            </w:tcBorders>
            <w:shd w:val="clear" w:color="auto" w:fill="D8D8D8"/>
          </w:tcPr>
          <w:p>
            <w:pPr>
              <w:spacing w:after="0"/>
              <w:rPr>
                <w:sz w:val="13"/>
                <w:szCs w:val="13"/>
                <w:color w:val="auto"/>
              </w:rPr>
            </w:pPr>
          </w:p>
        </w:tc>
        <w:tc>
          <w:tcPr>
            <w:tcW w:w="2720" w:type="dxa"/>
            <w:vAlign w:val="bottom"/>
            <w:tcBorders>
              <w:bottom w:val="single" w:sz="8" w:color="FF160F"/>
            </w:tcBorders>
            <w:gridSpan w:val="2"/>
          </w:tcPr>
          <w:p>
            <w:pPr>
              <w:spacing w:after="0"/>
              <w:rPr>
                <w:sz w:val="13"/>
                <w:szCs w:val="13"/>
                <w:color w:val="auto"/>
              </w:rPr>
            </w:pPr>
          </w:p>
        </w:tc>
        <w:tc>
          <w:tcPr>
            <w:tcW w:w="340" w:type="dxa"/>
            <w:vAlign w:val="bottom"/>
            <w:tcBorders>
              <w:bottom w:val="single" w:sz="8" w:color="FF160F"/>
            </w:tcBorders>
            <w:gridSpan w:val="2"/>
          </w:tcPr>
          <w:p>
            <w:pPr>
              <w:spacing w:after="0"/>
              <w:rPr>
                <w:sz w:val="13"/>
                <w:szCs w:val="13"/>
                <w:color w:val="auto"/>
              </w:rPr>
            </w:pPr>
          </w:p>
        </w:tc>
        <w:tc>
          <w:tcPr>
            <w:tcW w:w="1520" w:type="dxa"/>
            <w:vAlign w:val="bottom"/>
            <w:tcBorders>
              <w:bottom w:val="single" w:sz="8" w:color="FF160F"/>
              <w:right w:val="single" w:sz="8" w:color="FF160F"/>
            </w:tcBorders>
            <w:gridSpan w:val="3"/>
          </w:tcPr>
          <w:p>
            <w:pPr>
              <w:spacing w:after="0"/>
              <w:rPr>
                <w:sz w:val="13"/>
                <w:szCs w:val="13"/>
                <w:color w:val="auto"/>
              </w:rPr>
            </w:pPr>
          </w:p>
        </w:tc>
        <w:tc>
          <w:tcPr>
            <w:tcW w:w="40" w:type="dxa"/>
            <w:vAlign w:val="bottom"/>
            <w:tcBorders>
              <w:bottom w:val="single" w:sz="8" w:color="FF160F"/>
            </w:tcBorders>
          </w:tcPr>
          <w:p>
            <w:pPr>
              <w:spacing w:after="0"/>
              <w:rPr>
                <w:sz w:val="13"/>
                <w:szCs w:val="13"/>
                <w:color w:val="auto"/>
              </w:rPr>
            </w:pPr>
          </w:p>
        </w:tc>
        <w:tc>
          <w:tcPr>
            <w:tcW w:w="620" w:type="dxa"/>
            <w:vAlign w:val="bottom"/>
            <w:tcBorders>
              <w:bottom w:val="single" w:sz="8" w:color="FF160F"/>
            </w:tcBorders>
          </w:tcPr>
          <w:p>
            <w:pPr>
              <w:spacing w:after="0"/>
              <w:rPr>
                <w:sz w:val="13"/>
                <w:szCs w:val="13"/>
                <w:color w:val="auto"/>
              </w:rPr>
            </w:pPr>
          </w:p>
        </w:tc>
        <w:tc>
          <w:tcPr>
            <w:tcW w:w="300" w:type="dxa"/>
            <w:vAlign w:val="bottom"/>
            <w:tcBorders>
              <w:bottom w:val="single" w:sz="8" w:color="FF160F"/>
            </w:tcBorders>
          </w:tcPr>
          <w:p>
            <w:pPr>
              <w:spacing w:after="0"/>
              <w:rPr>
                <w:sz w:val="13"/>
                <w:szCs w:val="13"/>
                <w:color w:val="auto"/>
              </w:rPr>
            </w:pPr>
          </w:p>
        </w:tc>
        <w:tc>
          <w:tcPr>
            <w:tcW w:w="560" w:type="dxa"/>
            <w:vAlign w:val="bottom"/>
            <w:tcBorders>
              <w:bottom w:val="single" w:sz="8" w:color="FF160F"/>
            </w:tcBorders>
          </w:tcPr>
          <w:p>
            <w:pPr>
              <w:spacing w:after="0"/>
              <w:rPr>
                <w:sz w:val="13"/>
                <w:szCs w:val="13"/>
                <w:color w:val="auto"/>
              </w:rPr>
            </w:pPr>
          </w:p>
        </w:tc>
        <w:tc>
          <w:tcPr>
            <w:tcW w:w="560" w:type="dxa"/>
            <w:vAlign w:val="bottom"/>
            <w:tcBorders>
              <w:bottom w:val="single" w:sz="8" w:color="FF160F"/>
            </w:tcBorders>
          </w:tcPr>
          <w:p>
            <w:pPr>
              <w:spacing w:after="0"/>
              <w:rPr>
                <w:sz w:val="13"/>
                <w:szCs w:val="13"/>
                <w:color w:val="auto"/>
              </w:rPr>
            </w:pPr>
          </w:p>
        </w:tc>
        <w:tc>
          <w:tcPr>
            <w:tcW w:w="2380" w:type="dxa"/>
            <w:vAlign w:val="bottom"/>
            <w:tcBorders>
              <w:bottom w:val="single" w:sz="8" w:color="FF160F"/>
              <w:right w:val="single" w:sz="8" w:color="FF160F"/>
            </w:tcBorders>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460" w:type="dxa"/>
            <w:vAlign w:val="bottom"/>
            <w:tcBorders>
              <w:left w:val="single" w:sz="8" w:color="FF160F"/>
              <w:right w:val="single" w:sz="8" w:color="D8D8D8"/>
            </w:tcBorders>
            <w:shd w:val="clear" w:color="auto" w:fill="D8D8D8"/>
          </w:tcPr>
          <w:p>
            <w:pPr>
              <w:spacing w:after="0"/>
              <w:rPr>
                <w:sz w:val="24"/>
                <w:szCs w:val="24"/>
                <w:color w:val="auto"/>
              </w:rPr>
            </w:pPr>
          </w:p>
        </w:tc>
        <w:tc>
          <w:tcPr>
            <w:tcW w:w="140" w:type="dxa"/>
            <w:vAlign w:val="bottom"/>
            <w:tcBorders>
              <w:right w:val="single" w:sz="8" w:color="FF160F"/>
            </w:tcBorders>
            <w:shd w:val="clear" w:color="auto" w:fill="D8D8D8"/>
          </w:tcPr>
          <w:p>
            <w:pPr>
              <w:spacing w:after="0"/>
              <w:rPr>
                <w:sz w:val="24"/>
                <w:szCs w:val="24"/>
                <w:color w:val="auto"/>
              </w:rPr>
            </w:pPr>
          </w:p>
        </w:tc>
        <w:tc>
          <w:tcPr>
            <w:tcW w:w="2720" w:type="dxa"/>
            <w:vAlign w:val="bottom"/>
            <w:tcBorders>
              <w:right w:val="single" w:sz="8" w:color="FF160F"/>
            </w:tcBorders>
            <w:gridSpan w:val="2"/>
          </w:tcPr>
          <w:p>
            <w:pPr>
              <w:ind w:left="560"/>
              <w:spacing w:after="0"/>
              <w:rPr>
                <w:sz w:val="20"/>
                <w:szCs w:val="20"/>
                <w:color w:val="auto"/>
              </w:rPr>
            </w:pPr>
            <w:r>
              <w:rPr>
                <w:rFonts w:ascii="Arial" w:cs="Arial" w:eastAsia="Arial" w:hAnsi="Arial"/>
                <w:sz w:val="31"/>
                <w:szCs w:val="31"/>
                <w:color w:val="auto"/>
              </w:rPr>
              <w:t>$1.2 billion</w:t>
            </w:r>
          </w:p>
        </w:tc>
        <w:tc>
          <w:tcPr>
            <w:tcW w:w="340" w:type="dxa"/>
            <w:vAlign w:val="bottom"/>
            <w:gridSpan w:val="2"/>
          </w:tcPr>
          <w:p>
            <w:pPr>
              <w:spacing w:after="0"/>
              <w:rPr>
                <w:sz w:val="24"/>
                <w:szCs w:val="24"/>
                <w:color w:val="auto"/>
              </w:rPr>
            </w:pPr>
          </w:p>
        </w:tc>
        <w:tc>
          <w:tcPr>
            <w:tcW w:w="1560" w:type="dxa"/>
            <w:vAlign w:val="bottom"/>
            <w:gridSpan w:val="4"/>
          </w:tcPr>
          <w:p>
            <w:pPr>
              <w:jc w:val="center"/>
              <w:ind w:left="488"/>
              <w:spacing w:after="0"/>
              <w:rPr>
                <w:sz w:val="20"/>
                <w:szCs w:val="20"/>
                <w:color w:val="auto"/>
              </w:rPr>
            </w:pPr>
            <w:r>
              <w:rPr>
                <w:rFonts w:ascii="Arial" w:cs="Arial" w:eastAsia="Arial" w:hAnsi="Arial"/>
                <w:sz w:val="31"/>
                <w:szCs w:val="31"/>
                <w:color w:val="auto"/>
              </w:rPr>
              <w:t>13.1</w:t>
            </w:r>
            <w:r>
              <w:rPr>
                <w:rFonts w:ascii="Arial" w:cs="Arial" w:eastAsia="Arial" w:hAnsi="Arial"/>
                <w:sz w:val="15"/>
                <w:szCs w:val="15"/>
                <w:color w:val="auto"/>
              </w:rPr>
              <w:t>MW</w:t>
            </w:r>
          </w:p>
        </w:tc>
        <w:tc>
          <w:tcPr>
            <w:tcW w:w="620" w:type="dxa"/>
            <w:vAlign w:val="bottom"/>
          </w:tcPr>
          <w:p>
            <w:pPr>
              <w:spacing w:after="0"/>
              <w:rPr>
                <w:sz w:val="24"/>
                <w:szCs w:val="24"/>
                <w:color w:val="auto"/>
              </w:rPr>
            </w:pPr>
          </w:p>
        </w:tc>
        <w:tc>
          <w:tcPr>
            <w:tcW w:w="300" w:type="dxa"/>
            <w:vAlign w:val="bottom"/>
            <w:tcBorders>
              <w:right w:val="single" w:sz="8" w:color="FF160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Borders>
              <w:right w:val="single" w:sz="8" w:color="FF160F"/>
            </w:tcBorders>
          </w:tcPr>
          <w:p>
            <w:pPr>
              <w:jc w:val="center"/>
              <w:ind w:right="1008"/>
              <w:spacing w:after="0"/>
              <w:rPr>
                <w:sz w:val="20"/>
                <w:szCs w:val="20"/>
                <w:color w:val="auto"/>
              </w:rPr>
            </w:pPr>
            <w:r>
              <w:rPr>
                <w:rFonts w:ascii="Arial" w:cs="Arial" w:eastAsia="Arial" w:hAnsi="Arial"/>
                <w:sz w:val="31"/>
                <w:szCs w:val="31"/>
                <w:color w:val="auto"/>
              </w:rPr>
              <w:t>274</w:t>
            </w:r>
          </w:p>
        </w:tc>
        <w:tc>
          <w:tcPr>
            <w:tcW w:w="0" w:type="dxa"/>
            <w:vAlign w:val="bottom"/>
          </w:tcPr>
          <w:p>
            <w:pPr>
              <w:spacing w:after="0"/>
              <w:rPr>
                <w:sz w:val="1"/>
                <w:szCs w:val="1"/>
                <w:color w:val="auto"/>
              </w:rPr>
            </w:pPr>
          </w:p>
        </w:tc>
      </w:tr>
      <w:tr>
        <w:trPr>
          <w:trHeight w:val="195"/>
        </w:trPr>
        <w:tc>
          <w:tcPr>
            <w:tcW w:w="1460" w:type="dxa"/>
            <w:vAlign w:val="bottom"/>
            <w:tcBorders>
              <w:left w:val="single" w:sz="8" w:color="FF160F"/>
              <w:right w:val="single" w:sz="8" w:color="D8D8D8"/>
            </w:tcBorders>
            <w:shd w:val="clear" w:color="auto" w:fill="D8D8D8"/>
          </w:tcPr>
          <w:p>
            <w:pPr>
              <w:spacing w:after="0"/>
              <w:rPr>
                <w:sz w:val="16"/>
                <w:szCs w:val="16"/>
                <w:color w:val="auto"/>
              </w:rPr>
            </w:pPr>
          </w:p>
        </w:tc>
        <w:tc>
          <w:tcPr>
            <w:tcW w:w="140" w:type="dxa"/>
            <w:vAlign w:val="bottom"/>
            <w:tcBorders>
              <w:right w:val="single" w:sz="8" w:color="FF160F"/>
            </w:tcBorders>
            <w:shd w:val="clear" w:color="auto" w:fill="D8D8D8"/>
          </w:tcPr>
          <w:p>
            <w:pPr>
              <w:spacing w:after="0"/>
              <w:rPr>
                <w:sz w:val="16"/>
                <w:szCs w:val="16"/>
                <w:color w:val="auto"/>
              </w:rPr>
            </w:pPr>
          </w:p>
        </w:tc>
        <w:tc>
          <w:tcPr>
            <w:tcW w:w="2720" w:type="dxa"/>
            <w:vAlign w:val="bottom"/>
            <w:tcBorders>
              <w:right w:val="single" w:sz="8" w:color="FF160F"/>
            </w:tcBorders>
            <w:gridSpan w:val="2"/>
          </w:tcPr>
          <w:p>
            <w:pPr>
              <w:jc w:val="center"/>
              <w:ind w:right="80"/>
              <w:spacing w:after="0"/>
              <w:rPr>
                <w:sz w:val="20"/>
                <w:szCs w:val="20"/>
                <w:color w:val="auto"/>
              </w:rPr>
            </w:pPr>
            <w:r>
              <w:rPr>
                <w:rFonts w:ascii="Arial" w:cs="Arial" w:eastAsia="Arial" w:hAnsi="Arial"/>
                <w:sz w:val="17"/>
                <w:szCs w:val="17"/>
                <w:color w:val="auto"/>
              </w:rPr>
              <w:t>Invested in LEED certified</w:t>
            </w:r>
          </w:p>
        </w:tc>
        <w:tc>
          <w:tcPr>
            <w:tcW w:w="340" w:type="dxa"/>
            <w:vAlign w:val="bottom"/>
            <w:gridSpan w:val="2"/>
          </w:tcPr>
          <w:p>
            <w:pPr>
              <w:spacing w:after="0"/>
              <w:rPr>
                <w:sz w:val="16"/>
                <w:szCs w:val="16"/>
                <w:color w:val="auto"/>
              </w:rPr>
            </w:pPr>
          </w:p>
        </w:tc>
        <w:tc>
          <w:tcPr>
            <w:tcW w:w="2180" w:type="dxa"/>
            <w:vAlign w:val="bottom"/>
            <w:gridSpan w:val="5"/>
          </w:tcPr>
          <w:p>
            <w:pPr>
              <w:jc w:val="center"/>
              <w:spacing w:after="0"/>
              <w:rPr>
                <w:sz w:val="20"/>
                <w:szCs w:val="20"/>
                <w:color w:val="auto"/>
              </w:rPr>
            </w:pPr>
            <w:r>
              <w:rPr>
                <w:rFonts w:ascii="Arial" w:cs="Arial" w:eastAsia="Arial" w:hAnsi="Arial"/>
                <w:sz w:val="17"/>
                <w:szCs w:val="17"/>
                <w:color w:val="auto"/>
              </w:rPr>
              <w:t>Solar power generating</w:t>
            </w:r>
          </w:p>
        </w:tc>
        <w:tc>
          <w:tcPr>
            <w:tcW w:w="300" w:type="dxa"/>
            <w:vAlign w:val="bottom"/>
            <w:tcBorders>
              <w:right w:val="single" w:sz="8" w:color="FF160F"/>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FF160F"/>
            </w:tcBorders>
            <w:gridSpan w:val="2"/>
          </w:tcPr>
          <w:p>
            <w:pPr>
              <w:jc w:val="center"/>
              <w:ind w:right="448"/>
              <w:spacing w:after="0"/>
              <w:rPr>
                <w:sz w:val="20"/>
                <w:szCs w:val="20"/>
                <w:color w:val="auto"/>
              </w:rPr>
            </w:pPr>
            <w:r>
              <w:rPr>
                <w:rFonts w:ascii="Arial" w:cs="Arial" w:eastAsia="Arial" w:hAnsi="Arial"/>
                <w:sz w:val="17"/>
                <w:szCs w:val="17"/>
                <w:color w:val="auto"/>
              </w:rPr>
              <w:t>EV charging stations installed</w:t>
            </w:r>
          </w:p>
        </w:tc>
        <w:tc>
          <w:tcPr>
            <w:tcW w:w="0" w:type="dxa"/>
            <w:vAlign w:val="bottom"/>
          </w:tcPr>
          <w:p>
            <w:pPr>
              <w:spacing w:after="0"/>
              <w:rPr>
                <w:sz w:val="1"/>
                <w:szCs w:val="1"/>
                <w:color w:val="auto"/>
              </w:rPr>
            </w:pPr>
          </w:p>
        </w:tc>
      </w:tr>
      <w:tr>
        <w:trPr>
          <w:trHeight w:val="195"/>
        </w:trPr>
        <w:tc>
          <w:tcPr>
            <w:tcW w:w="1460" w:type="dxa"/>
            <w:vAlign w:val="bottom"/>
            <w:tcBorders>
              <w:left w:val="single" w:sz="8" w:color="FF160F"/>
              <w:right w:val="single" w:sz="8" w:color="D8D8D8"/>
            </w:tcBorders>
            <w:shd w:val="clear" w:color="auto" w:fill="D8D8D8"/>
          </w:tcPr>
          <w:p>
            <w:pPr>
              <w:spacing w:after="0"/>
              <w:rPr>
                <w:sz w:val="16"/>
                <w:szCs w:val="16"/>
                <w:color w:val="auto"/>
              </w:rPr>
            </w:pPr>
          </w:p>
        </w:tc>
        <w:tc>
          <w:tcPr>
            <w:tcW w:w="140" w:type="dxa"/>
            <w:vAlign w:val="bottom"/>
            <w:tcBorders>
              <w:right w:val="single" w:sz="8" w:color="FF160F"/>
            </w:tcBorders>
            <w:shd w:val="clear" w:color="auto" w:fill="D8D8D8"/>
          </w:tcPr>
          <w:p>
            <w:pPr>
              <w:spacing w:after="0"/>
              <w:rPr>
                <w:sz w:val="16"/>
                <w:szCs w:val="16"/>
                <w:color w:val="auto"/>
              </w:rPr>
            </w:pPr>
          </w:p>
        </w:tc>
        <w:tc>
          <w:tcPr>
            <w:tcW w:w="2720" w:type="dxa"/>
            <w:vAlign w:val="bottom"/>
            <w:tcBorders>
              <w:right w:val="single" w:sz="8" w:color="FF160F"/>
            </w:tcBorders>
            <w:gridSpan w:val="2"/>
          </w:tcPr>
          <w:p>
            <w:pPr>
              <w:jc w:val="center"/>
              <w:ind w:right="60"/>
              <w:spacing w:after="0"/>
              <w:rPr>
                <w:sz w:val="20"/>
                <w:szCs w:val="20"/>
                <w:color w:val="auto"/>
              </w:rPr>
            </w:pPr>
            <w:r>
              <w:rPr>
                <w:rFonts w:ascii="Arial" w:cs="Arial" w:eastAsia="Arial" w:hAnsi="Arial"/>
                <w:sz w:val="17"/>
                <w:szCs w:val="17"/>
                <w:color w:val="auto"/>
              </w:rPr>
              <w:t>buildings currently in service</w:t>
            </w:r>
          </w:p>
        </w:tc>
        <w:tc>
          <w:tcPr>
            <w:tcW w:w="340" w:type="dxa"/>
            <w:vAlign w:val="bottom"/>
            <w:gridSpan w:val="2"/>
          </w:tcPr>
          <w:p>
            <w:pPr>
              <w:spacing w:after="0"/>
              <w:rPr>
                <w:sz w:val="16"/>
                <w:szCs w:val="16"/>
                <w:color w:val="auto"/>
              </w:rPr>
            </w:pPr>
          </w:p>
        </w:tc>
        <w:tc>
          <w:tcPr>
            <w:tcW w:w="2180" w:type="dxa"/>
            <w:vAlign w:val="bottom"/>
            <w:gridSpan w:val="5"/>
          </w:tcPr>
          <w:p>
            <w:pPr>
              <w:jc w:val="center"/>
              <w:spacing w:after="0"/>
              <w:rPr>
                <w:sz w:val="20"/>
                <w:szCs w:val="20"/>
                <w:color w:val="auto"/>
              </w:rPr>
            </w:pPr>
            <w:r>
              <w:rPr>
                <w:rFonts w:ascii="Arial" w:cs="Arial" w:eastAsia="Arial" w:hAnsi="Arial"/>
                <w:sz w:val="17"/>
                <w:szCs w:val="17"/>
                <w:color w:val="auto"/>
              </w:rPr>
              <w:t>capacity in solar arrays at</w:t>
            </w:r>
          </w:p>
        </w:tc>
        <w:tc>
          <w:tcPr>
            <w:tcW w:w="300" w:type="dxa"/>
            <w:vAlign w:val="bottom"/>
            <w:tcBorders>
              <w:right w:val="single" w:sz="8" w:color="FF160F"/>
            </w:tcBorders>
          </w:tcPr>
          <w:p>
            <w:pPr>
              <w:spacing w:after="0"/>
              <w:rPr>
                <w:sz w:val="16"/>
                <w:szCs w:val="16"/>
                <w:color w:val="auto"/>
              </w:rPr>
            </w:pPr>
          </w:p>
        </w:tc>
        <w:tc>
          <w:tcPr>
            <w:tcW w:w="3500" w:type="dxa"/>
            <w:vAlign w:val="bottom"/>
            <w:tcBorders>
              <w:right w:val="single" w:sz="8" w:color="FF160F"/>
            </w:tcBorders>
            <w:gridSpan w:val="3"/>
          </w:tcPr>
          <w:p>
            <w:pPr>
              <w:ind w:left="240"/>
              <w:spacing w:after="0"/>
              <w:rPr>
                <w:sz w:val="20"/>
                <w:szCs w:val="20"/>
                <w:color w:val="auto"/>
              </w:rPr>
            </w:pPr>
            <w:r>
              <w:rPr>
                <w:rFonts w:ascii="Arial" w:cs="Arial" w:eastAsia="Arial" w:hAnsi="Arial"/>
                <w:sz w:val="17"/>
                <w:szCs w:val="17"/>
                <w:color w:val="auto"/>
              </w:rPr>
              <w:t>avoiding more than 3,000 metric  tons of</w:t>
            </w:r>
          </w:p>
        </w:tc>
        <w:tc>
          <w:tcPr>
            <w:tcW w:w="0" w:type="dxa"/>
            <w:vAlign w:val="bottom"/>
          </w:tcPr>
          <w:p>
            <w:pPr>
              <w:spacing w:after="0"/>
              <w:rPr>
                <w:sz w:val="1"/>
                <w:szCs w:val="1"/>
                <w:color w:val="auto"/>
              </w:rPr>
            </w:pPr>
          </w:p>
        </w:tc>
      </w:tr>
      <w:tr>
        <w:trPr>
          <w:trHeight w:val="267"/>
        </w:trPr>
        <w:tc>
          <w:tcPr>
            <w:tcW w:w="1460" w:type="dxa"/>
            <w:vAlign w:val="bottom"/>
            <w:tcBorders>
              <w:left w:val="single" w:sz="8" w:color="FF160F"/>
              <w:bottom w:val="single" w:sz="8" w:color="D8D8D8"/>
              <w:right w:val="single" w:sz="8" w:color="D8D8D8"/>
            </w:tcBorders>
            <w:shd w:val="clear" w:color="auto" w:fill="D8D8D8"/>
          </w:tcPr>
          <w:p>
            <w:pPr>
              <w:spacing w:after="0"/>
              <w:rPr>
                <w:sz w:val="23"/>
                <w:szCs w:val="23"/>
                <w:color w:val="auto"/>
              </w:rPr>
            </w:pPr>
          </w:p>
        </w:tc>
        <w:tc>
          <w:tcPr>
            <w:tcW w:w="140" w:type="dxa"/>
            <w:vAlign w:val="bottom"/>
            <w:tcBorders>
              <w:bottom w:val="single" w:sz="8" w:color="D8D8D8"/>
              <w:right w:val="single" w:sz="8" w:color="FF160F"/>
            </w:tcBorders>
            <w:shd w:val="clear" w:color="auto" w:fill="D8D8D8"/>
          </w:tcPr>
          <w:p>
            <w:pPr>
              <w:spacing w:after="0"/>
              <w:rPr>
                <w:sz w:val="23"/>
                <w:szCs w:val="23"/>
                <w:color w:val="auto"/>
              </w:rPr>
            </w:pPr>
          </w:p>
        </w:tc>
        <w:tc>
          <w:tcPr>
            <w:tcW w:w="2640" w:type="dxa"/>
            <w:vAlign w:val="bottom"/>
          </w:tcPr>
          <w:p>
            <w:pPr>
              <w:spacing w:after="0"/>
              <w:rPr>
                <w:sz w:val="23"/>
                <w:szCs w:val="23"/>
                <w:color w:val="auto"/>
              </w:rPr>
            </w:pPr>
          </w:p>
        </w:tc>
        <w:tc>
          <w:tcPr>
            <w:tcW w:w="80" w:type="dxa"/>
            <w:vAlign w:val="bottom"/>
            <w:tcBorders>
              <w:right w:val="single" w:sz="8" w:color="FF160F"/>
            </w:tcBorders>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80" w:type="dxa"/>
            <w:vAlign w:val="bottom"/>
            <w:gridSpan w:val="5"/>
          </w:tcPr>
          <w:p>
            <w:pPr>
              <w:jc w:val="center"/>
              <w:spacing w:after="0"/>
              <w:rPr>
                <w:sz w:val="20"/>
                <w:szCs w:val="20"/>
                <w:color w:val="auto"/>
              </w:rPr>
            </w:pPr>
            <w:r>
              <w:rPr>
                <w:rFonts w:ascii="Arial" w:cs="Arial" w:eastAsia="Arial" w:hAnsi="Arial"/>
                <w:sz w:val="17"/>
                <w:szCs w:val="17"/>
                <w:color w:val="auto"/>
              </w:rPr>
              <w:t>25% of our properties</w:t>
            </w:r>
          </w:p>
        </w:tc>
        <w:tc>
          <w:tcPr>
            <w:tcW w:w="300" w:type="dxa"/>
            <w:vAlign w:val="bottom"/>
            <w:tcBorders>
              <w:right w:val="single" w:sz="8" w:color="FF160F"/>
            </w:tcBorders>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80" w:type="dxa"/>
            <w:vAlign w:val="bottom"/>
            <w:tcBorders>
              <w:right w:val="single" w:sz="8" w:color="FF160F"/>
            </w:tcBorders>
          </w:tcPr>
          <w:p>
            <w:pPr>
              <w:jc w:val="center"/>
              <w:ind w:right="1008"/>
              <w:spacing w:after="0"/>
              <w:rPr>
                <w:sz w:val="20"/>
                <w:szCs w:val="20"/>
                <w:color w:val="auto"/>
              </w:rPr>
            </w:pPr>
            <w:r>
              <w:rPr>
                <w:rFonts w:ascii="Arial" w:cs="Arial" w:eastAsia="Arial" w:hAnsi="Arial"/>
                <w:sz w:val="17"/>
                <w:szCs w:val="17"/>
                <w:color w:val="auto"/>
              </w:rPr>
              <w:t>GHG emissions</w:t>
            </w:r>
          </w:p>
        </w:tc>
        <w:tc>
          <w:tcPr>
            <w:tcW w:w="0" w:type="dxa"/>
            <w:vAlign w:val="bottom"/>
          </w:tcPr>
          <w:p>
            <w:pPr>
              <w:spacing w:after="0"/>
              <w:rPr>
                <w:sz w:val="1"/>
                <w:szCs w:val="1"/>
                <w:color w:val="auto"/>
              </w:rPr>
            </w:pPr>
          </w:p>
        </w:tc>
      </w:tr>
      <w:tr>
        <w:trPr>
          <w:trHeight w:val="351"/>
        </w:trPr>
        <w:tc>
          <w:tcPr>
            <w:tcW w:w="1460" w:type="dxa"/>
            <w:vAlign w:val="bottom"/>
            <w:tcBorders>
              <w:top w:val="single" w:sz="8" w:color="FF160F"/>
            </w:tcBorders>
          </w:tcPr>
          <w:p>
            <w:pPr>
              <w:spacing w:after="0"/>
              <w:rPr>
                <w:sz w:val="24"/>
                <w:szCs w:val="24"/>
                <w:color w:val="auto"/>
              </w:rPr>
            </w:pPr>
          </w:p>
        </w:tc>
        <w:tc>
          <w:tcPr>
            <w:tcW w:w="140" w:type="dxa"/>
            <w:vAlign w:val="bottom"/>
            <w:tcBorders>
              <w:top w:val="single" w:sz="8" w:color="FF160F"/>
            </w:tcBorders>
          </w:tcPr>
          <w:p>
            <w:pPr>
              <w:spacing w:after="0"/>
              <w:rPr>
                <w:sz w:val="24"/>
                <w:szCs w:val="24"/>
                <w:color w:val="auto"/>
              </w:rPr>
            </w:pPr>
          </w:p>
        </w:tc>
        <w:tc>
          <w:tcPr>
            <w:tcW w:w="2640" w:type="dxa"/>
            <w:vAlign w:val="bottom"/>
            <w:tcBorders>
              <w:top w:val="single" w:sz="8" w:color="FF160F"/>
            </w:tcBorders>
          </w:tcPr>
          <w:p>
            <w:pPr>
              <w:spacing w:after="0"/>
              <w:rPr>
                <w:sz w:val="24"/>
                <w:szCs w:val="24"/>
                <w:color w:val="auto"/>
              </w:rPr>
            </w:pPr>
          </w:p>
        </w:tc>
        <w:tc>
          <w:tcPr>
            <w:tcW w:w="80" w:type="dxa"/>
            <w:vAlign w:val="bottom"/>
            <w:tcBorders>
              <w:top w:val="single" w:sz="8" w:color="FF160F"/>
            </w:tcBorders>
          </w:tcPr>
          <w:p>
            <w:pPr>
              <w:spacing w:after="0"/>
              <w:rPr>
                <w:sz w:val="24"/>
                <w:szCs w:val="24"/>
                <w:color w:val="auto"/>
              </w:rPr>
            </w:pPr>
          </w:p>
        </w:tc>
        <w:tc>
          <w:tcPr>
            <w:tcW w:w="200" w:type="dxa"/>
            <w:vAlign w:val="bottom"/>
            <w:tcBorders>
              <w:top w:val="single" w:sz="8" w:color="FF160F"/>
            </w:tcBorders>
          </w:tcPr>
          <w:p>
            <w:pPr>
              <w:spacing w:after="0"/>
              <w:rPr>
                <w:sz w:val="24"/>
                <w:szCs w:val="24"/>
                <w:color w:val="auto"/>
              </w:rPr>
            </w:pPr>
          </w:p>
        </w:tc>
        <w:tc>
          <w:tcPr>
            <w:tcW w:w="140" w:type="dxa"/>
            <w:vAlign w:val="bottom"/>
            <w:tcBorders>
              <w:top w:val="single" w:sz="8" w:color="FF160F"/>
            </w:tcBorders>
          </w:tcPr>
          <w:p>
            <w:pPr>
              <w:spacing w:after="0"/>
              <w:rPr>
                <w:sz w:val="24"/>
                <w:szCs w:val="24"/>
                <w:color w:val="auto"/>
              </w:rPr>
            </w:pPr>
          </w:p>
        </w:tc>
        <w:tc>
          <w:tcPr>
            <w:tcW w:w="940" w:type="dxa"/>
            <w:vAlign w:val="bottom"/>
            <w:tcBorders>
              <w:top w:val="single" w:sz="8" w:color="FF160F"/>
            </w:tcBorders>
          </w:tcPr>
          <w:p>
            <w:pPr>
              <w:jc w:val="right"/>
              <w:ind w:right="128"/>
              <w:spacing w:after="0"/>
              <w:rPr>
                <w:sz w:val="20"/>
                <w:szCs w:val="20"/>
                <w:color w:val="auto"/>
              </w:rPr>
            </w:pPr>
            <w:r>
              <w:rPr>
                <w:rFonts w:ascii="Arial" w:cs="Arial" w:eastAsia="Arial" w:hAnsi="Arial"/>
                <w:sz w:val="17"/>
                <w:szCs w:val="17"/>
                <w:color w:val="auto"/>
              </w:rPr>
              <w:t>3</w:t>
            </w:r>
          </w:p>
        </w:tc>
        <w:tc>
          <w:tcPr>
            <w:tcW w:w="180" w:type="dxa"/>
            <w:vAlign w:val="bottom"/>
            <w:tcBorders>
              <w:top w:val="single" w:sz="8" w:color="FF160F"/>
            </w:tcBorders>
          </w:tcPr>
          <w:p>
            <w:pPr>
              <w:spacing w:after="0"/>
              <w:rPr>
                <w:sz w:val="24"/>
                <w:szCs w:val="24"/>
                <w:color w:val="auto"/>
              </w:rPr>
            </w:pPr>
          </w:p>
        </w:tc>
        <w:tc>
          <w:tcPr>
            <w:tcW w:w="400" w:type="dxa"/>
            <w:vAlign w:val="bottom"/>
            <w:tcBorders>
              <w:top w:val="single" w:sz="8" w:color="FF160F"/>
            </w:tcBorders>
          </w:tcPr>
          <w:p>
            <w:pPr>
              <w:spacing w:after="0"/>
              <w:rPr>
                <w:sz w:val="24"/>
                <w:szCs w:val="24"/>
                <w:color w:val="auto"/>
              </w:rPr>
            </w:pPr>
          </w:p>
        </w:tc>
        <w:tc>
          <w:tcPr>
            <w:tcW w:w="40" w:type="dxa"/>
            <w:vAlign w:val="bottom"/>
            <w:tcBorders>
              <w:top w:val="single" w:sz="8" w:color="FF160F"/>
            </w:tcBorders>
          </w:tcPr>
          <w:p>
            <w:pPr>
              <w:spacing w:after="0"/>
              <w:rPr>
                <w:sz w:val="24"/>
                <w:szCs w:val="24"/>
                <w:color w:val="auto"/>
              </w:rPr>
            </w:pPr>
          </w:p>
        </w:tc>
        <w:tc>
          <w:tcPr>
            <w:tcW w:w="620" w:type="dxa"/>
            <w:vAlign w:val="bottom"/>
            <w:tcBorders>
              <w:top w:val="single" w:sz="8" w:color="FF160F"/>
            </w:tcBorders>
          </w:tcPr>
          <w:p>
            <w:pPr>
              <w:spacing w:after="0"/>
              <w:rPr>
                <w:sz w:val="24"/>
                <w:szCs w:val="24"/>
                <w:color w:val="auto"/>
              </w:rPr>
            </w:pPr>
          </w:p>
        </w:tc>
        <w:tc>
          <w:tcPr>
            <w:tcW w:w="300" w:type="dxa"/>
            <w:vAlign w:val="bottom"/>
            <w:tcBorders>
              <w:top w:val="single" w:sz="8" w:color="FF160F"/>
            </w:tcBorders>
          </w:tcPr>
          <w:p>
            <w:pPr>
              <w:spacing w:after="0"/>
              <w:rPr>
                <w:sz w:val="24"/>
                <w:szCs w:val="24"/>
                <w:color w:val="auto"/>
              </w:rPr>
            </w:pPr>
          </w:p>
        </w:tc>
        <w:tc>
          <w:tcPr>
            <w:tcW w:w="560" w:type="dxa"/>
            <w:vAlign w:val="bottom"/>
            <w:tcBorders>
              <w:top w:val="single" w:sz="8" w:color="FF160F"/>
            </w:tcBorders>
          </w:tcPr>
          <w:p>
            <w:pPr>
              <w:spacing w:after="0"/>
              <w:rPr>
                <w:sz w:val="24"/>
                <w:szCs w:val="24"/>
                <w:color w:val="auto"/>
              </w:rPr>
            </w:pPr>
          </w:p>
        </w:tc>
        <w:tc>
          <w:tcPr>
            <w:tcW w:w="560" w:type="dxa"/>
            <w:vAlign w:val="bottom"/>
            <w:tcBorders>
              <w:top w:val="single" w:sz="8" w:color="FF160F"/>
            </w:tcBorders>
          </w:tcPr>
          <w:p>
            <w:pPr>
              <w:spacing w:after="0"/>
              <w:rPr>
                <w:sz w:val="24"/>
                <w:szCs w:val="24"/>
                <w:color w:val="auto"/>
              </w:rPr>
            </w:pPr>
          </w:p>
        </w:tc>
        <w:tc>
          <w:tcPr>
            <w:tcW w:w="2380" w:type="dxa"/>
            <w:vAlign w:val="bottom"/>
            <w:tcBorders>
              <w:top w:val="single" w:sz="8" w:color="FF160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-5666105</wp:posOffset>
            </wp:positionV>
            <wp:extent cx="4989195" cy="817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81788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-4104640</wp:posOffset>
            </wp:positionV>
            <wp:extent cx="652780" cy="826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780" cy="826135"/>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-2948305</wp:posOffset>
            </wp:positionV>
            <wp:extent cx="479425" cy="479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-2931795</wp:posOffset>
            </wp:positionV>
            <wp:extent cx="2470150" cy="570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70150" cy="570230"/>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-1395095</wp:posOffset>
            </wp:positionV>
            <wp:extent cx="437515" cy="48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515" cy="48768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-1395095</wp:posOffset>
            </wp:positionV>
            <wp:extent cx="346710" cy="48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710" cy="487680"/>
                    </a:xfrm>
                    <a:prstGeom prst="rect">
                      <a:avLst/>
                    </a:prstGeom>
                    <a:noFill/>
                  </pic:spPr>
                </pic:pic>
              </a:graphicData>
            </a:graphic>
          </wp:anchor>
        </w:drawing>
      </w:r>
    </w:p>
    <w:p>
      <w:pPr>
        <w:sectPr>
          <w:pgSz w:w="11900" w:h="16838" w:orient="portrait"/>
          <w:cols w:equalWidth="0" w:num="1">
            <w:col w:w="10640"/>
          </w:cols>
          <w:pgMar w:left="620" w:top="260" w:right="639" w:bottom="1440" w:gutter="0" w:footer="0" w:header="0"/>
        </w:sectPr>
      </w:pPr>
    </w:p>
    <w:bookmarkStart w:id="8" w:name="page9"/>
    <w:bookmarkEnd w:id="8"/>
    <w:p>
      <w:pPr>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Corporate responsibility is an area of focus for our Board of Trustees (“Board”), our management team and the entirety of our Company. It starts with our Board who is fully responsible for overseeing the Company’s approach to matters of environmental and social responsibility. To ensure that all of these matters get the level of attention necessary, the Board has delegated certain responsibilities to its standing committees. The specific responsibilities of each committee for environmental and social matters are described in more detail in the “Overall Risk Management” and “Board Committees” sections below.</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For management, primary responsibility for overseeing and driving our environmental and social initiatives has been assigned to our Executive Vice President, General Counsel who is one of our named executive officers. She is supported in those efforts by our Head of Sustainability and a cross-functional ESG council made up of senior members of various functional areas throughout the Company including asset management, development, tenant coordination, transactions, human resources, legal, accounting, marketing and investor relations. This group meets on a regular basis to guide and report on our Company’s ESG initiatives.</w:t>
      </w:r>
    </w:p>
    <w:p>
      <w:pPr>
        <w:spacing w:after="0" w:line="19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have two primary areas of focus throughout our Company – people, including our employees, vendors, suppliers, contractors, consultants and the communities in which we own our properties and do business, and planet which considers the impact our business and our properties have on the environment. We have aligned all of our efforts with respect to both people and planet with the ten United Nations Sustainable Development Goals that we believe are most relevant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137795</wp:posOffset>
            </wp:positionV>
            <wp:extent cx="4188460" cy="396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88460"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Our focus on people starts with our employees and our core values of Excellence, Integrity, Accountability and Innovation. At the end of 2021, we had 310 employees who had been with the Company nearly 9 years, on average, and who reflected the diversity of the communities where we do business. We use our annual engagement surveys to gather feedback from our employees to help us ensure that we are creating an environment where our employees can grow and thrive personally and professionally. Our 2021 efforts were primarily focused on advancement opportunities for our current team and diversification of our candidate pool for hiring new positions throughout the Company. These efforts resulted in nearly 15% of our total workforce being promoted in 2021 into a job with increased responsibilities and compensation. Our use of anonymized resumes, focus on non-traditional sources to identify job candidates and a requirement to consider one or more diverse candidates for all positions of director and above resulted in one of the most diverse groups of new hires in our history with 64% of our total hires during 2021 being women and 47% of those new hires being members of ethnic or racial minority groups.</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a long-standing commitment to being good environmental stewards as it relates to our properties. As long-term owners of real estate, ensuring properties are resilient in all senses of the word is critical. For more than a decade, we have focused our ground-up development efforts on investing in buildings that achieve a level of certification under the Leadership in Energy and Environmental Design (LEED) guidelines demonstrating our commitment to making investment decisions that take into account our building’s long-term environmental impact. That investment has totaled approximately $1.2 billion in LEED certified buildings already placed in service with another $1 billion invested and estimated to be invested over the next few years in buildings targeted to achieve LEED Gold certification or better. We have also made a commitment to renewable energy with our investment in on-site solar photovoltaic systems at nearly 25% of our properties. Our focus on decreasing energy usage and using renewable energy are the foundation for our goal to reduce our landlord controlled electric consumption and our Scope 1 and Scope 2 greenhouse gas emissions by 15% and 30%, respectively by 2025.</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Our properties also serve as the intersection between people and planet as we design and operate our properties to serve the needs of the local community and reflect the values of that community. Providing places for the community to gather and socialize helps add to the positive impacts our properties have on the local communities.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640" w:top="282" w:right="659" w:bottom="1440" w:gutter="0" w:footer="0" w:header="0"/>
        </w:sectPr>
      </w:pPr>
    </w:p>
    <w:bookmarkStart w:id="9" w:name="page10"/>
    <w:bookmarkEnd w:id="9"/>
    <w:p>
      <w:pPr>
        <w:ind w:left="1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212725</wp:posOffset>
            </wp:positionV>
            <wp:extent cx="674052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0525" cy="33020"/>
                    </a:xfrm>
                    <a:prstGeom prst="rect">
                      <a:avLst/>
                    </a:prstGeom>
                    <a:noFill/>
                  </pic:spPr>
                </pic:pic>
              </a:graphicData>
            </a:graphic>
          </wp:anchor>
        </w:drawing>
        <w:t>Governing the Company</w:t>
      </w:r>
    </w:p>
    <w:p>
      <w:pPr>
        <w:spacing w:after="0" w:line="24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Board is responsible for providing governance and oversight of the strategy, operations and management of the Company with its primary objective being to represent the interests of our shareholders. The Board oversees our senior management to whom it has delegated the authority to manage the day-to-day operations of the Company. The Board has adopted Corporate Governance Guidelines, committee charters, a Code of Business Conduct and a Code of Ethics for our Senior Financial Officers that, together with our Declaration of Trust and Bylaws, form the governance framework for the Board and its committees.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Board regularly reviews the Corporate Governance Guidelines and other corporate governance documents and from time to time revises them when it believes it is in the best interests of the Company and our shareholders to do so given changing regulatory and governmental requirements and best practices. The following sections provide an overview of our corporate governance structure.</w:t>
      </w:r>
    </w:p>
    <w:p>
      <w:pPr>
        <w:spacing w:after="0" w:line="190"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 xml:space="preserve">Complete copies of our Corporate Governance Guidelines, committee charters, Code of Business Conduct, Code of Ethics for Senior Financial Officers and other governance documents are available in the Investor/Corporate Governance section of our website at </w:t>
      </w:r>
      <w:r>
        <w:rPr>
          <w:rFonts w:ascii="Arial" w:cs="Arial" w:eastAsia="Arial" w:hAnsi="Arial"/>
          <w:sz w:val="17"/>
          <w:szCs w:val="17"/>
          <w:i w:val="1"/>
          <w:iCs w:val="1"/>
          <w:u w:val="single" w:color="auto"/>
          <w:color w:val="auto"/>
        </w:rPr>
        <w:t>www.federalrealty.com</w:t>
      </w:r>
      <w:r>
        <w:rPr>
          <w:rFonts w:ascii="Arial" w:cs="Arial" w:eastAsia="Arial" w:hAnsi="Arial"/>
          <w:sz w:val="17"/>
          <w:szCs w:val="17"/>
          <w:color w:val="auto"/>
        </w:rPr>
        <w:t>. Printed copies of these documents are available upon written request to our Investor Relations department at</w:t>
      </w:r>
      <w:r>
        <w:rPr>
          <w:rFonts w:ascii="Arial" w:cs="Arial" w:eastAsia="Arial" w:hAnsi="Arial"/>
          <w:sz w:val="17"/>
          <w:szCs w:val="17"/>
          <w:i w:val="1"/>
          <w:iCs w:val="1"/>
          <w:color w:val="auto"/>
        </w:rPr>
        <w:t xml:space="preserve"> </w:t>
      </w:r>
      <w:r>
        <w:rPr>
          <w:rFonts w:ascii="Arial" w:cs="Arial" w:eastAsia="Arial" w:hAnsi="Arial"/>
          <w:sz w:val="17"/>
          <w:szCs w:val="17"/>
          <w:color w:val="auto"/>
        </w:rPr>
        <w:t>909 Rose Avenue, Suite 200, North Bethesda, Maryland 20852.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Corporate Governance Policies and Procedures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Some of the key governance policies and practices that govern the Company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740525" cy="173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0525" cy="173355"/>
                    </a:xfrm>
                    <a:prstGeom prst="rect">
                      <a:avLst/>
                    </a:prstGeom>
                    <a:noFill/>
                  </pic:spPr>
                </pic:pic>
              </a:graphicData>
            </a:graphic>
          </wp:anchor>
        </w:drawing>
      </w:r>
    </w:p>
    <w:p>
      <w:pPr>
        <w:sectPr>
          <w:pgSz w:w="11900" w:h="16838" w:orient="portrait"/>
          <w:cols w:equalWidth="0" w:num="1">
            <w:col w:w="10620"/>
          </w:cols>
          <w:pgMar w:left="640" w:top="391" w:right="639" w:bottom="1440" w:gutter="0" w:footer="0" w:header="0"/>
        </w:sect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Policy</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Annual election of all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2701290" cy="247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1290" cy="247650"/>
                    </a:xfrm>
                    <a:prstGeom prst="rect">
                      <a:avLst/>
                    </a:prstGeom>
                    <a:noFill/>
                  </pic:spPr>
                </pic:pic>
              </a:graphicData>
            </a:graphic>
          </wp:anchor>
        </w:drawing>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shareholder rights plan</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Proxy access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2701290" cy="247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1290" cy="247650"/>
                    </a:xfrm>
                    <a:prstGeom prst="rect">
                      <a:avLst/>
                    </a:prstGeom>
                    <a:noFill/>
                  </pic:spPr>
                </pic:pic>
              </a:graphicData>
            </a:graphic>
          </wp:anchor>
        </w:drawing>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Independent Board</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independent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2701290" cy="495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01290" cy="495935"/>
                    </a:xfrm>
                    <a:prstGeom prst="rect">
                      <a:avLst/>
                    </a:prstGeom>
                    <a:noFill/>
                  </pic:spPr>
                </pic:pic>
              </a:graphicData>
            </a:graphic>
          </wp:anchor>
        </w:drawing>
      </w:r>
    </w:p>
    <w:p>
      <w:pPr>
        <w:spacing w:after="0" w:line="370" w:lineRule="exact"/>
        <w:rPr>
          <w:sz w:val="20"/>
          <w:szCs w:val="20"/>
          <w:color w:val="auto"/>
        </w:rPr>
      </w:pPr>
    </w:p>
    <w:p>
      <w:pPr>
        <w:ind w:left="100"/>
        <w:spacing w:after="0" w:line="247" w:lineRule="auto"/>
        <w:rPr>
          <w:sz w:val="20"/>
          <w:szCs w:val="20"/>
          <w:color w:val="auto"/>
        </w:rPr>
      </w:pPr>
      <w:r>
        <w:rPr>
          <w:rFonts w:ascii="Arial" w:cs="Arial" w:eastAsia="Arial" w:hAnsi="Arial"/>
          <w:sz w:val="17"/>
          <w:szCs w:val="17"/>
          <w:color w:val="auto"/>
        </w:rPr>
        <w:t>Active Board oversight of strategy, risk management and environmental, social and governance (“ESG”) initiatives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Independent Non-Executive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2701290" cy="1115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1290" cy="1115060"/>
                    </a:xfrm>
                    <a:prstGeom prst="rect">
                      <a:avLst/>
                    </a:prstGeom>
                    <a:noFill/>
                  </pic:spPr>
                </pic:pic>
              </a:graphicData>
            </a:graphic>
          </wp:anchor>
        </w:drawing>
      </w:r>
    </w:p>
    <w:p>
      <w:pPr>
        <w:spacing w:after="0" w:line="370" w:lineRule="exact"/>
        <w:rPr>
          <w:sz w:val="20"/>
          <w:szCs w:val="20"/>
          <w:color w:val="auto"/>
        </w:rPr>
      </w:pPr>
    </w:p>
    <w:p>
      <w:pPr>
        <w:ind w:left="100" w:right="380"/>
        <w:spacing w:after="0" w:line="256" w:lineRule="auto"/>
        <w:rPr>
          <w:sz w:val="20"/>
          <w:szCs w:val="20"/>
          <w:color w:val="auto"/>
        </w:rPr>
      </w:pPr>
      <w:r>
        <w:rPr>
          <w:rFonts w:ascii="Arial" w:cs="Arial" w:eastAsia="Arial" w:hAnsi="Arial"/>
          <w:sz w:val="17"/>
          <w:szCs w:val="17"/>
          <w:color w:val="auto"/>
        </w:rPr>
        <w:t>Annual Board, committee and individual trustee assessment process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-109220</wp:posOffset>
            </wp:positionV>
            <wp:extent cx="4039235" cy="14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39235" cy="14033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All of our trustees are elected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107950</wp:posOffset>
            </wp:positionV>
            <wp:extent cx="403923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39235" cy="1651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have a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-123190</wp:posOffset>
            </wp:positionV>
            <wp:extent cx="4039235" cy="231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39235" cy="231140"/>
                    </a:xfrm>
                    <a:prstGeom prst="rect">
                      <a:avLst/>
                    </a:prstGeom>
                    <a:noFill/>
                  </pic:spPr>
                </pic:pic>
              </a:graphicData>
            </a:graphic>
          </wp:anchor>
        </w:drawing>
      </w:r>
    </w:p>
    <w:p>
      <w:pPr>
        <w:spacing w:after="0" w:line="175"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Shareholders satisfying the requirements can include their own qualified trustee nominee in 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90805</wp:posOffset>
            </wp:positionV>
            <wp:extent cx="40392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39235" cy="1651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All of our trustees are independent other than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-123190</wp:posOffset>
            </wp:positionV>
            <wp:extent cx="4039235" cy="231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39235" cy="231140"/>
                    </a:xfrm>
                    <a:prstGeom prst="rect">
                      <a:avLst/>
                    </a:prstGeom>
                    <a:noFill/>
                  </pic:spPr>
                </pic:pic>
              </a:graphicData>
            </a:graphic>
          </wp:anchor>
        </w:drawing>
      </w:r>
    </w:p>
    <w:p>
      <w:pPr>
        <w:spacing w:after="0" w:line="175" w:lineRule="exact"/>
        <w:rPr>
          <w:sz w:val="20"/>
          <w:szCs w:val="20"/>
          <w:color w:val="auto"/>
        </w:rPr>
      </w:pPr>
    </w:p>
    <w:p>
      <w:pPr>
        <w:ind w:right="660"/>
        <w:spacing w:after="0" w:line="256" w:lineRule="auto"/>
        <w:rPr>
          <w:sz w:val="20"/>
          <w:szCs w:val="20"/>
          <w:color w:val="auto"/>
        </w:rPr>
      </w:pPr>
      <w:r>
        <w:rPr>
          <w:rFonts w:ascii="Arial" w:cs="Arial" w:eastAsia="Arial" w:hAnsi="Arial"/>
          <w:sz w:val="17"/>
          <w:szCs w:val="17"/>
          <w:color w:val="auto"/>
        </w:rPr>
        <w:t>Each of the Board’s committees is comprised entirely of trustees who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90805</wp:posOffset>
            </wp:positionV>
            <wp:extent cx="40392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39235" cy="16510"/>
                    </a:xfrm>
                    <a:prstGeom prst="rect">
                      <a:avLst/>
                    </a:prstGeom>
                    <a:noFill/>
                  </pic:spPr>
                </pic:pic>
              </a:graphicData>
            </a:graphic>
          </wp:anchor>
        </w:drawing>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Our Board provides robust oversight of our strategy, enterprise risk management and ESG initiatives, among other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-263525</wp:posOffset>
            </wp:positionV>
            <wp:extent cx="4039235" cy="479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39235" cy="479425"/>
                    </a:xfrm>
                    <a:prstGeom prst="rect">
                      <a:avLst/>
                    </a:prstGeom>
                    <a:noFill/>
                  </pic:spPr>
                </pic:pic>
              </a:graphicData>
            </a:graphic>
          </wp:anchor>
        </w:drawing>
      </w:r>
    </w:p>
    <w:p>
      <w:pPr>
        <w:spacing w:after="0" w:line="34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Since 2003, we have had an independent Non-Executive Chairman leading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90805</wp:posOffset>
            </wp:positionV>
            <wp:extent cx="403923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39235" cy="16510"/>
                    </a:xfrm>
                    <a:prstGeom prst="rect">
                      <a:avLst/>
                    </a:prstGeom>
                    <a:noFill/>
                  </pic:spPr>
                </pic:pic>
              </a:graphicData>
            </a:graphic>
          </wp:anchor>
        </w:drawing>
      </w:r>
    </w:p>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Each of our Board committees and the Board as a whole conduct an annual assessment of its performance. In addition, the chair of the Nominating and Corporate Governance Committee (“Nominating Committee”) conducts a confidential assessment of each individual trustee intended to ensure that each trustee is performing to an acceptable level and to inform decisions on who to nominate for election at the next annual meeting. A similar assessment is performed by our Non-Executive Chairman on the performance of the chair of our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-995680</wp:posOffset>
            </wp:positionV>
            <wp:extent cx="4039235" cy="1098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39235" cy="1098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240"/>
            <w:col w:w="6260"/>
          </w:cols>
          <w:pgMar w:left="640" w:top="391" w:right="639" w:bottom="1440" w:gutter="0" w:footer="0" w:header="0"/>
          <w:type w:val="continuous"/>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640" w:top="391" w:right="639" w:bottom="1440" w:gutter="0" w:footer="0" w:header="0"/>
          <w:type w:val="continuous"/>
        </w:sectPr>
      </w:pPr>
    </w:p>
    <w:bookmarkStart w:id="10" w:name="page11"/>
    <w:bookmarkEnd w:id="10"/>
    <w:p>
      <w:pPr>
        <w:ind w:left="100"/>
        <w:spacing w:after="0" w:line="256" w:lineRule="auto"/>
        <w:rPr>
          <w:sz w:val="20"/>
          <w:szCs w:val="20"/>
          <w:color w:val="auto"/>
        </w:rPr>
      </w:pPr>
      <w:r>
        <w:rPr>
          <w:rFonts w:ascii="Arial" w:cs="Arial" w:eastAsia="Arial" w:hAnsi="Arial"/>
          <w:sz w:val="17"/>
          <w:szCs w:val="17"/>
          <w:color w:val="auto"/>
        </w:rPr>
        <w:t>Active oversight of other board service by Trustees and management</w:t>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7"/>
          <w:szCs w:val="17"/>
          <w:color w:val="auto"/>
        </w:rPr>
        <w:t>Our Corporate Governance Guidelines require each Trustee and member of management to obtain approval from the Nominating Committee before accepting a position on any other public, private or non-profit board. Before approving any such additional board service, the Nominating Committee holistically evaluates the impact such additional board service would have on the individual’s ability to carry out his or her fiduciary and other obligations to the Company and advises the rest of the Board on the request and ultimate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-971550</wp:posOffset>
            </wp:positionV>
            <wp:extent cx="717931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000" w:space="360"/>
            <w:col w:w="6260"/>
          </w:cols>
          <w:pgMar w:left="640" w:top="308" w:right="639" w:bottom="1440" w:gutter="0" w:footer="0" w:header="0"/>
        </w:sectPr>
      </w:pPr>
    </w:p>
    <w:tbl>
      <w:tblPr>
        <w:tblLayout w:type="fixed"/>
        <w:tblInd w:w="0" w:type="dxa"/>
        <w:tblCellMar>
          <w:top w:w="0" w:type="dxa"/>
          <w:left w:w="0" w:type="dxa"/>
          <w:bottom w:w="0" w:type="dxa"/>
          <w:right w:w="0" w:type="dxa"/>
        </w:tblCellMar>
      </w:tblPr>
      <w:tr>
        <w:trPr>
          <w:trHeight w:val="200"/>
        </w:trPr>
        <w:tc>
          <w:tcPr>
            <w:tcW w:w="42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Commitment to Board refreshment</w:t>
            </w: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The Board continually evaluates the skill sets and perspectives needed to</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effectively carry out its oversight function. Four of our current six</w:t>
            </w:r>
          </w:p>
        </w:tc>
      </w:tr>
      <w:tr>
        <w:trPr>
          <w:trHeight w:val="196"/>
        </w:trPr>
        <w:tc>
          <w:tcPr>
            <w:tcW w:w="4260" w:type="dxa"/>
            <w:vAlign w:val="bottom"/>
            <w:shd w:val="clear" w:color="auto" w:fill="D8D8D8"/>
          </w:tcPr>
          <w:p>
            <w:pPr>
              <w:spacing w:after="0"/>
              <w:rPr>
                <w:sz w:val="17"/>
                <w:szCs w:val="17"/>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non-management trustees have served on the Board for 5 years or less.</w:t>
            </w:r>
          </w:p>
        </w:tc>
      </w:tr>
      <w:tr>
        <w:trPr>
          <w:trHeight w:val="220"/>
        </w:trPr>
        <w:tc>
          <w:tcPr>
            <w:tcW w:w="4260" w:type="dxa"/>
            <w:vAlign w:val="bottom"/>
          </w:tcPr>
          <w:p>
            <w:pPr>
              <w:ind w:left="100"/>
              <w:spacing w:after="0"/>
              <w:rPr>
                <w:sz w:val="20"/>
                <w:szCs w:val="20"/>
                <w:color w:val="auto"/>
              </w:rPr>
            </w:pPr>
            <w:r>
              <w:rPr>
                <w:rFonts w:ascii="Arial" w:cs="Arial" w:eastAsia="Arial" w:hAnsi="Arial"/>
                <w:sz w:val="17"/>
                <w:szCs w:val="17"/>
                <w:color w:val="auto"/>
              </w:rPr>
              <w:t>Active shareholder engagement</w:t>
            </w:r>
          </w:p>
        </w:tc>
        <w:tc>
          <w:tcPr>
            <w:tcW w:w="6360" w:type="dxa"/>
            <w:vAlign w:val="bottom"/>
          </w:tcPr>
          <w:p>
            <w:pPr>
              <w:ind w:left="100"/>
              <w:spacing w:after="0"/>
              <w:rPr>
                <w:sz w:val="20"/>
                <w:szCs w:val="20"/>
                <w:color w:val="auto"/>
              </w:rPr>
            </w:pPr>
            <w:r>
              <w:rPr>
                <w:rFonts w:ascii="Arial" w:cs="Arial" w:eastAsia="Arial" w:hAnsi="Arial"/>
                <w:sz w:val="17"/>
                <w:szCs w:val="17"/>
                <w:color w:val="auto"/>
              </w:rPr>
              <w:t>We actively engage with our shareholders to understand their perspectives with</w:t>
            </w:r>
          </w:p>
        </w:tc>
      </w:tr>
      <w:tr>
        <w:trPr>
          <w:trHeight w:val="195"/>
        </w:trPr>
        <w:tc>
          <w:tcPr>
            <w:tcW w:w="4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our Non-Executive Chairman and other members of the Board participating if</w:t>
            </w:r>
          </w:p>
        </w:tc>
      </w:tr>
      <w:tr>
        <w:trPr>
          <w:trHeight w:val="196"/>
        </w:trPr>
        <w:tc>
          <w:tcPr>
            <w:tcW w:w="426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requested.</w:t>
            </w:r>
          </w:p>
        </w:tc>
      </w:tr>
      <w:tr>
        <w:trPr>
          <w:trHeight w:val="220"/>
        </w:trPr>
        <w:tc>
          <w:tcPr>
            <w:tcW w:w="42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Robust Code of Business Conduct</w:t>
            </w: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Our Code of Business Conduct applies to all trustees and employees and</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reinforces our culture of compliance, ethical conduct and accountability. We also</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have in place an additional code of ethics for our senior officers who most directly</w:t>
            </w:r>
          </w:p>
        </w:tc>
      </w:tr>
      <w:tr>
        <w:trPr>
          <w:trHeight w:val="196"/>
        </w:trPr>
        <w:tc>
          <w:tcPr>
            <w:tcW w:w="4260" w:type="dxa"/>
            <w:vAlign w:val="bottom"/>
            <w:shd w:val="clear" w:color="auto" w:fill="D8D8D8"/>
          </w:tcPr>
          <w:p>
            <w:pPr>
              <w:spacing w:after="0"/>
              <w:rPr>
                <w:sz w:val="17"/>
                <w:szCs w:val="17"/>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impact our financial reporting.</w:t>
            </w:r>
          </w:p>
        </w:tc>
      </w:tr>
      <w:tr>
        <w:trPr>
          <w:trHeight w:val="220"/>
        </w:trPr>
        <w:tc>
          <w:tcPr>
            <w:tcW w:w="4260" w:type="dxa"/>
            <w:vAlign w:val="bottom"/>
          </w:tcPr>
          <w:p>
            <w:pPr>
              <w:ind w:left="100"/>
              <w:spacing w:after="0"/>
              <w:rPr>
                <w:sz w:val="20"/>
                <w:szCs w:val="20"/>
                <w:color w:val="auto"/>
              </w:rPr>
            </w:pPr>
            <w:r>
              <w:rPr>
                <w:rFonts w:ascii="Arial" w:cs="Arial" w:eastAsia="Arial" w:hAnsi="Arial"/>
                <w:sz w:val="17"/>
                <w:szCs w:val="17"/>
                <w:color w:val="auto"/>
              </w:rPr>
              <w:t>Clawback policy</w:t>
            </w:r>
          </w:p>
        </w:tc>
        <w:tc>
          <w:tcPr>
            <w:tcW w:w="6360" w:type="dxa"/>
            <w:vAlign w:val="bottom"/>
          </w:tcPr>
          <w:p>
            <w:pPr>
              <w:ind w:left="100"/>
              <w:spacing w:after="0"/>
              <w:rPr>
                <w:sz w:val="20"/>
                <w:szCs w:val="20"/>
                <w:color w:val="auto"/>
              </w:rPr>
            </w:pPr>
            <w:r>
              <w:rPr>
                <w:rFonts w:ascii="Arial" w:cs="Arial" w:eastAsia="Arial" w:hAnsi="Arial"/>
                <w:sz w:val="17"/>
                <w:szCs w:val="17"/>
                <w:color w:val="auto"/>
              </w:rPr>
              <w:t>We have adopted a policy applicable to our named executive officers that</w:t>
            </w:r>
          </w:p>
        </w:tc>
      </w:tr>
      <w:tr>
        <w:trPr>
          <w:trHeight w:val="195"/>
        </w:trPr>
        <w:tc>
          <w:tcPr>
            <w:tcW w:w="4260" w:type="dxa"/>
            <w:vAlign w:val="bottom"/>
          </w:tcPr>
          <w:p>
            <w:pPr>
              <w:spacing w:after="0"/>
              <w:rPr>
                <w:sz w:val="16"/>
                <w:szCs w:val="16"/>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provides for recovery of certain cash bonuses and equity compensation in the</w:t>
            </w:r>
          </w:p>
        </w:tc>
      </w:tr>
      <w:tr>
        <w:trPr>
          <w:trHeight w:val="196"/>
        </w:trPr>
        <w:tc>
          <w:tcPr>
            <w:tcW w:w="426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event of a financial restatement under certain circumstances.</w:t>
            </w:r>
          </w:p>
        </w:tc>
      </w:tr>
      <w:tr>
        <w:trPr>
          <w:trHeight w:val="220"/>
        </w:trPr>
        <w:tc>
          <w:tcPr>
            <w:tcW w:w="42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Equity ownership requirements</w:t>
            </w: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Our chief executive officer is required to hold shares with a value equal to at least</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7 times his base salary and each of our other named executive officers is</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xml:space="preserve">required to hold shares with a value equal to at least 2 </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times his or her base</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salary and annual bonus. Each trustee is required to hold shares having a value</w:t>
            </w:r>
          </w:p>
        </w:tc>
      </w:tr>
      <w:tr>
        <w:trPr>
          <w:trHeight w:val="195"/>
        </w:trPr>
        <w:tc>
          <w:tcPr>
            <w:tcW w:w="4260" w:type="dxa"/>
            <w:vAlign w:val="bottom"/>
            <w:shd w:val="clear" w:color="auto" w:fill="D8D8D8"/>
          </w:tcPr>
          <w:p>
            <w:pPr>
              <w:spacing w:after="0"/>
              <w:rPr>
                <w:sz w:val="16"/>
                <w:szCs w:val="16"/>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at least equal to 5 times the cash portion of the annual retainer. Named executive</w:t>
            </w:r>
          </w:p>
        </w:tc>
      </w:tr>
      <w:tr>
        <w:trPr>
          <w:trHeight w:val="196"/>
        </w:trPr>
        <w:tc>
          <w:tcPr>
            <w:tcW w:w="4260" w:type="dxa"/>
            <w:vAlign w:val="bottom"/>
            <w:shd w:val="clear" w:color="auto" w:fill="D8D8D8"/>
          </w:tcPr>
          <w:p>
            <w:pPr>
              <w:spacing w:after="0"/>
              <w:rPr>
                <w:sz w:val="17"/>
                <w:szCs w:val="17"/>
                <w:color w:val="auto"/>
              </w:rPr>
            </w:pPr>
          </w:p>
        </w:tc>
        <w:tc>
          <w:tcPr>
            <w:tcW w:w="63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officers and trustees have a period of 5 years to meet these requirements.</w:t>
            </w:r>
          </w:p>
        </w:tc>
      </w:tr>
      <w:tr>
        <w:trPr>
          <w:trHeight w:val="220"/>
        </w:trPr>
        <w:tc>
          <w:tcPr>
            <w:tcW w:w="4260" w:type="dxa"/>
            <w:vAlign w:val="bottom"/>
          </w:tcPr>
          <w:p>
            <w:pPr>
              <w:ind w:left="100"/>
              <w:spacing w:after="0"/>
              <w:rPr>
                <w:sz w:val="20"/>
                <w:szCs w:val="20"/>
                <w:color w:val="auto"/>
              </w:rPr>
            </w:pPr>
            <w:r>
              <w:rPr>
                <w:rFonts w:ascii="Arial" w:cs="Arial" w:eastAsia="Arial" w:hAnsi="Arial"/>
                <w:sz w:val="17"/>
                <w:szCs w:val="17"/>
                <w:color w:val="auto"/>
              </w:rPr>
              <w:t>Prohibition on hedging and pledging Shares</w:t>
            </w:r>
          </w:p>
        </w:tc>
        <w:tc>
          <w:tcPr>
            <w:tcW w:w="6360" w:type="dxa"/>
            <w:vAlign w:val="bottom"/>
          </w:tcPr>
          <w:p>
            <w:pPr>
              <w:ind w:left="100"/>
              <w:spacing w:after="0"/>
              <w:rPr>
                <w:sz w:val="20"/>
                <w:szCs w:val="20"/>
                <w:color w:val="auto"/>
              </w:rPr>
            </w:pPr>
            <w:r>
              <w:rPr>
                <w:rFonts w:ascii="Arial" w:cs="Arial" w:eastAsia="Arial" w:hAnsi="Arial"/>
                <w:sz w:val="17"/>
                <w:szCs w:val="17"/>
                <w:color w:val="auto"/>
              </w:rPr>
              <w:t>Our trustees and all employees are prohibited from entering into hedging</w:t>
            </w:r>
          </w:p>
        </w:tc>
      </w:tr>
      <w:tr>
        <w:trPr>
          <w:trHeight w:val="209"/>
        </w:trPr>
        <w:tc>
          <w:tcPr>
            <w:tcW w:w="426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transactions or pledging any of their shares.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Board Leadership</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Board has been led by an independent Non-Executive Chairman since 2003. Mr. Faeder assumed that role after the 2021 annual shareholder meeting when our prior non-executive chairman retired from the Board. With this structure, our chief executive officer is able to develop and oversee the implementation of our business strategy and to lead and manage the day-to-day operations of the Company while Mr. Faeder focuses on Board oversight and governance and acts as a liaison with management. In addition, Mr. Faeder provides input on issues for Board consideration by helping to set and approve agendas for meetings and ensures that sufficient time is allotted for robust discussion of all issues. The Board believes that this structure provides the optimal leadership model to most effectively oversee and manage the Company in execution of its business strategy and objectives.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640" w:top="308" w:right="6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Trustee Independence</w:t>
      </w:r>
    </w:p>
    <w:p>
      <w:pPr>
        <w:spacing w:after="0" w:line="23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in two of the Company’s tenants and Mr. Wood’s previous service on the board of a company of which Mr. Ordan served as chief executive officer. The Board determined that neither of these situations constituted a material relationship with the Company that would interfere with either Mr. Nader’s or Mr. Ordan’s ability to exercise independent judgment.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Board Meetings</w:t>
      </w:r>
    </w:p>
    <w:p>
      <w:pPr>
        <w:spacing w:after="0" w:line="23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Board met 5 times in 2021. In addition, our practice is for all trustees to attend all meetings of each of the Board’s standing committees. This practice ensures that each Trustee is fully informed on all issues facing the Company and has the opportunity to participate in discussions surrounding those issues. Only trustees who are members of the specific committee are entitled to vote on matters presented to that committee. In addition, at each quarterly meeting, the Trustees meet in executive session with all Trustees and then with just independent Trustees. All Trustees are also expected to attend our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740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120" w:type="dxa"/>
            <w:vAlign w:val="bottom"/>
          </w:tcPr>
          <w:p>
            <w:pPr>
              <w:jc w:val="right"/>
              <w:ind w:right="1172"/>
              <w:spacing w:after="0"/>
              <w:rPr>
                <w:sz w:val="20"/>
                <w:szCs w:val="20"/>
                <w:color w:val="auto"/>
              </w:rPr>
            </w:pPr>
            <w:r>
              <w:rPr>
                <w:rFonts w:ascii="Arial" w:cs="Arial" w:eastAsia="Arial" w:hAnsi="Arial"/>
                <w:sz w:val="28"/>
                <w:szCs w:val="28"/>
                <w:b w:val="1"/>
                <w:bCs w:val="1"/>
                <w:color w:val="FF160F"/>
              </w:rPr>
              <w:t>100%</w:t>
            </w:r>
          </w:p>
        </w:tc>
        <w:tc>
          <w:tcPr>
            <w:tcW w:w="6500" w:type="dxa"/>
            <w:vAlign w:val="bottom"/>
            <w:vMerge w:val="restart"/>
          </w:tcPr>
          <w:p>
            <w:pPr>
              <w:ind w:left="940"/>
              <w:spacing w:after="0"/>
              <w:rPr>
                <w:sz w:val="20"/>
                <w:szCs w:val="20"/>
                <w:color w:val="auto"/>
              </w:rPr>
            </w:pPr>
            <w:r>
              <w:rPr>
                <w:rFonts w:ascii="Arial" w:cs="Arial" w:eastAsia="Arial" w:hAnsi="Arial"/>
                <w:sz w:val="17"/>
                <w:szCs w:val="17"/>
                <w:color w:val="auto"/>
              </w:rPr>
              <w:t>•   All 2021 Board meetings</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vMerge w:val="restart"/>
          </w:tcPr>
          <w:p>
            <w:pPr>
              <w:jc w:val="center"/>
              <w:ind w:left="732"/>
              <w:spacing w:after="0"/>
              <w:rPr>
                <w:sz w:val="20"/>
                <w:szCs w:val="20"/>
                <w:color w:val="auto"/>
              </w:rPr>
            </w:pPr>
            <w:r>
              <w:rPr>
                <w:rFonts w:ascii="Arial" w:cs="Arial" w:eastAsia="Arial" w:hAnsi="Arial"/>
                <w:sz w:val="16"/>
                <w:szCs w:val="16"/>
                <w:color w:val="auto"/>
                <w:w w:val="97"/>
              </w:rPr>
              <w:t>Trustee Attendance</w:t>
            </w:r>
          </w:p>
        </w:tc>
        <w:tc>
          <w:tcPr>
            <w:tcW w:w="6500" w:type="dxa"/>
            <w:vAlign w:val="bottom"/>
          </w:tcPr>
          <w:p>
            <w:pPr>
              <w:ind w:left="940"/>
              <w:spacing w:after="0"/>
              <w:rPr>
                <w:sz w:val="20"/>
                <w:szCs w:val="20"/>
                <w:color w:val="auto"/>
              </w:rPr>
            </w:pPr>
            <w:r>
              <w:rPr>
                <w:rFonts w:ascii="Arial" w:cs="Arial" w:eastAsia="Arial" w:hAnsi="Arial"/>
                <w:sz w:val="17"/>
                <w:szCs w:val="17"/>
                <w:color w:val="auto"/>
              </w:rPr>
              <w:t>•   All 2021 Board Committee meetings</w:t>
            </w:r>
          </w:p>
        </w:tc>
        <w:tc>
          <w:tcPr>
            <w:tcW w:w="0" w:type="dxa"/>
            <w:vAlign w:val="bottom"/>
          </w:tcPr>
          <w:p>
            <w:pPr>
              <w:spacing w:after="0"/>
              <w:rPr>
                <w:sz w:val="1"/>
                <w:szCs w:val="1"/>
                <w:color w:val="auto"/>
              </w:rPr>
            </w:pPr>
          </w:p>
        </w:tc>
      </w:tr>
      <w:tr>
        <w:trPr>
          <w:trHeight w:val="125"/>
        </w:trPr>
        <w:tc>
          <w:tcPr>
            <w:tcW w:w="4120" w:type="dxa"/>
            <w:vAlign w:val="bottom"/>
            <w:vMerge w:val="continue"/>
          </w:tcPr>
          <w:p>
            <w:pPr>
              <w:spacing w:after="0"/>
              <w:rPr>
                <w:sz w:val="10"/>
                <w:szCs w:val="10"/>
                <w:color w:val="auto"/>
              </w:rPr>
            </w:pPr>
          </w:p>
        </w:tc>
        <w:tc>
          <w:tcPr>
            <w:tcW w:w="6500" w:type="dxa"/>
            <w:vAlign w:val="bottom"/>
            <w:vMerge w:val="restart"/>
          </w:tcPr>
          <w:p>
            <w:pPr>
              <w:ind w:left="940"/>
              <w:spacing w:after="0"/>
              <w:rPr>
                <w:sz w:val="20"/>
                <w:szCs w:val="20"/>
                <w:color w:val="auto"/>
              </w:rPr>
            </w:pPr>
            <w:r>
              <w:rPr>
                <w:rFonts w:ascii="Arial" w:cs="Arial" w:eastAsia="Arial" w:hAnsi="Arial"/>
                <w:sz w:val="17"/>
                <w:szCs w:val="17"/>
                <w:color w:val="auto"/>
              </w:rPr>
              <w:t>•   2021 Annual Shareholder Meeting</w:t>
            </w:r>
          </w:p>
        </w:tc>
        <w:tc>
          <w:tcPr>
            <w:tcW w:w="0" w:type="dxa"/>
            <w:vAlign w:val="bottom"/>
          </w:tcPr>
          <w:p>
            <w:pPr>
              <w:spacing w:after="0"/>
              <w:rPr>
                <w:sz w:val="1"/>
                <w:szCs w:val="1"/>
                <w:color w:val="auto"/>
              </w:rPr>
            </w:pPr>
          </w:p>
        </w:tc>
      </w:tr>
      <w:tr>
        <w:trPr>
          <w:trHeight w:val="84"/>
        </w:trPr>
        <w:tc>
          <w:tcPr>
            <w:tcW w:w="4120" w:type="dxa"/>
            <w:vAlign w:val="bottom"/>
          </w:tcPr>
          <w:p>
            <w:pPr>
              <w:spacing w:after="0"/>
              <w:rPr>
                <w:sz w:val="7"/>
                <w:szCs w:val="7"/>
                <w:color w:val="auto"/>
              </w:rPr>
            </w:pPr>
          </w:p>
        </w:tc>
        <w:tc>
          <w:tcPr>
            <w:tcW w:w="6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12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120" w:type="dxa"/>
            <w:vAlign w:val="bottom"/>
          </w:tcPr>
          <w:p>
            <w:pPr>
              <w:spacing w:after="0"/>
              <w:rPr>
                <w:sz w:val="24"/>
                <w:szCs w:val="24"/>
                <w:color w:val="auto"/>
              </w:rPr>
            </w:pPr>
          </w:p>
        </w:tc>
        <w:tc>
          <w:tcPr>
            <w:tcW w:w="6500" w:type="dxa"/>
            <w:vAlign w:val="bottom"/>
          </w:tcPr>
          <w:p>
            <w:pPr>
              <w:jc w:val="right"/>
              <w:ind w:right="5173"/>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ectPr>
          <w:pgSz w:w="11900" w:h="16838" w:orient="portrait"/>
          <w:cols w:equalWidth="0" w:num="1">
            <w:col w:w="10620"/>
          </w:cols>
          <w:pgMar w:left="640" w:top="260" w:right="6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Overseeing Risk Management</w:t>
      </w:r>
    </w:p>
    <w:p>
      <w:pPr>
        <w:spacing w:after="0" w:line="230"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The full Board oversees the Company’s corporate-level risk management and management is responsible for the day-to-day management of risk. To assist in its oversight role, the Board’s committees are primarily responsible for certain matters relating to the risks inherent in the committees’ respective areas of oversight, with each committee regularly reporting and making recommendations to the full Board. Risk oversight responsibilities for our Board and its committees are delegated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137795</wp:posOffset>
            </wp:positionV>
            <wp:extent cx="4997450" cy="2544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7450"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Our Board receives regular updates and recommendations from the committees about these activities, and reviews additional risks not specifically within the purview of any committee and risks of a more strategic nature, including operational risks, industry related risks and risks related to the environment, health, safety and security. The Board believes that this structure and division of responsibility is the most effective way to monitor and manage the Company’s risk.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20"/>
          </w:cols>
          <w:pgMar w:left="640" w:top="260" w:right="6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Board Committees</w:t>
      </w:r>
    </w:p>
    <w:p>
      <w:pPr>
        <w:spacing w:after="0" w:line="230"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 xml:space="preserve">The Board has three standing committees – the Audit Committee, the Compensation and Human Capital Management Committee (“Compensation Committee”) and the Nominating Committee. Each committee operates under a written charter that is available in the Investors/Corporate Governance section of our website at </w:t>
      </w:r>
      <w:r>
        <w:rPr>
          <w:rFonts w:ascii="Arial" w:cs="Arial" w:eastAsia="Arial" w:hAnsi="Arial"/>
          <w:sz w:val="17"/>
          <w:szCs w:val="17"/>
          <w:i w:val="1"/>
          <w:iCs w:val="1"/>
          <w:u w:val="single" w:color="auto"/>
          <w:color w:val="auto"/>
        </w:rPr>
        <w:t>www.federalrealty.com</w:t>
      </w:r>
      <w:r>
        <w:rPr>
          <w:rFonts w:ascii="Arial" w:cs="Arial" w:eastAsia="Arial" w:hAnsi="Arial"/>
          <w:sz w:val="17"/>
          <w:szCs w:val="17"/>
          <w:color w:val="auto"/>
        </w:rPr>
        <w:t>. Each committee consists entirely of independent, non-employee trustees.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80" w:type="dxa"/>
            <w:vAlign w:val="bottom"/>
            <w:shd w:val="clear" w:color="auto" w:fill="000000"/>
          </w:tcPr>
          <w:p>
            <w:pPr>
              <w:ind w:left="100"/>
              <w:spacing w:after="0"/>
              <w:rPr>
                <w:sz w:val="20"/>
                <w:szCs w:val="20"/>
                <w:color w:val="auto"/>
              </w:rPr>
            </w:pPr>
            <w:r>
              <w:rPr>
                <w:rFonts w:ascii="Arial" w:cs="Arial" w:eastAsia="Arial" w:hAnsi="Arial"/>
                <w:sz w:val="17"/>
                <w:szCs w:val="17"/>
                <w:color w:val="FFFFFF"/>
              </w:rPr>
              <w:t>Audit Committee</w:t>
            </w:r>
          </w:p>
        </w:tc>
        <w:tc>
          <w:tcPr>
            <w:tcW w:w="480" w:type="dxa"/>
            <w:vAlign w:val="bottom"/>
            <w:shd w:val="clear" w:color="auto" w:fill="000000"/>
          </w:tcPr>
          <w:p>
            <w:pPr>
              <w:spacing w:after="0"/>
              <w:rPr>
                <w:sz w:val="24"/>
                <w:szCs w:val="24"/>
                <w:color w:val="auto"/>
              </w:rPr>
            </w:pPr>
          </w:p>
        </w:tc>
        <w:tc>
          <w:tcPr>
            <w:tcW w:w="5040" w:type="dxa"/>
            <w:vAlign w:val="bottom"/>
            <w:shd w:val="clear" w:color="auto" w:fill="000000"/>
          </w:tcPr>
          <w:p>
            <w:pPr>
              <w:ind w:left="2640"/>
              <w:spacing w:after="0"/>
              <w:rPr>
                <w:sz w:val="20"/>
                <w:szCs w:val="20"/>
                <w:color w:val="auto"/>
              </w:rPr>
            </w:pPr>
            <w:r>
              <w:rPr>
                <w:rFonts w:ascii="Arial" w:cs="Arial" w:eastAsia="Arial" w:hAnsi="Arial"/>
                <w:sz w:val="17"/>
                <w:szCs w:val="17"/>
                <w:color w:val="FFFFFF"/>
              </w:rPr>
              <w:t>Number of Meetings in 2021:</w:t>
            </w:r>
          </w:p>
        </w:tc>
        <w:tc>
          <w:tcPr>
            <w:tcW w:w="220" w:type="dxa"/>
            <w:vAlign w:val="bottom"/>
            <w:shd w:val="clear" w:color="auto" w:fill="000000"/>
          </w:tcPr>
          <w:p>
            <w:pPr>
              <w:jc w:val="right"/>
              <w:ind w:right="13"/>
              <w:spacing w:after="0"/>
              <w:rPr>
                <w:sz w:val="20"/>
                <w:szCs w:val="20"/>
                <w:color w:val="auto"/>
              </w:rPr>
            </w:pPr>
            <w:r>
              <w:rPr>
                <w:rFonts w:ascii="Arial" w:cs="Arial" w:eastAsia="Arial" w:hAnsi="Arial"/>
                <w:sz w:val="17"/>
                <w:szCs w:val="17"/>
                <w:color w:val="FFFFFF"/>
              </w:rPr>
              <w:t>5</w:t>
            </w:r>
          </w:p>
        </w:tc>
      </w:tr>
      <w:tr>
        <w:trPr>
          <w:trHeight w:val="286"/>
        </w:trPr>
        <w:tc>
          <w:tcPr>
            <w:tcW w:w="536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Membership</w:t>
            </w:r>
          </w:p>
        </w:tc>
        <w:tc>
          <w:tcPr>
            <w:tcW w:w="504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389"/>
        </w:trPr>
        <w:tc>
          <w:tcPr>
            <w:tcW w:w="4880" w:type="dxa"/>
            <w:vAlign w:val="bottom"/>
          </w:tcPr>
          <w:p>
            <w:pPr>
              <w:spacing w:after="0"/>
              <w:rPr>
                <w:sz w:val="24"/>
                <w:szCs w:val="24"/>
                <w:color w:val="auto"/>
              </w:rPr>
            </w:pPr>
          </w:p>
        </w:tc>
        <w:tc>
          <w:tcPr>
            <w:tcW w:w="5520" w:type="dxa"/>
            <w:vAlign w:val="bottom"/>
            <w:gridSpan w:val="2"/>
          </w:tcPr>
          <w:p>
            <w:pPr>
              <w:jc w:val="right"/>
              <w:ind w:right="2313"/>
              <w:spacing w:after="0"/>
              <w:rPr>
                <w:sz w:val="20"/>
                <w:szCs w:val="20"/>
                <w:color w:val="auto"/>
              </w:rPr>
            </w:pPr>
            <w:r>
              <w:rPr>
                <w:rFonts w:ascii="Arial" w:cs="Arial" w:eastAsia="Arial" w:hAnsi="Arial"/>
                <w:sz w:val="17"/>
                <w:szCs w:val="17"/>
                <w:b w:val="1"/>
                <w:bCs w:val="1"/>
                <w:color w:val="FF160F"/>
              </w:rPr>
              <w:t>Gail P. Steinel</w:t>
            </w:r>
            <w:r>
              <w:rPr>
                <w:rFonts w:ascii="Arial" w:cs="Arial" w:eastAsia="Arial" w:hAnsi="Arial"/>
                <w:sz w:val="17"/>
                <w:szCs w:val="17"/>
                <w:color w:val="FF160F"/>
              </w:rPr>
              <w:t>,</w:t>
            </w:r>
            <w:r>
              <w:rPr>
                <w:rFonts w:ascii="Arial" w:cs="Arial" w:eastAsia="Arial" w:hAnsi="Arial"/>
                <w:sz w:val="17"/>
                <w:szCs w:val="17"/>
                <w:b w:val="1"/>
                <w:bCs w:val="1"/>
                <w:color w:val="FF160F"/>
              </w:rPr>
              <w:t xml:space="preserve"> Chair </w:t>
            </w:r>
            <w:r>
              <w:rPr>
                <w:rFonts w:ascii="Arial" w:cs="Arial" w:eastAsia="Arial" w:hAnsi="Arial"/>
                <w:sz w:val="13"/>
                <w:szCs w:val="13"/>
                <w:color w:val="000000"/>
              </w:rPr>
              <w:t>(Financial Expert)</w:t>
            </w:r>
          </w:p>
        </w:tc>
        <w:tc>
          <w:tcPr>
            <w:tcW w:w="220" w:type="dxa"/>
            <w:vAlign w:val="bottom"/>
          </w:tcPr>
          <w:p>
            <w:pPr>
              <w:spacing w:after="0"/>
              <w:rPr>
                <w:sz w:val="24"/>
                <w:szCs w:val="24"/>
                <w:color w:val="auto"/>
              </w:rPr>
            </w:pPr>
          </w:p>
        </w:tc>
      </w:tr>
      <w:tr>
        <w:trPr>
          <w:trHeight w:val="195"/>
        </w:trPr>
        <w:tc>
          <w:tcPr>
            <w:tcW w:w="4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 xml:space="preserve">David W. Faeder </w:t>
            </w:r>
            <w:r>
              <w:rPr>
                <w:rFonts w:ascii="Arial" w:cs="Arial" w:eastAsia="Arial" w:hAnsi="Arial"/>
                <w:sz w:val="13"/>
                <w:szCs w:val="13"/>
                <w:color w:val="auto"/>
              </w:rPr>
              <w:t>(Financial Expert)</w:t>
            </w:r>
          </w:p>
        </w:tc>
        <w:tc>
          <w:tcPr>
            <w:tcW w:w="220" w:type="dxa"/>
            <w:vAlign w:val="bottom"/>
          </w:tcPr>
          <w:p>
            <w:pPr>
              <w:spacing w:after="0"/>
              <w:rPr>
                <w:sz w:val="16"/>
                <w:szCs w:val="16"/>
                <w:color w:val="auto"/>
              </w:rPr>
            </w:pPr>
          </w:p>
        </w:tc>
      </w:tr>
      <w:tr>
        <w:trPr>
          <w:trHeight w:val="195"/>
        </w:trPr>
        <w:tc>
          <w:tcPr>
            <w:tcW w:w="4880" w:type="dxa"/>
            <w:vAlign w:val="bottom"/>
          </w:tcPr>
          <w:p>
            <w:pPr>
              <w:spacing w:after="0"/>
              <w:rPr>
                <w:sz w:val="16"/>
                <w:szCs w:val="16"/>
                <w:color w:val="auto"/>
              </w:rPr>
            </w:pPr>
          </w:p>
        </w:tc>
        <w:tc>
          <w:tcPr>
            <w:tcW w:w="5520" w:type="dxa"/>
            <w:vAlign w:val="bottom"/>
            <w:gridSpan w:val="2"/>
          </w:tcPr>
          <w:p>
            <w:pPr>
              <w:jc w:val="right"/>
              <w:ind w:right="2193"/>
              <w:spacing w:after="0"/>
              <w:rPr>
                <w:sz w:val="20"/>
                <w:szCs w:val="20"/>
                <w:color w:val="auto"/>
              </w:rPr>
            </w:pPr>
            <w:r>
              <w:rPr>
                <w:rFonts w:ascii="Arial" w:cs="Arial" w:eastAsia="Arial" w:hAnsi="Arial"/>
                <w:sz w:val="17"/>
                <w:szCs w:val="17"/>
                <w:color w:val="auto"/>
              </w:rPr>
              <w:t xml:space="preserve">Elizabeth I. Holland </w:t>
            </w:r>
            <w:r>
              <w:rPr>
                <w:rFonts w:ascii="Arial" w:cs="Arial" w:eastAsia="Arial" w:hAnsi="Arial"/>
                <w:sz w:val="13"/>
                <w:szCs w:val="13"/>
                <w:color w:val="auto"/>
              </w:rPr>
              <w:t>(effective August 3, 2021)</w:t>
            </w:r>
          </w:p>
        </w:tc>
        <w:tc>
          <w:tcPr>
            <w:tcW w:w="220" w:type="dxa"/>
            <w:vAlign w:val="bottom"/>
          </w:tcPr>
          <w:p>
            <w:pPr>
              <w:spacing w:after="0"/>
              <w:rPr>
                <w:sz w:val="16"/>
                <w:szCs w:val="16"/>
                <w:color w:val="auto"/>
              </w:rPr>
            </w:pPr>
          </w:p>
        </w:tc>
      </w:tr>
      <w:tr>
        <w:trPr>
          <w:trHeight w:val="209"/>
        </w:trPr>
        <w:tc>
          <w:tcPr>
            <w:tcW w:w="4880" w:type="dxa"/>
            <w:vAlign w:val="bottom"/>
          </w:tcPr>
          <w:p>
            <w:pPr>
              <w:spacing w:after="0"/>
              <w:rPr>
                <w:sz w:val="18"/>
                <w:szCs w:val="18"/>
                <w:color w:val="auto"/>
              </w:rPr>
            </w:pPr>
          </w:p>
        </w:tc>
        <w:tc>
          <w:tcPr>
            <w:tcW w:w="5520" w:type="dxa"/>
            <w:vAlign w:val="bottom"/>
            <w:gridSpan w:val="2"/>
          </w:tcPr>
          <w:p>
            <w:pPr>
              <w:jc w:val="right"/>
              <w:ind w:right="2433"/>
              <w:spacing w:after="0"/>
              <w:rPr>
                <w:sz w:val="20"/>
                <w:szCs w:val="20"/>
                <w:color w:val="auto"/>
              </w:rPr>
            </w:pPr>
            <w:r>
              <w:rPr>
                <w:rFonts w:ascii="Arial" w:cs="Arial" w:eastAsia="Arial" w:hAnsi="Arial"/>
                <w:sz w:val="17"/>
                <w:szCs w:val="17"/>
                <w:color w:val="auto"/>
              </w:rPr>
              <w:t xml:space="preserve">Anthony P. Nader, III </w:t>
            </w:r>
            <w:r>
              <w:rPr>
                <w:rFonts w:ascii="Arial" w:cs="Arial" w:eastAsia="Arial" w:hAnsi="Arial"/>
                <w:sz w:val="13"/>
                <w:szCs w:val="13"/>
                <w:color w:val="auto"/>
              </w:rPr>
              <w:t>(Financial Expert)</w:t>
            </w:r>
          </w:p>
        </w:tc>
        <w:tc>
          <w:tcPr>
            <w:tcW w:w="220" w:type="dxa"/>
            <w:vAlign w:val="bottom"/>
          </w:tcPr>
          <w:p>
            <w:pPr>
              <w:spacing w:after="0"/>
              <w:rPr>
                <w:sz w:val="18"/>
                <w:szCs w:val="18"/>
                <w:color w:val="auto"/>
              </w:rPr>
            </w:pPr>
          </w:p>
        </w:tc>
      </w:tr>
      <w:tr>
        <w:trPr>
          <w:trHeight w:val="637"/>
        </w:trPr>
        <w:tc>
          <w:tcPr>
            <w:tcW w:w="5360" w:type="dxa"/>
            <w:vAlign w:val="bottom"/>
            <w:gridSpan w:val="2"/>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2"/>
        </w:trPr>
        <w:tc>
          <w:tcPr>
            <w:tcW w:w="5360" w:type="dxa"/>
            <w:vAlign w:val="bottom"/>
            <w:tcBorders>
              <w:bottom w:val="single" w:sz="8" w:color="FF160F"/>
            </w:tcBorders>
            <w:gridSpan w:val="2"/>
            <w:shd w:val="clear" w:color="auto" w:fill="D8D8D8"/>
          </w:tcPr>
          <w:p>
            <w:pPr>
              <w:ind w:left="100"/>
              <w:spacing w:after="0"/>
              <w:rPr>
                <w:sz w:val="20"/>
                <w:szCs w:val="20"/>
                <w:color w:val="auto"/>
              </w:rPr>
            </w:pPr>
            <w:r>
              <w:rPr>
                <w:rFonts w:ascii="Arial" w:cs="Arial" w:eastAsia="Arial" w:hAnsi="Arial"/>
                <w:sz w:val="17"/>
                <w:szCs w:val="17"/>
                <w:color w:val="auto"/>
              </w:rPr>
              <w:t>Primary Responsibilities</w:t>
            </w:r>
          </w:p>
        </w:tc>
        <w:tc>
          <w:tcPr>
            <w:tcW w:w="5040" w:type="dxa"/>
            <w:vAlign w:val="bottom"/>
            <w:tcBorders>
              <w:bottom w:val="single" w:sz="8" w:color="FF160F"/>
            </w:tcBorders>
            <w:shd w:val="clear" w:color="auto" w:fill="D8D8D8"/>
          </w:tcPr>
          <w:p>
            <w:pPr>
              <w:spacing w:after="0"/>
              <w:rPr>
                <w:sz w:val="24"/>
                <w:szCs w:val="24"/>
                <w:color w:val="auto"/>
              </w:rPr>
            </w:pPr>
          </w:p>
        </w:tc>
        <w:tc>
          <w:tcPr>
            <w:tcW w:w="220" w:type="dxa"/>
            <w:vAlign w:val="bottom"/>
            <w:tcBorders>
              <w:bottom w:val="single" w:sz="8" w:color="FF160F"/>
            </w:tcBorders>
            <w:shd w:val="clear" w:color="auto" w:fill="D8D8D8"/>
          </w:tcPr>
          <w:p>
            <w:pPr>
              <w:spacing w:after="0"/>
              <w:rPr>
                <w:sz w:val="24"/>
                <w:szCs w:val="24"/>
                <w:color w:val="auto"/>
              </w:rPr>
            </w:pPr>
          </w:p>
        </w:tc>
      </w:tr>
      <w:tr>
        <w:trPr>
          <w:trHeight w:val="194"/>
        </w:trPr>
        <w:tc>
          <w:tcPr>
            <w:tcW w:w="536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   Selects and oversees our independent auditor</w:t>
            </w:r>
          </w:p>
        </w:tc>
        <w:tc>
          <w:tcPr>
            <w:tcW w:w="526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   Oversees adequacy and integrity of our financial statements</w:t>
            </w:r>
          </w:p>
        </w:tc>
      </w:tr>
      <w:tr>
        <w:trPr>
          <w:trHeight w:val="195"/>
        </w:trPr>
        <w:tc>
          <w:tcPr>
            <w:tcW w:w="4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480"/>
              <w:spacing w:after="0"/>
              <w:rPr>
                <w:sz w:val="20"/>
                <w:szCs w:val="20"/>
                <w:color w:val="auto"/>
              </w:rPr>
            </w:pPr>
            <w:r>
              <w:rPr>
                <w:rFonts w:ascii="Arial" w:cs="Arial" w:eastAsia="Arial" w:hAnsi="Arial"/>
                <w:sz w:val="17"/>
                <w:szCs w:val="17"/>
                <w:color w:val="auto"/>
              </w:rPr>
              <w:t>and our financial reporting and disclosure</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100"/>
              <w:spacing w:after="0"/>
              <w:rPr>
                <w:sz w:val="20"/>
                <w:szCs w:val="20"/>
                <w:color w:val="auto"/>
              </w:rPr>
            </w:pPr>
            <w:r>
              <w:rPr>
                <w:rFonts w:ascii="Arial" w:cs="Arial" w:eastAsia="Arial" w:hAnsi="Arial"/>
                <w:sz w:val="17"/>
                <w:szCs w:val="17"/>
                <w:color w:val="auto"/>
              </w:rPr>
              <w:t>•   Oversees our financial reporting, including reviewing results</w:t>
            </w:r>
          </w:p>
        </w:tc>
        <w:tc>
          <w:tcPr>
            <w:tcW w:w="5040" w:type="dxa"/>
            <w:vAlign w:val="bottom"/>
          </w:tcPr>
          <w:p>
            <w:pPr>
              <w:ind w:left="160"/>
              <w:spacing w:after="0"/>
              <w:rPr>
                <w:sz w:val="20"/>
                <w:szCs w:val="20"/>
                <w:color w:val="auto"/>
              </w:rPr>
            </w:pPr>
            <w:r>
              <w:rPr>
                <w:rFonts w:ascii="Arial" w:cs="Arial" w:eastAsia="Arial" w:hAnsi="Arial"/>
                <w:sz w:val="17"/>
                <w:szCs w:val="17"/>
                <w:color w:val="auto"/>
              </w:rPr>
              <w:t>•   Oversees financial risks and risks relating to cybersecurity,</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420"/>
              <w:spacing w:after="0"/>
              <w:rPr>
                <w:sz w:val="20"/>
                <w:szCs w:val="20"/>
                <w:color w:val="auto"/>
              </w:rPr>
            </w:pPr>
            <w:r>
              <w:rPr>
                <w:rFonts w:ascii="Arial" w:cs="Arial" w:eastAsia="Arial" w:hAnsi="Arial"/>
                <w:sz w:val="17"/>
                <w:szCs w:val="17"/>
                <w:color w:val="auto"/>
              </w:rPr>
              <w:t>with management and our independent auditor</w:t>
            </w:r>
          </w:p>
        </w:tc>
        <w:tc>
          <w:tcPr>
            <w:tcW w:w="5040" w:type="dxa"/>
            <w:vAlign w:val="bottom"/>
          </w:tcPr>
          <w:p>
            <w:pPr>
              <w:ind w:left="480"/>
              <w:spacing w:after="0"/>
              <w:rPr>
                <w:sz w:val="20"/>
                <w:szCs w:val="20"/>
                <w:color w:val="auto"/>
              </w:rPr>
            </w:pPr>
            <w:r>
              <w:rPr>
                <w:rFonts w:ascii="Arial" w:cs="Arial" w:eastAsia="Arial" w:hAnsi="Arial"/>
                <w:sz w:val="17"/>
                <w:szCs w:val="17"/>
                <w:color w:val="auto"/>
              </w:rPr>
              <w:t>data security and information protection</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100"/>
              <w:spacing w:after="0"/>
              <w:rPr>
                <w:sz w:val="20"/>
                <w:szCs w:val="20"/>
                <w:color w:val="auto"/>
              </w:rPr>
            </w:pPr>
            <w:r>
              <w:rPr>
                <w:rFonts w:ascii="Arial" w:cs="Arial" w:eastAsia="Arial" w:hAnsi="Arial"/>
                <w:sz w:val="17"/>
                <w:szCs w:val="17"/>
                <w:color w:val="auto"/>
              </w:rPr>
              <w:t>•   Oversees internal audit function</w:t>
            </w:r>
          </w:p>
        </w:tc>
        <w:tc>
          <w:tcPr>
            <w:tcW w:w="5040" w:type="dxa"/>
            <w:vAlign w:val="bottom"/>
          </w:tcPr>
          <w:p>
            <w:pPr>
              <w:ind w:left="160"/>
              <w:spacing w:after="0"/>
              <w:rPr>
                <w:sz w:val="20"/>
                <w:szCs w:val="20"/>
                <w:color w:val="auto"/>
              </w:rPr>
            </w:pPr>
            <w:r>
              <w:rPr>
                <w:rFonts w:ascii="Arial" w:cs="Arial" w:eastAsia="Arial" w:hAnsi="Arial"/>
                <w:sz w:val="17"/>
                <w:szCs w:val="17"/>
                <w:color w:val="auto"/>
              </w:rPr>
              <w:t>•   Reviews and approves any related party transactions</w:t>
            </w:r>
          </w:p>
        </w:tc>
        <w:tc>
          <w:tcPr>
            <w:tcW w:w="220" w:type="dxa"/>
            <w:vAlign w:val="bottom"/>
          </w:tcPr>
          <w:p>
            <w:pPr>
              <w:spacing w:after="0"/>
              <w:rPr>
                <w:sz w:val="16"/>
                <w:szCs w:val="16"/>
                <w:color w:val="auto"/>
              </w:rPr>
            </w:pPr>
          </w:p>
        </w:tc>
      </w:tr>
      <w:tr>
        <w:trPr>
          <w:trHeight w:val="215"/>
        </w:trPr>
        <w:tc>
          <w:tcPr>
            <w:tcW w:w="4880" w:type="dxa"/>
            <w:vAlign w:val="bottom"/>
            <w:tcBorders>
              <w:bottom w:val="single" w:sz="8" w:color="FF160F"/>
            </w:tcBorders>
          </w:tcPr>
          <w:p>
            <w:pPr>
              <w:spacing w:after="0"/>
              <w:rPr>
                <w:sz w:val="18"/>
                <w:szCs w:val="18"/>
                <w:color w:val="auto"/>
              </w:rPr>
            </w:pPr>
          </w:p>
        </w:tc>
        <w:tc>
          <w:tcPr>
            <w:tcW w:w="480" w:type="dxa"/>
            <w:vAlign w:val="bottom"/>
            <w:tcBorders>
              <w:bottom w:val="single" w:sz="8" w:color="FF160F"/>
            </w:tcBorders>
          </w:tcPr>
          <w:p>
            <w:pPr>
              <w:spacing w:after="0"/>
              <w:rPr>
                <w:sz w:val="18"/>
                <w:szCs w:val="18"/>
                <w:color w:val="auto"/>
              </w:rPr>
            </w:pPr>
          </w:p>
        </w:tc>
        <w:tc>
          <w:tcPr>
            <w:tcW w:w="5040" w:type="dxa"/>
            <w:vAlign w:val="bottom"/>
            <w:tcBorders>
              <w:bottom w:val="single" w:sz="8" w:color="FF160F"/>
            </w:tcBorders>
          </w:tcPr>
          <w:p>
            <w:pPr>
              <w:ind w:left="480"/>
              <w:spacing w:after="0"/>
              <w:rPr>
                <w:sz w:val="20"/>
                <w:szCs w:val="20"/>
                <w:color w:val="auto"/>
              </w:rPr>
            </w:pPr>
            <w:r>
              <w:rPr>
                <w:rFonts w:ascii="Arial" w:cs="Arial" w:eastAsia="Arial" w:hAnsi="Arial"/>
                <w:sz w:val="17"/>
                <w:szCs w:val="17"/>
                <w:color w:val="auto"/>
              </w:rPr>
              <w:t>requiring disclosure</w:t>
            </w:r>
          </w:p>
        </w:tc>
        <w:tc>
          <w:tcPr>
            <w:tcW w:w="220" w:type="dxa"/>
            <w:vAlign w:val="bottom"/>
            <w:tcBorders>
              <w:bottom w:val="single" w:sz="8" w:color="FF160F"/>
            </w:tcBorders>
          </w:tcPr>
          <w:p>
            <w:pPr>
              <w:spacing w:after="0"/>
              <w:rPr>
                <w:sz w:val="18"/>
                <w:szCs w:val="18"/>
                <w:color w:val="auto"/>
              </w:rPr>
            </w:pPr>
          </w:p>
        </w:tc>
      </w:tr>
      <w:tr>
        <w:trPr>
          <w:trHeight w:val="246"/>
        </w:trPr>
        <w:tc>
          <w:tcPr>
            <w:tcW w:w="10400" w:type="dxa"/>
            <w:vAlign w:val="bottom"/>
            <w:gridSpan w:val="3"/>
          </w:tcPr>
          <w:p>
            <w:pPr>
              <w:ind w:left="100"/>
              <w:spacing w:after="0"/>
              <w:rPr>
                <w:sz w:val="20"/>
                <w:szCs w:val="20"/>
                <w:color w:val="auto"/>
              </w:rPr>
            </w:pPr>
            <w:r>
              <w:rPr>
                <w:rFonts w:ascii="Arial" w:cs="Arial" w:eastAsia="Arial" w:hAnsi="Arial"/>
                <w:sz w:val="17"/>
                <w:szCs w:val="17"/>
                <w:color w:val="auto"/>
              </w:rPr>
              <w:t>More information on the Audit Committee is included in the Audit Committee Report and “Proposal 3: Ratification of Independent</w:t>
            </w:r>
          </w:p>
        </w:tc>
        <w:tc>
          <w:tcPr>
            <w:tcW w:w="220" w:type="dxa"/>
            <w:vAlign w:val="bottom"/>
          </w:tcPr>
          <w:p>
            <w:pPr>
              <w:spacing w:after="0"/>
              <w:rPr>
                <w:sz w:val="21"/>
                <w:szCs w:val="21"/>
                <w:color w:val="auto"/>
              </w:rPr>
            </w:pPr>
          </w:p>
        </w:tc>
      </w:tr>
      <w:tr>
        <w:trPr>
          <w:trHeight w:val="228"/>
        </w:trPr>
        <w:tc>
          <w:tcPr>
            <w:tcW w:w="5360" w:type="dxa"/>
            <w:vAlign w:val="bottom"/>
            <w:tcBorders>
              <w:bottom w:val="single" w:sz="8" w:color="FF160F"/>
            </w:tcBorders>
            <w:gridSpan w:val="2"/>
          </w:tcPr>
          <w:p>
            <w:pPr>
              <w:ind w:left="100"/>
              <w:spacing w:after="0"/>
              <w:rPr>
                <w:sz w:val="20"/>
                <w:szCs w:val="20"/>
                <w:color w:val="auto"/>
              </w:rPr>
            </w:pPr>
            <w:r>
              <w:rPr>
                <w:rFonts w:ascii="Arial" w:cs="Arial" w:eastAsia="Arial" w:hAnsi="Arial"/>
                <w:sz w:val="17"/>
                <w:szCs w:val="17"/>
                <w:color w:val="auto"/>
              </w:rPr>
              <w:t>Registered Public Accounting Firm” beginning on page 39.</w:t>
            </w:r>
          </w:p>
        </w:tc>
        <w:tc>
          <w:tcPr>
            <w:tcW w:w="5040" w:type="dxa"/>
            <w:vAlign w:val="bottom"/>
            <w:tcBorders>
              <w:bottom w:val="single" w:sz="8" w:color="FF160F"/>
            </w:tcBorders>
          </w:tcPr>
          <w:p>
            <w:pPr>
              <w:spacing w:after="0"/>
              <w:rPr>
                <w:sz w:val="19"/>
                <w:szCs w:val="19"/>
                <w:color w:val="auto"/>
              </w:rPr>
            </w:pPr>
          </w:p>
        </w:tc>
        <w:tc>
          <w:tcPr>
            <w:tcW w:w="220" w:type="dxa"/>
            <w:vAlign w:val="bottom"/>
            <w:tcBorders>
              <w:bottom w:val="single" w:sz="8" w:color="FF160F"/>
            </w:tcBorders>
          </w:tcPr>
          <w:p>
            <w:pPr>
              <w:spacing w:after="0"/>
              <w:rPr>
                <w:sz w:val="19"/>
                <w:szCs w:val="19"/>
                <w:color w:val="auto"/>
              </w:rPr>
            </w:pPr>
          </w:p>
        </w:tc>
      </w:tr>
      <w:tr>
        <w:trPr>
          <w:trHeight w:val="481"/>
        </w:trPr>
        <w:tc>
          <w:tcPr>
            <w:tcW w:w="5360" w:type="dxa"/>
            <w:vAlign w:val="bottom"/>
            <w:gridSpan w:val="2"/>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6"/>
        </w:trPr>
        <w:tc>
          <w:tcPr>
            <w:tcW w:w="5360" w:type="dxa"/>
            <w:vAlign w:val="bottom"/>
            <w:gridSpan w:val="2"/>
            <w:shd w:val="clear" w:color="auto" w:fill="000000"/>
          </w:tcPr>
          <w:p>
            <w:pPr>
              <w:ind w:left="100"/>
              <w:spacing w:after="0"/>
              <w:rPr>
                <w:sz w:val="20"/>
                <w:szCs w:val="20"/>
                <w:color w:val="auto"/>
              </w:rPr>
            </w:pPr>
            <w:r>
              <w:rPr>
                <w:rFonts w:ascii="Arial" w:cs="Arial" w:eastAsia="Arial" w:hAnsi="Arial"/>
                <w:sz w:val="17"/>
                <w:szCs w:val="17"/>
                <w:color w:val="FFFFFF"/>
              </w:rPr>
              <w:t>Compensation and Human Capital Management Committee</w:t>
            </w:r>
          </w:p>
        </w:tc>
        <w:tc>
          <w:tcPr>
            <w:tcW w:w="5040" w:type="dxa"/>
            <w:vAlign w:val="bottom"/>
            <w:shd w:val="clear" w:color="auto" w:fill="000000"/>
          </w:tcPr>
          <w:p>
            <w:pPr>
              <w:ind w:left="2640"/>
              <w:spacing w:after="0"/>
              <w:rPr>
                <w:sz w:val="20"/>
                <w:szCs w:val="20"/>
                <w:color w:val="auto"/>
              </w:rPr>
            </w:pPr>
            <w:r>
              <w:rPr>
                <w:rFonts w:ascii="Arial" w:cs="Arial" w:eastAsia="Arial" w:hAnsi="Arial"/>
                <w:sz w:val="17"/>
                <w:szCs w:val="17"/>
                <w:color w:val="FFFFFF"/>
              </w:rPr>
              <w:t>Number of Meetings in 2021:</w:t>
            </w:r>
          </w:p>
        </w:tc>
        <w:tc>
          <w:tcPr>
            <w:tcW w:w="220" w:type="dxa"/>
            <w:vAlign w:val="bottom"/>
            <w:shd w:val="clear" w:color="auto" w:fill="000000"/>
          </w:tcPr>
          <w:p>
            <w:pPr>
              <w:jc w:val="right"/>
              <w:ind w:right="13"/>
              <w:spacing w:after="0"/>
              <w:rPr>
                <w:sz w:val="20"/>
                <w:szCs w:val="20"/>
                <w:color w:val="auto"/>
              </w:rPr>
            </w:pPr>
            <w:r>
              <w:rPr>
                <w:rFonts w:ascii="Arial" w:cs="Arial" w:eastAsia="Arial" w:hAnsi="Arial"/>
                <w:sz w:val="17"/>
                <w:szCs w:val="17"/>
                <w:color w:val="FFFFFF"/>
              </w:rPr>
              <w:t>4</w:t>
            </w:r>
          </w:p>
        </w:tc>
      </w:tr>
      <w:tr>
        <w:trPr>
          <w:trHeight w:val="286"/>
        </w:trPr>
        <w:tc>
          <w:tcPr>
            <w:tcW w:w="536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Membership</w:t>
            </w:r>
          </w:p>
        </w:tc>
        <w:tc>
          <w:tcPr>
            <w:tcW w:w="504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389"/>
        </w:trPr>
        <w:tc>
          <w:tcPr>
            <w:tcW w:w="10400" w:type="dxa"/>
            <w:vAlign w:val="bottom"/>
            <w:gridSpan w:val="3"/>
          </w:tcPr>
          <w:p>
            <w:pPr>
              <w:ind w:left="4560"/>
              <w:spacing w:after="0"/>
              <w:rPr>
                <w:sz w:val="20"/>
                <w:szCs w:val="20"/>
                <w:color w:val="auto"/>
              </w:rPr>
            </w:pPr>
            <w:r>
              <w:rPr>
                <w:rFonts w:ascii="Arial" w:cs="Arial" w:eastAsia="Arial" w:hAnsi="Arial"/>
                <w:sz w:val="17"/>
                <w:szCs w:val="17"/>
                <w:b w:val="1"/>
                <w:bCs w:val="1"/>
                <w:color w:val="FF160F"/>
              </w:rPr>
              <w:t xml:space="preserve">Elizabeth I. Holland, Chair </w:t>
            </w:r>
            <w:r>
              <w:rPr>
                <w:rFonts w:ascii="Arial" w:cs="Arial" w:eastAsia="Arial" w:hAnsi="Arial"/>
                <w:sz w:val="13"/>
                <w:szCs w:val="13"/>
                <w:color w:val="000000"/>
              </w:rPr>
              <w:t>(effective August 3, 2021)</w:t>
            </w:r>
          </w:p>
        </w:tc>
        <w:tc>
          <w:tcPr>
            <w:tcW w:w="220" w:type="dxa"/>
            <w:vAlign w:val="bottom"/>
          </w:tcPr>
          <w:p>
            <w:pPr>
              <w:spacing w:after="0"/>
              <w:rPr>
                <w:sz w:val="24"/>
                <w:szCs w:val="24"/>
                <w:color w:val="auto"/>
              </w:rPr>
            </w:pPr>
          </w:p>
        </w:tc>
      </w:tr>
      <w:tr>
        <w:trPr>
          <w:trHeight w:val="195"/>
        </w:trPr>
        <w:tc>
          <w:tcPr>
            <w:tcW w:w="4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ind w:left="460"/>
              <w:spacing w:after="0"/>
              <w:rPr>
                <w:sz w:val="20"/>
                <w:szCs w:val="20"/>
                <w:color w:val="auto"/>
              </w:rPr>
            </w:pPr>
            <w:r>
              <w:rPr>
                <w:rFonts w:ascii="Arial" w:cs="Arial" w:eastAsia="Arial" w:hAnsi="Arial"/>
                <w:sz w:val="17"/>
                <w:szCs w:val="17"/>
                <w:color w:val="auto"/>
              </w:rPr>
              <w:t>Nicole Y. Lamb-Hale</w:t>
            </w:r>
          </w:p>
        </w:tc>
        <w:tc>
          <w:tcPr>
            <w:tcW w:w="220" w:type="dxa"/>
            <w:vAlign w:val="bottom"/>
          </w:tcPr>
          <w:p>
            <w:pPr>
              <w:spacing w:after="0"/>
              <w:rPr>
                <w:sz w:val="16"/>
                <w:szCs w:val="16"/>
                <w:color w:val="auto"/>
              </w:rPr>
            </w:pPr>
          </w:p>
        </w:tc>
      </w:tr>
      <w:tr>
        <w:trPr>
          <w:trHeight w:val="195"/>
        </w:trPr>
        <w:tc>
          <w:tcPr>
            <w:tcW w:w="4880" w:type="dxa"/>
            <w:vAlign w:val="bottom"/>
          </w:tcPr>
          <w:p>
            <w:pPr>
              <w:spacing w:after="0"/>
              <w:rPr>
                <w:sz w:val="16"/>
                <w:szCs w:val="16"/>
                <w:color w:val="auto"/>
              </w:rPr>
            </w:pPr>
          </w:p>
        </w:tc>
        <w:tc>
          <w:tcPr>
            <w:tcW w:w="5520" w:type="dxa"/>
            <w:vAlign w:val="bottom"/>
            <w:gridSpan w:val="2"/>
          </w:tcPr>
          <w:p>
            <w:pPr>
              <w:jc w:val="right"/>
              <w:ind w:right="2433"/>
              <w:spacing w:after="0"/>
              <w:rPr>
                <w:sz w:val="20"/>
                <w:szCs w:val="20"/>
                <w:color w:val="auto"/>
              </w:rPr>
            </w:pPr>
            <w:r>
              <w:rPr>
                <w:rFonts w:ascii="Arial" w:cs="Arial" w:eastAsia="Arial" w:hAnsi="Arial"/>
                <w:sz w:val="17"/>
                <w:szCs w:val="17"/>
                <w:color w:val="auto"/>
              </w:rPr>
              <w:t xml:space="preserve">Mark S. Ordan </w:t>
            </w:r>
            <w:r>
              <w:rPr>
                <w:rFonts w:ascii="Arial" w:cs="Arial" w:eastAsia="Arial" w:hAnsi="Arial"/>
                <w:sz w:val="13"/>
                <w:szCs w:val="13"/>
                <w:color w:val="auto"/>
              </w:rPr>
              <w:t>(effective August 3, 2021)</w:t>
            </w:r>
          </w:p>
        </w:tc>
        <w:tc>
          <w:tcPr>
            <w:tcW w:w="220" w:type="dxa"/>
            <w:vAlign w:val="bottom"/>
          </w:tcPr>
          <w:p>
            <w:pPr>
              <w:spacing w:after="0"/>
              <w:rPr>
                <w:sz w:val="16"/>
                <w:szCs w:val="16"/>
                <w:color w:val="auto"/>
              </w:rPr>
            </w:pPr>
          </w:p>
        </w:tc>
      </w:tr>
      <w:tr>
        <w:trPr>
          <w:trHeight w:val="209"/>
        </w:trPr>
        <w:tc>
          <w:tcPr>
            <w:tcW w:w="4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40" w:type="dxa"/>
            <w:vAlign w:val="bottom"/>
          </w:tcPr>
          <w:p>
            <w:pPr>
              <w:ind w:left="740"/>
              <w:spacing w:after="0"/>
              <w:rPr>
                <w:sz w:val="20"/>
                <w:szCs w:val="20"/>
                <w:color w:val="auto"/>
              </w:rPr>
            </w:pPr>
            <w:r>
              <w:rPr>
                <w:rFonts w:ascii="Arial" w:cs="Arial" w:eastAsia="Arial" w:hAnsi="Arial"/>
                <w:sz w:val="17"/>
                <w:szCs w:val="17"/>
                <w:color w:val="auto"/>
              </w:rPr>
              <w:t>Gail P. Steinel</w:t>
            </w:r>
          </w:p>
        </w:tc>
        <w:tc>
          <w:tcPr>
            <w:tcW w:w="220" w:type="dxa"/>
            <w:vAlign w:val="bottom"/>
          </w:tcPr>
          <w:p>
            <w:pPr>
              <w:spacing w:after="0"/>
              <w:rPr>
                <w:sz w:val="18"/>
                <w:szCs w:val="18"/>
                <w:color w:val="auto"/>
              </w:rPr>
            </w:pPr>
          </w:p>
        </w:tc>
      </w:tr>
      <w:tr>
        <w:trPr>
          <w:trHeight w:val="559"/>
        </w:trPr>
        <w:tc>
          <w:tcPr>
            <w:tcW w:w="5360" w:type="dxa"/>
            <w:vAlign w:val="bottom"/>
            <w:gridSpan w:val="2"/>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2"/>
        </w:trPr>
        <w:tc>
          <w:tcPr>
            <w:tcW w:w="5360" w:type="dxa"/>
            <w:vAlign w:val="bottom"/>
            <w:tcBorders>
              <w:bottom w:val="single" w:sz="8" w:color="FF160F"/>
            </w:tcBorders>
            <w:gridSpan w:val="2"/>
            <w:shd w:val="clear" w:color="auto" w:fill="D8D8D8"/>
          </w:tcPr>
          <w:p>
            <w:pPr>
              <w:ind w:left="100"/>
              <w:spacing w:after="0"/>
              <w:rPr>
                <w:sz w:val="20"/>
                <w:szCs w:val="20"/>
                <w:color w:val="auto"/>
              </w:rPr>
            </w:pPr>
            <w:r>
              <w:rPr>
                <w:rFonts w:ascii="Arial" w:cs="Arial" w:eastAsia="Arial" w:hAnsi="Arial"/>
                <w:sz w:val="17"/>
                <w:szCs w:val="17"/>
                <w:color w:val="auto"/>
              </w:rPr>
              <w:t>Primary Responsibilities</w:t>
            </w:r>
          </w:p>
        </w:tc>
        <w:tc>
          <w:tcPr>
            <w:tcW w:w="5040" w:type="dxa"/>
            <w:vAlign w:val="bottom"/>
            <w:tcBorders>
              <w:bottom w:val="single" w:sz="8" w:color="FF160F"/>
            </w:tcBorders>
            <w:shd w:val="clear" w:color="auto" w:fill="D8D8D8"/>
          </w:tcPr>
          <w:p>
            <w:pPr>
              <w:spacing w:after="0"/>
              <w:rPr>
                <w:sz w:val="24"/>
                <w:szCs w:val="24"/>
                <w:color w:val="auto"/>
              </w:rPr>
            </w:pPr>
          </w:p>
        </w:tc>
        <w:tc>
          <w:tcPr>
            <w:tcW w:w="220" w:type="dxa"/>
            <w:vAlign w:val="bottom"/>
            <w:tcBorders>
              <w:bottom w:val="single" w:sz="8" w:color="FF160F"/>
            </w:tcBorders>
            <w:shd w:val="clear" w:color="auto" w:fill="D8D8D8"/>
          </w:tcPr>
          <w:p>
            <w:pPr>
              <w:spacing w:after="0"/>
              <w:rPr>
                <w:sz w:val="24"/>
                <w:szCs w:val="24"/>
                <w:color w:val="auto"/>
              </w:rPr>
            </w:pPr>
          </w:p>
        </w:tc>
      </w:tr>
      <w:tr>
        <w:trPr>
          <w:trHeight w:val="194"/>
        </w:trPr>
        <w:tc>
          <w:tcPr>
            <w:tcW w:w="5360" w:type="dxa"/>
            <w:vAlign w:val="bottom"/>
            <w:gridSpan w:val="2"/>
          </w:tcPr>
          <w:p>
            <w:pPr>
              <w:ind w:left="100"/>
              <w:spacing w:after="0" w:line="194" w:lineRule="exact"/>
              <w:rPr>
                <w:sz w:val="20"/>
                <w:szCs w:val="20"/>
                <w:color w:val="auto"/>
              </w:rPr>
            </w:pPr>
            <w:r>
              <w:rPr>
                <w:rFonts w:ascii="Arial" w:cs="Arial" w:eastAsia="Arial" w:hAnsi="Arial"/>
                <w:sz w:val="17"/>
                <w:szCs w:val="17"/>
                <w:color w:val="auto"/>
              </w:rPr>
              <w:t>•   Evaluates performance of our CEO and recommends annual</w:t>
            </w:r>
          </w:p>
        </w:tc>
        <w:tc>
          <w:tcPr>
            <w:tcW w:w="5040" w:type="dxa"/>
            <w:vAlign w:val="bottom"/>
          </w:tcPr>
          <w:p>
            <w:pPr>
              <w:ind w:left="160"/>
              <w:spacing w:after="0" w:line="194" w:lineRule="exact"/>
              <w:rPr>
                <w:sz w:val="20"/>
                <w:szCs w:val="20"/>
                <w:color w:val="auto"/>
              </w:rPr>
            </w:pPr>
            <w:r>
              <w:rPr>
                <w:rFonts w:ascii="Arial" w:cs="Arial" w:eastAsia="Arial" w:hAnsi="Arial"/>
                <w:sz w:val="17"/>
                <w:szCs w:val="17"/>
                <w:color w:val="auto"/>
              </w:rPr>
              <w:t>•   Reviews and approves all severance and other agreements</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420"/>
              <w:spacing w:after="0"/>
              <w:rPr>
                <w:sz w:val="20"/>
                <w:szCs w:val="20"/>
                <w:color w:val="auto"/>
              </w:rPr>
            </w:pPr>
            <w:r>
              <w:rPr>
                <w:rFonts w:ascii="Arial" w:cs="Arial" w:eastAsia="Arial" w:hAnsi="Arial"/>
                <w:sz w:val="17"/>
                <w:szCs w:val="17"/>
                <w:color w:val="auto"/>
              </w:rPr>
              <w:t>salary, bonus, equity-based incentives and other benefits for our</w:t>
            </w:r>
          </w:p>
        </w:tc>
        <w:tc>
          <w:tcPr>
            <w:tcW w:w="5040" w:type="dxa"/>
            <w:vAlign w:val="bottom"/>
          </w:tcPr>
          <w:p>
            <w:pPr>
              <w:ind w:left="480"/>
              <w:spacing w:after="0"/>
              <w:rPr>
                <w:sz w:val="20"/>
                <w:szCs w:val="20"/>
                <w:color w:val="auto"/>
              </w:rPr>
            </w:pPr>
            <w:r>
              <w:rPr>
                <w:rFonts w:ascii="Arial" w:cs="Arial" w:eastAsia="Arial" w:hAnsi="Arial"/>
                <w:sz w:val="17"/>
                <w:szCs w:val="17"/>
                <w:color w:val="auto"/>
              </w:rPr>
              <w:t>with our CEO and other senior officers</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420"/>
              <w:spacing w:after="0"/>
              <w:rPr>
                <w:sz w:val="20"/>
                <w:szCs w:val="20"/>
                <w:color w:val="auto"/>
              </w:rPr>
            </w:pPr>
            <w:r>
              <w:rPr>
                <w:rFonts w:ascii="Arial" w:cs="Arial" w:eastAsia="Arial" w:hAnsi="Arial"/>
                <w:sz w:val="17"/>
                <w:szCs w:val="17"/>
                <w:color w:val="auto"/>
              </w:rPr>
              <w:t>CEO</w:t>
            </w:r>
          </w:p>
        </w:tc>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5"/>
        </w:trPr>
        <w:tc>
          <w:tcPr>
            <w:tcW w:w="5360" w:type="dxa"/>
            <w:vAlign w:val="bottom"/>
            <w:gridSpan w:val="2"/>
          </w:tcPr>
          <w:p>
            <w:pPr>
              <w:ind w:left="100"/>
              <w:spacing w:after="0"/>
              <w:rPr>
                <w:sz w:val="20"/>
                <w:szCs w:val="20"/>
                <w:color w:val="auto"/>
              </w:rPr>
            </w:pPr>
            <w:r>
              <w:rPr>
                <w:rFonts w:ascii="Arial" w:cs="Arial" w:eastAsia="Arial" w:hAnsi="Arial"/>
                <w:sz w:val="17"/>
                <w:szCs w:val="17"/>
                <w:color w:val="auto"/>
              </w:rPr>
              <w:t>•   Reviews and approves annual salary, bonus, equity-based</w:t>
            </w:r>
          </w:p>
        </w:tc>
        <w:tc>
          <w:tcPr>
            <w:tcW w:w="5040" w:type="dxa"/>
            <w:vAlign w:val="bottom"/>
          </w:tcPr>
          <w:p>
            <w:pPr>
              <w:ind w:left="160"/>
              <w:spacing w:after="0"/>
              <w:rPr>
                <w:sz w:val="20"/>
                <w:szCs w:val="20"/>
                <w:color w:val="auto"/>
              </w:rPr>
            </w:pPr>
            <w:r>
              <w:rPr>
                <w:rFonts w:ascii="Arial" w:cs="Arial" w:eastAsia="Arial" w:hAnsi="Arial"/>
                <w:sz w:val="17"/>
                <w:szCs w:val="17"/>
                <w:color w:val="auto"/>
              </w:rPr>
              <w:t>•   Administers and makes equity awards under our long-term</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420"/>
              <w:spacing w:after="0"/>
              <w:rPr>
                <w:sz w:val="20"/>
                <w:szCs w:val="20"/>
                <w:color w:val="auto"/>
              </w:rPr>
            </w:pPr>
            <w:r>
              <w:rPr>
                <w:rFonts w:ascii="Arial" w:cs="Arial" w:eastAsia="Arial" w:hAnsi="Arial"/>
                <w:sz w:val="17"/>
                <w:szCs w:val="17"/>
                <w:color w:val="auto"/>
              </w:rPr>
              <w:t>incentives and other benefits for our other senior officers</w:t>
            </w:r>
          </w:p>
        </w:tc>
        <w:tc>
          <w:tcPr>
            <w:tcW w:w="5040" w:type="dxa"/>
            <w:vAlign w:val="bottom"/>
          </w:tcPr>
          <w:p>
            <w:pPr>
              <w:ind w:left="480"/>
              <w:spacing w:after="0"/>
              <w:rPr>
                <w:sz w:val="20"/>
                <w:szCs w:val="20"/>
                <w:color w:val="auto"/>
              </w:rPr>
            </w:pPr>
            <w:r>
              <w:rPr>
                <w:rFonts w:ascii="Arial" w:cs="Arial" w:eastAsia="Arial" w:hAnsi="Arial"/>
                <w:sz w:val="17"/>
                <w:szCs w:val="17"/>
                <w:color w:val="auto"/>
              </w:rPr>
              <w:t>incentive plan</w:t>
            </w:r>
          </w:p>
        </w:tc>
        <w:tc>
          <w:tcPr>
            <w:tcW w:w="220" w:type="dxa"/>
            <w:vAlign w:val="bottom"/>
          </w:tcPr>
          <w:p>
            <w:pPr>
              <w:spacing w:after="0"/>
              <w:rPr>
                <w:sz w:val="16"/>
                <w:szCs w:val="16"/>
                <w:color w:val="auto"/>
              </w:rPr>
            </w:pPr>
          </w:p>
        </w:tc>
      </w:tr>
      <w:tr>
        <w:trPr>
          <w:trHeight w:val="195"/>
        </w:trPr>
        <w:tc>
          <w:tcPr>
            <w:tcW w:w="5360" w:type="dxa"/>
            <w:vAlign w:val="bottom"/>
            <w:gridSpan w:val="2"/>
          </w:tcPr>
          <w:p>
            <w:pPr>
              <w:ind w:left="100"/>
              <w:spacing w:after="0"/>
              <w:rPr>
                <w:sz w:val="20"/>
                <w:szCs w:val="20"/>
                <w:color w:val="auto"/>
              </w:rPr>
            </w:pPr>
            <w:r>
              <w:rPr>
                <w:rFonts w:ascii="Arial" w:cs="Arial" w:eastAsia="Arial" w:hAnsi="Arial"/>
                <w:sz w:val="17"/>
                <w:szCs w:val="17"/>
                <w:color w:val="auto"/>
              </w:rPr>
              <w:t>•   Administers certain other benefit plans of the Company</w:t>
            </w:r>
          </w:p>
        </w:tc>
        <w:tc>
          <w:tcPr>
            <w:tcW w:w="5040" w:type="dxa"/>
            <w:vAlign w:val="bottom"/>
          </w:tcPr>
          <w:p>
            <w:pPr>
              <w:ind w:left="160"/>
              <w:spacing w:after="0"/>
              <w:rPr>
                <w:sz w:val="20"/>
                <w:szCs w:val="20"/>
                <w:color w:val="auto"/>
              </w:rPr>
            </w:pPr>
            <w:r>
              <w:rPr>
                <w:rFonts w:ascii="Arial" w:cs="Arial" w:eastAsia="Arial" w:hAnsi="Arial"/>
                <w:sz w:val="17"/>
                <w:szCs w:val="17"/>
                <w:color w:val="auto"/>
              </w:rPr>
              <w:t>•   Oversees our key strategies and human resources policies</w:t>
            </w:r>
          </w:p>
        </w:tc>
        <w:tc>
          <w:tcPr>
            <w:tcW w:w="220" w:type="dxa"/>
            <w:vAlign w:val="bottom"/>
          </w:tcPr>
          <w:p>
            <w:pPr>
              <w:spacing w:after="0"/>
              <w:rPr>
                <w:sz w:val="16"/>
                <w:szCs w:val="16"/>
                <w:color w:val="auto"/>
              </w:rPr>
            </w:pPr>
          </w:p>
        </w:tc>
      </w:tr>
      <w:tr>
        <w:trPr>
          <w:trHeight w:val="209"/>
        </w:trPr>
        <w:tc>
          <w:tcPr>
            <w:tcW w:w="4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7"/>
                <w:szCs w:val="17"/>
                <w:color w:val="auto"/>
              </w:rPr>
              <w:t>and practices for all employees</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740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-4914265</wp:posOffset>
            </wp:positionV>
            <wp:extent cx="619760" cy="677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9760" cy="67754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-1932305</wp:posOffset>
            </wp:positionV>
            <wp:extent cx="636270" cy="702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6270" cy="702310"/>
                    </a:xfrm>
                    <a:prstGeom prst="rect">
                      <a:avLst/>
                    </a:prstGeom>
                    <a:noFill/>
                  </pic:spPr>
                </pic:pic>
              </a:graphicData>
            </a:graphic>
          </wp:anchor>
        </w:drawing>
      </w:r>
    </w:p>
    <w:p>
      <w:pPr>
        <w:spacing w:after="0" w:line="57" w:lineRule="exact"/>
        <w:rPr>
          <w:sz w:val="20"/>
          <w:szCs w:val="20"/>
          <w:color w:val="auto"/>
        </w:rPr>
      </w:pPr>
    </w:p>
    <w:p>
      <w:pPr>
        <w:ind w:left="100" w:right="240"/>
        <w:spacing w:after="0" w:line="256" w:lineRule="auto"/>
        <w:rPr>
          <w:sz w:val="20"/>
          <w:szCs w:val="20"/>
          <w:color w:val="auto"/>
        </w:rPr>
      </w:pPr>
      <w:r>
        <w:rPr>
          <w:rFonts w:ascii="Arial" w:cs="Arial" w:eastAsia="Arial" w:hAnsi="Arial"/>
          <w:sz w:val="17"/>
          <w:szCs w:val="17"/>
          <w:color w:val="auto"/>
        </w:rPr>
        <w:t>The Compensation Committee Report is included at page 32 of this proxy statement and more detail on the work of the Compensation Committee is included in the “Compensation Discussion and Analysis”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7405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640" w:top="260"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6"/>
        </w:trPr>
        <w:tc>
          <w:tcPr>
            <w:tcW w:w="4280" w:type="dxa"/>
            <w:vAlign w:val="bottom"/>
            <w:shd w:val="clear" w:color="auto" w:fill="000000"/>
          </w:tcPr>
          <w:p>
            <w:pPr>
              <w:ind w:left="100"/>
              <w:spacing w:after="0"/>
              <w:rPr>
                <w:sz w:val="20"/>
                <w:szCs w:val="20"/>
                <w:color w:val="auto"/>
              </w:rPr>
            </w:pPr>
            <w:r>
              <w:rPr>
                <w:rFonts w:ascii="Arial" w:cs="Arial" w:eastAsia="Arial" w:hAnsi="Arial"/>
                <w:sz w:val="17"/>
                <w:szCs w:val="17"/>
                <w:color w:val="FFFFFF"/>
              </w:rPr>
              <w:t>Nominating and Corporate Governance Committee</w:t>
            </w:r>
          </w:p>
        </w:tc>
        <w:tc>
          <w:tcPr>
            <w:tcW w:w="6340" w:type="dxa"/>
            <w:vAlign w:val="bottom"/>
            <w:shd w:val="clear" w:color="auto" w:fill="000000"/>
          </w:tcPr>
          <w:p>
            <w:pPr>
              <w:jc w:val="right"/>
              <w:ind w:right="13"/>
              <w:spacing w:after="0"/>
              <w:rPr>
                <w:sz w:val="20"/>
                <w:szCs w:val="20"/>
                <w:color w:val="auto"/>
              </w:rPr>
            </w:pPr>
            <w:r>
              <w:rPr>
                <w:rFonts w:ascii="Arial" w:cs="Arial" w:eastAsia="Arial" w:hAnsi="Arial"/>
                <w:sz w:val="17"/>
                <w:szCs w:val="17"/>
                <w:color w:val="FFFFFF"/>
              </w:rPr>
              <w:t>Number of Meetings in 2021:  3</w:t>
            </w:r>
          </w:p>
        </w:tc>
      </w:tr>
      <w:tr>
        <w:trPr>
          <w:trHeight w:val="286"/>
        </w:trPr>
        <w:tc>
          <w:tcPr>
            <w:tcW w:w="42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Membership</w:t>
            </w:r>
          </w:p>
        </w:tc>
        <w:tc>
          <w:tcPr>
            <w:tcW w:w="6340" w:type="dxa"/>
            <w:vAlign w:val="bottom"/>
            <w:shd w:val="clear" w:color="auto" w:fill="D8D8D8"/>
          </w:tcPr>
          <w:p>
            <w:pPr>
              <w:spacing w:after="0"/>
              <w:rPr>
                <w:sz w:val="24"/>
                <w:szCs w:val="24"/>
                <w:color w:val="auto"/>
              </w:rPr>
            </w:pPr>
          </w:p>
        </w:tc>
      </w:tr>
      <w:tr>
        <w:trPr>
          <w:trHeight w:val="194"/>
        </w:trPr>
        <w:tc>
          <w:tcPr>
            <w:tcW w:w="4280" w:type="dxa"/>
            <w:vAlign w:val="bottom"/>
          </w:tcPr>
          <w:p>
            <w:pPr>
              <w:spacing w:after="0"/>
              <w:rPr>
                <w:sz w:val="16"/>
                <w:szCs w:val="16"/>
                <w:color w:val="auto"/>
              </w:rPr>
            </w:pPr>
          </w:p>
        </w:tc>
        <w:tc>
          <w:tcPr>
            <w:tcW w:w="6340" w:type="dxa"/>
            <w:vAlign w:val="bottom"/>
          </w:tcPr>
          <w:p>
            <w:pPr>
              <w:jc w:val="right"/>
              <w:ind w:right="2633"/>
              <w:spacing w:after="0" w:line="194" w:lineRule="exact"/>
              <w:rPr>
                <w:sz w:val="20"/>
                <w:szCs w:val="20"/>
                <w:color w:val="auto"/>
              </w:rPr>
            </w:pPr>
            <w:r>
              <w:rPr>
                <w:rFonts w:ascii="Arial" w:cs="Arial" w:eastAsia="Arial" w:hAnsi="Arial"/>
                <w:sz w:val="17"/>
                <w:szCs w:val="17"/>
                <w:b w:val="1"/>
                <w:bCs w:val="1"/>
                <w:color w:val="FF160F"/>
              </w:rPr>
              <w:t xml:space="preserve">Mark S. Ordan, Chair </w:t>
            </w:r>
            <w:r>
              <w:rPr>
                <w:rFonts w:ascii="Arial" w:cs="Arial" w:eastAsia="Arial" w:hAnsi="Arial"/>
                <w:sz w:val="13"/>
                <w:szCs w:val="13"/>
                <w:color w:val="000000"/>
              </w:rPr>
              <w:t>(effective August 3, 2021)</w:t>
            </w:r>
          </w:p>
        </w:tc>
      </w:tr>
      <w:tr>
        <w:trPr>
          <w:trHeight w:val="195"/>
        </w:trPr>
        <w:tc>
          <w:tcPr>
            <w:tcW w:w="4280" w:type="dxa"/>
            <w:vAlign w:val="bottom"/>
          </w:tcPr>
          <w:p>
            <w:pPr>
              <w:spacing w:after="0"/>
              <w:rPr>
                <w:sz w:val="16"/>
                <w:szCs w:val="16"/>
                <w:color w:val="auto"/>
              </w:rPr>
            </w:pPr>
          </w:p>
        </w:tc>
        <w:tc>
          <w:tcPr>
            <w:tcW w:w="6340" w:type="dxa"/>
            <w:vAlign w:val="bottom"/>
          </w:tcPr>
          <w:p>
            <w:pPr>
              <w:jc w:val="right"/>
              <w:ind w:right="2813"/>
              <w:spacing w:after="0"/>
              <w:rPr>
                <w:sz w:val="20"/>
                <w:szCs w:val="20"/>
                <w:color w:val="auto"/>
              </w:rPr>
            </w:pPr>
            <w:r>
              <w:rPr>
                <w:rFonts w:ascii="Arial" w:cs="Arial" w:eastAsia="Arial" w:hAnsi="Arial"/>
                <w:sz w:val="17"/>
                <w:szCs w:val="17"/>
                <w:color w:val="auto"/>
              </w:rPr>
              <w:t xml:space="preserve">David W. Faeder </w:t>
            </w:r>
            <w:r>
              <w:rPr>
                <w:rFonts w:ascii="Arial" w:cs="Arial" w:eastAsia="Arial" w:hAnsi="Arial"/>
                <w:sz w:val="13"/>
                <w:szCs w:val="13"/>
                <w:color w:val="auto"/>
              </w:rPr>
              <w:t>(effective August 3, 2021)</w:t>
            </w:r>
          </w:p>
        </w:tc>
      </w:tr>
      <w:tr>
        <w:trPr>
          <w:trHeight w:val="195"/>
        </w:trPr>
        <w:tc>
          <w:tcPr>
            <w:tcW w:w="4280" w:type="dxa"/>
            <w:vAlign w:val="bottom"/>
          </w:tcPr>
          <w:p>
            <w:pPr>
              <w:spacing w:after="0"/>
              <w:rPr>
                <w:sz w:val="16"/>
                <w:szCs w:val="16"/>
                <w:color w:val="auto"/>
              </w:rPr>
            </w:pPr>
          </w:p>
        </w:tc>
        <w:tc>
          <w:tcPr>
            <w:tcW w:w="6340" w:type="dxa"/>
            <w:vAlign w:val="bottom"/>
          </w:tcPr>
          <w:p>
            <w:pPr>
              <w:jc w:val="right"/>
              <w:ind w:right="3433"/>
              <w:spacing w:after="0"/>
              <w:rPr>
                <w:sz w:val="20"/>
                <w:szCs w:val="20"/>
                <w:color w:val="auto"/>
              </w:rPr>
            </w:pPr>
            <w:r>
              <w:rPr>
                <w:rFonts w:ascii="Arial" w:cs="Arial" w:eastAsia="Arial" w:hAnsi="Arial"/>
                <w:sz w:val="17"/>
                <w:szCs w:val="17"/>
                <w:color w:val="auto"/>
              </w:rPr>
              <w:t>Nicole Y. Lamb-Hale</w:t>
            </w:r>
          </w:p>
        </w:tc>
      </w:tr>
      <w:tr>
        <w:trPr>
          <w:trHeight w:val="209"/>
        </w:trPr>
        <w:tc>
          <w:tcPr>
            <w:tcW w:w="4280" w:type="dxa"/>
            <w:vAlign w:val="bottom"/>
          </w:tcPr>
          <w:p>
            <w:pPr>
              <w:spacing w:after="0"/>
              <w:rPr>
                <w:sz w:val="18"/>
                <w:szCs w:val="18"/>
                <w:color w:val="auto"/>
              </w:rPr>
            </w:pPr>
          </w:p>
        </w:tc>
        <w:tc>
          <w:tcPr>
            <w:tcW w:w="6340" w:type="dxa"/>
            <w:vAlign w:val="bottom"/>
          </w:tcPr>
          <w:p>
            <w:pPr>
              <w:jc w:val="right"/>
              <w:ind w:right="3433"/>
              <w:spacing w:after="0"/>
              <w:rPr>
                <w:sz w:val="20"/>
                <w:szCs w:val="20"/>
                <w:color w:val="auto"/>
              </w:rPr>
            </w:pPr>
            <w:r>
              <w:rPr>
                <w:rFonts w:ascii="Arial" w:cs="Arial" w:eastAsia="Arial" w:hAnsi="Arial"/>
                <w:sz w:val="17"/>
                <w:szCs w:val="17"/>
                <w:color w:val="auto"/>
              </w:rPr>
              <w:t>Anthony P. Nader,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429895</wp:posOffset>
            </wp:positionV>
            <wp:extent cx="6740525" cy="189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0525" cy="18986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-379095</wp:posOffset>
            </wp:positionV>
            <wp:extent cx="594995" cy="652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995"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Primary Responsibilities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FF160F"/>
            </w:tcBorders>
          </w:tcPr>
          <w:p>
            <w:pPr>
              <w:ind w:left="100"/>
              <w:spacing w:after="0"/>
              <w:rPr>
                <w:sz w:val="20"/>
                <w:szCs w:val="20"/>
                <w:color w:val="auto"/>
              </w:rPr>
            </w:pPr>
            <w:r>
              <w:rPr>
                <w:rFonts w:ascii="Arial" w:cs="Arial" w:eastAsia="Arial" w:hAnsi="Arial"/>
                <w:sz w:val="17"/>
                <w:szCs w:val="17"/>
                <w:color w:val="auto"/>
              </w:rPr>
              <w:t>•</w:t>
            </w:r>
          </w:p>
        </w:tc>
        <w:tc>
          <w:tcPr>
            <w:tcW w:w="5180" w:type="dxa"/>
            <w:vAlign w:val="bottom"/>
            <w:tcBorders>
              <w:top w:val="single" w:sz="8" w:color="FF160F"/>
            </w:tcBorders>
          </w:tcPr>
          <w:p>
            <w:pPr>
              <w:ind w:left="120"/>
              <w:spacing w:after="0"/>
              <w:rPr>
                <w:sz w:val="20"/>
                <w:szCs w:val="20"/>
                <w:color w:val="auto"/>
              </w:rPr>
            </w:pPr>
            <w:r>
              <w:rPr>
                <w:rFonts w:ascii="Arial" w:cs="Arial" w:eastAsia="Arial" w:hAnsi="Arial"/>
                <w:sz w:val="17"/>
                <w:szCs w:val="17"/>
                <w:color w:val="auto"/>
              </w:rPr>
              <w:t>Identifies and recommends individuals to stand for election to the</w:t>
            </w:r>
          </w:p>
        </w:tc>
        <w:tc>
          <w:tcPr>
            <w:tcW w:w="240" w:type="dxa"/>
            <w:vAlign w:val="bottom"/>
            <w:tcBorders>
              <w:top w:val="single" w:sz="8" w:color="FF160F"/>
            </w:tcBorders>
          </w:tcPr>
          <w:p>
            <w:pPr>
              <w:ind w:left="60"/>
              <w:spacing w:after="0"/>
              <w:rPr>
                <w:sz w:val="20"/>
                <w:szCs w:val="20"/>
                <w:color w:val="auto"/>
              </w:rPr>
            </w:pPr>
            <w:r>
              <w:rPr>
                <w:rFonts w:ascii="Arial" w:cs="Arial" w:eastAsia="Arial" w:hAnsi="Arial"/>
                <w:sz w:val="17"/>
                <w:szCs w:val="17"/>
                <w:color w:val="auto"/>
              </w:rPr>
              <w:t>•</w:t>
            </w:r>
          </w:p>
        </w:tc>
        <w:tc>
          <w:tcPr>
            <w:tcW w:w="4920" w:type="dxa"/>
            <w:vAlign w:val="bottom"/>
            <w:tcBorders>
              <w:top w:val="single" w:sz="8" w:color="FF160F"/>
            </w:tcBorders>
          </w:tcPr>
          <w:p>
            <w:pPr>
              <w:ind w:left="120"/>
              <w:spacing w:after="0"/>
              <w:rPr>
                <w:sz w:val="20"/>
                <w:szCs w:val="20"/>
                <w:color w:val="auto"/>
              </w:rPr>
            </w:pPr>
            <w:r>
              <w:rPr>
                <w:rFonts w:ascii="Arial" w:cs="Arial" w:eastAsia="Arial" w:hAnsi="Arial"/>
                <w:sz w:val="17"/>
                <w:szCs w:val="17"/>
                <w:color w:val="auto"/>
              </w:rPr>
              <w:t>Recommends members of the Board to serve on its</w:t>
            </w:r>
          </w:p>
        </w:tc>
      </w:tr>
      <w:tr>
        <w:trPr>
          <w:trHeight w:val="195"/>
        </w:trPr>
        <w:tc>
          <w:tcPr>
            <w:tcW w:w="280" w:type="dxa"/>
            <w:vAlign w:val="bottom"/>
          </w:tcPr>
          <w:p>
            <w:pPr>
              <w:spacing w:after="0"/>
              <w:rPr>
                <w:sz w:val="16"/>
                <w:szCs w:val="16"/>
                <w:color w:val="auto"/>
              </w:rPr>
            </w:pPr>
          </w:p>
        </w:tc>
        <w:tc>
          <w:tcPr>
            <w:tcW w:w="5180" w:type="dxa"/>
            <w:vAlign w:val="bottom"/>
          </w:tcPr>
          <w:p>
            <w:pPr>
              <w:ind w:left="140"/>
              <w:spacing w:after="0"/>
              <w:rPr>
                <w:sz w:val="20"/>
                <w:szCs w:val="20"/>
                <w:color w:val="auto"/>
              </w:rPr>
            </w:pPr>
            <w:r>
              <w:rPr>
                <w:rFonts w:ascii="Arial" w:cs="Arial" w:eastAsia="Arial" w:hAnsi="Arial"/>
                <w:sz w:val="17"/>
                <w:szCs w:val="17"/>
                <w:color w:val="auto"/>
              </w:rPr>
              <w:t>Board</w:t>
            </w:r>
          </w:p>
        </w:tc>
        <w:tc>
          <w:tcPr>
            <w:tcW w:w="240" w:type="dxa"/>
            <w:vAlign w:val="bottom"/>
          </w:tcPr>
          <w:p>
            <w:pPr>
              <w:spacing w:after="0"/>
              <w:rPr>
                <w:sz w:val="16"/>
                <w:szCs w:val="16"/>
                <w:color w:val="auto"/>
              </w:rPr>
            </w:pPr>
          </w:p>
        </w:tc>
        <w:tc>
          <w:tcPr>
            <w:tcW w:w="4920" w:type="dxa"/>
            <w:vAlign w:val="bottom"/>
          </w:tcPr>
          <w:p>
            <w:pPr>
              <w:ind w:left="140"/>
              <w:spacing w:after="0"/>
              <w:rPr>
                <w:sz w:val="20"/>
                <w:szCs w:val="20"/>
                <w:color w:val="auto"/>
              </w:rPr>
            </w:pPr>
            <w:r>
              <w:rPr>
                <w:rFonts w:ascii="Arial" w:cs="Arial" w:eastAsia="Arial" w:hAnsi="Arial"/>
                <w:sz w:val="17"/>
                <w:szCs w:val="17"/>
                <w:color w:val="auto"/>
              </w:rPr>
              <w:t>committees</w:t>
            </w:r>
          </w:p>
        </w:tc>
      </w:tr>
      <w:tr>
        <w:trPr>
          <w:trHeight w:val="195"/>
        </w:trPr>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5180" w:type="dxa"/>
            <w:vAlign w:val="bottom"/>
          </w:tcPr>
          <w:p>
            <w:pPr>
              <w:ind w:left="120"/>
              <w:spacing w:after="0"/>
              <w:rPr>
                <w:sz w:val="20"/>
                <w:szCs w:val="20"/>
                <w:color w:val="auto"/>
              </w:rPr>
            </w:pPr>
            <w:r>
              <w:rPr>
                <w:rFonts w:ascii="Arial" w:cs="Arial" w:eastAsia="Arial" w:hAnsi="Arial"/>
                <w:sz w:val="17"/>
                <w:szCs w:val="17"/>
                <w:color w:val="auto"/>
              </w:rPr>
              <w:t>Develops and oversees all corporate governance policies and</w:t>
            </w:r>
          </w:p>
        </w:tc>
        <w:tc>
          <w:tcPr>
            <w:tcW w:w="240" w:type="dxa"/>
            <w:vAlign w:val="bottom"/>
          </w:tcPr>
          <w:p>
            <w:pPr>
              <w:ind w:left="60"/>
              <w:spacing w:after="0"/>
              <w:rPr>
                <w:sz w:val="20"/>
                <w:szCs w:val="20"/>
                <w:color w:val="auto"/>
              </w:rPr>
            </w:pPr>
            <w:r>
              <w:rPr>
                <w:rFonts w:ascii="Arial" w:cs="Arial" w:eastAsia="Arial" w:hAnsi="Arial"/>
                <w:sz w:val="17"/>
                <w:szCs w:val="17"/>
                <w:color w:val="auto"/>
              </w:rPr>
              <w:t>•</w:t>
            </w:r>
          </w:p>
        </w:tc>
        <w:tc>
          <w:tcPr>
            <w:tcW w:w="4920" w:type="dxa"/>
            <w:vAlign w:val="bottom"/>
          </w:tcPr>
          <w:p>
            <w:pPr>
              <w:ind w:left="120"/>
              <w:spacing w:after="0"/>
              <w:rPr>
                <w:sz w:val="20"/>
                <w:szCs w:val="20"/>
                <w:color w:val="auto"/>
              </w:rPr>
            </w:pPr>
            <w:r>
              <w:rPr>
                <w:rFonts w:ascii="Arial" w:cs="Arial" w:eastAsia="Arial" w:hAnsi="Arial"/>
                <w:sz w:val="17"/>
                <w:szCs w:val="17"/>
                <w:color w:val="auto"/>
              </w:rPr>
              <w:t>Oversees corporate responsibility and ESG efforts and</w:t>
            </w:r>
          </w:p>
        </w:tc>
      </w:tr>
      <w:tr>
        <w:trPr>
          <w:trHeight w:val="195"/>
        </w:trPr>
        <w:tc>
          <w:tcPr>
            <w:tcW w:w="280" w:type="dxa"/>
            <w:vAlign w:val="bottom"/>
          </w:tcPr>
          <w:p>
            <w:pPr>
              <w:spacing w:after="0"/>
              <w:rPr>
                <w:sz w:val="16"/>
                <w:szCs w:val="16"/>
                <w:color w:val="auto"/>
              </w:rPr>
            </w:pPr>
          </w:p>
        </w:tc>
        <w:tc>
          <w:tcPr>
            <w:tcW w:w="5180" w:type="dxa"/>
            <w:vAlign w:val="bottom"/>
          </w:tcPr>
          <w:p>
            <w:pPr>
              <w:ind w:left="140"/>
              <w:spacing w:after="0"/>
              <w:rPr>
                <w:sz w:val="20"/>
                <w:szCs w:val="20"/>
                <w:color w:val="auto"/>
              </w:rPr>
            </w:pPr>
            <w:r>
              <w:rPr>
                <w:rFonts w:ascii="Arial" w:cs="Arial" w:eastAsia="Arial" w:hAnsi="Arial"/>
                <w:sz w:val="17"/>
                <w:szCs w:val="17"/>
                <w:color w:val="auto"/>
              </w:rPr>
              <w:t>procedures</w:t>
            </w:r>
          </w:p>
        </w:tc>
        <w:tc>
          <w:tcPr>
            <w:tcW w:w="240" w:type="dxa"/>
            <w:vAlign w:val="bottom"/>
          </w:tcPr>
          <w:p>
            <w:pPr>
              <w:spacing w:after="0"/>
              <w:rPr>
                <w:sz w:val="16"/>
                <w:szCs w:val="16"/>
                <w:color w:val="auto"/>
              </w:rPr>
            </w:pPr>
          </w:p>
        </w:tc>
        <w:tc>
          <w:tcPr>
            <w:tcW w:w="4920" w:type="dxa"/>
            <w:vAlign w:val="bottom"/>
          </w:tcPr>
          <w:p>
            <w:pPr>
              <w:ind w:left="140"/>
              <w:spacing w:after="0"/>
              <w:rPr>
                <w:sz w:val="20"/>
                <w:szCs w:val="20"/>
                <w:color w:val="auto"/>
              </w:rPr>
            </w:pPr>
            <w:r>
              <w:rPr>
                <w:rFonts w:ascii="Arial" w:cs="Arial" w:eastAsia="Arial" w:hAnsi="Arial"/>
                <w:sz w:val="17"/>
                <w:szCs w:val="17"/>
                <w:color w:val="auto"/>
              </w:rPr>
              <w:t>monitors priorities and progress on goals</w:t>
            </w:r>
          </w:p>
        </w:tc>
      </w:tr>
    </w:tbl>
    <w:p>
      <w:pPr>
        <w:ind w:left="400" w:hanging="300"/>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Oversees annual trustee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74052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r>
              <w:rPr>
                <w:rFonts w:ascii="Arial" w:cs="Arial" w:eastAsia="Arial" w:hAnsi="Arial"/>
                <w:sz w:val="17"/>
                <w:szCs w:val="17"/>
                <w:b w:val="1"/>
                <w:bCs w:val="1"/>
                <w:color w:val="FF160F"/>
              </w:rPr>
              <w:t>Board and Committee Assessments</w:t>
            </w:r>
          </w:p>
        </w:tc>
        <w:tc>
          <w:tcPr>
            <w:tcW w:w="4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27"/>
        </w:trPr>
        <w:tc>
          <w:tcPr>
            <w:tcW w:w="3400" w:type="dxa"/>
            <w:vAlign w:val="bottom"/>
            <w:tcBorders>
              <w:bottom w:val="single" w:sz="8" w:color="FF160F"/>
            </w:tcBorders>
          </w:tcPr>
          <w:p>
            <w:pPr>
              <w:spacing w:after="0"/>
              <w:rPr>
                <w:sz w:val="19"/>
                <w:szCs w:val="19"/>
                <w:color w:val="auto"/>
              </w:rPr>
            </w:pPr>
          </w:p>
        </w:tc>
        <w:tc>
          <w:tcPr>
            <w:tcW w:w="400" w:type="dxa"/>
            <w:vAlign w:val="bottom"/>
          </w:tcPr>
          <w:p>
            <w:pPr>
              <w:spacing w:after="0"/>
              <w:rPr>
                <w:sz w:val="19"/>
                <w:szCs w:val="19"/>
                <w:color w:val="auto"/>
              </w:rPr>
            </w:pPr>
          </w:p>
        </w:tc>
        <w:tc>
          <w:tcPr>
            <w:tcW w:w="3200" w:type="dxa"/>
            <w:vAlign w:val="bottom"/>
            <w:tcBorders>
              <w:bottom w:val="single" w:sz="8" w:color="FF160F"/>
            </w:tcBorders>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tcBorders>
              <w:bottom w:val="single" w:sz="8" w:color="FF160F"/>
            </w:tcBorders>
          </w:tcPr>
          <w:p>
            <w:pPr>
              <w:spacing w:after="0"/>
              <w:rPr>
                <w:sz w:val="19"/>
                <w:szCs w:val="19"/>
                <w:color w:val="auto"/>
              </w:rPr>
            </w:pPr>
          </w:p>
        </w:tc>
      </w:tr>
      <w:tr>
        <w:trPr>
          <w:trHeight w:val="194"/>
        </w:trPr>
        <w:tc>
          <w:tcPr>
            <w:tcW w:w="3400" w:type="dxa"/>
            <w:vAlign w:val="bottom"/>
            <w:shd w:val="clear" w:color="auto" w:fill="D8D8D8"/>
          </w:tcPr>
          <w:p>
            <w:pPr>
              <w:jc w:val="center"/>
              <w:spacing w:after="0" w:line="194" w:lineRule="exact"/>
              <w:rPr>
                <w:sz w:val="20"/>
                <w:szCs w:val="20"/>
                <w:color w:val="auto"/>
              </w:rPr>
            </w:pPr>
            <w:r>
              <w:rPr>
                <w:rFonts w:ascii="Arial" w:cs="Arial" w:eastAsia="Arial" w:hAnsi="Arial"/>
                <w:sz w:val="17"/>
                <w:szCs w:val="17"/>
                <w:b w:val="1"/>
                <w:bCs w:val="1"/>
                <w:color w:val="auto"/>
              </w:rPr>
              <w:t>Board Assessment</w:t>
            </w: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line="194" w:lineRule="exact"/>
              <w:rPr>
                <w:sz w:val="20"/>
                <w:szCs w:val="20"/>
                <w:color w:val="auto"/>
              </w:rPr>
            </w:pPr>
            <w:r>
              <w:rPr>
                <w:rFonts w:ascii="Arial" w:cs="Arial" w:eastAsia="Arial" w:hAnsi="Arial"/>
                <w:sz w:val="17"/>
                <w:szCs w:val="17"/>
                <w:b w:val="1"/>
                <w:bCs w:val="1"/>
                <w:color w:val="auto"/>
              </w:rPr>
              <w:t>Committee Assessments</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33"/>
              <w:spacing w:after="0" w:line="194" w:lineRule="exact"/>
              <w:rPr>
                <w:sz w:val="20"/>
                <w:szCs w:val="20"/>
                <w:color w:val="auto"/>
              </w:rPr>
            </w:pPr>
            <w:r>
              <w:rPr>
                <w:rFonts w:ascii="Arial" w:cs="Arial" w:eastAsia="Arial" w:hAnsi="Arial"/>
                <w:sz w:val="17"/>
                <w:szCs w:val="17"/>
                <w:b w:val="1"/>
                <w:bCs w:val="1"/>
                <w:color w:val="auto"/>
              </w:rPr>
              <w:t>Individual Trustee Assessments</w:t>
            </w:r>
          </w:p>
        </w:tc>
      </w:tr>
      <w:tr>
        <w:trPr>
          <w:trHeight w:val="195"/>
        </w:trPr>
        <w:tc>
          <w:tcPr>
            <w:tcW w:w="3400" w:type="dxa"/>
            <w:vAlign w:val="bottom"/>
            <w:shd w:val="clear" w:color="auto" w:fill="D8D8D8"/>
          </w:tcPr>
          <w:p>
            <w:pPr>
              <w:jc w:val="center"/>
              <w:spacing w:after="0"/>
              <w:rPr>
                <w:sz w:val="20"/>
                <w:szCs w:val="20"/>
                <w:color w:val="auto"/>
              </w:rPr>
            </w:pPr>
            <w:r>
              <w:rPr>
                <w:rFonts w:ascii="Arial" w:cs="Arial" w:eastAsia="Arial" w:hAnsi="Arial"/>
                <w:sz w:val="17"/>
                <w:szCs w:val="17"/>
                <w:color w:val="auto"/>
              </w:rPr>
              <w:t>The Board annually assesses its overall</w:t>
            </w: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Each committee conducts an annual</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Each trustee completes a confidential</w:t>
            </w:r>
          </w:p>
        </w:tc>
      </w:tr>
      <w:tr>
        <w:trPr>
          <w:trHeight w:val="195"/>
        </w:trPr>
        <w:tc>
          <w:tcPr>
            <w:tcW w:w="3400" w:type="dxa"/>
            <w:vAlign w:val="bottom"/>
            <w:shd w:val="clear" w:color="auto" w:fill="D8D8D8"/>
          </w:tcPr>
          <w:p>
            <w:pPr>
              <w:jc w:val="center"/>
              <w:spacing w:after="0"/>
              <w:rPr>
                <w:sz w:val="20"/>
                <w:szCs w:val="20"/>
                <w:color w:val="auto"/>
              </w:rPr>
            </w:pPr>
            <w:r>
              <w:rPr>
                <w:rFonts w:ascii="Arial" w:cs="Arial" w:eastAsia="Arial" w:hAnsi="Arial"/>
                <w:sz w:val="17"/>
                <w:szCs w:val="17"/>
                <w:color w:val="auto"/>
              </w:rPr>
              <w:t>performance through the specific, in-depth</w:t>
            </w: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assessment of its performance and the</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assessment of each other trustee and</w:t>
            </w:r>
          </w:p>
        </w:tc>
      </w:tr>
      <w:tr>
        <w:trPr>
          <w:trHeight w:val="195"/>
        </w:trPr>
        <w:tc>
          <w:tcPr>
            <w:tcW w:w="3400" w:type="dxa"/>
            <w:vAlign w:val="bottom"/>
            <w:shd w:val="clear" w:color="auto" w:fill="D8D8D8"/>
          </w:tcPr>
          <w:p>
            <w:pPr>
              <w:jc w:val="center"/>
              <w:spacing w:after="0"/>
              <w:rPr>
                <w:sz w:val="20"/>
                <w:szCs w:val="20"/>
                <w:color w:val="auto"/>
              </w:rPr>
            </w:pPr>
            <w:r>
              <w:rPr>
                <w:rFonts w:ascii="Arial" w:cs="Arial" w:eastAsia="Arial" w:hAnsi="Arial"/>
                <w:sz w:val="17"/>
                <w:szCs w:val="17"/>
                <w:color w:val="auto"/>
              </w:rPr>
              <w:t>annual</w:t>
            </w: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performance of its members in</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has a one-on-one interview with the</w:t>
            </w:r>
          </w:p>
        </w:tc>
      </w:tr>
      <w:tr>
        <w:trPr>
          <w:trHeight w:val="195"/>
        </w:trPr>
        <w:tc>
          <w:tcPr>
            <w:tcW w:w="3400" w:type="dxa"/>
            <w:vAlign w:val="bottom"/>
            <w:shd w:val="clear" w:color="auto" w:fill="D8D8D8"/>
          </w:tcPr>
          <w:p>
            <w:pPr>
              <w:jc w:val="center"/>
              <w:spacing w:after="0"/>
              <w:rPr>
                <w:sz w:val="20"/>
                <w:szCs w:val="20"/>
                <w:color w:val="auto"/>
              </w:rPr>
            </w:pPr>
            <w:r>
              <w:rPr>
                <w:rFonts w:ascii="Arial" w:cs="Arial" w:eastAsia="Arial" w:hAnsi="Arial"/>
                <w:sz w:val="17"/>
                <w:szCs w:val="17"/>
                <w:color w:val="auto"/>
              </w:rPr>
              <w:t>committee and trustee evaluations.</w:t>
            </w: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accordance with its committee charter.</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chair of the Nominating Committee to</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The review process is led by the chair</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review those individual assessments</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of the committee.</w:t>
            </w: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and receive feedback on his or her</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assessment by other trustees. The</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Non-Executive Chairman completes the</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same process with respect to the chair</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of the Nominating Committee.</w:t>
            </w:r>
          </w:p>
        </w:tc>
      </w:tr>
      <w:tr>
        <w:trPr>
          <w:trHeight w:val="195"/>
        </w:trPr>
        <w:tc>
          <w:tcPr>
            <w:tcW w:w="3400" w:type="dxa"/>
            <w:vAlign w:val="bottom"/>
            <w:shd w:val="clear" w:color="auto" w:fill="D8D8D8"/>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shd w:val="clear" w:color="auto" w:fill="D8D8D8"/>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shd w:val="clear" w:color="auto" w:fill="D8D8D8"/>
          </w:tcPr>
          <w:p>
            <w:pPr>
              <w:jc w:val="center"/>
              <w:ind w:left="33"/>
              <w:spacing w:after="0"/>
              <w:rPr>
                <w:sz w:val="20"/>
                <w:szCs w:val="20"/>
                <w:color w:val="auto"/>
              </w:rPr>
            </w:pPr>
            <w:r>
              <w:rPr>
                <w:rFonts w:ascii="Arial" w:cs="Arial" w:eastAsia="Arial" w:hAnsi="Arial"/>
                <w:sz w:val="17"/>
                <w:szCs w:val="17"/>
                <w:color w:val="auto"/>
              </w:rPr>
              <w:t>Results are communicated to all</w:t>
            </w:r>
          </w:p>
        </w:tc>
      </w:tr>
      <w:tr>
        <w:trPr>
          <w:trHeight w:val="209"/>
        </w:trPr>
        <w:tc>
          <w:tcPr>
            <w:tcW w:w="3400" w:type="dxa"/>
            <w:vAlign w:val="bottom"/>
            <w:shd w:val="clear" w:color="auto" w:fill="D8D8D8"/>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shd w:val="clear" w:color="auto" w:fill="D8D8D8"/>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shd w:val="clear" w:color="auto" w:fill="D8D8D8"/>
          </w:tcPr>
          <w:p>
            <w:pPr>
              <w:jc w:val="center"/>
              <w:ind w:left="13"/>
              <w:spacing w:after="0"/>
              <w:rPr>
                <w:sz w:val="20"/>
                <w:szCs w:val="20"/>
                <w:color w:val="auto"/>
              </w:rPr>
            </w:pPr>
            <w:r>
              <w:rPr>
                <w:rFonts w:ascii="Arial" w:cs="Arial" w:eastAsia="Arial" w:hAnsi="Arial"/>
                <w:sz w:val="17"/>
                <w:szCs w:val="17"/>
                <w:color w:val="auto"/>
              </w:rPr>
              <w:t>trustees.</w:t>
            </w:r>
          </w:p>
        </w:tc>
      </w:tr>
      <w:tr>
        <w:trPr>
          <w:trHeight w:val="26"/>
        </w:trPr>
        <w:tc>
          <w:tcPr>
            <w:tcW w:w="3400" w:type="dxa"/>
            <w:vAlign w:val="bottom"/>
            <w:shd w:val="clear" w:color="auto" w:fill="D8D8D8"/>
          </w:tcPr>
          <w:p>
            <w:pPr>
              <w:spacing w:after="0"/>
              <w:rPr>
                <w:sz w:val="2"/>
                <w:szCs w:val="2"/>
                <w:color w:val="auto"/>
              </w:rPr>
            </w:pPr>
          </w:p>
        </w:tc>
        <w:tc>
          <w:tcPr>
            <w:tcW w:w="400" w:type="dxa"/>
            <w:vAlign w:val="bottom"/>
          </w:tcPr>
          <w:p>
            <w:pPr>
              <w:spacing w:after="0"/>
              <w:rPr>
                <w:sz w:val="2"/>
                <w:szCs w:val="2"/>
                <w:color w:val="auto"/>
              </w:rPr>
            </w:pPr>
          </w:p>
        </w:tc>
        <w:tc>
          <w:tcPr>
            <w:tcW w:w="3200" w:type="dxa"/>
            <w:vAlign w:val="bottom"/>
            <w:shd w:val="clear" w:color="auto" w:fill="D8D8D8"/>
          </w:tcPr>
          <w:p>
            <w:pPr>
              <w:spacing w:after="0"/>
              <w:rPr>
                <w:sz w:val="2"/>
                <w:szCs w:val="2"/>
                <w:color w:val="auto"/>
              </w:rPr>
            </w:pPr>
          </w:p>
        </w:tc>
        <w:tc>
          <w:tcPr>
            <w:tcW w:w="420" w:type="dxa"/>
            <w:vAlign w:val="bottom"/>
          </w:tcPr>
          <w:p>
            <w:pPr>
              <w:spacing w:after="0"/>
              <w:rPr>
                <w:sz w:val="2"/>
                <w:szCs w:val="2"/>
                <w:color w:val="auto"/>
              </w:rPr>
            </w:pPr>
          </w:p>
        </w:tc>
        <w:tc>
          <w:tcPr>
            <w:tcW w:w="3200" w:type="dxa"/>
            <w:vAlign w:val="bottom"/>
            <w:shd w:val="clear" w:color="auto" w:fill="D8D8D8"/>
          </w:tcPr>
          <w:p>
            <w:pPr>
              <w:spacing w:after="0"/>
              <w:rPr>
                <w:sz w:val="2"/>
                <w:szCs w:val="2"/>
                <w:color w:val="auto"/>
              </w:rPr>
            </w:pPr>
          </w:p>
        </w:tc>
      </w:tr>
    </w:tbl>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The results of the individual trustee assessments are taken into account in determining which trustees should stand for election at the next annual shareholder meeting and in determining committee assignments and leadership roles.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Compensation Committee Interlocks and Insider Participation</w:t>
      </w:r>
    </w:p>
    <w:p>
      <w:pPr>
        <w:spacing w:after="0" w:line="230"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The Compensation Committee currently consists of Ms. Holland, Ms. Lamb-Hale, Mr. Ordan and Ms. Steinel. Prior to August 3, 2021, Mr. Faeder also served on the Compensation Committee. There are no Compensation Committee interlocks and no member of the Compensation Committee serves, or has in the past served, as an employee or officer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20"/>
          </w:cols>
          <w:pgMar w:left="640" w:top="283" w:right="6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Communications with the Board</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Any shareholder or other interested party may communicate with the Board or any Trustee by sending the communication to our corporate offices at 909 Rose Avenue, Suite 200, North Bethesda, Maryland 20852 in care of our Secretary. All communications should identify the party to whom it is being sent.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Related Party Transactions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Code of Business Conduct requires that our Trustees and all of our employees deal with the Company on an arms-length basis in any related party transaction. All transactions between us and any of our Trustees, our named executive officers or other vice presidents, or entity in which any of them has an ownership interest, must be approved in advance by the Audit Committee pursuant to our written Code of Business Conduct and Audit Committee charter.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96"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We have no related party transactions with any of our Trustees that are required to be disclosed. None of our named executive officers has any indebtedness to the Company or any relationship with the Company other than as an employee and shareholder. Employment and change-in-control arrangements between the Company and the named executive officers are described in the “Potential Payments on Termination of Employment and Change-in-Control”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674052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40525" cy="33020"/>
                    </a:xfrm>
                    <a:prstGeom prst="rect">
                      <a:avLst/>
                    </a:prstGeom>
                    <a:noFill/>
                  </pic:spPr>
                </pic:pic>
              </a:graphicData>
            </a:graphic>
          </wp:anchor>
        </w:drawing>
      </w:r>
    </w:p>
    <w:p>
      <w:pPr>
        <w:spacing w:after="0" w:line="306" w:lineRule="exact"/>
        <w:rPr>
          <w:sz w:val="20"/>
          <w:szCs w:val="20"/>
          <w:color w:val="auto"/>
        </w:rPr>
      </w:pPr>
    </w:p>
    <w:p>
      <w:pPr>
        <w:ind w:left="100"/>
        <w:spacing w:after="0"/>
        <w:rPr>
          <w:sz w:val="20"/>
          <w:szCs w:val="20"/>
          <w:color w:val="auto"/>
        </w:rPr>
      </w:pPr>
      <w:r>
        <w:rPr>
          <w:rFonts w:ascii="Arial" w:cs="Arial" w:eastAsia="Arial" w:hAnsi="Arial"/>
          <w:sz w:val="31"/>
          <w:szCs w:val="31"/>
          <w:b w:val="1"/>
          <w:bCs w:val="1"/>
          <w:color w:val="auto"/>
        </w:rPr>
        <w:t>Proposal 1: Election of our Trustees</w:t>
      </w:r>
    </w:p>
    <w:p>
      <w:pPr>
        <w:spacing w:after="0" w:line="275"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Our Board has seven trustees, all of whom have been nominated to stand for election at the 2022 annual shareholder meeting. All nominees are currently trustees of the Company having previously been elected by our shareholders in May 2021. Our Board has determined that each nominee for election as a trustee at the annual meeting is an independent trustee, except for Mr. Wood who serves as our Chief Executive Officer. Each trustee is elected to hold office until our next annual meeting and until his or her successor is elected and qualified.</w:t>
      </w:r>
    </w:p>
    <w:p>
      <w:pPr>
        <w:spacing w:after="0" w:line="39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You are entitled to cast one vote per share for each of the seven nominees. Proxies may not be voted for more than seven individuals. An “abstention” or “broker non-vote” will have no effect on the outcome of the vote for this proposal. Our Bylaws require that a nominee receive a majority of votes cast in order to be elected. Any nominee who does not receive a majority of votes cast will be required to submit a resignation to the Nominating Committee which would then make a recommendation to the Board as to whether to accept the resignation. The decision by the Board on any resignation would be publicly disclosed, along with the rationale for the decision, within 90 days after the election. We believe this process is a best practice and provides accountability to our shareholders. Over the past 5 years, each of these nominees has received, more than 93% of the votes cast at each shareholder meeting at which he or she stood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748780" cy="379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48780" cy="379730"/>
                    </a:xfrm>
                    <a:prstGeom prst="rect">
                      <a:avLst/>
                    </a:prstGeom>
                    <a:noFill/>
                  </pic:spPr>
                </pic:pic>
              </a:graphicData>
            </a:graphic>
          </wp:anchor>
        </w:drawing>
      </w:r>
    </w:p>
    <w:p>
      <w:pPr>
        <w:spacing w:after="0" w:line="342" w:lineRule="exact"/>
        <w:rPr>
          <w:sz w:val="20"/>
          <w:szCs w:val="20"/>
          <w:color w:val="auto"/>
        </w:rPr>
      </w:pPr>
    </w:p>
    <w:p>
      <w:pPr>
        <w:ind w:left="860"/>
        <w:spacing w:after="0"/>
        <w:rPr>
          <w:sz w:val="20"/>
          <w:szCs w:val="20"/>
          <w:color w:val="auto"/>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each of the seven nominees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20"/>
          </w:cols>
          <w:pgMar w:left="640" w:top="260" w:right="6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Trustee Characteristics and Selection</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Nominating Committee has primary responsibility for identifying and recommending individuals to be added to the Board and stand for election by shareholders. Individuals identified should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committee assesses the contribution that a particular candidate’s skills and expertise will make with respect to guiding our strategy and management when considered as a whole with the skills and expertise of other trustees.</w:t>
      </w:r>
    </w:p>
    <w:p>
      <w:pPr>
        <w:spacing w:after="0" w:line="196"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To identify, recruit and evaluate qualified candidates for the Board, the Board first looks to individuals known to current Board members through business and other relationships. If the Board is not able to identify qualified candidates in that way, the services of a professional search firm would be used. In addition, any shareholder, or a group of up to 20 shareholders, that has continuously owned for 3 years at least 3% of the Company’s outstanding common shares of beneficial interest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2023 Annual Meeting” section starting at page 45.</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Board Diversity and Tenure</w:t>
      </w:r>
    </w:p>
    <w:p>
      <w:pPr>
        <w:spacing w:after="0" w:line="230"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A critical consideration for the Board is ensuring that there is diversity on the Board that can bring different viewpoints to discussions that reflect their diverse backgrounds and experiences. Although the Board does not have a formal diversity policy, the Board believes that having representation of a diversity of skills, ages, tenure, gender and ethnicity are all factors that have to be considered, consistent with the goal of creating a Board that best serves the needs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74052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1" w:lineRule="exact"/>
        <w:rPr>
          <w:sz w:val="20"/>
          <w:szCs w:val="20"/>
          <w:color w:val="auto"/>
        </w:rPr>
      </w:pPr>
    </w:p>
    <w:p>
      <w:pPr>
        <w:ind w:left="100"/>
        <w:spacing w:after="0"/>
        <w:tabs>
          <w:tab w:leader="none" w:pos="2400" w:val="left"/>
          <w:tab w:leader="none" w:pos="5200" w:val="left"/>
          <w:tab w:leader="none" w:pos="8060" w:val="left"/>
        </w:tabs>
        <w:rPr>
          <w:sz w:val="20"/>
          <w:szCs w:val="20"/>
          <w:color w:val="auto"/>
        </w:rPr>
      </w:pPr>
      <w:r>
        <w:rPr>
          <w:rFonts w:ascii="Arial" w:cs="Arial" w:eastAsia="Arial" w:hAnsi="Arial"/>
          <w:sz w:val="17"/>
          <w:szCs w:val="17"/>
          <w:b w:val="1"/>
          <w:bCs w:val="1"/>
          <w:color w:val="auto"/>
        </w:rPr>
        <w:t>Gender</w:t>
      </w:r>
      <w:r>
        <w:rPr>
          <w:sz w:val="20"/>
          <w:szCs w:val="20"/>
          <w:color w:val="auto"/>
        </w:rPr>
        <w:tab/>
      </w:r>
      <w:r>
        <w:rPr>
          <w:rFonts w:ascii="Arial" w:cs="Arial" w:eastAsia="Arial" w:hAnsi="Arial"/>
          <w:sz w:val="17"/>
          <w:szCs w:val="17"/>
          <w:b w:val="1"/>
          <w:bCs w:val="1"/>
          <w:color w:val="auto"/>
        </w:rPr>
        <w:t>Race and Ethnicity</w:t>
      </w:r>
      <w:r>
        <w:rPr>
          <w:sz w:val="20"/>
          <w:szCs w:val="20"/>
          <w:color w:val="auto"/>
        </w:rPr>
        <w:tab/>
      </w:r>
      <w:r>
        <w:rPr>
          <w:rFonts w:ascii="Arial" w:cs="Arial" w:eastAsia="Arial" w:hAnsi="Arial"/>
          <w:sz w:val="17"/>
          <w:szCs w:val="17"/>
          <w:b w:val="1"/>
          <w:bCs w:val="1"/>
          <w:color w:val="auto"/>
        </w:rPr>
        <w:t>Women Committee Chairs</w:t>
      </w:r>
      <w:r>
        <w:rPr>
          <w:sz w:val="20"/>
          <w:szCs w:val="20"/>
          <w:color w:val="auto"/>
        </w:rPr>
        <w:tab/>
      </w:r>
      <w:r>
        <w:rPr>
          <w:rFonts w:ascii="Arial" w:cs="Arial" w:eastAsia="Arial" w:hAnsi="Arial"/>
          <w:sz w:val="17"/>
          <w:szCs w:val="17"/>
          <w:b w:val="1"/>
          <w:bCs w:val="1"/>
          <w:color w:val="auto"/>
        </w:rPr>
        <w:t>Board Refreshment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7760" w:type="dxa"/>
            <w:vAlign w:val="bottom"/>
          </w:tcPr>
          <w:p>
            <w:pPr>
              <w:jc w:val="center"/>
              <w:ind w:left="4707"/>
              <w:spacing w:after="0"/>
              <w:rPr>
                <w:sz w:val="20"/>
                <w:szCs w:val="20"/>
                <w:color w:val="auto"/>
              </w:rPr>
            </w:pPr>
            <w:r>
              <w:rPr>
                <w:rFonts w:ascii="Arial" w:cs="Arial" w:eastAsia="Arial" w:hAnsi="Arial"/>
                <w:sz w:val="42"/>
                <w:szCs w:val="42"/>
                <w:color w:val="FF160F"/>
                <w:w w:val="97"/>
              </w:rPr>
              <w:t>67%</w:t>
            </w:r>
          </w:p>
        </w:tc>
        <w:tc>
          <w:tcPr>
            <w:tcW w:w="2860" w:type="dxa"/>
            <w:vAlign w:val="bottom"/>
          </w:tcPr>
          <w:p>
            <w:pPr>
              <w:jc w:val="center"/>
              <w:ind w:left="220"/>
              <w:spacing w:after="0"/>
              <w:rPr>
                <w:sz w:val="20"/>
                <w:szCs w:val="20"/>
                <w:color w:val="auto"/>
              </w:rPr>
            </w:pPr>
            <w:r>
              <w:rPr>
                <w:rFonts w:ascii="Arial" w:cs="Arial" w:eastAsia="Arial" w:hAnsi="Arial"/>
                <w:sz w:val="42"/>
                <w:szCs w:val="42"/>
                <w:color w:val="FF160F"/>
              </w:rPr>
              <w:t>2/3</w:t>
            </w:r>
            <w:r>
              <w:rPr>
                <w:rFonts w:ascii="Arial" w:cs="Arial" w:eastAsia="Arial" w:hAnsi="Arial"/>
                <w:sz w:val="35"/>
                <w:szCs w:val="35"/>
                <w:color w:val="FF160F"/>
              </w:rPr>
              <w:t>rd</w:t>
            </w:r>
          </w:p>
        </w:tc>
      </w:tr>
      <w:tr>
        <w:trPr>
          <w:trHeight w:val="182"/>
        </w:trPr>
        <w:tc>
          <w:tcPr>
            <w:tcW w:w="7760" w:type="dxa"/>
            <w:vAlign w:val="bottom"/>
          </w:tcPr>
          <w:p>
            <w:pPr>
              <w:jc w:val="center"/>
              <w:ind w:left="4707"/>
              <w:spacing w:after="0" w:line="182" w:lineRule="exact"/>
              <w:rPr>
                <w:sz w:val="20"/>
                <w:szCs w:val="20"/>
                <w:color w:val="auto"/>
              </w:rPr>
            </w:pPr>
            <w:r>
              <w:rPr>
                <w:rFonts w:ascii="Arial" w:cs="Arial" w:eastAsia="Arial" w:hAnsi="Arial"/>
                <w:sz w:val="16"/>
                <w:szCs w:val="16"/>
                <w:color w:val="auto"/>
                <w:w w:val="96"/>
              </w:rPr>
              <w:t>Committees Chaired by</w:t>
            </w:r>
          </w:p>
        </w:tc>
        <w:tc>
          <w:tcPr>
            <w:tcW w:w="2860" w:type="dxa"/>
            <w:vAlign w:val="bottom"/>
          </w:tcPr>
          <w:p>
            <w:pPr>
              <w:jc w:val="center"/>
              <w:ind w:left="200"/>
              <w:spacing w:after="0" w:line="182" w:lineRule="exact"/>
              <w:rPr>
                <w:sz w:val="20"/>
                <w:szCs w:val="20"/>
                <w:color w:val="auto"/>
              </w:rPr>
            </w:pPr>
            <w:r>
              <w:rPr>
                <w:rFonts w:ascii="Arial" w:cs="Arial" w:eastAsia="Arial" w:hAnsi="Arial"/>
                <w:sz w:val="16"/>
                <w:szCs w:val="16"/>
                <w:color w:val="auto"/>
                <w:w w:val="97"/>
              </w:rPr>
              <w:t>Non-management trustees</w:t>
            </w:r>
          </w:p>
        </w:tc>
      </w:tr>
      <w:tr>
        <w:trPr>
          <w:trHeight w:val="187"/>
        </w:trPr>
        <w:tc>
          <w:tcPr>
            <w:tcW w:w="7760" w:type="dxa"/>
            <w:vAlign w:val="bottom"/>
          </w:tcPr>
          <w:p>
            <w:pPr>
              <w:jc w:val="center"/>
              <w:ind w:left="4707"/>
              <w:spacing w:after="0"/>
              <w:rPr>
                <w:sz w:val="20"/>
                <w:szCs w:val="20"/>
                <w:color w:val="auto"/>
              </w:rPr>
            </w:pPr>
            <w:r>
              <w:rPr>
                <w:rFonts w:ascii="Arial" w:cs="Arial" w:eastAsia="Arial" w:hAnsi="Arial"/>
                <w:sz w:val="16"/>
                <w:szCs w:val="16"/>
                <w:color w:val="auto"/>
                <w:w w:val="97"/>
              </w:rPr>
              <w:t>Women</w:t>
            </w:r>
          </w:p>
        </w:tc>
        <w:tc>
          <w:tcPr>
            <w:tcW w:w="2860" w:type="dxa"/>
            <w:vAlign w:val="bottom"/>
          </w:tcPr>
          <w:p>
            <w:pPr>
              <w:jc w:val="center"/>
              <w:ind w:left="200"/>
              <w:spacing w:after="0"/>
              <w:rPr>
                <w:sz w:val="20"/>
                <w:szCs w:val="20"/>
                <w:color w:val="auto"/>
              </w:rPr>
            </w:pPr>
            <w:r>
              <w:rPr>
                <w:rFonts w:ascii="Arial" w:cs="Arial" w:eastAsia="Arial" w:hAnsi="Arial"/>
                <w:sz w:val="16"/>
                <w:szCs w:val="16"/>
                <w:color w:val="auto"/>
                <w:w w:val="97"/>
              </w:rPr>
              <w:t>joined Board in last 5 years</w:t>
            </w:r>
          </w:p>
        </w:tc>
      </w:tr>
      <w:tr>
        <w:trPr>
          <w:trHeight w:val="246"/>
        </w:trPr>
        <w:tc>
          <w:tcPr>
            <w:tcW w:w="7760" w:type="dxa"/>
            <w:vAlign w:val="bottom"/>
            <w:tcBorders>
              <w:bottom w:val="single" w:sz="8" w:color="FF160F"/>
            </w:tcBorders>
          </w:tcPr>
          <w:p>
            <w:pPr>
              <w:spacing w:after="0"/>
              <w:rPr>
                <w:sz w:val="21"/>
                <w:szCs w:val="21"/>
                <w:color w:val="auto"/>
              </w:rPr>
            </w:pPr>
          </w:p>
        </w:tc>
        <w:tc>
          <w:tcPr>
            <w:tcW w:w="2860" w:type="dxa"/>
            <w:vAlign w:val="bottom"/>
            <w:tcBorders>
              <w:bottom w:val="single" w:sz="8" w:color="FF160F"/>
            </w:tcBorders>
          </w:tcPr>
          <w:p>
            <w:pPr>
              <w:spacing w:after="0"/>
              <w:rPr>
                <w:sz w:val="21"/>
                <w:szCs w:val="21"/>
                <w:color w:val="auto"/>
              </w:rPr>
            </w:pPr>
          </w:p>
        </w:tc>
      </w:tr>
      <w:tr>
        <w:trPr>
          <w:trHeight w:val="184"/>
        </w:trPr>
        <w:tc>
          <w:tcPr>
            <w:tcW w:w="7760" w:type="dxa"/>
            <w:vAlign w:val="bottom"/>
          </w:tcPr>
          <w:p>
            <w:pPr>
              <w:ind w:left="100"/>
              <w:spacing w:after="0" w:line="184" w:lineRule="exact"/>
              <w:rPr>
                <w:sz w:val="20"/>
                <w:szCs w:val="20"/>
                <w:color w:val="auto"/>
              </w:rPr>
            </w:pPr>
            <w:r>
              <w:rPr>
                <w:rFonts w:ascii="Arial" w:cs="Arial" w:eastAsia="Arial" w:hAnsi="Arial"/>
                <w:sz w:val="17"/>
                <w:szCs w:val="17"/>
                <w:b w:val="1"/>
                <w:bCs w:val="1"/>
                <w:color w:val="auto"/>
              </w:rPr>
              <w:t>Board Tenure</w:t>
            </w:r>
          </w:p>
        </w:tc>
        <w:tc>
          <w:tcPr>
            <w:tcW w:w="2860" w:type="dxa"/>
            <w:vAlign w:val="bottom"/>
          </w:tcPr>
          <w:p>
            <w:pPr>
              <w:jc w:val="right"/>
              <w:spacing w:after="0"/>
              <w:rPr>
                <w:sz w:val="20"/>
                <w:szCs w:val="20"/>
                <w:color w:val="auto"/>
              </w:rPr>
            </w:pPr>
            <w:r>
              <w:rPr>
                <w:rFonts w:ascii="Arial" w:cs="Arial" w:eastAsia="Arial" w:hAnsi="Arial"/>
                <w:sz w:val="16"/>
                <w:szCs w:val="16"/>
                <w:color w:val="auto"/>
              </w:rPr>
              <w:t>Average</w:t>
            </w:r>
          </w:p>
        </w:tc>
      </w:tr>
      <w:tr>
        <w:trPr>
          <w:trHeight w:val="182"/>
        </w:trPr>
        <w:tc>
          <w:tcPr>
            <w:tcW w:w="7760" w:type="dxa"/>
            <w:vAlign w:val="bottom"/>
          </w:tcPr>
          <w:p>
            <w:pPr>
              <w:spacing w:after="0"/>
              <w:rPr>
                <w:sz w:val="15"/>
                <w:szCs w:val="15"/>
                <w:color w:val="auto"/>
              </w:rPr>
            </w:pPr>
          </w:p>
        </w:tc>
        <w:tc>
          <w:tcPr>
            <w:tcW w:w="2860" w:type="dxa"/>
            <w:vAlign w:val="bottom"/>
          </w:tcPr>
          <w:p>
            <w:pPr>
              <w:jc w:val="right"/>
              <w:spacing w:after="0" w:line="182" w:lineRule="exact"/>
              <w:rPr>
                <w:sz w:val="20"/>
                <w:szCs w:val="20"/>
                <w:color w:val="auto"/>
              </w:rPr>
            </w:pPr>
            <w:r>
              <w:rPr>
                <w:rFonts w:ascii="Arial" w:cs="Arial" w:eastAsia="Arial" w:hAnsi="Arial"/>
                <w:sz w:val="16"/>
                <w:szCs w:val="16"/>
                <w:color w:val="auto"/>
              </w:rPr>
              <w:t>Tenure Non-Management</w:t>
            </w:r>
          </w:p>
        </w:tc>
      </w:tr>
      <w:tr>
        <w:trPr>
          <w:trHeight w:val="187"/>
        </w:trPr>
        <w:tc>
          <w:tcPr>
            <w:tcW w:w="7760" w:type="dxa"/>
            <w:vAlign w:val="bottom"/>
          </w:tcPr>
          <w:p>
            <w:pPr>
              <w:spacing w:after="0"/>
              <w:rPr>
                <w:sz w:val="16"/>
                <w:szCs w:val="16"/>
                <w:color w:val="auto"/>
              </w:rPr>
            </w:pPr>
          </w:p>
        </w:tc>
        <w:tc>
          <w:tcPr>
            <w:tcW w:w="2860" w:type="dxa"/>
            <w:vAlign w:val="bottom"/>
          </w:tcPr>
          <w:p>
            <w:pPr>
              <w:jc w:val="right"/>
              <w:spacing w:after="0"/>
              <w:rPr>
                <w:sz w:val="20"/>
                <w:szCs w:val="20"/>
                <w:color w:val="auto"/>
              </w:rPr>
            </w:pPr>
            <w:r>
              <w:rPr>
                <w:rFonts w:ascii="Arial" w:cs="Arial" w:eastAsia="Arial" w:hAnsi="Arial"/>
                <w:sz w:val="16"/>
                <w:szCs w:val="16"/>
                <w:color w:val="FF160F"/>
              </w:rPr>
              <w:t>7.8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-1061085</wp:posOffset>
            </wp:positionV>
            <wp:extent cx="2585720" cy="504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85720" cy="5041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4997450" cy="661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7450"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20"/>
          </w:cols>
          <w:pgMar w:left="640" w:top="260" w:right="6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Qualifications and Experience of Nominees</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considering each trustee nominee, the Board evaluated such person’s background, qualifications, attributes and skills to serve as a trustee. The Board considered the nomination criteria discussed above, as well as the years of experience many trustees have had working together on the Board and the deep knowledge of the Company they have developed as a result of such service, all of which are critically important in our business given the long-term nature of many of our decisions. The Board also evaluated each of the director’s contributions to the Board and his or her role in the operation of the Board as a whole using, among other things, the results of the annual assessments. We believe our trustee nominees bring a well-rounded variety of experiences, qualifications, attributes and skills, and represent a mix of deep knowledge of the Company and fresh perspectives. The table below summarizes some of the experience, qualifications, attributes and skills of our trustee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4510405" cy="41636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10405" cy="416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This high-level summary is not intended to be an exhaustive list of each of our trustee’s skills or contributions to the Board but we do expect each trustee nominee to be knowledgeable in these areas. Further information on each trustee, including some of their specific experiences, qualifications, attributes and skills, is set forth in the biographies on pages 14 to 17 below.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00"/>
          </w:cols>
          <w:pgMar w:left="640" w:top="260" w:right="6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Additional Board Service</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Over the past year, requests were approved for Ms. Lamb-Hale to serve on the board of Kroll Midco Corporation and for Mr. Ordan to serve on the board of The Carlyle Group, Inc. The primary factors considered by the Nominating Committee with respect to Ms. Lamb-Hale’s request included her familiarity with Kroll given her prior employment with that company, her current role as general counsel of Cummins, Inc. and the experience and insights she could gain from serving on the board of another company. After weighing those factors, the Nominating Committee concluded that Ms. Lamb-Hale’s service on the Kroll board would not adversely impact her service on our Board and approved her request. The year-end evaluation of Ms. Lamb-Hale confirmed that her service on the Kroll board had not impacted her performance as a trustee on our Board.</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With respect to Mr. Ordan’s request to serve on the board of The Carlyle Group effective as of April 1, 2022, the request was handled by our Non-Executive Chairman of the Board and presented to the entire Board to avoid any conflict with Mr. Ordan in his role as chair of the Nominating Committee. In considering the request, the Board took into account the considerable broad perspective he would bring to our Board as a Carlyle board member given that company’s strong reputation and breadth of investing expertise, his unique background as both a former REIT CEO and a retailer CEO, as well as his invaluable past performance on our Board. After carefully considering these items, the Board unanimously approved Mr. Ordan’s request to serve on the board of The Carlyle Group, concluding that such service would not adversely impact his service on our Board, and acknowledging that the Board would have the opportunity to reevaluate that conclusion as part of the end-of-year 2022 trustee evaluations which would form the basis for nomination to our Board in 2023.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Our Nominees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Provided below is information about our Board’s nominees, including their age, the year in which each trustee first became a trustee of our Company, their business experience for at least the past five years, the names of publicly-held companies (other than our Company) where they currently serve as a director, and additional information about the specific experience, qualifications, skills, or attributes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6740525" cy="1230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0525" cy="1230630"/>
                    </a:xfrm>
                    <a:prstGeom prst="rect">
                      <a:avLst/>
                    </a:prstGeom>
                    <a:noFill/>
                  </pic:spPr>
                </pic:pic>
              </a:graphicData>
            </a:graphic>
          </wp:anchor>
        </w:drawing>
      </w:r>
    </w:p>
    <w:p>
      <w:pPr>
        <w:spacing w:after="0" w:line="335" w:lineRule="exact"/>
        <w:rPr>
          <w:sz w:val="20"/>
          <w:szCs w:val="20"/>
          <w:color w:val="auto"/>
        </w:rPr>
      </w:pPr>
    </w:p>
    <w:tbl>
      <w:tblPr>
        <w:tblLayout w:type="fixed"/>
        <w:tblInd w:w="2200" w:type="dxa"/>
        <w:tblCellMar>
          <w:top w:w="0" w:type="dxa"/>
          <w:left w:w="0" w:type="dxa"/>
          <w:bottom w:w="0" w:type="dxa"/>
          <w:right w:w="0" w:type="dxa"/>
        </w:tblCellMar>
      </w:tblPr>
      <w:tr>
        <w:trPr>
          <w:trHeight w:val="241"/>
        </w:trPr>
        <w:tc>
          <w:tcPr>
            <w:tcW w:w="3960" w:type="dxa"/>
            <w:vAlign w:val="bottom"/>
          </w:tcPr>
          <w:p>
            <w:pPr>
              <w:spacing w:after="0"/>
              <w:rPr>
                <w:sz w:val="20"/>
                <w:szCs w:val="20"/>
                <w:color w:val="auto"/>
              </w:rPr>
            </w:pPr>
            <w:r>
              <w:rPr>
                <w:rFonts w:ascii="Arial" w:cs="Arial" w:eastAsia="Arial" w:hAnsi="Arial"/>
                <w:sz w:val="21"/>
                <w:szCs w:val="21"/>
                <w:color w:val="FFFFFF"/>
              </w:rPr>
              <w:t>DAVID W. FAEDER</w:t>
            </w:r>
          </w:p>
        </w:tc>
        <w:tc>
          <w:tcPr>
            <w:tcW w:w="1840" w:type="dxa"/>
            <w:vAlign w:val="bottom"/>
            <w:gridSpan w:val="2"/>
          </w:tcPr>
          <w:p>
            <w:pPr>
              <w:ind w:left="740"/>
              <w:spacing w:after="0"/>
              <w:rPr>
                <w:sz w:val="20"/>
                <w:szCs w:val="20"/>
                <w:color w:val="auto"/>
              </w:rPr>
            </w:pPr>
            <w:r>
              <w:rPr>
                <w:rFonts w:ascii="Arial" w:cs="Arial" w:eastAsia="Arial" w:hAnsi="Arial"/>
                <w:sz w:val="16"/>
                <w:szCs w:val="16"/>
                <w:color w:val="FFFFFF"/>
              </w:rPr>
              <w:t>Committees:</w:t>
            </w: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920" w:type="dxa"/>
            <w:vAlign w:val="bottom"/>
          </w:tcPr>
          <w:p>
            <w:pPr>
              <w:ind w:left="740"/>
              <w:spacing w:after="0" w:line="182" w:lineRule="exact"/>
              <w:rPr>
                <w:sz w:val="20"/>
                <w:szCs w:val="20"/>
                <w:color w:val="auto"/>
              </w:rPr>
            </w:pPr>
            <w:r>
              <w:rPr>
                <w:rFonts w:ascii="Arial" w:cs="Arial" w:eastAsia="Arial" w:hAnsi="Arial"/>
                <w:sz w:val="16"/>
                <w:szCs w:val="16"/>
                <w:color w:val="FFFFFF"/>
              </w:rPr>
              <w:t>•</w:t>
            </w:r>
          </w:p>
        </w:tc>
        <w:tc>
          <w:tcPr>
            <w:tcW w:w="920" w:type="dxa"/>
            <w:vAlign w:val="bottom"/>
          </w:tcPr>
          <w:p>
            <w:pPr>
              <w:ind w:left="120"/>
              <w:spacing w:after="0" w:line="182" w:lineRule="exact"/>
              <w:rPr>
                <w:sz w:val="20"/>
                <w:szCs w:val="20"/>
                <w:color w:val="auto"/>
              </w:rPr>
            </w:pPr>
            <w:r>
              <w:rPr>
                <w:rFonts w:ascii="Arial" w:cs="Arial" w:eastAsia="Arial" w:hAnsi="Arial"/>
                <w:sz w:val="16"/>
                <w:szCs w:val="16"/>
                <w:color w:val="FFFFFF"/>
              </w:rPr>
              <w:t>Audit</w:t>
            </w:r>
          </w:p>
        </w:tc>
        <w:tc>
          <w:tcPr>
            <w:tcW w:w="0" w:type="dxa"/>
            <w:vAlign w:val="bottom"/>
          </w:tcPr>
          <w:p>
            <w:pPr>
              <w:spacing w:after="0"/>
              <w:rPr>
                <w:sz w:val="1"/>
                <w:szCs w:val="1"/>
                <w:color w:val="auto"/>
              </w:rPr>
            </w:pPr>
          </w:p>
        </w:tc>
      </w:tr>
      <w:tr>
        <w:trPr>
          <w:trHeight w:val="187"/>
        </w:trPr>
        <w:tc>
          <w:tcPr>
            <w:tcW w:w="3960" w:type="dxa"/>
            <w:vAlign w:val="bottom"/>
            <w:vMerge w:val="restart"/>
          </w:tcPr>
          <w:p>
            <w:pPr>
              <w:spacing w:after="0"/>
              <w:rPr>
                <w:sz w:val="20"/>
                <w:szCs w:val="20"/>
                <w:color w:val="auto"/>
              </w:rPr>
            </w:pPr>
            <w:r>
              <w:rPr>
                <w:rFonts w:ascii="Arial" w:cs="Arial" w:eastAsia="Arial" w:hAnsi="Arial"/>
                <w:sz w:val="16"/>
                <w:szCs w:val="16"/>
                <w:color w:val="FFFFFF"/>
              </w:rPr>
              <w:t>Managing Partner, Fountain Square Properties</w:t>
            </w:r>
          </w:p>
        </w:tc>
        <w:tc>
          <w:tcPr>
            <w:tcW w:w="920" w:type="dxa"/>
            <w:vAlign w:val="bottom"/>
          </w:tcPr>
          <w:p>
            <w:pPr>
              <w:ind w:left="740"/>
              <w:spacing w:after="0"/>
              <w:rPr>
                <w:sz w:val="20"/>
                <w:szCs w:val="20"/>
                <w:color w:val="auto"/>
              </w:rPr>
            </w:pPr>
            <w:r>
              <w:rPr>
                <w:rFonts w:ascii="Arial" w:cs="Arial" w:eastAsia="Arial" w:hAnsi="Arial"/>
                <w:sz w:val="16"/>
                <w:szCs w:val="16"/>
                <w:color w:val="FFFFFF"/>
              </w:rPr>
              <w:t>•</w:t>
            </w:r>
          </w:p>
        </w:tc>
        <w:tc>
          <w:tcPr>
            <w:tcW w:w="920" w:type="dxa"/>
            <w:vAlign w:val="bottom"/>
          </w:tcPr>
          <w:p>
            <w:pPr>
              <w:ind w:left="120"/>
              <w:spacing w:after="0"/>
              <w:rPr>
                <w:sz w:val="20"/>
                <w:szCs w:val="20"/>
                <w:color w:val="auto"/>
              </w:rPr>
            </w:pPr>
            <w:r>
              <w:rPr>
                <w:rFonts w:ascii="Arial" w:cs="Arial" w:eastAsia="Arial" w:hAnsi="Arial"/>
                <w:sz w:val="16"/>
                <w:szCs w:val="16"/>
                <w:color w:val="FFFFFF"/>
                <w:w w:val="96"/>
              </w:rPr>
              <w:t>Nominating</w:t>
            </w:r>
          </w:p>
        </w:tc>
        <w:tc>
          <w:tcPr>
            <w:tcW w:w="0" w:type="dxa"/>
            <w:vAlign w:val="bottom"/>
          </w:tcPr>
          <w:p>
            <w:pPr>
              <w:spacing w:after="0"/>
              <w:rPr>
                <w:sz w:val="1"/>
                <w:szCs w:val="1"/>
                <w:color w:val="auto"/>
              </w:rPr>
            </w:pPr>
          </w:p>
        </w:tc>
      </w:tr>
      <w:tr>
        <w:trPr>
          <w:trHeight w:val="60"/>
        </w:trPr>
        <w:tc>
          <w:tcPr>
            <w:tcW w:w="39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0" w:type="dxa"/>
        <w:tblCellMar>
          <w:top w:w="0" w:type="dxa"/>
          <w:left w:w="0" w:type="dxa"/>
          <w:bottom w:w="0" w:type="dxa"/>
          <w:right w:w="0" w:type="dxa"/>
        </w:tblCellMar>
      </w:tblPr>
      <w:tr>
        <w:trPr>
          <w:trHeight w:val="187"/>
        </w:trPr>
        <w:tc>
          <w:tcPr>
            <w:tcW w:w="3900" w:type="dxa"/>
            <w:vAlign w:val="bottom"/>
          </w:tcPr>
          <w:p>
            <w:pPr>
              <w:spacing w:after="0"/>
              <w:rPr>
                <w:sz w:val="20"/>
                <w:szCs w:val="20"/>
                <w:color w:val="auto"/>
              </w:rPr>
            </w:pPr>
            <w:r>
              <w:rPr>
                <w:rFonts w:ascii="Arial" w:cs="Arial" w:eastAsia="Arial" w:hAnsi="Arial"/>
                <w:sz w:val="16"/>
                <w:szCs w:val="16"/>
                <w:color w:val="FFFFFF"/>
              </w:rPr>
              <w:t>Managing Member, Kensington Senior Living</w:t>
            </w:r>
          </w:p>
        </w:tc>
        <w:tc>
          <w:tcPr>
            <w:tcW w:w="3380" w:type="dxa"/>
            <w:vAlign w:val="bottom"/>
            <w:vMerge w:val="restart"/>
          </w:tcPr>
          <w:p>
            <w:pPr>
              <w:ind w:left="800"/>
              <w:spacing w:after="0"/>
              <w:rPr>
                <w:sz w:val="20"/>
                <w:szCs w:val="20"/>
                <w:color w:val="auto"/>
              </w:rPr>
            </w:pPr>
            <w:r>
              <w:rPr>
                <w:rFonts w:ascii="Arial" w:cs="Arial" w:eastAsia="Arial" w:hAnsi="Arial"/>
                <w:sz w:val="16"/>
                <w:szCs w:val="16"/>
                <w:color w:val="FFFFFF"/>
              </w:rPr>
              <w:t>Other Public Company Boards:</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3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00" w:type="dxa"/>
            <w:vAlign w:val="bottom"/>
            <w:vMerge w:val="restart"/>
          </w:tcPr>
          <w:p>
            <w:pPr>
              <w:spacing w:after="0"/>
              <w:rPr>
                <w:sz w:val="20"/>
                <w:szCs w:val="20"/>
                <w:color w:val="auto"/>
              </w:rPr>
            </w:pPr>
            <w:r>
              <w:rPr>
                <w:rFonts w:ascii="Arial" w:cs="Arial" w:eastAsia="Arial" w:hAnsi="Arial"/>
                <w:sz w:val="16"/>
                <w:szCs w:val="16"/>
                <w:color w:val="FFFFFF"/>
              </w:rPr>
              <w:t>Age: 65</w:t>
            </w:r>
          </w:p>
        </w:tc>
        <w:tc>
          <w:tcPr>
            <w:tcW w:w="3380" w:type="dxa"/>
            <w:vAlign w:val="bottom"/>
          </w:tcPr>
          <w:p>
            <w:pPr>
              <w:ind w:left="800"/>
              <w:spacing w:after="0"/>
              <w:rPr>
                <w:sz w:val="20"/>
                <w:szCs w:val="20"/>
                <w:color w:val="auto"/>
              </w:rPr>
            </w:pPr>
            <w:r>
              <w:rPr>
                <w:rFonts w:ascii="Arial" w:cs="Arial" w:eastAsia="Arial" w:hAnsi="Arial"/>
                <w:sz w:val="16"/>
                <w:szCs w:val="16"/>
                <w:color w:val="FFFFFF"/>
              </w:rPr>
              <w:t>•   Arlington Asset Investment Corp.</w:t>
            </w:r>
          </w:p>
        </w:tc>
        <w:tc>
          <w:tcPr>
            <w:tcW w:w="0" w:type="dxa"/>
            <w:vAlign w:val="bottom"/>
          </w:tcPr>
          <w:p>
            <w:pPr>
              <w:spacing w:after="0"/>
              <w:rPr>
                <w:sz w:val="1"/>
                <w:szCs w:val="1"/>
                <w:color w:val="auto"/>
              </w:rPr>
            </w:pPr>
          </w:p>
        </w:tc>
      </w:tr>
      <w:tr>
        <w:trPr>
          <w:trHeight w:val="60"/>
        </w:trPr>
        <w:tc>
          <w:tcPr>
            <w:tcW w:w="3900" w:type="dxa"/>
            <w:vAlign w:val="bottom"/>
            <w:vMerge w:val="continue"/>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20"/>
                <w:szCs w:val="20"/>
                <w:color w:val="auto"/>
              </w:rPr>
            </w:pPr>
            <w:r>
              <w:rPr>
                <w:rFonts w:ascii="Arial" w:cs="Arial" w:eastAsia="Arial" w:hAnsi="Arial"/>
                <w:sz w:val="16"/>
                <w:szCs w:val="16"/>
                <w:color w:val="FFFFFF"/>
              </w:rPr>
              <w:t>Trustee Since: 2003</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900" w:type="dxa"/>
            <w:vAlign w:val="bottom"/>
          </w:tcPr>
          <w:p>
            <w:pPr>
              <w:spacing w:after="0"/>
              <w:rPr>
                <w:sz w:val="20"/>
                <w:szCs w:val="20"/>
                <w:color w:val="auto"/>
              </w:rPr>
            </w:pPr>
            <w:r>
              <w:rPr>
                <w:rFonts w:ascii="Arial" w:cs="Arial" w:eastAsia="Arial" w:hAnsi="Arial"/>
                <w:sz w:val="16"/>
                <w:szCs w:val="16"/>
                <w:color w:val="FFFFFF"/>
              </w:rPr>
              <w:t>Independent; Non-Executive Chairman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ind w:left="100" w:right="180"/>
        <w:spacing w:after="0" w:line="238" w:lineRule="auto"/>
        <w:rPr>
          <w:sz w:val="20"/>
          <w:szCs w:val="20"/>
          <w:color w:val="auto"/>
        </w:rPr>
      </w:pPr>
      <w:r>
        <w:rPr>
          <w:rFonts w:ascii="Arial" w:cs="Arial" w:eastAsia="Arial" w:hAnsi="Arial"/>
          <w:sz w:val="16"/>
          <w:szCs w:val="16"/>
          <w:color w:val="auto"/>
        </w:rPr>
        <w:t>Mr. Faeder has been the managing partner of Fountain Square Properties since 2003 and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674052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ind w:left="100" w:right="260"/>
        <w:spacing w:after="0" w:line="238" w:lineRule="auto"/>
        <w:rPr>
          <w:sz w:val="20"/>
          <w:szCs w:val="20"/>
          <w:color w:val="auto"/>
        </w:rPr>
      </w:pPr>
      <w:r>
        <w:rPr>
          <w:rFonts w:ascii="Arial" w:cs="Arial" w:eastAsia="Arial" w:hAnsi="Arial"/>
          <w:sz w:val="16"/>
          <w:szCs w:val="16"/>
          <w:color w:val="auto"/>
        </w:rPr>
        <w:t>Mr. Faeder has deep levels of experience in leadership, real estate investment and development as well as finance and accounting acquired from his time as a private investor and as a public company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674052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20"/>
          </w:cols>
          <w:pgMar w:left="640" w:top="260" w:right="639" w:bottom="1440" w:gutter="0" w:footer="0" w:header="0"/>
        </w:sectPr>
      </w:pPr>
    </w:p>
    <w:bookmarkStart w:id="19" w:name="page20"/>
    <w:bookmarkEnd w:id="19"/>
    <w:tbl>
      <w:tblPr>
        <w:tblLayout w:type="fixed"/>
        <w:tblInd w:w="210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r>
              <w:rPr>
                <w:rFonts w:ascii="Arial" w:cs="Arial" w:eastAsia="Arial" w:hAnsi="Arial"/>
                <w:sz w:val="21"/>
                <w:szCs w:val="21"/>
                <w:color w:val="FFFFFF"/>
              </w:rPr>
              <w:t>ELIZABETH I. HOLLAND</w:t>
            </w:r>
          </w:p>
        </w:tc>
        <w:tc>
          <w:tcPr>
            <w:tcW w:w="2420" w:type="dxa"/>
            <w:vAlign w:val="bottom"/>
            <w:gridSpan w:val="2"/>
          </w:tcPr>
          <w:p>
            <w:pPr>
              <w:ind w:left="260"/>
              <w:spacing w:after="0"/>
              <w:rPr>
                <w:sz w:val="20"/>
                <w:szCs w:val="20"/>
                <w:color w:val="auto"/>
              </w:rPr>
            </w:pPr>
            <w:r>
              <w:rPr>
                <w:rFonts w:ascii="Arial" w:cs="Arial" w:eastAsia="Arial" w:hAnsi="Arial"/>
                <w:sz w:val="16"/>
                <w:szCs w:val="16"/>
                <w:color w:val="FFFFFF"/>
              </w:rPr>
              <w:t>Committees:</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440" w:type="dxa"/>
            <w:vAlign w:val="bottom"/>
          </w:tcPr>
          <w:p>
            <w:pPr>
              <w:ind w:left="260"/>
              <w:spacing w:after="0" w:line="182" w:lineRule="exact"/>
              <w:rPr>
                <w:sz w:val="20"/>
                <w:szCs w:val="20"/>
                <w:color w:val="auto"/>
              </w:rPr>
            </w:pPr>
            <w:r>
              <w:rPr>
                <w:rFonts w:ascii="Arial" w:cs="Arial" w:eastAsia="Arial" w:hAnsi="Arial"/>
                <w:sz w:val="16"/>
                <w:szCs w:val="16"/>
                <w:color w:val="FFFFFF"/>
              </w:rPr>
              <w:t>•</w:t>
            </w:r>
          </w:p>
        </w:tc>
        <w:tc>
          <w:tcPr>
            <w:tcW w:w="1980" w:type="dxa"/>
            <w:vAlign w:val="bottom"/>
          </w:tcPr>
          <w:p>
            <w:pPr>
              <w:ind w:left="120"/>
              <w:spacing w:after="0" w:line="182" w:lineRule="exact"/>
              <w:rPr>
                <w:sz w:val="20"/>
                <w:szCs w:val="20"/>
                <w:color w:val="auto"/>
              </w:rPr>
            </w:pPr>
            <w:r>
              <w:rPr>
                <w:rFonts w:ascii="Arial" w:cs="Arial" w:eastAsia="Arial" w:hAnsi="Arial"/>
                <w:sz w:val="16"/>
                <w:szCs w:val="16"/>
                <w:color w:val="FFFFFF"/>
              </w:rPr>
              <w:t>Compensation (Chair)</w:t>
            </w:r>
          </w:p>
        </w:tc>
        <w:tc>
          <w:tcPr>
            <w:tcW w:w="0" w:type="dxa"/>
            <w:vAlign w:val="bottom"/>
          </w:tcPr>
          <w:p>
            <w:pPr>
              <w:spacing w:after="0"/>
              <w:rPr>
                <w:sz w:val="1"/>
                <w:szCs w:val="1"/>
                <w:color w:val="auto"/>
              </w:rPr>
            </w:pPr>
          </w:p>
        </w:tc>
      </w:tr>
      <w:tr>
        <w:trPr>
          <w:trHeight w:val="187"/>
        </w:trPr>
        <w:tc>
          <w:tcPr>
            <w:tcW w:w="4440" w:type="dxa"/>
            <w:vAlign w:val="bottom"/>
            <w:vMerge w:val="restart"/>
          </w:tcPr>
          <w:p>
            <w:pPr>
              <w:spacing w:after="0"/>
              <w:rPr>
                <w:sz w:val="20"/>
                <w:szCs w:val="20"/>
                <w:color w:val="auto"/>
              </w:rPr>
            </w:pPr>
            <w:r>
              <w:rPr>
                <w:rFonts w:ascii="Arial" w:cs="Arial" w:eastAsia="Arial" w:hAnsi="Arial"/>
                <w:sz w:val="16"/>
                <w:szCs w:val="16"/>
                <w:color w:val="FFFFFF"/>
              </w:rPr>
              <w:t>Chief Executive Officer, Abbell Credit Corporation and Abbell</w:t>
            </w:r>
          </w:p>
        </w:tc>
        <w:tc>
          <w:tcPr>
            <w:tcW w:w="440" w:type="dxa"/>
            <w:vAlign w:val="bottom"/>
          </w:tcPr>
          <w:p>
            <w:pPr>
              <w:ind w:left="260"/>
              <w:spacing w:after="0"/>
              <w:rPr>
                <w:sz w:val="20"/>
                <w:szCs w:val="20"/>
                <w:color w:val="auto"/>
              </w:rPr>
            </w:pPr>
            <w:r>
              <w:rPr>
                <w:rFonts w:ascii="Arial" w:cs="Arial" w:eastAsia="Arial" w:hAnsi="Arial"/>
                <w:sz w:val="16"/>
                <w:szCs w:val="16"/>
                <w:color w:val="FFFFFF"/>
              </w:rPr>
              <w:t>•</w:t>
            </w:r>
          </w:p>
        </w:tc>
        <w:tc>
          <w:tcPr>
            <w:tcW w:w="1980" w:type="dxa"/>
            <w:vAlign w:val="bottom"/>
          </w:tcPr>
          <w:p>
            <w:pPr>
              <w:ind w:left="120"/>
              <w:spacing w:after="0"/>
              <w:rPr>
                <w:sz w:val="20"/>
                <w:szCs w:val="20"/>
                <w:color w:val="auto"/>
              </w:rPr>
            </w:pPr>
            <w:r>
              <w:rPr>
                <w:rFonts w:ascii="Arial" w:cs="Arial" w:eastAsia="Arial" w:hAnsi="Arial"/>
                <w:sz w:val="16"/>
                <w:szCs w:val="16"/>
                <w:color w:val="FFFFFF"/>
              </w:rPr>
              <w:t>Audit</w:t>
            </w:r>
          </w:p>
        </w:tc>
        <w:tc>
          <w:tcPr>
            <w:tcW w:w="0" w:type="dxa"/>
            <w:vAlign w:val="bottom"/>
          </w:tcPr>
          <w:p>
            <w:pPr>
              <w:spacing w:after="0"/>
              <w:rPr>
                <w:sz w:val="1"/>
                <w:szCs w:val="1"/>
                <w:color w:val="auto"/>
              </w:rPr>
            </w:pPr>
          </w:p>
        </w:tc>
      </w:tr>
      <w:tr>
        <w:trPr>
          <w:trHeight w:val="60"/>
        </w:trPr>
        <w:tc>
          <w:tcPr>
            <w:tcW w:w="4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440" w:type="dxa"/>
            <w:vAlign w:val="bottom"/>
          </w:tcPr>
          <w:p>
            <w:pPr>
              <w:spacing w:after="0"/>
              <w:rPr>
                <w:sz w:val="20"/>
                <w:szCs w:val="20"/>
                <w:color w:val="auto"/>
              </w:rPr>
            </w:pPr>
            <w:r>
              <w:rPr>
                <w:rFonts w:ascii="Arial" w:cs="Arial" w:eastAsia="Arial" w:hAnsi="Arial"/>
                <w:sz w:val="16"/>
                <w:szCs w:val="16"/>
                <w:color w:val="FFFFFF"/>
              </w:rPr>
              <w:t>Associates, LLC</w:t>
            </w:r>
          </w:p>
        </w:tc>
        <w:tc>
          <w:tcPr>
            <w:tcW w:w="2420" w:type="dxa"/>
            <w:vAlign w:val="bottom"/>
            <w:gridSpan w:val="2"/>
            <w:vMerge w:val="restart"/>
          </w:tcPr>
          <w:p>
            <w:pPr>
              <w:ind w:left="260"/>
              <w:spacing w:after="0"/>
              <w:rPr>
                <w:sz w:val="20"/>
                <w:szCs w:val="20"/>
                <w:color w:val="auto"/>
              </w:rPr>
            </w:pPr>
            <w:r>
              <w:rPr>
                <w:rFonts w:ascii="Arial" w:cs="Arial" w:eastAsia="Arial" w:hAnsi="Arial"/>
                <w:sz w:val="16"/>
                <w:szCs w:val="16"/>
                <w:color w:val="FFFFFF"/>
                <w:w w:val="97"/>
              </w:rPr>
              <w:t>Other Public Company Boards:</w:t>
            </w:r>
          </w:p>
        </w:tc>
        <w:tc>
          <w:tcPr>
            <w:tcW w:w="0" w:type="dxa"/>
            <w:vAlign w:val="bottom"/>
          </w:tcPr>
          <w:p>
            <w:pPr>
              <w:spacing w:after="0"/>
              <w:rPr>
                <w:sz w:val="1"/>
                <w:szCs w:val="1"/>
                <w:color w:val="auto"/>
              </w:rPr>
            </w:pPr>
          </w:p>
        </w:tc>
      </w:tr>
      <w:tr>
        <w:trPr>
          <w:trHeight w:val="125"/>
        </w:trPr>
        <w:tc>
          <w:tcPr>
            <w:tcW w:w="444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440" w:type="dxa"/>
            <w:vAlign w:val="bottom"/>
          </w:tcPr>
          <w:p>
            <w:pPr>
              <w:spacing w:after="0"/>
              <w:rPr>
                <w:sz w:val="5"/>
                <w:szCs w:val="5"/>
                <w:color w:val="auto"/>
              </w:rPr>
            </w:pPr>
          </w:p>
        </w:tc>
        <w:tc>
          <w:tcPr>
            <w:tcW w:w="440" w:type="dxa"/>
            <w:vAlign w:val="bottom"/>
          </w:tcPr>
          <w:p>
            <w:pPr>
              <w:ind w:left="260"/>
              <w:spacing w:after="0" w:line="65" w:lineRule="exact"/>
              <w:rPr>
                <w:sz w:val="20"/>
                <w:szCs w:val="20"/>
                <w:color w:val="auto"/>
              </w:rPr>
            </w:pPr>
            <w:r>
              <w:rPr>
                <w:rFonts w:ascii="Arial" w:cs="Arial" w:eastAsia="Arial" w:hAnsi="Arial"/>
                <w:sz w:val="7"/>
                <w:szCs w:val="7"/>
                <w:color w:val="FFFFFF"/>
              </w:rPr>
              <w:t>•</w:t>
            </w:r>
          </w:p>
        </w:tc>
        <w:tc>
          <w:tcPr>
            <w:tcW w:w="1980" w:type="dxa"/>
            <w:vAlign w:val="bottom"/>
          </w:tcPr>
          <w:p>
            <w:pPr>
              <w:ind w:left="120"/>
              <w:spacing w:after="0" w:line="65" w:lineRule="exact"/>
              <w:rPr>
                <w:sz w:val="20"/>
                <w:szCs w:val="20"/>
                <w:color w:val="auto"/>
              </w:rPr>
            </w:pPr>
            <w:r>
              <w:rPr>
                <w:rFonts w:ascii="Arial" w:cs="Arial" w:eastAsia="Arial" w:hAnsi="Arial"/>
                <w:sz w:val="7"/>
                <w:szCs w:val="7"/>
                <w:color w:val="FFFFFF"/>
              </w:rPr>
              <w:t>VICI Properties, Inc.</w:t>
            </w:r>
          </w:p>
        </w:tc>
        <w:tc>
          <w:tcPr>
            <w:tcW w:w="0" w:type="dxa"/>
            <w:vAlign w:val="bottom"/>
          </w:tcPr>
          <w:p>
            <w:pPr>
              <w:spacing w:after="0"/>
              <w:rPr>
                <w:sz w:val="1"/>
                <w:szCs w:val="1"/>
                <w:color w:val="auto"/>
              </w:rPr>
            </w:pPr>
          </w:p>
        </w:tc>
      </w:tr>
    </w:tbl>
    <w:p>
      <w:pPr>
        <w:ind w:left="2100"/>
        <w:spacing w:after="0" w:line="237" w:lineRule="auto"/>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132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1321435"/>
                    </a:xfrm>
                    <a:prstGeom prst="rect">
                      <a:avLst/>
                    </a:prstGeom>
                    <a:noFill/>
                  </pic:spPr>
                </pic:pic>
              </a:graphicData>
            </a:graphic>
          </wp:anchor>
        </w:drawing>
        <w:t>Age: 56</w:t>
      </w:r>
    </w:p>
    <w:p>
      <w:pPr>
        <w:ind w:left="2100"/>
        <w:spacing w:after="0"/>
        <w:rPr>
          <w:sz w:val="20"/>
          <w:szCs w:val="20"/>
          <w:color w:val="auto"/>
        </w:rPr>
      </w:pPr>
      <w:r>
        <w:rPr>
          <w:rFonts w:ascii="Arial" w:cs="Arial" w:eastAsia="Arial" w:hAnsi="Arial"/>
          <w:sz w:val="16"/>
          <w:szCs w:val="16"/>
          <w:color w:val="FFFFFF"/>
        </w:rPr>
        <w:t>Trustee Since: 2017</w:t>
      </w:r>
    </w:p>
    <w:p>
      <w:pPr>
        <w:spacing w:after="0" w:line="193" w:lineRule="exact"/>
        <w:rPr>
          <w:sz w:val="20"/>
          <w:szCs w:val="20"/>
          <w:color w:val="auto"/>
        </w:rPr>
      </w:pPr>
    </w:p>
    <w:p>
      <w:pPr>
        <w:ind w:left="2100"/>
        <w:spacing w:after="0"/>
        <w:rPr>
          <w:sz w:val="20"/>
          <w:szCs w:val="20"/>
          <w:color w:val="auto"/>
        </w:rPr>
      </w:pPr>
      <w:r>
        <w:rPr>
          <w:rFonts w:ascii="Arial" w:cs="Arial" w:eastAsia="Arial" w:hAnsi="Arial"/>
          <w:sz w:val="16"/>
          <w:szCs w:val="16"/>
          <w:color w:val="FFFFFF"/>
        </w:rPr>
        <w:t>Independent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Ms. Holland is the Chief Executive Officer of Abbell Credit Corporation and Abbell Associates, LLC, a private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129540</wp:posOffset>
            </wp:positionV>
            <wp:extent cx="674052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38100</wp:posOffset>
            </wp:positionV>
            <wp:extent cx="674052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0525" cy="1651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376555</wp:posOffset>
            </wp:positionV>
            <wp:extent cx="6740525" cy="1230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0525" cy="1230630"/>
                    </a:xfrm>
                    <a:prstGeom prst="rect">
                      <a:avLst/>
                    </a:prstGeom>
                    <a:noFill/>
                  </pic:spPr>
                </pic:pic>
              </a:graphicData>
            </a:graphic>
          </wp:anchor>
        </w:drawing>
      </w:r>
    </w:p>
    <w:p>
      <w:pPr>
        <w:sectPr>
          <w:pgSz w:w="11900" w:h="16838" w:orient="portrait"/>
          <w:cols w:equalWidth="0" w:num="1">
            <w:col w:w="10400"/>
          </w:cols>
          <w:pgMar w:left="740" w:top="42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100"/>
        <w:spacing w:after="0"/>
        <w:rPr>
          <w:sz w:val="20"/>
          <w:szCs w:val="20"/>
          <w:color w:val="auto"/>
        </w:rPr>
      </w:pPr>
      <w:r>
        <w:rPr>
          <w:rFonts w:ascii="Arial" w:cs="Arial" w:eastAsia="Arial" w:hAnsi="Arial"/>
          <w:sz w:val="20"/>
          <w:szCs w:val="20"/>
          <w:color w:val="FFFFFF"/>
        </w:rPr>
        <w:t>NICOLE Y. LAMB-HALE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FFFFFF"/>
        </w:rPr>
        <w:t>Committees:</w:t>
      </w:r>
    </w:p>
    <w:p>
      <w:pPr>
        <w:spacing w:after="0"/>
        <w:tabs>
          <w:tab w:leader="none" w:pos="280" w:val="left"/>
        </w:tabs>
        <w:rPr>
          <w:sz w:val="20"/>
          <w:szCs w:val="20"/>
          <w:color w:val="auto"/>
        </w:rPr>
      </w:pPr>
      <w:r>
        <w:rPr>
          <w:rFonts w:ascii="Arial" w:cs="Arial" w:eastAsia="Arial" w:hAnsi="Arial"/>
          <w:sz w:val="14"/>
          <w:szCs w:val="14"/>
          <w:color w:val="FFFFFF"/>
        </w:rPr>
        <w:t>•</w:t>
        <w:tab/>
        <w:t>Compensation</w:t>
      </w:r>
    </w:p>
    <w:p>
      <w:pPr>
        <w:spacing w:after="0" w:line="2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FFFFFF"/>
        </w:rPr>
        <w:t>•</w:t>
        <w:tab/>
        <w:t>Nominating</w:t>
      </w:r>
    </w:p>
    <w:p>
      <w:pPr>
        <w:spacing w:after="0" w:line="1" w:lineRule="exact"/>
        <w:rPr>
          <w:sz w:val="20"/>
          <w:szCs w:val="20"/>
          <w:color w:val="auto"/>
        </w:rPr>
      </w:pPr>
    </w:p>
    <w:p>
      <w:pPr>
        <w:sectPr>
          <w:pgSz w:w="11900" w:h="16838" w:orient="portrait"/>
          <w:cols w:equalWidth="0" w:num="2">
            <w:col w:w="6080" w:space="720"/>
            <w:col w:w="3600"/>
          </w:cols>
          <w:pgMar w:left="740" w:top="420" w:right="759" w:bottom="1440" w:gutter="0" w:footer="0" w:header="0"/>
          <w:type w:val="continuous"/>
        </w:sectPr>
      </w:pPr>
    </w:p>
    <w:p>
      <w:pPr>
        <w:ind w:left="2100"/>
        <w:spacing w:after="0" w:line="203" w:lineRule="auto"/>
        <w:rPr>
          <w:sz w:val="20"/>
          <w:szCs w:val="20"/>
          <w:color w:val="auto"/>
        </w:rPr>
      </w:pPr>
      <w:r>
        <w:rPr>
          <w:rFonts w:ascii="Arial" w:cs="Arial" w:eastAsia="Arial" w:hAnsi="Arial"/>
          <w:sz w:val="7"/>
          <w:szCs w:val="7"/>
          <w:color w:val="FFFFFF"/>
        </w:rPr>
        <w:t>Vice President and General Counsel,</w:t>
      </w:r>
    </w:p>
    <w:p>
      <w:pPr>
        <w:sectPr>
          <w:pgSz w:w="11900" w:h="16838" w:orient="portrait"/>
          <w:cols w:equalWidth="0" w:num="1">
            <w:col w:w="10400"/>
          </w:cols>
          <w:pgMar w:left="740" w:top="420" w:right="759" w:bottom="1440" w:gutter="0" w:footer="0" w:header="0"/>
          <w:type w:val="continuous"/>
        </w:sectPr>
      </w:pPr>
    </w:p>
    <w:p>
      <w:pPr>
        <w:spacing w:after="0" w:line="371" w:lineRule="exact"/>
        <w:rPr>
          <w:sz w:val="20"/>
          <w:szCs w:val="20"/>
          <w:color w:val="auto"/>
        </w:rPr>
      </w:pPr>
    </w:p>
    <w:p>
      <w:pPr>
        <w:ind w:left="2100"/>
        <w:spacing w:after="0"/>
        <w:rPr>
          <w:sz w:val="20"/>
          <w:szCs w:val="20"/>
          <w:color w:val="auto"/>
        </w:rPr>
      </w:pPr>
      <w:r>
        <w:rPr>
          <w:rFonts w:ascii="Arial" w:cs="Arial" w:eastAsia="Arial" w:hAnsi="Arial"/>
          <w:sz w:val="16"/>
          <w:szCs w:val="16"/>
          <w:color w:val="FFFFFF"/>
        </w:rPr>
        <w:t>Age: 55</w:t>
      </w:r>
    </w:p>
    <w:p>
      <w:pPr>
        <w:ind w:left="2100"/>
        <w:spacing w:after="0"/>
        <w:rPr>
          <w:sz w:val="20"/>
          <w:szCs w:val="20"/>
          <w:color w:val="auto"/>
        </w:rPr>
      </w:pPr>
      <w:r>
        <w:rPr>
          <w:rFonts w:ascii="Arial" w:cs="Arial" w:eastAsia="Arial" w:hAnsi="Arial"/>
          <w:sz w:val="16"/>
          <w:szCs w:val="16"/>
          <w:color w:val="FFFFFF"/>
        </w:rPr>
        <w:t>Trustee Since: 2020</w:t>
      </w:r>
    </w:p>
    <w:p>
      <w:pPr>
        <w:spacing w:after="0" w:line="193" w:lineRule="exact"/>
        <w:rPr>
          <w:sz w:val="20"/>
          <w:szCs w:val="20"/>
          <w:color w:val="auto"/>
        </w:rPr>
      </w:pPr>
    </w:p>
    <w:p>
      <w:pPr>
        <w:ind w:left="2100"/>
        <w:spacing w:after="0"/>
        <w:rPr>
          <w:sz w:val="20"/>
          <w:szCs w:val="20"/>
          <w:color w:val="auto"/>
        </w:rPr>
      </w:pPr>
      <w:r>
        <w:rPr>
          <w:rFonts w:ascii="Arial" w:cs="Arial" w:eastAsia="Arial" w:hAnsi="Arial"/>
          <w:sz w:val="16"/>
          <w:szCs w:val="16"/>
          <w:color w:val="FFFFFF"/>
        </w:rPr>
        <w:t>Independent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Ms. Lamb-Hale is the Vice President and General Counsel of Cummins, Inc., a position she has held since 2021. Prior to that, she was a Managing Director at Kroll, a division of Duff &amp; Phelps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w:t>
      </w:r>
    </w:p>
    <w:p>
      <w:pPr>
        <w:spacing w:after="0" w:line="2"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Ms. Lamb-Hale earned an AB in Political Science from the University of Michigan and a JD from Harvard Law School. In addition to her service on Federal’s Board, Ms. Lamb-Hale serves on the board of Kroll Midco Corporation as well as the boards of various non-profit groups including the American Leadership Initiative, The Holton Arms School, Shiloh Baptist Church of Washington, D.C. and the Center for International Private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128270</wp:posOffset>
            </wp:positionV>
            <wp:extent cx="674052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Ms. Lamb-Hale’s 30 years of experience, spanning the private and public sectors, in law, risk mitigation and restructuring, coupled with her leadership skills gained from her varied executive roles, provides the company with diverse and valuable insights as it develops and implements its current and long-term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38100</wp:posOffset>
            </wp:positionV>
            <wp:extent cx="674052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00"/>
          </w:cols>
          <w:pgMar w:left="740" w:top="420" w:right="759" w:bottom="1440" w:gutter="0" w:footer="0" w:header="0"/>
          <w:type w:val="continuous"/>
        </w:sectPr>
      </w:pPr>
    </w:p>
    <w:bookmarkStart w:id="20" w:name="page21"/>
    <w:bookmarkEnd w:id="20"/>
    <w:tbl>
      <w:tblPr>
        <w:tblLayout w:type="fixed"/>
        <w:tblInd w:w="210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r>
              <w:rPr>
                <w:rFonts w:ascii="Arial" w:cs="Arial" w:eastAsia="Arial" w:hAnsi="Arial"/>
                <w:sz w:val="21"/>
                <w:szCs w:val="21"/>
                <w:color w:val="FFFFFF"/>
              </w:rPr>
              <w:t>ANTHONY P. NADER, III</w:t>
            </w:r>
          </w:p>
        </w:tc>
        <w:tc>
          <w:tcPr>
            <w:tcW w:w="1520" w:type="dxa"/>
            <w:vAlign w:val="bottom"/>
            <w:gridSpan w:val="2"/>
          </w:tcPr>
          <w:p>
            <w:pPr>
              <w:ind w:left="420"/>
              <w:spacing w:after="0"/>
              <w:rPr>
                <w:sz w:val="20"/>
                <w:szCs w:val="20"/>
                <w:color w:val="auto"/>
              </w:rPr>
            </w:pPr>
            <w:r>
              <w:rPr>
                <w:rFonts w:ascii="Arial" w:cs="Arial" w:eastAsia="Arial" w:hAnsi="Arial"/>
                <w:sz w:val="17"/>
                <w:szCs w:val="17"/>
                <w:color w:val="FFFFFF"/>
              </w:rPr>
              <w:t>Committees:</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600" w:type="dxa"/>
            <w:vAlign w:val="bottom"/>
          </w:tcPr>
          <w:p>
            <w:pPr>
              <w:ind w:left="420"/>
              <w:spacing w:after="0" w:line="182" w:lineRule="exact"/>
              <w:rPr>
                <w:sz w:val="20"/>
                <w:szCs w:val="20"/>
                <w:color w:val="auto"/>
              </w:rPr>
            </w:pPr>
            <w:r>
              <w:rPr>
                <w:rFonts w:ascii="Arial" w:cs="Arial" w:eastAsia="Arial" w:hAnsi="Arial"/>
                <w:sz w:val="16"/>
                <w:szCs w:val="16"/>
                <w:color w:val="FFFFFF"/>
              </w:rPr>
              <w:t>•</w:t>
            </w:r>
          </w:p>
        </w:tc>
        <w:tc>
          <w:tcPr>
            <w:tcW w:w="920" w:type="dxa"/>
            <w:vAlign w:val="bottom"/>
          </w:tcPr>
          <w:p>
            <w:pPr>
              <w:ind w:left="120"/>
              <w:spacing w:after="0" w:line="182" w:lineRule="exact"/>
              <w:rPr>
                <w:sz w:val="20"/>
                <w:szCs w:val="20"/>
                <w:color w:val="auto"/>
              </w:rPr>
            </w:pPr>
            <w:r>
              <w:rPr>
                <w:rFonts w:ascii="Arial" w:cs="Arial" w:eastAsia="Arial" w:hAnsi="Arial"/>
                <w:sz w:val="16"/>
                <w:szCs w:val="16"/>
                <w:color w:val="FFFFFF"/>
              </w:rPr>
              <w:t>Audit</w:t>
            </w:r>
          </w:p>
        </w:tc>
        <w:tc>
          <w:tcPr>
            <w:tcW w:w="0" w:type="dxa"/>
            <w:vAlign w:val="bottom"/>
          </w:tcPr>
          <w:p>
            <w:pPr>
              <w:spacing w:after="0"/>
              <w:rPr>
                <w:sz w:val="1"/>
                <w:szCs w:val="1"/>
                <w:color w:val="auto"/>
              </w:rPr>
            </w:pPr>
          </w:p>
        </w:tc>
      </w:tr>
      <w:tr>
        <w:trPr>
          <w:trHeight w:val="187"/>
        </w:trPr>
        <w:tc>
          <w:tcPr>
            <w:tcW w:w="4280" w:type="dxa"/>
            <w:vAlign w:val="bottom"/>
            <w:vMerge w:val="restart"/>
          </w:tcPr>
          <w:p>
            <w:pPr>
              <w:spacing w:after="0"/>
              <w:rPr>
                <w:sz w:val="20"/>
                <w:szCs w:val="20"/>
                <w:color w:val="auto"/>
              </w:rPr>
            </w:pPr>
            <w:r>
              <w:rPr>
                <w:rFonts w:ascii="Arial" w:cs="Arial" w:eastAsia="Arial" w:hAnsi="Arial"/>
                <w:sz w:val="16"/>
                <w:szCs w:val="16"/>
                <w:color w:val="FFFFFF"/>
              </w:rPr>
              <w:t>Managing Director of SWaN &amp; Legend Venture Partners</w:t>
            </w:r>
          </w:p>
        </w:tc>
        <w:tc>
          <w:tcPr>
            <w:tcW w:w="600" w:type="dxa"/>
            <w:vAlign w:val="bottom"/>
          </w:tcPr>
          <w:p>
            <w:pPr>
              <w:ind w:left="420"/>
              <w:spacing w:after="0"/>
              <w:rPr>
                <w:sz w:val="20"/>
                <w:szCs w:val="20"/>
                <w:color w:val="auto"/>
              </w:rPr>
            </w:pPr>
            <w:r>
              <w:rPr>
                <w:rFonts w:ascii="Arial" w:cs="Arial" w:eastAsia="Arial" w:hAnsi="Arial"/>
                <w:sz w:val="16"/>
                <w:szCs w:val="16"/>
                <w:color w:val="FFFFFF"/>
              </w:rPr>
              <w:t>•</w:t>
            </w:r>
          </w:p>
        </w:tc>
        <w:tc>
          <w:tcPr>
            <w:tcW w:w="920" w:type="dxa"/>
            <w:vAlign w:val="bottom"/>
          </w:tcPr>
          <w:p>
            <w:pPr>
              <w:ind w:left="120"/>
              <w:spacing w:after="0"/>
              <w:rPr>
                <w:sz w:val="20"/>
                <w:szCs w:val="20"/>
                <w:color w:val="auto"/>
              </w:rPr>
            </w:pPr>
            <w:r>
              <w:rPr>
                <w:rFonts w:ascii="Arial" w:cs="Arial" w:eastAsia="Arial" w:hAnsi="Arial"/>
                <w:sz w:val="16"/>
                <w:szCs w:val="16"/>
                <w:color w:val="FFFFFF"/>
                <w:w w:val="96"/>
              </w:rPr>
              <w:t>Nominating</w:t>
            </w:r>
          </w:p>
        </w:tc>
        <w:tc>
          <w:tcPr>
            <w:tcW w:w="0" w:type="dxa"/>
            <w:vAlign w:val="bottom"/>
          </w:tcPr>
          <w:p>
            <w:pPr>
              <w:spacing w:after="0"/>
              <w:rPr>
                <w:sz w:val="1"/>
                <w:szCs w:val="1"/>
                <w:color w:val="auto"/>
              </w:rPr>
            </w:pPr>
          </w:p>
        </w:tc>
      </w:tr>
      <w:tr>
        <w:trPr>
          <w:trHeight w:val="52"/>
        </w:trPr>
        <w:tc>
          <w:tcPr>
            <w:tcW w:w="42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131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1313180"/>
                    </a:xfrm>
                    <a:prstGeom prst="rect">
                      <a:avLst/>
                    </a:prstGeom>
                    <a:noFill/>
                  </pic:spPr>
                </pic:pic>
              </a:graphicData>
            </a:graphic>
          </wp:anchor>
        </w:drawing>
      </w:r>
    </w:p>
    <w:tbl>
      <w:tblPr>
        <w:tblLayout w:type="fixed"/>
        <w:tblInd w:w="2100" w:type="dxa"/>
        <w:tblCellMar>
          <w:top w:w="0" w:type="dxa"/>
          <w:left w:w="0" w:type="dxa"/>
          <w:bottom w:w="0" w:type="dxa"/>
          <w:right w:w="0" w:type="dxa"/>
        </w:tblCellMar>
      </w:tblPr>
      <w:tr>
        <w:trPr>
          <w:trHeight w:val="184"/>
        </w:trPr>
        <w:tc>
          <w:tcPr>
            <w:tcW w:w="3060" w:type="dxa"/>
            <w:vAlign w:val="bottom"/>
            <w:vMerge w:val="restart"/>
          </w:tcPr>
          <w:p>
            <w:pPr>
              <w:spacing w:after="0"/>
              <w:rPr>
                <w:sz w:val="20"/>
                <w:szCs w:val="20"/>
                <w:color w:val="auto"/>
              </w:rPr>
            </w:pPr>
            <w:r>
              <w:rPr>
                <w:rFonts w:ascii="Arial" w:cs="Arial" w:eastAsia="Arial" w:hAnsi="Arial"/>
                <w:sz w:val="16"/>
                <w:szCs w:val="16"/>
                <w:color w:val="FFFFFF"/>
              </w:rPr>
              <w:t>Age: 58</w:t>
            </w:r>
          </w:p>
        </w:tc>
        <w:tc>
          <w:tcPr>
            <w:tcW w:w="4220" w:type="dxa"/>
            <w:vAlign w:val="bottom"/>
          </w:tcPr>
          <w:p>
            <w:pPr>
              <w:ind w:left="1640"/>
              <w:spacing w:after="0"/>
              <w:rPr>
                <w:sz w:val="20"/>
                <w:szCs w:val="20"/>
                <w:color w:val="auto"/>
              </w:rPr>
            </w:pPr>
            <w:r>
              <w:rPr>
                <w:rFonts w:ascii="Arial" w:cs="Arial" w:eastAsia="Arial" w:hAnsi="Arial"/>
                <w:sz w:val="16"/>
                <w:szCs w:val="16"/>
                <w:color w:val="FFFFFF"/>
              </w:rPr>
              <w:t>Other Public Company Boards:</w:t>
            </w: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4220" w:type="dxa"/>
            <w:vAlign w:val="bottom"/>
            <w:vMerge w:val="restart"/>
          </w:tcPr>
          <w:p>
            <w:pPr>
              <w:ind w:left="1640"/>
              <w:spacing w:after="0"/>
              <w:rPr>
                <w:sz w:val="20"/>
                <w:szCs w:val="20"/>
                <w:color w:val="auto"/>
              </w:rPr>
            </w:pPr>
            <w:r>
              <w:rPr>
                <w:rFonts w:ascii="Arial" w:cs="Arial" w:eastAsia="Arial" w:hAnsi="Arial"/>
                <w:sz w:val="16"/>
                <w:szCs w:val="16"/>
                <w:color w:val="FFFFFF"/>
              </w:rPr>
              <w:t>•   Arlington Asset Investment Corp.</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Arial" w:cs="Arial" w:eastAsia="Arial" w:hAnsi="Arial"/>
                <w:sz w:val="16"/>
                <w:szCs w:val="16"/>
                <w:color w:val="FFFFFF"/>
              </w:rPr>
              <w:t>Trustee Since: 2020</w:t>
            </w:r>
          </w:p>
        </w:tc>
        <w:tc>
          <w:tcPr>
            <w:tcW w:w="4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060" w:type="dxa"/>
            <w:vAlign w:val="bottom"/>
            <w:vMerge w:val="continue"/>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3060" w:type="dxa"/>
            <w:vAlign w:val="bottom"/>
          </w:tcPr>
          <w:p>
            <w:pPr>
              <w:spacing w:after="0"/>
              <w:rPr>
                <w:sz w:val="20"/>
                <w:szCs w:val="20"/>
                <w:color w:val="auto"/>
              </w:rPr>
            </w:pPr>
            <w:r>
              <w:rPr>
                <w:rFonts w:ascii="Arial" w:cs="Arial" w:eastAsia="Arial" w:hAnsi="Arial"/>
                <w:sz w:val="16"/>
                <w:szCs w:val="16"/>
                <w:color w:val="FFFFFF"/>
              </w:rPr>
              <w:t>Independent</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Mr. Nader is a Managing Director of SWaN &amp; Legend Venture Partners, an investment firm that Mr. Nader co-founded in 2006, with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serves as the Chairman of the Inova Health System Board of Trustees. Mr. Nader has been designated by the Board as an audit committee financial expert in accordance with the SEC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112395</wp:posOffset>
            </wp:positionV>
            <wp:extent cx="674052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38100</wp:posOffset>
            </wp:positionV>
            <wp:extent cx="674052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40525" cy="1651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384810</wp:posOffset>
            </wp:positionV>
            <wp:extent cx="6740525" cy="12223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0525"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10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r>
              <w:rPr>
                <w:rFonts w:ascii="Arial" w:cs="Arial" w:eastAsia="Arial" w:hAnsi="Arial"/>
                <w:sz w:val="21"/>
                <w:szCs w:val="21"/>
                <w:color w:val="FFFFFF"/>
              </w:rPr>
              <w:t>MARK S. ORDAN</w:t>
            </w:r>
          </w:p>
        </w:tc>
        <w:tc>
          <w:tcPr>
            <w:tcW w:w="4020" w:type="dxa"/>
            <w:vAlign w:val="bottom"/>
            <w:gridSpan w:val="2"/>
          </w:tcPr>
          <w:p>
            <w:pPr>
              <w:ind w:left="1080"/>
              <w:spacing w:after="0"/>
              <w:rPr>
                <w:sz w:val="20"/>
                <w:szCs w:val="20"/>
                <w:color w:val="auto"/>
              </w:rPr>
            </w:pPr>
            <w:r>
              <w:rPr>
                <w:rFonts w:ascii="Arial" w:cs="Arial" w:eastAsia="Arial" w:hAnsi="Arial"/>
                <w:sz w:val="16"/>
                <w:szCs w:val="16"/>
                <w:color w:val="FFFFFF"/>
              </w:rPr>
              <w:t>Committees:</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260" w:type="dxa"/>
            <w:vAlign w:val="bottom"/>
          </w:tcPr>
          <w:p>
            <w:pPr>
              <w:ind w:left="1080"/>
              <w:spacing w:after="0" w:line="182" w:lineRule="exact"/>
              <w:rPr>
                <w:sz w:val="20"/>
                <w:szCs w:val="20"/>
                <w:color w:val="auto"/>
              </w:rPr>
            </w:pPr>
            <w:r>
              <w:rPr>
                <w:rFonts w:ascii="Arial" w:cs="Arial" w:eastAsia="Arial" w:hAnsi="Arial"/>
                <w:sz w:val="16"/>
                <w:szCs w:val="16"/>
                <w:color w:val="FFFFFF"/>
              </w:rPr>
              <w:t>•</w:t>
            </w:r>
          </w:p>
        </w:tc>
        <w:tc>
          <w:tcPr>
            <w:tcW w:w="2760" w:type="dxa"/>
            <w:vAlign w:val="bottom"/>
          </w:tcPr>
          <w:p>
            <w:pPr>
              <w:ind w:left="120"/>
              <w:spacing w:after="0" w:line="182" w:lineRule="exact"/>
              <w:rPr>
                <w:sz w:val="20"/>
                <w:szCs w:val="20"/>
                <w:color w:val="auto"/>
              </w:rPr>
            </w:pPr>
            <w:r>
              <w:rPr>
                <w:rFonts w:ascii="Arial" w:cs="Arial" w:eastAsia="Arial" w:hAnsi="Arial"/>
                <w:sz w:val="16"/>
                <w:szCs w:val="16"/>
                <w:color w:val="FFFFFF"/>
              </w:rPr>
              <w:t>Nominating (Chair)</w:t>
            </w:r>
          </w:p>
        </w:tc>
        <w:tc>
          <w:tcPr>
            <w:tcW w:w="0" w:type="dxa"/>
            <w:vAlign w:val="bottom"/>
          </w:tcPr>
          <w:p>
            <w:pPr>
              <w:spacing w:after="0"/>
              <w:rPr>
                <w:sz w:val="1"/>
                <w:szCs w:val="1"/>
                <w:color w:val="auto"/>
              </w:rPr>
            </w:pPr>
          </w:p>
        </w:tc>
      </w:tr>
      <w:tr>
        <w:trPr>
          <w:trHeight w:val="187"/>
        </w:trPr>
        <w:tc>
          <w:tcPr>
            <w:tcW w:w="3620" w:type="dxa"/>
            <w:vAlign w:val="bottom"/>
            <w:vMerge w:val="restart"/>
          </w:tcPr>
          <w:p>
            <w:pPr>
              <w:spacing w:after="0"/>
              <w:rPr>
                <w:sz w:val="20"/>
                <w:szCs w:val="20"/>
                <w:color w:val="auto"/>
              </w:rPr>
            </w:pPr>
            <w:r>
              <w:rPr>
                <w:rFonts w:ascii="Arial" w:cs="Arial" w:eastAsia="Arial" w:hAnsi="Arial"/>
                <w:sz w:val="16"/>
                <w:szCs w:val="16"/>
                <w:color w:val="FFFFFF"/>
              </w:rPr>
              <w:t>Chief Executive Officer, Mednax, Inc.</w:t>
            </w:r>
          </w:p>
        </w:tc>
        <w:tc>
          <w:tcPr>
            <w:tcW w:w="1260" w:type="dxa"/>
            <w:vAlign w:val="bottom"/>
          </w:tcPr>
          <w:p>
            <w:pPr>
              <w:ind w:left="1080"/>
              <w:spacing w:after="0"/>
              <w:rPr>
                <w:sz w:val="20"/>
                <w:szCs w:val="20"/>
                <w:color w:val="auto"/>
              </w:rPr>
            </w:pPr>
            <w:r>
              <w:rPr>
                <w:rFonts w:ascii="Arial" w:cs="Arial" w:eastAsia="Arial" w:hAnsi="Arial"/>
                <w:sz w:val="16"/>
                <w:szCs w:val="16"/>
                <w:color w:val="FFFFFF"/>
              </w:rPr>
              <w:t>•</w:t>
            </w:r>
          </w:p>
        </w:tc>
        <w:tc>
          <w:tcPr>
            <w:tcW w:w="2760" w:type="dxa"/>
            <w:vAlign w:val="bottom"/>
          </w:tcPr>
          <w:p>
            <w:pPr>
              <w:ind w:left="120"/>
              <w:spacing w:after="0"/>
              <w:rPr>
                <w:sz w:val="20"/>
                <w:szCs w:val="20"/>
                <w:color w:val="auto"/>
              </w:rPr>
            </w:pPr>
            <w:r>
              <w:rPr>
                <w:rFonts w:ascii="Arial" w:cs="Arial" w:eastAsia="Arial" w:hAnsi="Arial"/>
                <w:sz w:val="16"/>
                <w:szCs w:val="16"/>
                <w:color w:val="FFFFFF"/>
              </w:rPr>
              <w:t>Compensation</w:t>
            </w:r>
          </w:p>
        </w:tc>
        <w:tc>
          <w:tcPr>
            <w:tcW w:w="0" w:type="dxa"/>
            <w:vAlign w:val="bottom"/>
          </w:tcPr>
          <w:p>
            <w:pPr>
              <w:spacing w:after="0"/>
              <w:rPr>
                <w:sz w:val="1"/>
                <w:szCs w:val="1"/>
                <w:color w:val="auto"/>
              </w:rPr>
            </w:pPr>
          </w:p>
        </w:tc>
      </w:tr>
      <w:tr>
        <w:trPr>
          <w:trHeight w:val="65"/>
        </w:trPr>
        <w:tc>
          <w:tcPr>
            <w:tcW w:w="36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620" w:type="dxa"/>
            <w:vAlign w:val="bottom"/>
            <w:vMerge w:val="restart"/>
          </w:tcPr>
          <w:p>
            <w:pPr>
              <w:spacing w:after="0"/>
              <w:rPr>
                <w:sz w:val="20"/>
                <w:szCs w:val="20"/>
                <w:color w:val="auto"/>
              </w:rPr>
            </w:pPr>
            <w:r>
              <w:rPr>
                <w:rFonts w:ascii="Arial" w:cs="Arial" w:eastAsia="Arial" w:hAnsi="Arial"/>
                <w:sz w:val="16"/>
                <w:szCs w:val="16"/>
                <w:color w:val="FFFFFF"/>
              </w:rPr>
              <w:t>Age: 63</w:t>
            </w:r>
          </w:p>
        </w:tc>
        <w:tc>
          <w:tcPr>
            <w:tcW w:w="4020" w:type="dxa"/>
            <w:vAlign w:val="bottom"/>
            <w:gridSpan w:val="2"/>
          </w:tcPr>
          <w:p>
            <w:pPr>
              <w:ind w:left="1080"/>
              <w:spacing w:after="0"/>
              <w:rPr>
                <w:sz w:val="20"/>
                <w:szCs w:val="20"/>
                <w:color w:val="auto"/>
              </w:rPr>
            </w:pPr>
            <w:r>
              <w:rPr>
                <w:rFonts w:ascii="Arial" w:cs="Arial" w:eastAsia="Arial" w:hAnsi="Arial"/>
                <w:sz w:val="16"/>
                <w:szCs w:val="16"/>
                <w:color w:val="FFFFFF"/>
              </w:rPr>
              <w:t>Other Public Company Boards:</w:t>
            </w:r>
          </w:p>
        </w:tc>
        <w:tc>
          <w:tcPr>
            <w:tcW w:w="0" w:type="dxa"/>
            <w:vAlign w:val="bottom"/>
          </w:tcPr>
          <w:p>
            <w:pPr>
              <w:spacing w:after="0"/>
              <w:rPr>
                <w:sz w:val="1"/>
                <w:szCs w:val="1"/>
                <w:color w:val="auto"/>
              </w:rPr>
            </w:pPr>
          </w:p>
        </w:tc>
      </w:tr>
      <w:tr>
        <w:trPr>
          <w:trHeight w:val="65"/>
        </w:trPr>
        <w:tc>
          <w:tcPr>
            <w:tcW w:w="3620" w:type="dxa"/>
            <w:vAlign w:val="bottom"/>
            <w:vMerge w:val="continue"/>
          </w:tcPr>
          <w:p>
            <w:pPr>
              <w:spacing w:after="0"/>
              <w:rPr>
                <w:sz w:val="5"/>
                <w:szCs w:val="5"/>
                <w:color w:val="auto"/>
              </w:rPr>
            </w:pPr>
          </w:p>
        </w:tc>
        <w:tc>
          <w:tcPr>
            <w:tcW w:w="1260" w:type="dxa"/>
            <w:vAlign w:val="bottom"/>
            <w:vMerge w:val="restart"/>
          </w:tcPr>
          <w:p>
            <w:pPr>
              <w:ind w:left="1080"/>
              <w:spacing w:after="0" w:line="182" w:lineRule="exact"/>
              <w:rPr>
                <w:sz w:val="20"/>
                <w:szCs w:val="20"/>
                <w:color w:val="auto"/>
              </w:rPr>
            </w:pPr>
            <w:r>
              <w:rPr>
                <w:rFonts w:ascii="Arial" w:cs="Arial" w:eastAsia="Arial" w:hAnsi="Arial"/>
                <w:sz w:val="16"/>
                <w:szCs w:val="16"/>
                <w:color w:val="FFFFFF"/>
              </w:rPr>
              <w:t>•</w:t>
            </w:r>
          </w:p>
        </w:tc>
        <w:tc>
          <w:tcPr>
            <w:tcW w:w="2760" w:type="dxa"/>
            <w:vAlign w:val="bottom"/>
            <w:vMerge w:val="restart"/>
          </w:tcPr>
          <w:p>
            <w:pPr>
              <w:ind w:left="120"/>
              <w:spacing w:after="0" w:line="182" w:lineRule="exact"/>
              <w:rPr>
                <w:sz w:val="20"/>
                <w:szCs w:val="20"/>
                <w:color w:val="auto"/>
              </w:rPr>
            </w:pPr>
            <w:r>
              <w:rPr>
                <w:rFonts w:ascii="Arial" w:cs="Arial" w:eastAsia="Arial" w:hAnsi="Arial"/>
                <w:sz w:val="16"/>
                <w:szCs w:val="16"/>
                <w:color w:val="FFFFFF"/>
              </w:rPr>
              <w:t>Mednax, Inc.</w:t>
            </w:r>
          </w:p>
        </w:tc>
        <w:tc>
          <w:tcPr>
            <w:tcW w:w="0" w:type="dxa"/>
            <w:vAlign w:val="bottom"/>
          </w:tcPr>
          <w:p>
            <w:pPr>
              <w:spacing w:after="0"/>
              <w:rPr>
                <w:sz w:val="1"/>
                <w:szCs w:val="1"/>
                <w:color w:val="auto"/>
              </w:rPr>
            </w:pPr>
          </w:p>
        </w:tc>
      </w:tr>
      <w:tr>
        <w:trPr>
          <w:trHeight w:val="117"/>
        </w:trPr>
        <w:tc>
          <w:tcPr>
            <w:tcW w:w="3620" w:type="dxa"/>
            <w:vAlign w:val="bottom"/>
            <w:vMerge w:val="restart"/>
          </w:tcPr>
          <w:p>
            <w:pPr>
              <w:spacing w:after="0"/>
              <w:rPr>
                <w:sz w:val="20"/>
                <w:szCs w:val="20"/>
                <w:color w:val="auto"/>
              </w:rPr>
            </w:pPr>
            <w:r>
              <w:rPr>
                <w:rFonts w:ascii="Arial" w:cs="Arial" w:eastAsia="Arial" w:hAnsi="Arial"/>
                <w:sz w:val="16"/>
                <w:szCs w:val="16"/>
                <w:color w:val="FFFFFF"/>
              </w:rPr>
              <w:t>Trustee Since: 2019</w:t>
            </w:r>
          </w:p>
        </w:tc>
        <w:tc>
          <w:tcPr>
            <w:tcW w:w="1260" w:type="dxa"/>
            <w:vAlign w:val="bottom"/>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620" w:type="dxa"/>
            <w:vAlign w:val="bottom"/>
            <w:vMerge w:val="continue"/>
          </w:tcPr>
          <w:p>
            <w:pPr>
              <w:spacing w:after="0"/>
              <w:rPr>
                <w:sz w:val="6"/>
                <w:szCs w:val="6"/>
                <w:color w:val="auto"/>
              </w:rPr>
            </w:pPr>
          </w:p>
        </w:tc>
        <w:tc>
          <w:tcPr>
            <w:tcW w:w="4020" w:type="dxa"/>
            <w:vAlign w:val="bottom"/>
            <w:gridSpan w:val="2"/>
            <w:vMerge w:val="restart"/>
          </w:tcPr>
          <w:p>
            <w:pPr>
              <w:ind w:left="1080"/>
              <w:spacing w:after="0"/>
              <w:rPr>
                <w:sz w:val="20"/>
                <w:szCs w:val="20"/>
                <w:color w:val="auto"/>
              </w:rPr>
            </w:pPr>
            <w:r>
              <w:rPr>
                <w:rFonts w:ascii="Arial" w:cs="Arial" w:eastAsia="Arial" w:hAnsi="Arial"/>
                <w:sz w:val="16"/>
                <w:szCs w:val="16"/>
                <w:color w:val="FFFFFF"/>
              </w:rPr>
              <w:t xml:space="preserve">•   The Carlyle Group, Inc. </w:t>
            </w:r>
            <w:r>
              <w:rPr>
                <w:rFonts w:ascii="Arial" w:cs="Arial" w:eastAsia="Arial" w:hAnsi="Arial"/>
                <w:sz w:val="13"/>
                <w:szCs w:val="13"/>
                <w:color w:val="FFFFFF"/>
              </w:rPr>
              <w:t>(as of 4/1/2022)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4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100"/>
        <w:spacing w:after="0"/>
        <w:rPr>
          <w:sz w:val="20"/>
          <w:szCs w:val="20"/>
          <w:color w:val="auto"/>
        </w:rPr>
      </w:pPr>
      <w:r>
        <w:rPr>
          <w:rFonts w:ascii="Arial" w:cs="Arial" w:eastAsia="Arial" w:hAnsi="Arial"/>
          <w:sz w:val="16"/>
          <w:szCs w:val="16"/>
          <w:color w:val="FFFFFF"/>
        </w:rPr>
        <w:t>Independent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Mr. Ordan currently serves as Chief Executive Officer of Mednax, Inc., a position he has held since 2020. Mednax is a physician-led health care organization that partners with hospitals, health systems and health care facilities to offer clinical services spanning the women’s and children’s continuum of care. Prior to joining Mednax, Mr. Ordan held chairman and Chief Executive Officer roles with Quality Care Properties, Inc. (2016-2018), Washington Prime Group (2015-2016), Sunrise Senior Living (2008-2013), The Mills Corporation (2006-2007), Balducci’s (2003-2006), High Noon Always (1999-2003), Chartwell Health Management (1996-1999) and Fresh Fields Market (1989-1996). He began his career in investment banking at Goldman Sachs in 1983. Mr. Ordan earned a BA from Vassar College and an MBA from Harvard Business School. Mr. Ordan currently serves on the board of the United States Chamber of Commerce (since 2012) and previously, Mr. Ordan served on the public company boards of VEREIT, Inc. (2015-2020), Forest City Realty Trust (2018), Quality Care Properties (2016-2018) and Washington Prime Group (2014-2017).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112395</wp:posOffset>
            </wp:positionV>
            <wp:extent cx="674052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Mr. Ordan provides our Board with many years of leadership and governance experience from his years of serving as CEO of multiple companies and as CEO and a director of other publicly traded REITs, including retail REITs. His role on the Board is critical because it provides the unique combination of the perspectives of a public company retail landlord with the perspectives of retail tenants, given his experience of having founded and operated multiple retail concepts. In addition, Mr. Ordan is physically located in the Washington, DC area where our corporate headquarters is located which gives him unique knowledge of many of our properties and the markets in which they are located and makes him proximate to us in order to fulfill his obligations as 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38735</wp:posOffset>
            </wp:positionV>
            <wp:extent cx="674052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80"/>
          </w:cols>
          <w:pgMar w:left="740" w:top="433" w:right="779" w:bottom="1440" w:gutter="0" w:footer="0" w:header="0"/>
        </w:sectPr>
      </w:pPr>
    </w:p>
    <w:bookmarkStart w:id="21" w:name="page22"/>
    <w:bookmarkEnd w:id="21"/>
    <w:tbl>
      <w:tblPr>
        <w:tblLayout w:type="fixed"/>
        <w:tblInd w:w="210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r>
              <w:rPr>
                <w:rFonts w:ascii="Arial" w:cs="Arial" w:eastAsia="Arial" w:hAnsi="Arial"/>
                <w:sz w:val="21"/>
                <w:szCs w:val="21"/>
                <w:color w:val="FFFFFF"/>
              </w:rPr>
              <w:t>GAIL P. STEINEL</w:t>
            </w:r>
          </w:p>
        </w:tc>
        <w:tc>
          <w:tcPr>
            <w:tcW w:w="2660" w:type="dxa"/>
            <w:vAlign w:val="bottom"/>
            <w:gridSpan w:val="2"/>
          </w:tcPr>
          <w:p>
            <w:pPr>
              <w:ind w:left="1360"/>
              <w:spacing w:after="0"/>
              <w:rPr>
                <w:sz w:val="20"/>
                <w:szCs w:val="20"/>
                <w:color w:val="auto"/>
              </w:rPr>
            </w:pPr>
            <w:r>
              <w:rPr>
                <w:rFonts w:ascii="Arial" w:cs="Arial" w:eastAsia="Arial" w:hAnsi="Arial"/>
                <w:sz w:val="16"/>
                <w:szCs w:val="16"/>
                <w:color w:val="FFFFFF"/>
              </w:rPr>
              <w:t>Committees:</w:t>
            </w: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540" w:type="dxa"/>
            <w:vAlign w:val="bottom"/>
          </w:tcPr>
          <w:p>
            <w:pPr>
              <w:ind w:left="1360"/>
              <w:spacing w:after="0" w:line="182" w:lineRule="exact"/>
              <w:rPr>
                <w:sz w:val="20"/>
                <w:szCs w:val="20"/>
                <w:color w:val="auto"/>
              </w:rPr>
            </w:pPr>
            <w:r>
              <w:rPr>
                <w:rFonts w:ascii="Arial" w:cs="Arial" w:eastAsia="Arial" w:hAnsi="Arial"/>
                <w:sz w:val="16"/>
                <w:szCs w:val="16"/>
                <w:color w:val="FFFFFF"/>
              </w:rPr>
              <w:t>•</w:t>
            </w:r>
          </w:p>
        </w:tc>
        <w:tc>
          <w:tcPr>
            <w:tcW w:w="1120" w:type="dxa"/>
            <w:vAlign w:val="bottom"/>
          </w:tcPr>
          <w:p>
            <w:pPr>
              <w:ind w:left="120"/>
              <w:spacing w:after="0" w:line="182" w:lineRule="exact"/>
              <w:rPr>
                <w:sz w:val="20"/>
                <w:szCs w:val="20"/>
                <w:color w:val="auto"/>
              </w:rPr>
            </w:pPr>
            <w:r>
              <w:rPr>
                <w:rFonts w:ascii="Arial" w:cs="Arial" w:eastAsia="Arial" w:hAnsi="Arial"/>
                <w:sz w:val="16"/>
                <w:szCs w:val="16"/>
                <w:color w:val="FFFFFF"/>
              </w:rPr>
              <w:t>Audit (Chair)</w:t>
            </w:r>
          </w:p>
        </w:tc>
        <w:tc>
          <w:tcPr>
            <w:tcW w:w="0" w:type="dxa"/>
            <w:vAlign w:val="bottom"/>
          </w:tcPr>
          <w:p>
            <w:pPr>
              <w:spacing w:after="0"/>
              <w:rPr>
                <w:sz w:val="1"/>
                <w:szCs w:val="1"/>
                <w:color w:val="auto"/>
              </w:rPr>
            </w:pPr>
          </w:p>
        </w:tc>
      </w:tr>
      <w:tr>
        <w:trPr>
          <w:trHeight w:val="187"/>
        </w:trPr>
        <w:tc>
          <w:tcPr>
            <w:tcW w:w="3340" w:type="dxa"/>
            <w:vAlign w:val="bottom"/>
            <w:vMerge w:val="restart"/>
          </w:tcPr>
          <w:p>
            <w:pPr>
              <w:spacing w:after="0"/>
              <w:rPr>
                <w:sz w:val="20"/>
                <w:szCs w:val="20"/>
                <w:color w:val="auto"/>
              </w:rPr>
            </w:pPr>
            <w:r>
              <w:rPr>
                <w:rFonts w:ascii="Arial" w:cs="Arial" w:eastAsia="Arial" w:hAnsi="Arial"/>
                <w:sz w:val="16"/>
                <w:szCs w:val="16"/>
                <w:color w:val="FFFFFF"/>
              </w:rPr>
              <w:t>Owner of Executive Advisors</w:t>
            </w:r>
          </w:p>
        </w:tc>
        <w:tc>
          <w:tcPr>
            <w:tcW w:w="1540" w:type="dxa"/>
            <w:vAlign w:val="bottom"/>
          </w:tcPr>
          <w:p>
            <w:pPr>
              <w:ind w:left="1360"/>
              <w:spacing w:after="0"/>
              <w:rPr>
                <w:sz w:val="20"/>
                <w:szCs w:val="20"/>
                <w:color w:val="auto"/>
              </w:rPr>
            </w:pPr>
            <w:r>
              <w:rPr>
                <w:rFonts w:ascii="Arial" w:cs="Arial" w:eastAsia="Arial" w:hAnsi="Arial"/>
                <w:sz w:val="16"/>
                <w:szCs w:val="16"/>
                <w:color w:val="FFFFFF"/>
              </w:rPr>
              <w:t>•</w:t>
            </w:r>
          </w:p>
        </w:tc>
        <w:tc>
          <w:tcPr>
            <w:tcW w:w="1120" w:type="dxa"/>
            <w:vAlign w:val="bottom"/>
          </w:tcPr>
          <w:p>
            <w:pPr>
              <w:ind w:left="120"/>
              <w:spacing w:after="0"/>
              <w:rPr>
                <w:sz w:val="20"/>
                <w:szCs w:val="20"/>
                <w:color w:val="auto"/>
              </w:rPr>
            </w:pPr>
            <w:r>
              <w:rPr>
                <w:rFonts w:ascii="Arial" w:cs="Arial" w:eastAsia="Arial" w:hAnsi="Arial"/>
                <w:sz w:val="16"/>
                <w:szCs w:val="16"/>
                <w:color w:val="FFFFFF"/>
                <w:w w:val="94"/>
              </w:rPr>
              <w:t>Compensation</w:t>
            </w:r>
          </w:p>
        </w:tc>
        <w:tc>
          <w:tcPr>
            <w:tcW w:w="0" w:type="dxa"/>
            <w:vAlign w:val="bottom"/>
          </w:tcPr>
          <w:p>
            <w:pPr>
              <w:spacing w:after="0"/>
              <w:rPr>
                <w:sz w:val="1"/>
                <w:szCs w:val="1"/>
                <w:color w:val="auto"/>
              </w:rPr>
            </w:pPr>
          </w:p>
        </w:tc>
      </w:tr>
      <w:tr>
        <w:trPr>
          <w:trHeight w:val="65"/>
        </w:trPr>
        <w:tc>
          <w:tcPr>
            <w:tcW w:w="33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131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1313180"/>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6"/>
          <w:szCs w:val="16"/>
          <w:color w:val="FFFFFF"/>
        </w:rPr>
        <w:t>Age: 65</w:t>
      </w:r>
    </w:p>
    <w:p>
      <w:pPr>
        <w:ind w:left="2100"/>
        <w:spacing w:after="0"/>
        <w:rPr>
          <w:sz w:val="20"/>
          <w:szCs w:val="20"/>
          <w:color w:val="auto"/>
        </w:rPr>
      </w:pPr>
      <w:r>
        <w:rPr>
          <w:rFonts w:ascii="Arial" w:cs="Arial" w:eastAsia="Arial" w:hAnsi="Arial"/>
          <w:sz w:val="16"/>
          <w:szCs w:val="16"/>
          <w:color w:val="FFFFFF"/>
        </w:rPr>
        <w:t>Trustee Since: 2006</w:t>
      </w:r>
    </w:p>
    <w:p>
      <w:pPr>
        <w:spacing w:after="0" w:line="193" w:lineRule="exact"/>
        <w:rPr>
          <w:sz w:val="20"/>
          <w:szCs w:val="20"/>
          <w:color w:val="auto"/>
        </w:rPr>
      </w:pPr>
    </w:p>
    <w:p>
      <w:pPr>
        <w:ind w:left="2100"/>
        <w:spacing w:after="0"/>
        <w:rPr>
          <w:sz w:val="20"/>
          <w:szCs w:val="20"/>
          <w:color w:val="auto"/>
        </w:rPr>
      </w:pPr>
      <w:r>
        <w:rPr>
          <w:rFonts w:ascii="Arial" w:cs="Arial" w:eastAsia="Arial" w:hAnsi="Arial"/>
          <w:sz w:val="16"/>
          <w:szCs w:val="16"/>
          <w:color w:val="FFFFFF"/>
        </w:rPr>
        <w:t>Independent</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Ms. Steinel’s public company board service experience includes MTS Systems Corporation (2009-2020). In addition, Ms. Steinel serves on the boards of Invesque, Inc., a Toronto stock exchange company that invests in a highly diversified portfolio of properties across the health care spectrum throughout the US and Canada,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129540</wp:posOffset>
            </wp:positionV>
            <wp:extent cx="674052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ind w:right="400"/>
        <w:spacing w:after="0" w:line="241" w:lineRule="auto"/>
        <w:rPr>
          <w:sz w:val="20"/>
          <w:szCs w:val="20"/>
          <w:color w:val="auto"/>
        </w:rPr>
      </w:pPr>
      <w:r>
        <w:rPr>
          <w:rFonts w:ascii="Arial" w:cs="Arial" w:eastAsia="Arial" w:hAnsi="Arial"/>
          <w:sz w:val="16"/>
          <w:szCs w:val="16"/>
          <w:color w:val="auto"/>
        </w:rPr>
        <w:t>Ms. Steinel has over 35 years of experience in auditing, leadership, leadership development and financial systems that provides us with valuable insights on leadership, leadership development, risk management and systems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36830</wp:posOffset>
            </wp:positionV>
            <wp:extent cx="674052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0525" cy="1651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375285</wp:posOffset>
            </wp:positionV>
            <wp:extent cx="6740525" cy="1222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0525"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80"/>
        <w:spacing w:after="0"/>
        <w:rPr>
          <w:sz w:val="20"/>
          <w:szCs w:val="20"/>
          <w:color w:val="auto"/>
        </w:rPr>
      </w:pPr>
      <w:r>
        <w:rPr>
          <w:rFonts w:ascii="Arial" w:cs="Arial" w:eastAsia="Arial" w:hAnsi="Arial"/>
          <w:sz w:val="21"/>
          <w:szCs w:val="21"/>
          <w:color w:val="FFFFFF"/>
        </w:rPr>
        <w:t>DONALD C. WOOD</w:t>
      </w:r>
    </w:p>
    <w:p>
      <w:pPr>
        <w:spacing w:after="0" w:line="196" w:lineRule="exact"/>
        <w:rPr>
          <w:sz w:val="20"/>
          <w:szCs w:val="20"/>
          <w:color w:val="auto"/>
        </w:rPr>
      </w:pPr>
    </w:p>
    <w:p>
      <w:pPr>
        <w:ind w:left="2080"/>
        <w:spacing w:after="0"/>
        <w:rPr>
          <w:sz w:val="20"/>
          <w:szCs w:val="20"/>
          <w:color w:val="auto"/>
        </w:rPr>
      </w:pPr>
      <w:r>
        <w:rPr>
          <w:rFonts w:ascii="Arial" w:cs="Arial" w:eastAsia="Arial" w:hAnsi="Arial"/>
          <w:sz w:val="16"/>
          <w:szCs w:val="16"/>
          <w:color w:val="FFFFFF"/>
        </w:rPr>
        <w:t>Chief Executive Officer, Federal Realty Investment Trust</w:t>
      </w:r>
    </w:p>
    <w:p>
      <w:pPr>
        <w:spacing w:after="0" w:line="191" w:lineRule="exact"/>
        <w:rPr>
          <w:sz w:val="20"/>
          <w:szCs w:val="20"/>
          <w:color w:val="auto"/>
        </w:rPr>
      </w:pPr>
    </w:p>
    <w:p>
      <w:pPr>
        <w:ind w:left="2080"/>
        <w:spacing w:after="0"/>
        <w:rPr>
          <w:sz w:val="20"/>
          <w:szCs w:val="20"/>
          <w:color w:val="auto"/>
        </w:rPr>
      </w:pPr>
      <w:r>
        <w:rPr>
          <w:rFonts w:ascii="Arial" w:cs="Arial" w:eastAsia="Arial" w:hAnsi="Arial"/>
          <w:sz w:val="16"/>
          <w:szCs w:val="16"/>
          <w:color w:val="FFFFFF"/>
        </w:rPr>
        <w:t>Age: 61</w:t>
      </w:r>
    </w:p>
    <w:p>
      <w:pPr>
        <w:ind w:left="2080"/>
        <w:spacing w:after="0"/>
        <w:rPr>
          <w:sz w:val="20"/>
          <w:szCs w:val="20"/>
          <w:color w:val="auto"/>
        </w:rPr>
      </w:pPr>
      <w:r>
        <w:rPr>
          <w:rFonts w:ascii="Arial" w:cs="Arial" w:eastAsia="Arial" w:hAnsi="Arial"/>
          <w:sz w:val="16"/>
          <w:szCs w:val="16"/>
          <w:color w:val="FFFFFF"/>
        </w:rPr>
        <w:t>Trustee Since: 2003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129540</wp:posOffset>
            </wp:positionV>
            <wp:extent cx="674052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Mr. Wood’s 24 years of experience with Federal and his responsibilities as chief executive officer provide the Board with familiarity and details on all aspects of operating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45085</wp:posOffset>
            </wp:positionV>
            <wp:extent cx="674052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380"/>
          </w:cols>
          <w:pgMar w:left="740" w:top="420" w:right="779" w:bottom="1440" w:gutter="0" w:footer="0" w:header="0"/>
        </w:sectPr>
      </w:pPr>
    </w:p>
    <w:bookmarkStart w:id="22" w:name="page23"/>
    <w:bookmarkEnd w:id="22"/>
    <w:p>
      <w:pPr>
        <w:ind w:left="4"/>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Trustee Compensation</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of December 31, 2021,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149225</wp:posOffset>
            </wp:positionV>
            <wp:extent cx="16510" cy="198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510" cy="198120"/>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149225</wp:posOffset>
            </wp:positionV>
            <wp:extent cx="16510" cy="198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510" cy="198120"/>
                    </a:xfrm>
                    <a:prstGeom prst="rect">
                      <a:avLst/>
                    </a:prstGeom>
                    <a:noFill/>
                  </pic:spPr>
                </pic:pic>
              </a:graphicData>
            </a:graphic>
          </wp:anchor>
        </w:drawing>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292"/>
        </w:trPr>
        <w:tc>
          <w:tcPr>
            <w:tcW w:w="4260" w:type="dxa"/>
            <w:vAlign w:val="bottom"/>
            <w:tcBorders>
              <w:bottom w:val="single" w:sz="8" w:color="auto"/>
            </w:tcBorders>
            <w:shd w:val="clear" w:color="auto" w:fill="000000"/>
          </w:tcPr>
          <w:p>
            <w:pPr>
              <w:ind w:left="180"/>
              <w:spacing w:after="0"/>
              <w:rPr>
                <w:sz w:val="20"/>
                <w:szCs w:val="20"/>
                <w:color w:val="auto"/>
              </w:rPr>
            </w:pPr>
            <w:r>
              <w:rPr>
                <w:rFonts w:ascii="Arial" w:cs="Arial" w:eastAsia="Arial" w:hAnsi="Arial"/>
                <w:sz w:val="16"/>
                <w:szCs w:val="16"/>
                <w:b w:val="1"/>
                <w:bCs w:val="1"/>
                <w:color w:val="FFFFFF"/>
              </w:rPr>
              <w:t>Trustee Compensation Element</w:t>
            </w:r>
          </w:p>
        </w:tc>
        <w:tc>
          <w:tcPr>
            <w:tcW w:w="380" w:type="dxa"/>
            <w:vAlign w:val="bottom"/>
            <w:tcBorders>
              <w:bottom w:val="single" w:sz="8" w:color="auto"/>
            </w:tcBorders>
            <w:shd w:val="clear" w:color="auto" w:fill="000000"/>
          </w:tcPr>
          <w:p>
            <w:pPr>
              <w:spacing w:after="0"/>
              <w:rPr>
                <w:sz w:val="24"/>
                <w:szCs w:val="24"/>
                <w:color w:val="auto"/>
              </w:rPr>
            </w:pPr>
          </w:p>
        </w:tc>
        <w:tc>
          <w:tcPr>
            <w:tcW w:w="800" w:type="dxa"/>
            <w:vAlign w:val="bottom"/>
            <w:tcBorders>
              <w:bottom w:val="single" w:sz="8" w:color="auto"/>
            </w:tcBorders>
            <w:shd w:val="clear" w:color="auto" w:fill="000000"/>
          </w:tcPr>
          <w:p>
            <w:pPr>
              <w:jc w:val="right"/>
              <w:ind w:right="42"/>
              <w:spacing w:after="0"/>
              <w:rPr>
                <w:sz w:val="20"/>
                <w:szCs w:val="20"/>
                <w:color w:val="auto"/>
              </w:rPr>
            </w:pPr>
            <w:r>
              <w:rPr>
                <w:rFonts w:ascii="Arial" w:cs="Arial" w:eastAsia="Arial" w:hAnsi="Arial"/>
                <w:sz w:val="16"/>
                <w:szCs w:val="16"/>
                <w:b w:val="1"/>
                <w:bCs w:val="1"/>
                <w:color w:val="FFFFFF"/>
              </w:rPr>
              <w:t>Amount</w:t>
            </w:r>
          </w:p>
        </w:tc>
        <w:tc>
          <w:tcPr>
            <w:tcW w:w="2300" w:type="dxa"/>
            <w:vAlign w:val="bottom"/>
            <w:tcBorders>
              <w:bottom w:val="single" w:sz="8" w:color="auto"/>
            </w:tcBorders>
            <w:shd w:val="clear" w:color="auto" w:fill="000000"/>
          </w:tcPr>
          <w:p>
            <w:pPr>
              <w:ind w:left="60"/>
              <w:spacing w:after="0"/>
              <w:rPr>
                <w:sz w:val="20"/>
                <w:szCs w:val="20"/>
                <w:color w:val="auto"/>
              </w:rPr>
            </w:pPr>
            <w:r>
              <w:rPr>
                <w:rFonts w:ascii="Arial" w:cs="Arial" w:eastAsia="Arial" w:hAnsi="Arial"/>
                <w:sz w:val="16"/>
                <w:szCs w:val="16"/>
                <w:b w:val="1"/>
                <w:bCs w:val="1"/>
                <w:color w:val="FFFFFF"/>
              </w:rPr>
              <w:t>Payment Form</w:t>
            </w:r>
          </w:p>
        </w:tc>
      </w:tr>
      <w:tr>
        <w:trPr>
          <w:trHeight w:val="254"/>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Board Service</w:t>
            </w: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2"/>
        </w:trPr>
        <w:tc>
          <w:tcPr>
            <w:tcW w:w="4260" w:type="dxa"/>
            <w:vAlign w:val="bottom"/>
            <w:tcBorders>
              <w:bottom w:val="single" w:sz="8" w:color="FF160F"/>
            </w:tcBorders>
          </w:tcPr>
          <w:p>
            <w:pPr>
              <w:spacing w:after="0"/>
              <w:rPr>
                <w:sz w:val="2"/>
                <w:szCs w:val="2"/>
                <w:color w:val="auto"/>
              </w:rPr>
            </w:pPr>
          </w:p>
        </w:tc>
        <w:tc>
          <w:tcPr>
            <w:tcW w:w="380" w:type="dxa"/>
            <w:vAlign w:val="bottom"/>
            <w:tcBorders>
              <w:bottom w:val="single" w:sz="8" w:color="FF160F"/>
            </w:tcBorders>
          </w:tcPr>
          <w:p>
            <w:pPr>
              <w:spacing w:after="0"/>
              <w:rPr>
                <w:sz w:val="2"/>
                <w:szCs w:val="2"/>
                <w:color w:val="auto"/>
              </w:rPr>
            </w:pPr>
          </w:p>
        </w:tc>
        <w:tc>
          <w:tcPr>
            <w:tcW w:w="800" w:type="dxa"/>
            <w:vAlign w:val="bottom"/>
            <w:tcBorders>
              <w:bottom w:val="single" w:sz="8" w:color="FF160F"/>
            </w:tcBorders>
          </w:tcPr>
          <w:p>
            <w:pPr>
              <w:spacing w:after="0"/>
              <w:rPr>
                <w:sz w:val="2"/>
                <w:szCs w:val="2"/>
                <w:color w:val="auto"/>
              </w:rPr>
            </w:pPr>
          </w:p>
        </w:tc>
        <w:tc>
          <w:tcPr>
            <w:tcW w:w="2300" w:type="dxa"/>
            <w:vAlign w:val="bottom"/>
            <w:tcBorders>
              <w:bottom w:val="single" w:sz="8" w:color="FF160F"/>
            </w:tcBorders>
          </w:tcPr>
          <w:p>
            <w:pPr>
              <w:spacing w:after="0"/>
              <w:rPr>
                <w:sz w:val="2"/>
                <w:szCs w:val="2"/>
                <w:color w:val="auto"/>
              </w:rPr>
            </w:pPr>
          </w:p>
        </w:tc>
      </w:tr>
      <w:tr>
        <w:trPr>
          <w:trHeight w:val="234"/>
        </w:trPr>
        <w:tc>
          <w:tcPr>
            <w:tcW w:w="4260" w:type="dxa"/>
            <w:vAlign w:val="bottom"/>
          </w:tcPr>
          <w:p>
            <w:pPr>
              <w:ind w:left="40"/>
              <w:spacing w:after="0"/>
              <w:rPr>
                <w:sz w:val="20"/>
                <w:szCs w:val="20"/>
                <w:color w:val="auto"/>
              </w:rPr>
            </w:pPr>
            <w:r>
              <w:rPr>
                <w:rFonts w:ascii="Arial" w:cs="Arial" w:eastAsia="Arial" w:hAnsi="Arial"/>
                <w:sz w:val="16"/>
                <w:szCs w:val="16"/>
                <w:color w:val="auto"/>
              </w:rPr>
              <w:t>Annual Retainer</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200,000</w:t>
            </w:r>
          </w:p>
        </w:tc>
        <w:tc>
          <w:tcPr>
            <w:tcW w:w="2300" w:type="dxa"/>
            <w:vAlign w:val="bottom"/>
          </w:tcPr>
          <w:p>
            <w:pPr>
              <w:ind w:left="60"/>
              <w:spacing w:after="0"/>
              <w:rPr>
                <w:sz w:val="20"/>
                <w:szCs w:val="20"/>
                <w:color w:val="auto"/>
              </w:rPr>
            </w:pPr>
            <w:r>
              <w:rPr>
                <w:rFonts w:ascii="Arial" w:cs="Arial" w:eastAsia="Arial" w:hAnsi="Arial"/>
                <w:sz w:val="16"/>
                <w:szCs w:val="16"/>
                <w:color w:val="auto"/>
              </w:rPr>
              <w:t>40% cash; 60% equity</w:t>
            </w:r>
          </w:p>
        </w:tc>
      </w:tr>
      <w:tr>
        <w:trPr>
          <w:trHeight w:val="285"/>
        </w:trPr>
        <w:tc>
          <w:tcPr>
            <w:tcW w:w="4260" w:type="dxa"/>
            <w:vAlign w:val="bottom"/>
            <w:tcBorders>
              <w:bottom w:val="single" w:sz="8" w:color="FF160F"/>
            </w:tcBorders>
          </w:tcPr>
          <w:p>
            <w:pPr>
              <w:ind w:left="40"/>
              <w:spacing w:after="0"/>
              <w:rPr>
                <w:sz w:val="20"/>
                <w:szCs w:val="20"/>
                <w:color w:val="auto"/>
              </w:rPr>
            </w:pPr>
            <w:r>
              <w:rPr>
                <w:rFonts w:ascii="Arial" w:cs="Arial" w:eastAsia="Arial" w:hAnsi="Arial"/>
                <w:sz w:val="16"/>
                <w:szCs w:val="16"/>
                <w:color w:val="auto"/>
              </w:rPr>
              <w:t>Annual Retainer for Non-Executive Chairman</w:t>
            </w:r>
          </w:p>
        </w:tc>
        <w:tc>
          <w:tcPr>
            <w:tcW w:w="380" w:type="dxa"/>
            <w:vAlign w:val="bottom"/>
            <w:tcBorders>
              <w:bottom w:val="single" w:sz="8" w:color="FF160F"/>
            </w:tcBorders>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F160F"/>
            </w:tcBorders>
          </w:tcPr>
          <w:p>
            <w:pPr>
              <w:jc w:val="right"/>
              <w:ind w:right="2"/>
              <w:spacing w:after="0"/>
              <w:rPr>
                <w:sz w:val="20"/>
                <w:szCs w:val="20"/>
                <w:color w:val="auto"/>
              </w:rPr>
            </w:pPr>
            <w:r>
              <w:rPr>
                <w:rFonts w:ascii="Arial" w:cs="Arial" w:eastAsia="Arial" w:hAnsi="Arial"/>
                <w:sz w:val="16"/>
                <w:szCs w:val="16"/>
                <w:color w:val="auto"/>
              </w:rPr>
              <w:t>225,000</w:t>
            </w:r>
          </w:p>
        </w:tc>
        <w:tc>
          <w:tcPr>
            <w:tcW w:w="2300" w:type="dxa"/>
            <w:vAlign w:val="bottom"/>
            <w:tcBorders>
              <w:bottom w:val="single" w:sz="8" w:color="FF160F"/>
            </w:tcBorders>
          </w:tcPr>
          <w:p>
            <w:pPr>
              <w:ind w:left="60"/>
              <w:spacing w:after="0"/>
              <w:rPr>
                <w:sz w:val="20"/>
                <w:szCs w:val="20"/>
                <w:color w:val="auto"/>
              </w:rPr>
            </w:pPr>
            <w:r>
              <w:rPr>
                <w:rFonts w:ascii="Arial" w:cs="Arial" w:eastAsia="Arial" w:hAnsi="Arial"/>
                <w:sz w:val="16"/>
                <w:szCs w:val="16"/>
                <w:color w:val="auto"/>
              </w:rPr>
              <w:t>60% cash; 40% equity</w:t>
            </w:r>
          </w:p>
        </w:tc>
      </w:tr>
      <w:tr>
        <w:trPr>
          <w:trHeight w:val="241"/>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Committee Chairs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2"/>
        </w:trPr>
        <w:tc>
          <w:tcPr>
            <w:tcW w:w="4260" w:type="dxa"/>
            <w:vAlign w:val="bottom"/>
            <w:tcBorders>
              <w:bottom w:val="single" w:sz="8" w:color="FF160F"/>
            </w:tcBorders>
          </w:tcPr>
          <w:p>
            <w:pPr>
              <w:spacing w:after="0"/>
              <w:rPr>
                <w:sz w:val="2"/>
                <w:szCs w:val="2"/>
                <w:color w:val="auto"/>
              </w:rPr>
            </w:pPr>
          </w:p>
        </w:tc>
        <w:tc>
          <w:tcPr>
            <w:tcW w:w="380" w:type="dxa"/>
            <w:vAlign w:val="bottom"/>
            <w:tcBorders>
              <w:bottom w:val="single" w:sz="8" w:color="FF160F"/>
            </w:tcBorders>
          </w:tcPr>
          <w:p>
            <w:pPr>
              <w:spacing w:after="0"/>
              <w:rPr>
                <w:sz w:val="2"/>
                <w:szCs w:val="2"/>
                <w:color w:val="auto"/>
              </w:rPr>
            </w:pPr>
          </w:p>
        </w:tc>
        <w:tc>
          <w:tcPr>
            <w:tcW w:w="800" w:type="dxa"/>
            <w:vAlign w:val="bottom"/>
            <w:tcBorders>
              <w:bottom w:val="single" w:sz="8" w:color="FF160F"/>
            </w:tcBorders>
          </w:tcPr>
          <w:p>
            <w:pPr>
              <w:spacing w:after="0"/>
              <w:rPr>
                <w:sz w:val="2"/>
                <w:szCs w:val="2"/>
                <w:color w:val="auto"/>
              </w:rPr>
            </w:pPr>
          </w:p>
        </w:tc>
        <w:tc>
          <w:tcPr>
            <w:tcW w:w="2300" w:type="dxa"/>
            <w:vAlign w:val="bottom"/>
            <w:tcBorders>
              <w:bottom w:val="single" w:sz="8" w:color="FF160F"/>
            </w:tcBorders>
          </w:tcPr>
          <w:p>
            <w:pPr>
              <w:spacing w:after="0"/>
              <w:rPr>
                <w:sz w:val="2"/>
                <w:szCs w:val="2"/>
                <w:color w:val="auto"/>
              </w:rPr>
            </w:pPr>
          </w:p>
        </w:tc>
      </w:tr>
      <w:tr>
        <w:trPr>
          <w:trHeight w:val="234"/>
        </w:trPr>
        <w:tc>
          <w:tcPr>
            <w:tcW w:w="4260" w:type="dxa"/>
            <w:vAlign w:val="bottom"/>
          </w:tcPr>
          <w:p>
            <w:pPr>
              <w:ind w:left="40"/>
              <w:spacing w:after="0"/>
              <w:rPr>
                <w:sz w:val="20"/>
                <w:szCs w:val="20"/>
                <w:color w:val="auto"/>
              </w:rPr>
            </w:pPr>
            <w:r>
              <w:rPr>
                <w:rFonts w:ascii="Arial" w:cs="Arial" w:eastAsia="Arial" w:hAnsi="Arial"/>
                <w:sz w:val="16"/>
                <w:szCs w:val="16"/>
                <w:color w:val="auto"/>
              </w:rPr>
              <w:t>Audit Committee</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25,000</w:t>
            </w:r>
          </w:p>
        </w:tc>
        <w:tc>
          <w:tcPr>
            <w:tcW w:w="2300" w:type="dxa"/>
            <w:vAlign w:val="bottom"/>
          </w:tcPr>
          <w:p>
            <w:pPr>
              <w:ind w:left="60"/>
              <w:spacing w:after="0"/>
              <w:rPr>
                <w:sz w:val="20"/>
                <w:szCs w:val="20"/>
                <w:color w:val="auto"/>
              </w:rPr>
            </w:pPr>
            <w:r>
              <w:rPr>
                <w:rFonts w:ascii="Arial" w:cs="Arial" w:eastAsia="Arial" w:hAnsi="Arial"/>
                <w:sz w:val="16"/>
                <w:szCs w:val="16"/>
                <w:color w:val="auto"/>
              </w:rPr>
              <w:t>Cash</w:t>
            </w:r>
          </w:p>
        </w:tc>
      </w:tr>
      <w:tr>
        <w:trPr>
          <w:trHeight w:val="273"/>
        </w:trPr>
        <w:tc>
          <w:tcPr>
            <w:tcW w:w="426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15,000</w:t>
            </w:r>
          </w:p>
        </w:tc>
        <w:tc>
          <w:tcPr>
            <w:tcW w:w="2300" w:type="dxa"/>
            <w:vAlign w:val="bottom"/>
          </w:tcPr>
          <w:p>
            <w:pPr>
              <w:ind w:left="60"/>
              <w:spacing w:after="0"/>
              <w:rPr>
                <w:sz w:val="20"/>
                <w:szCs w:val="20"/>
                <w:color w:val="auto"/>
              </w:rPr>
            </w:pPr>
            <w:r>
              <w:rPr>
                <w:rFonts w:ascii="Arial" w:cs="Arial" w:eastAsia="Arial" w:hAnsi="Arial"/>
                <w:sz w:val="16"/>
                <w:szCs w:val="16"/>
                <w:color w:val="auto"/>
              </w:rPr>
              <w:t>Cash</w:t>
            </w:r>
          </w:p>
        </w:tc>
      </w:tr>
      <w:tr>
        <w:trPr>
          <w:trHeight w:val="273"/>
        </w:trPr>
        <w:tc>
          <w:tcPr>
            <w:tcW w:w="4260" w:type="dxa"/>
            <w:vAlign w:val="bottom"/>
          </w:tcPr>
          <w:p>
            <w:pPr>
              <w:ind w:left="40"/>
              <w:spacing w:after="0"/>
              <w:rPr>
                <w:sz w:val="20"/>
                <w:szCs w:val="20"/>
                <w:color w:val="auto"/>
              </w:rPr>
            </w:pPr>
            <w:r>
              <w:rPr>
                <w:rFonts w:ascii="Arial" w:cs="Arial" w:eastAsia="Arial" w:hAnsi="Arial"/>
                <w:sz w:val="16"/>
                <w:szCs w:val="16"/>
                <w:color w:val="auto"/>
              </w:rPr>
              <w:t>Nominating Committee</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15,000</w:t>
            </w:r>
          </w:p>
        </w:tc>
        <w:tc>
          <w:tcPr>
            <w:tcW w:w="2300" w:type="dxa"/>
            <w:vAlign w:val="bottom"/>
          </w:tcPr>
          <w:p>
            <w:pPr>
              <w:ind w:left="60"/>
              <w:spacing w:after="0"/>
              <w:rPr>
                <w:sz w:val="20"/>
                <w:szCs w:val="20"/>
                <w:color w:val="auto"/>
              </w:rPr>
            </w:pPr>
            <w:r>
              <w:rPr>
                <w:rFonts w:ascii="Arial" w:cs="Arial" w:eastAsia="Arial" w:hAnsi="Arial"/>
                <w:sz w:val="16"/>
                <w:szCs w:val="16"/>
                <w:color w:val="auto"/>
              </w:rPr>
              <w:t>Cash</w:t>
            </w:r>
          </w:p>
        </w:tc>
      </w:tr>
    </w:tbl>
    <w:p>
      <w:pPr>
        <w:spacing w:after="0" w:line="226" w:lineRule="exact"/>
        <w:rPr>
          <w:sz w:val="20"/>
          <w:szCs w:val="20"/>
          <w:color w:val="auto"/>
        </w:rPr>
      </w:pPr>
    </w:p>
    <w:p>
      <w:pPr>
        <w:jc w:val="both"/>
        <w:ind w:left="4"/>
        <w:spacing w:after="0" w:line="245" w:lineRule="auto"/>
        <w:rPr>
          <w:sz w:val="20"/>
          <w:szCs w:val="20"/>
          <w:color w:val="auto"/>
        </w:rPr>
      </w:pPr>
      <w:r>
        <w:rPr>
          <w:rFonts w:ascii="Arial" w:cs="Arial" w:eastAsia="Arial" w:hAnsi="Arial"/>
          <w:sz w:val="17"/>
          <w:szCs w:val="17"/>
          <w:color w:val="auto"/>
        </w:rPr>
        <w:t>In 2021, the annual retainer for the Non-Executive Chairman was decreased from $275,000 to $225,000 and payment of the retainer for the Non-Executive Chairman was adjusted to 60% cash and 40% equity. No other changes were made to non-management Trustee compensation in 2021 and no further changes have been made for 2022. All amounts are prorated for any partial years of service and shares issued are fully vested on the grant date.</w:t>
      </w:r>
    </w:p>
    <w:p>
      <w:pPr>
        <w:spacing w:after="0" w:line="191"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7"/>
          <w:szCs w:val="17"/>
          <w:color w:val="auto"/>
        </w:rPr>
        <w:t>Our non-management Trustees are required to maintain ownership of our shares having a value equal to at least 5 times the amount of their annual cash retainer. This requirement must be met within 5 years after joining the Board. As of December 31, 2021, all of our Trustees who have been on the Board for 5 or more years were in full compliance with this ownership requirement. We expect our newest Trustees who joined the Board in 2019 and 2020 to be in compliance with this equity ownership requirement within the 5-year time frame.</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actual compensation awarded to our Trustees for service in 2021 was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312"/>
        </w:trPr>
        <w:tc>
          <w:tcPr>
            <w:tcW w:w="4240" w:type="dxa"/>
            <w:vAlign w:val="bottom"/>
            <w:shd w:val="clear" w:color="auto" w:fill="000000"/>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2020" w:type="dxa"/>
            <w:vAlign w:val="bottom"/>
            <w:gridSpan w:val="2"/>
            <w:shd w:val="clear" w:color="auto" w:fill="000000"/>
          </w:tcPr>
          <w:p>
            <w:pPr>
              <w:jc w:val="right"/>
              <w:spacing w:after="0"/>
              <w:rPr>
                <w:sz w:val="20"/>
                <w:szCs w:val="20"/>
                <w:color w:val="auto"/>
              </w:rPr>
            </w:pPr>
            <w:r>
              <w:rPr>
                <w:rFonts w:ascii="Arial" w:cs="Arial" w:eastAsia="Arial" w:hAnsi="Arial"/>
                <w:sz w:val="17"/>
                <w:szCs w:val="17"/>
                <w:b w:val="1"/>
                <w:bCs w:val="1"/>
                <w:color w:val="FFFFFF"/>
              </w:rPr>
              <w:t>Annual Retainer</w:t>
            </w:r>
          </w:p>
        </w:tc>
        <w:tc>
          <w:tcPr>
            <w:tcW w:w="840" w:type="dxa"/>
            <w:vAlign w:val="bottom"/>
            <w:shd w:val="clear" w:color="auto" w:fill="000000"/>
          </w:tcPr>
          <w:p>
            <w:pPr>
              <w:spacing w:after="0"/>
              <w:rPr>
                <w:sz w:val="24"/>
                <w:szCs w:val="24"/>
                <w:color w:val="auto"/>
              </w:rPr>
            </w:pPr>
          </w:p>
        </w:tc>
        <w:tc>
          <w:tcPr>
            <w:tcW w:w="300" w:type="dxa"/>
            <w:vAlign w:val="bottom"/>
            <w:shd w:val="clear" w:color="auto" w:fill="000000"/>
          </w:tcPr>
          <w:p>
            <w:pPr>
              <w:spacing w:after="0"/>
              <w:rPr>
                <w:sz w:val="24"/>
                <w:szCs w:val="24"/>
                <w:color w:val="auto"/>
              </w:rPr>
            </w:pPr>
          </w:p>
        </w:tc>
        <w:tc>
          <w:tcPr>
            <w:tcW w:w="128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Committee</w:t>
            </w:r>
          </w:p>
        </w:tc>
        <w:tc>
          <w:tcPr>
            <w:tcW w:w="42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r>
      <w:tr>
        <w:trPr>
          <w:trHeight w:val="260"/>
        </w:trPr>
        <w:tc>
          <w:tcPr>
            <w:tcW w:w="4240" w:type="dxa"/>
            <w:vAlign w:val="bottom"/>
            <w:shd w:val="clear" w:color="auto" w:fill="000000"/>
          </w:tcPr>
          <w:p>
            <w:pPr>
              <w:ind w:left="40"/>
              <w:spacing w:after="0"/>
              <w:rPr>
                <w:sz w:val="20"/>
                <w:szCs w:val="20"/>
                <w:color w:val="auto"/>
              </w:rPr>
            </w:pPr>
            <w:r>
              <w:rPr>
                <w:rFonts w:ascii="Arial" w:cs="Arial" w:eastAsia="Arial" w:hAnsi="Arial"/>
                <w:sz w:val="17"/>
                <w:szCs w:val="17"/>
                <w:b w:val="1"/>
                <w:bCs w:val="1"/>
                <w:color w:val="FFFFFF"/>
              </w:rPr>
              <w:t>Name</w:t>
            </w:r>
          </w:p>
        </w:tc>
        <w:tc>
          <w:tcPr>
            <w:tcW w:w="340" w:type="dxa"/>
            <w:vAlign w:val="bottom"/>
            <w:shd w:val="clear" w:color="auto" w:fill="000000"/>
          </w:tcPr>
          <w:p>
            <w:pPr>
              <w:spacing w:after="0"/>
              <w:rPr>
                <w:sz w:val="22"/>
                <w:szCs w:val="22"/>
                <w:color w:val="auto"/>
              </w:rPr>
            </w:pPr>
          </w:p>
        </w:tc>
        <w:tc>
          <w:tcPr>
            <w:tcW w:w="128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Paid in Cash</w:t>
            </w:r>
          </w:p>
        </w:tc>
        <w:tc>
          <w:tcPr>
            <w:tcW w:w="1580" w:type="dxa"/>
            <w:vAlign w:val="bottom"/>
            <w:gridSpan w:val="2"/>
            <w:shd w:val="clear" w:color="auto" w:fill="000000"/>
          </w:tcPr>
          <w:p>
            <w:pPr>
              <w:jc w:val="right"/>
              <w:spacing w:after="0"/>
              <w:rPr>
                <w:sz w:val="20"/>
                <w:szCs w:val="20"/>
                <w:color w:val="auto"/>
              </w:rPr>
            </w:pPr>
            <w:r>
              <w:rPr>
                <w:rFonts w:ascii="Arial" w:cs="Arial" w:eastAsia="Arial" w:hAnsi="Arial"/>
                <w:sz w:val="17"/>
                <w:szCs w:val="17"/>
                <w:b w:val="1"/>
                <w:bCs w:val="1"/>
                <w:color w:val="FFFFFF"/>
              </w:rPr>
              <w:t>Paid in Shares</w:t>
            </w:r>
            <w:r>
              <w:rPr>
                <w:rFonts w:ascii="Arial" w:cs="Arial" w:eastAsia="Arial" w:hAnsi="Arial"/>
                <w:sz w:val="14"/>
                <w:szCs w:val="14"/>
                <w:b w:val="1"/>
                <w:bCs w:val="1"/>
                <w:color w:val="FFFFFF"/>
              </w:rPr>
              <w:t>(1)</w:t>
            </w:r>
          </w:p>
        </w:tc>
        <w:tc>
          <w:tcPr>
            <w:tcW w:w="300" w:type="dxa"/>
            <w:vAlign w:val="bottom"/>
            <w:shd w:val="clear" w:color="auto" w:fill="000000"/>
          </w:tcPr>
          <w:p>
            <w:pPr>
              <w:spacing w:after="0"/>
              <w:rPr>
                <w:sz w:val="22"/>
                <w:szCs w:val="22"/>
                <w:color w:val="auto"/>
              </w:rPr>
            </w:pPr>
          </w:p>
        </w:tc>
        <w:tc>
          <w:tcPr>
            <w:tcW w:w="128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Chair Fees</w:t>
            </w:r>
            <w:r>
              <w:rPr>
                <w:rFonts w:ascii="Arial" w:cs="Arial" w:eastAsia="Arial" w:hAnsi="Arial"/>
                <w:sz w:val="14"/>
                <w:szCs w:val="14"/>
                <w:b w:val="1"/>
                <w:bCs w:val="1"/>
                <w:color w:val="FFFFFF"/>
              </w:rPr>
              <w:t>(2)</w:t>
            </w:r>
          </w:p>
        </w:tc>
        <w:tc>
          <w:tcPr>
            <w:tcW w:w="420" w:type="dxa"/>
            <w:vAlign w:val="bottom"/>
            <w:shd w:val="clear" w:color="auto" w:fill="000000"/>
          </w:tcPr>
          <w:p>
            <w:pPr>
              <w:spacing w:after="0"/>
              <w:rPr>
                <w:sz w:val="22"/>
                <w:szCs w:val="22"/>
                <w:color w:val="auto"/>
              </w:rPr>
            </w:pPr>
          </w:p>
        </w:tc>
        <w:tc>
          <w:tcPr>
            <w:tcW w:w="1180" w:type="dxa"/>
            <w:vAlign w:val="bottom"/>
            <w:shd w:val="clear" w:color="auto" w:fill="000000"/>
          </w:tcPr>
          <w:p>
            <w:pPr>
              <w:jc w:val="right"/>
              <w:ind w:right="33"/>
              <w:spacing w:after="0"/>
              <w:rPr>
                <w:sz w:val="20"/>
                <w:szCs w:val="20"/>
                <w:color w:val="auto"/>
              </w:rPr>
            </w:pPr>
            <w:r>
              <w:rPr>
                <w:rFonts w:ascii="Arial" w:cs="Arial" w:eastAsia="Arial" w:hAnsi="Arial"/>
                <w:sz w:val="17"/>
                <w:szCs w:val="17"/>
                <w:b w:val="1"/>
                <w:bCs w:val="1"/>
                <w:color w:val="FFFFFF"/>
              </w:rPr>
              <w:t>Total</w:t>
            </w:r>
          </w:p>
        </w:tc>
      </w:tr>
      <w:tr>
        <w:trPr>
          <w:trHeight w:val="273"/>
        </w:trPr>
        <w:tc>
          <w:tcPr>
            <w:tcW w:w="4240" w:type="dxa"/>
            <w:vAlign w:val="bottom"/>
          </w:tcPr>
          <w:p>
            <w:pPr>
              <w:ind w:left="40"/>
              <w:spacing w:after="0"/>
              <w:rPr>
                <w:sz w:val="20"/>
                <w:szCs w:val="20"/>
                <w:color w:val="auto"/>
              </w:rPr>
            </w:pPr>
            <w:r>
              <w:rPr>
                <w:rFonts w:ascii="Arial" w:cs="Arial" w:eastAsia="Arial" w:hAnsi="Arial"/>
                <w:sz w:val="17"/>
                <w:szCs w:val="17"/>
                <w:color w:val="auto"/>
              </w:rPr>
              <w:t>Jon E. Bortz</w:t>
            </w:r>
            <w:r>
              <w:rPr>
                <w:rFonts w:ascii="Arial" w:cs="Arial" w:eastAsia="Arial" w:hAnsi="Arial"/>
                <w:sz w:val="14"/>
                <w:szCs w:val="14"/>
                <w:color w:val="auto"/>
              </w:rPr>
              <w:t>(3)</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68,493</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68,493</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David W. Faeder</w:t>
            </w:r>
            <w:r>
              <w:rPr>
                <w:rFonts w:ascii="Arial" w:cs="Arial" w:eastAsia="Arial" w:hAnsi="Arial"/>
                <w:sz w:val="14"/>
                <w:szCs w:val="14"/>
                <w:color w:val="auto"/>
              </w:rPr>
              <w:t>(4)</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116,315</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100,192</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8,836</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225,343</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Elizabeth I. Holland</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120,000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15,000</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215,000</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Nicole Y. Lamb-Hale</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120,000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200,000</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Anthony P. Nader, III</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120,000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200,000</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Mark S. Ordan</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120,000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6,164</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206,164</w:t>
            </w:r>
          </w:p>
        </w:tc>
      </w:tr>
      <w:tr>
        <w:trPr>
          <w:trHeight w:val="286"/>
        </w:trPr>
        <w:tc>
          <w:tcPr>
            <w:tcW w:w="4240" w:type="dxa"/>
            <w:vAlign w:val="bottom"/>
          </w:tcPr>
          <w:p>
            <w:pPr>
              <w:ind w:left="40"/>
              <w:spacing w:after="0"/>
              <w:rPr>
                <w:sz w:val="20"/>
                <w:szCs w:val="20"/>
                <w:color w:val="auto"/>
              </w:rPr>
            </w:pPr>
            <w:r>
              <w:rPr>
                <w:rFonts w:ascii="Arial" w:cs="Arial" w:eastAsia="Arial" w:hAnsi="Arial"/>
                <w:sz w:val="17"/>
                <w:szCs w:val="17"/>
                <w:color w:val="auto"/>
              </w:rPr>
              <w:t>Gail P. Steinel</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740" w:type="dxa"/>
            <w:vAlign w:val="bottom"/>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color w:val="auto"/>
              </w:rPr>
              <w:t>120,000</w:t>
            </w:r>
          </w:p>
        </w:tc>
        <w:tc>
          <w:tcPr>
            <w:tcW w:w="30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color w:val="auto"/>
              </w:rPr>
              <w:t>25,000</w:t>
            </w:r>
          </w:p>
        </w:tc>
        <w:tc>
          <w:tcPr>
            <w:tcW w:w="42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color w:val="auto"/>
              </w:rPr>
              <w:t>225,000</w:t>
            </w:r>
          </w:p>
        </w:tc>
      </w:tr>
      <w:tr>
        <w:trPr>
          <w:trHeight w:val="293"/>
        </w:trPr>
        <w:tc>
          <w:tcPr>
            <w:tcW w:w="4240" w:type="dxa"/>
            <w:vAlign w:val="bottom"/>
            <w:tcBorders>
              <w:bottom w:val="single" w:sz="8" w:color="FF160F"/>
            </w:tcBorders>
          </w:tcPr>
          <w:p>
            <w:pPr>
              <w:ind w:left="40"/>
              <w:spacing w:after="0"/>
              <w:rPr>
                <w:sz w:val="20"/>
                <w:szCs w:val="20"/>
                <w:color w:val="auto"/>
              </w:rPr>
            </w:pPr>
            <w:r>
              <w:rPr>
                <w:rFonts w:ascii="Arial" w:cs="Arial" w:eastAsia="Arial" w:hAnsi="Arial"/>
                <w:sz w:val="17"/>
                <w:szCs w:val="17"/>
                <w:color w:val="auto"/>
              </w:rPr>
              <w:t>Joseph S. Vassalluzzo</w:t>
            </w:r>
            <w:r>
              <w:rPr>
                <w:rFonts w:ascii="Arial" w:cs="Arial" w:eastAsia="Arial" w:hAnsi="Arial"/>
                <w:sz w:val="14"/>
                <w:szCs w:val="14"/>
                <w:color w:val="auto"/>
              </w:rPr>
              <w:t>(3)</w:t>
            </w:r>
          </w:p>
        </w:tc>
        <w:tc>
          <w:tcPr>
            <w:tcW w:w="340" w:type="dxa"/>
            <w:vAlign w:val="bottom"/>
            <w:tcBorders>
              <w:bottom w:val="single" w:sz="8" w:color="FF160F"/>
            </w:tcBorders>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FF160F"/>
            </w:tcBorders>
          </w:tcPr>
          <w:p>
            <w:pPr>
              <w:jc w:val="right"/>
              <w:ind w:right="53"/>
              <w:spacing w:after="0"/>
              <w:rPr>
                <w:sz w:val="20"/>
                <w:szCs w:val="20"/>
                <w:color w:val="auto"/>
              </w:rPr>
            </w:pPr>
            <w:r>
              <w:rPr>
                <w:rFonts w:ascii="Arial" w:cs="Arial" w:eastAsia="Arial" w:hAnsi="Arial"/>
                <w:sz w:val="17"/>
                <w:szCs w:val="17"/>
                <w:color w:val="auto"/>
              </w:rPr>
              <w:t>94,178</w:t>
            </w:r>
          </w:p>
        </w:tc>
        <w:tc>
          <w:tcPr>
            <w:tcW w:w="740" w:type="dxa"/>
            <w:vAlign w:val="bottom"/>
            <w:tcBorders>
              <w:bottom w:val="single" w:sz="8" w:color="FF160F"/>
            </w:tcBorders>
          </w:tcPr>
          <w:p>
            <w:pPr>
              <w:jc w:val="right"/>
              <w:ind w:right="4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FF160F"/>
            </w:tcBorders>
          </w:tcPr>
          <w:p>
            <w:pPr>
              <w:jc w:val="right"/>
              <w:ind w:right="33"/>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FF160F"/>
            </w:tcBorders>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FF160F"/>
            </w:tcBorders>
          </w:tcPr>
          <w:p>
            <w:pPr>
              <w:jc w:val="right"/>
              <w:ind w:right="3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FF160F"/>
            </w:tcBorders>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FF160F"/>
            </w:tcBorders>
          </w:tcPr>
          <w:p>
            <w:pPr>
              <w:jc w:val="right"/>
              <w:ind w:right="73"/>
              <w:spacing w:after="0"/>
              <w:rPr>
                <w:sz w:val="20"/>
                <w:szCs w:val="20"/>
                <w:color w:val="auto"/>
              </w:rPr>
            </w:pPr>
            <w:r>
              <w:rPr>
                <w:rFonts w:ascii="Arial" w:cs="Arial" w:eastAsia="Arial" w:hAnsi="Arial"/>
                <w:sz w:val="17"/>
                <w:szCs w:val="17"/>
                <w:color w:val="auto"/>
              </w:rPr>
              <w:t>94,178</w:t>
            </w:r>
          </w:p>
        </w:tc>
      </w:tr>
      <w:tr>
        <w:trPr>
          <w:trHeight w:val="260"/>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34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53"/>
              <w:spacing w:after="0"/>
              <w:rPr>
                <w:sz w:val="20"/>
                <w:szCs w:val="20"/>
                <w:color w:val="auto"/>
              </w:rPr>
            </w:pPr>
            <w:r>
              <w:rPr>
                <w:rFonts w:ascii="Arial" w:cs="Arial" w:eastAsia="Arial" w:hAnsi="Arial"/>
                <w:sz w:val="17"/>
                <w:szCs w:val="17"/>
                <w:b w:val="1"/>
                <w:bCs w:val="1"/>
                <w:color w:val="auto"/>
              </w:rPr>
              <w:t>678,986</w:t>
            </w:r>
          </w:p>
        </w:tc>
        <w:tc>
          <w:tcPr>
            <w:tcW w:w="740" w:type="dxa"/>
            <w:vAlign w:val="bottom"/>
          </w:tcPr>
          <w:p>
            <w:pPr>
              <w:jc w:val="right"/>
              <w:ind w:right="49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7"/>
                <w:szCs w:val="17"/>
                <w:b w:val="1"/>
                <w:bCs w:val="1"/>
                <w:color w:val="auto"/>
              </w:rPr>
              <w:t>700,192</w:t>
            </w:r>
          </w:p>
        </w:tc>
        <w:tc>
          <w:tcPr>
            <w:tcW w:w="30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33"/>
              <w:spacing w:after="0"/>
              <w:rPr>
                <w:sz w:val="20"/>
                <w:szCs w:val="20"/>
                <w:color w:val="auto"/>
              </w:rPr>
            </w:pPr>
            <w:r>
              <w:rPr>
                <w:rFonts w:ascii="Arial" w:cs="Arial" w:eastAsia="Arial" w:hAnsi="Arial"/>
                <w:sz w:val="17"/>
                <w:szCs w:val="17"/>
                <w:b w:val="1"/>
                <w:bCs w:val="1"/>
                <w:color w:val="auto"/>
              </w:rPr>
              <w:t>55,000</w:t>
            </w:r>
          </w:p>
        </w:tc>
        <w:tc>
          <w:tcPr>
            <w:tcW w:w="420" w:type="dxa"/>
            <w:vAlign w:val="bottom"/>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73"/>
              <w:spacing w:after="0"/>
              <w:rPr>
                <w:sz w:val="20"/>
                <w:szCs w:val="20"/>
                <w:color w:val="auto"/>
              </w:rPr>
            </w:pPr>
            <w:r>
              <w:rPr>
                <w:rFonts w:ascii="Arial" w:cs="Arial" w:eastAsia="Arial" w:hAnsi="Arial"/>
                <w:sz w:val="17"/>
                <w:szCs w:val="17"/>
                <w:b w:val="1"/>
                <w:bCs w:val="1"/>
                <w:color w:val="auto"/>
              </w:rPr>
              <w:t>1,434,178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875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177" w:lineRule="exact"/>
        <w:rPr>
          <w:sz w:val="20"/>
          <w:szCs w:val="20"/>
          <w:color w:val="auto"/>
        </w:rPr>
      </w:pPr>
    </w:p>
    <w:p>
      <w:pPr>
        <w:ind w:left="424" w:hanging="424"/>
        <w:spacing w:after="0" w:line="185" w:lineRule="auto"/>
        <w:tabs>
          <w:tab w:leader="none" w:pos="424" w:val="left"/>
        </w:tabs>
        <w:numPr>
          <w:ilvl w:val="0"/>
          <w:numId w:val="8"/>
        </w:numPr>
        <w:rPr>
          <w:rFonts w:ascii="Arial" w:cs="Arial" w:eastAsia="Arial" w:hAnsi="Arial"/>
          <w:sz w:val="26"/>
          <w:szCs w:val="26"/>
          <w:color w:val="auto"/>
          <w:vertAlign w:val="superscript"/>
        </w:rPr>
      </w:pPr>
      <w:r>
        <w:rPr>
          <w:rFonts w:ascii="Arial" w:cs="Arial" w:eastAsia="Arial" w:hAnsi="Arial"/>
          <w:sz w:val="15"/>
          <w:szCs w:val="15"/>
          <w:color w:val="auto"/>
        </w:rPr>
        <w:t>Shares were issued on January 3, 2022 with the number of shares received by each Trustee determined by dividing the amount to be paid in shares by $136.32, the closing price of our shares on the NYSE on December 31, 2021.</w:t>
      </w:r>
    </w:p>
    <w:p>
      <w:pPr>
        <w:ind w:left="424" w:right="20" w:hanging="424"/>
        <w:spacing w:after="0" w:line="185" w:lineRule="auto"/>
        <w:tabs>
          <w:tab w:leader="none" w:pos="424" w:val="left"/>
        </w:tabs>
        <w:numPr>
          <w:ilvl w:val="0"/>
          <w:numId w:val="8"/>
        </w:numPr>
        <w:rPr>
          <w:rFonts w:ascii="Arial" w:cs="Arial" w:eastAsia="Arial" w:hAnsi="Arial"/>
          <w:sz w:val="26"/>
          <w:szCs w:val="26"/>
          <w:color w:val="auto"/>
          <w:vertAlign w:val="superscript"/>
        </w:rPr>
      </w:pPr>
      <w:r>
        <w:rPr>
          <w:rFonts w:ascii="Arial" w:cs="Arial" w:eastAsia="Arial" w:hAnsi="Arial"/>
          <w:sz w:val="15"/>
          <w:szCs w:val="15"/>
          <w:color w:val="auto"/>
        </w:rPr>
        <w:t>Prorated for partial year of service. Mr. Faeder served as Compensation Committee Chair until Ms. Holland became Chair on August 3, 2021. Ms. Holland served as the Nominating and Corporate Governance Chair until Mr. Ordan became Chair on August 3, 2021.</w:t>
      </w:r>
    </w:p>
    <w:p>
      <w:pPr>
        <w:ind w:left="424" w:hanging="424"/>
        <w:spacing w:after="0" w:line="181" w:lineRule="auto"/>
        <w:tabs>
          <w:tab w:leader="none" w:pos="424"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Pro-rated for partial year of service ending May 4, 2021.</w:t>
      </w:r>
    </w:p>
    <w:p>
      <w:pPr>
        <w:ind w:left="424" w:hanging="424"/>
        <w:spacing w:after="0" w:line="186" w:lineRule="auto"/>
        <w:tabs>
          <w:tab w:leader="none" w:pos="424"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Prorated for partial year of service as a trustee and as the non-executive chairman effective May 5, 2021.</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24"/>
          </w:cols>
          <w:pgMar w:left="636" w:top="260" w:right="639" w:bottom="1440" w:gutter="0" w:footer="0" w:header="0"/>
        </w:sectPr>
      </w:pPr>
    </w:p>
    <w:bookmarkStart w:id="23" w:name="page24"/>
    <w:bookmarkEnd w:id="23"/>
    <w:p>
      <w:pPr>
        <w:ind w:left="1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179705</wp:posOffset>
            </wp:positionV>
            <wp:extent cx="654240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2405" cy="33020"/>
                    </a:xfrm>
                    <a:prstGeom prst="rect">
                      <a:avLst/>
                    </a:prstGeom>
                    <a:noFill/>
                  </pic:spPr>
                </pic:pic>
              </a:graphicData>
            </a:graphic>
          </wp:anchor>
        </w:drawing>
        <w:t>Proposal 2: Approving our Executive Compensation</w:t>
      </w:r>
    </w:p>
    <w:p>
      <w:pPr>
        <w:spacing w:after="0" w:line="249" w:lineRule="exact"/>
        <w:rPr>
          <w:sz w:val="20"/>
          <w:szCs w:val="20"/>
          <w:color w:val="auto"/>
        </w:rPr>
      </w:pPr>
    </w:p>
    <w:p>
      <w:pPr>
        <w:jc w:val="both"/>
        <w:ind w:left="320" w:right="20"/>
        <w:spacing w:after="0" w:line="247" w:lineRule="auto"/>
        <w:rPr>
          <w:sz w:val="20"/>
          <w:szCs w:val="20"/>
          <w:color w:val="auto"/>
        </w:rPr>
      </w:pPr>
      <w:r>
        <w:rPr>
          <w:rFonts w:ascii="Arial" w:cs="Arial" w:eastAsia="Arial" w:hAnsi="Arial"/>
          <w:sz w:val="17"/>
          <w:szCs w:val="17"/>
          <w:color w:val="auto"/>
        </w:rPr>
        <w:t>We are seeking an advisory vote to approve our executive compensation for 2021. At our 2017 annual meeting of shareholders, a majority of shareholders voted to have a “Say on Pay” vote each year. As a result, we will conduct an advisory vote on executive compensation annually at least until the next shareholder advisory vote on the frequency of such votes.</w:t>
      </w:r>
    </w:p>
    <w:p>
      <w:pPr>
        <w:spacing w:after="0" w:line="190" w:lineRule="exact"/>
        <w:rPr>
          <w:sz w:val="20"/>
          <w:szCs w:val="20"/>
          <w:color w:val="auto"/>
        </w:rPr>
      </w:pPr>
    </w:p>
    <w:p>
      <w:pPr>
        <w:jc w:val="both"/>
        <w:ind w:left="320" w:right="20"/>
        <w:spacing w:after="0" w:line="256" w:lineRule="auto"/>
        <w:rPr>
          <w:sz w:val="20"/>
          <w:szCs w:val="20"/>
          <w:color w:val="auto"/>
        </w:rPr>
      </w:pPr>
      <w:r>
        <w:rPr>
          <w:rFonts w:ascii="Arial" w:cs="Arial" w:eastAsia="Arial" w:hAnsi="Arial"/>
          <w:sz w:val="17"/>
          <w:szCs w:val="17"/>
          <w:color w:val="auto"/>
        </w:rPr>
        <w:t>Although the “Say on Pay” vote is advisory and is not binding on our Board, our Compensation Committee will take into consideration the outcome of the vote when making future executive compensation decisions.</w:t>
      </w:r>
    </w:p>
    <w:p>
      <w:pPr>
        <w:spacing w:after="0" w:line="181" w:lineRule="exact"/>
        <w:rPr>
          <w:sz w:val="20"/>
          <w:szCs w:val="20"/>
          <w:color w:val="auto"/>
        </w:rPr>
      </w:pPr>
    </w:p>
    <w:p>
      <w:pPr>
        <w:jc w:val="both"/>
        <w:ind w:left="320" w:right="20"/>
        <w:spacing w:after="0" w:line="245" w:lineRule="auto"/>
        <w:rPr>
          <w:sz w:val="20"/>
          <w:szCs w:val="20"/>
          <w:color w:val="auto"/>
        </w:rPr>
      </w:pPr>
      <w:r>
        <w:rPr>
          <w:rFonts w:ascii="Arial" w:cs="Arial" w:eastAsia="Arial" w:hAnsi="Arial"/>
          <w:sz w:val="17"/>
          <w:szCs w:val="17"/>
          <w:color w:val="auto"/>
        </w:rPr>
        <w:t>Our Board has designed our current executive compensation program to appropriately link compensation realized by our named executive officers to our performance and properly align the interests of our named executive officers with those of our shareholders. The details of this compensation for 2021,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137795</wp:posOffset>
            </wp:positionV>
            <wp:extent cx="6517640" cy="379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379730"/>
                    </a:xfrm>
                    <a:prstGeom prst="rect">
                      <a:avLst/>
                    </a:prstGeom>
                    <a:noFill/>
                  </pic:spPr>
                </pic:pic>
              </a:graphicData>
            </a:graphic>
          </wp:anchor>
        </w:drawing>
      </w:r>
    </w:p>
    <w:p>
      <w:pPr>
        <w:spacing w:after="0" w:line="338" w:lineRule="exact"/>
        <w:rPr>
          <w:sz w:val="20"/>
          <w:szCs w:val="20"/>
          <w:color w:val="auto"/>
        </w:rPr>
      </w:pPr>
    </w:p>
    <w:p>
      <w:pPr>
        <w:ind w:left="1420"/>
        <w:spacing w:after="0"/>
        <w:rPr>
          <w:sz w:val="20"/>
          <w:szCs w:val="20"/>
          <w:color w:val="auto"/>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the compensation of our NEOs</w:t>
      </w:r>
    </w:p>
    <w:p>
      <w:pPr>
        <w:spacing w:after="0" w:line="3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text of the resolution if Proposal 2 is passed is:</w:t>
      </w:r>
    </w:p>
    <w:p>
      <w:pPr>
        <w:spacing w:after="0" w:line="208" w:lineRule="exact"/>
        <w:rPr>
          <w:sz w:val="20"/>
          <w:szCs w:val="20"/>
          <w:color w:val="auto"/>
        </w:rPr>
      </w:pPr>
    </w:p>
    <w:p>
      <w:pPr>
        <w:jc w:val="both"/>
        <w:ind w:left="320" w:right="20"/>
        <w:spacing w:after="0" w:line="256" w:lineRule="auto"/>
        <w:rPr>
          <w:sz w:val="20"/>
          <w:szCs w:val="20"/>
          <w:color w:val="auto"/>
        </w:rPr>
      </w:pPr>
      <w:r>
        <w:rPr>
          <w:rFonts w:ascii="Arial" w:cs="Arial" w:eastAsia="Arial" w:hAnsi="Arial"/>
          <w:sz w:val="17"/>
          <w:szCs w:val="17"/>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81" w:lineRule="exact"/>
        <w:rPr>
          <w:sz w:val="20"/>
          <w:szCs w:val="20"/>
          <w:color w:val="auto"/>
        </w:rPr>
      </w:pPr>
    </w:p>
    <w:p>
      <w:pPr>
        <w:jc w:val="both"/>
        <w:ind w:left="320" w:right="20"/>
        <w:spacing w:after="0" w:line="256" w:lineRule="auto"/>
        <w:rPr>
          <w:sz w:val="20"/>
          <w:szCs w:val="20"/>
          <w:color w:val="auto"/>
        </w:rPr>
      </w:pPr>
      <w:r>
        <w:rPr>
          <w:rFonts w:ascii="Arial" w:cs="Arial" w:eastAsia="Arial" w:hAnsi="Arial"/>
          <w:sz w:val="17"/>
          <w:szCs w:val="17"/>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FF160F"/>
        </w:rPr>
        <w:t>COMPENSATION DISCUSSION AND ANALYSIS</w:t>
      </w:r>
    </w:p>
    <w:p>
      <w:pPr>
        <w:spacing w:after="0" w:line="232" w:lineRule="exact"/>
        <w:rPr>
          <w:sz w:val="20"/>
          <w:szCs w:val="20"/>
          <w:color w:val="auto"/>
        </w:rPr>
      </w:pPr>
    </w:p>
    <w:p>
      <w:pPr>
        <w:jc w:val="both"/>
        <w:ind w:left="320" w:right="20"/>
        <w:spacing w:after="0" w:line="256" w:lineRule="auto"/>
        <w:rPr>
          <w:sz w:val="20"/>
          <w:szCs w:val="20"/>
          <w:color w:val="auto"/>
        </w:rPr>
      </w:pPr>
      <w:r>
        <w:rPr>
          <w:rFonts w:ascii="Arial" w:cs="Arial" w:eastAsia="Arial" w:hAnsi="Arial"/>
          <w:sz w:val="17"/>
          <w:szCs w:val="17"/>
          <w:color w:val="auto"/>
        </w:rPr>
        <w:t>This Compensation Discussion and Analysis (CD&amp;A) discusses the compensation objectives and principles underlying our executive compensation decisions for 2021 for the following named executive officers (collectively,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760095</wp:posOffset>
            </wp:positionV>
            <wp:extent cx="107315" cy="173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7315" cy="17335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760095</wp:posOffset>
            </wp:positionV>
            <wp:extent cx="214630" cy="173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630" cy="17335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760095</wp:posOffset>
            </wp:positionV>
            <wp:extent cx="214630" cy="173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630" cy="173355"/>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132080</wp:posOffset>
            </wp:positionV>
            <wp:extent cx="553720" cy="611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720" cy="61150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132080</wp:posOffset>
            </wp:positionV>
            <wp:extent cx="504190" cy="619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4190" cy="61976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132080</wp:posOffset>
            </wp:positionV>
            <wp:extent cx="570230" cy="619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230" cy="61976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132080</wp:posOffset>
            </wp:positionV>
            <wp:extent cx="570230" cy="6197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230" cy="61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65"/>
        </w:trPr>
        <w:tc>
          <w:tcPr>
            <w:tcW w:w="2660" w:type="dxa"/>
            <w:vAlign w:val="bottom"/>
            <w:vMerge w:val="restart"/>
            <w:shd w:val="clear" w:color="auto" w:fill="D8D8D8"/>
          </w:tcPr>
          <w:p>
            <w:pPr>
              <w:ind w:left="640"/>
              <w:spacing w:after="0"/>
              <w:rPr>
                <w:sz w:val="20"/>
                <w:szCs w:val="20"/>
                <w:color w:val="auto"/>
              </w:rPr>
            </w:pPr>
            <w:r>
              <w:rPr>
                <w:rFonts w:ascii="Arial" w:cs="Arial" w:eastAsia="Arial" w:hAnsi="Arial"/>
                <w:sz w:val="16"/>
                <w:szCs w:val="16"/>
                <w:b w:val="1"/>
                <w:bCs w:val="1"/>
                <w:color w:val="auto"/>
              </w:rPr>
              <w:t>Donald C. Wood</w:t>
            </w:r>
          </w:p>
        </w:tc>
        <w:tc>
          <w:tcPr>
            <w:tcW w:w="180" w:type="dxa"/>
            <w:vAlign w:val="bottom"/>
          </w:tcPr>
          <w:p>
            <w:pPr>
              <w:spacing w:after="0"/>
              <w:rPr>
                <w:sz w:val="5"/>
                <w:szCs w:val="5"/>
                <w:color w:val="auto"/>
              </w:rPr>
            </w:pPr>
          </w:p>
        </w:tc>
        <w:tc>
          <w:tcPr>
            <w:tcW w:w="2360" w:type="dxa"/>
            <w:vAlign w:val="bottom"/>
            <w:vMerge w:val="restart"/>
            <w:shd w:val="clear" w:color="auto" w:fill="D8D8D8"/>
          </w:tcPr>
          <w:p>
            <w:pPr>
              <w:ind w:left="560"/>
              <w:spacing w:after="0"/>
              <w:rPr>
                <w:sz w:val="20"/>
                <w:szCs w:val="20"/>
                <w:color w:val="auto"/>
              </w:rPr>
            </w:pPr>
            <w:r>
              <w:rPr>
                <w:rFonts w:ascii="Arial" w:cs="Arial" w:eastAsia="Arial" w:hAnsi="Arial"/>
                <w:sz w:val="16"/>
                <w:szCs w:val="16"/>
                <w:b w:val="1"/>
                <w:bCs w:val="1"/>
                <w:color w:val="auto"/>
              </w:rPr>
              <w:t>Jeffrey S. Berkes</w:t>
            </w:r>
          </w:p>
        </w:tc>
        <w:tc>
          <w:tcPr>
            <w:tcW w:w="340" w:type="dxa"/>
            <w:vAlign w:val="bottom"/>
          </w:tcPr>
          <w:p>
            <w:pPr>
              <w:spacing w:after="0"/>
              <w:rPr>
                <w:sz w:val="5"/>
                <w:szCs w:val="5"/>
                <w:color w:val="auto"/>
              </w:rPr>
            </w:pPr>
          </w:p>
        </w:tc>
        <w:tc>
          <w:tcPr>
            <w:tcW w:w="2460" w:type="dxa"/>
            <w:vAlign w:val="bottom"/>
            <w:vMerge w:val="restart"/>
            <w:shd w:val="clear" w:color="auto" w:fill="D8D8D8"/>
          </w:tcPr>
          <w:p>
            <w:pPr>
              <w:ind w:left="540"/>
              <w:spacing w:after="0"/>
              <w:rPr>
                <w:sz w:val="20"/>
                <w:szCs w:val="20"/>
                <w:color w:val="auto"/>
              </w:rPr>
            </w:pPr>
            <w:r>
              <w:rPr>
                <w:rFonts w:ascii="Arial" w:cs="Arial" w:eastAsia="Arial" w:hAnsi="Arial"/>
                <w:sz w:val="16"/>
                <w:szCs w:val="16"/>
                <w:b w:val="1"/>
                <w:bCs w:val="1"/>
                <w:color w:val="auto"/>
              </w:rPr>
              <w:t>Daniel Guglielmone</w:t>
            </w:r>
          </w:p>
        </w:tc>
        <w:tc>
          <w:tcPr>
            <w:tcW w:w="180" w:type="dxa"/>
            <w:vAlign w:val="bottom"/>
          </w:tcPr>
          <w:p>
            <w:pPr>
              <w:spacing w:after="0"/>
              <w:rPr>
                <w:sz w:val="5"/>
                <w:szCs w:val="5"/>
                <w:color w:val="auto"/>
              </w:rPr>
            </w:pPr>
          </w:p>
        </w:tc>
        <w:tc>
          <w:tcPr>
            <w:tcW w:w="2440" w:type="dxa"/>
            <w:vAlign w:val="bottom"/>
            <w:vMerge w:val="restart"/>
            <w:shd w:val="clear" w:color="auto" w:fill="D8D8D8"/>
          </w:tcPr>
          <w:p>
            <w:pPr>
              <w:jc w:val="center"/>
              <w:spacing w:after="0"/>
              <w:rPr>
                <w:sz w:val="20"/>
                <w:szCs w:val="20"/>
                <w:color w:val="auto"/>
              </w:rPr>
            </w:pPr>
            <w:r>
              <w:rPr>
                <w:rFonts w:ascii="Arial" w:cs="Arial" w:eastAsia="Arial" w:hAnsi="Arial"/>
                <w:sz w:val="16"/>
                <w:szCs w:val="16"/>
                <w:b w:val="1"/>
                <w:bCs w:val="1"/>
                <w:color w:val="auto"/>
                <w:w w:val="97"/>
              </w:rPr>
              <w:t>Dawn M. Becker</w:t>
            </w:r>
          </w:p>
        </w:tc>
        <w:tc>
          <w:tcPr>
            <w:tcW w:w="0" w:type="dxa"/>
            <w:vAlign w:val="bottom"/>
          </w:tcPr>
          <w:p>
            <w:pPr>
              <w:spacing w:after="0"/>
              <w:rPr>
                <w:sz w:val="1"/>
                <w:szCs w:val="1"/>
                <w:color w:val="auto"/>
              </w:rPr>
            </w:pPr>
          </w:p>
        </w:tc>
      </w:tr>
      <w:tr>
        <w:trPr>
          <w:trHeight w:val="208"/>
        </w:trPr>
        <w:tc>
          <w:tcPr>
            <w:tcW w:w="2660" w:type="dxa"/>
            <w:vAlign w:val="bottom"/>
            <w:vMerge w:val="continue"/>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2360" w:type="dxa"/>
            <w:vAlign w:val="bottom"/>
            <w:vMerge w:val="continue"/>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2460" w:type="dxa"/>
            <w:vAlign w:val="bottom"/>
            <w:vMerge w:val="continue"/>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2440" w:type="dxa"/>
            <w:vAlign w:val="bottom"/>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60" w:type="dxa"/>
            <w:vAlign w:val="bottom"/>
          </w:tcPr>
          <w:p>
            <w:pPr>
              <w:jc w:val="center"/>
              <w:spacing w:after="0" w:line="168" w:lineRule="exact"/>
              <w:rPr>
                <w:sz w:val="20"/>
                <w:szCs w:val="20"/>
                <w:color w:val="auto"/>
              </w:rPr>
            </w:pPr>
            <w:r>
              <w:rPr>
                <w:rFonts w:ascii="Arial" w:cs="Arial" w:eastAsia="Arial" w:hAnsi="Arial"/>
                <w:sz w:val="16"/>
                <w:szCs w:val="16"/>
                <w:i w:val="1"/>
                <w:iCs w:val="1"/>
                <w:color w:val="auto"/>
                <w:w w:val="98"/>
              </w:rPr>
              <w:t>Chief Executive</w:t>
            </w:r>
          </w:p>
        </w:tc>
        <w:tc>
          <w:tcPr>
            <w:tcW w:w="180" w:type="dxa"/>
            <w:vAlign w:val="bottom"/>
          </w:tcPr>
          <w:p>
            <w:pPr>
              <w:spacing w:after="0"/>
              <w:rPr>
                <w:sz w:val="14"/>
                <w:szCs w:val="14"/>
                <w:color w:val="auto"/>
              </w:rPr>
            </w:pPr>
          </w:p>
        </w:tc>
        <w:tc>
          <w:tcPr>
            <w:tcW w:w="2360" w:type="dxa"/>
            <w:vAlign w:val="bottom"/>
          </w:tcPr>
          <w:p>
            <w:pPr>
              <w:jc w:val="center"/>
              <w:ind w:left="142"/>
              <w:spacing w:after="0" w:line="168" w:lineRule="exact"/>
              <w:rPr>
                <w:sz w:val="20"/>
                <w:szCs w:val="20"/>
                <w:color w:val="auto"/>
              </w:rPr>
            </w:pPr>
            <w:r>
              <w:rPr>
                <w:rFonts w:ascii="Arial" w:cs="Arial" w:eastAsia="Arial" w:hAnsi="Arial"/>
                <w:sz w:val="16"/>
                <w:szCs w:val="16"/>
                <w:i w:val="1"/>
                <w:iCs w:val="1"/>
                <w:color w:val="auto"/>
                <w:w w:val="98"/>
              </w:rPr>
              <w:t>President and Chief</w:t>
            </w:r>
          </w:p>
        </w:tc>
        <w:tc>
          <w:tcPr>
            <w:tcW w:w="340" w:type="dxa"/>
            <w:vAlign w:val="bottom"/>
          </w:tcPr>
          <w:p>
            <w:pPr>
              <w:spacing w:after="0"/>
              <w:rPr>
                <w:sz w:val="14"/>
                <w:szCs w:val="14"/>
                <w:color w:val="auto"/>
              </w:rPr>
            </w:pPr>
          </w:p>
        </w:tc>
        <w:tc>
          <w:tcPr>
            <w:tcW w:w="2460" w:type="dxa"/>
            <w:vAlign w:val="bottom"/>
          </w:tcPr>
          <w:p>
            <w:pPr>
              <w:jc w:val="center"/>
              <w:ind w:left="42"/>
              <w:spacing w:after="0" w:line="168" w:lineRule="exact"/>
              <w:rPr>
                <w:sz w:val="20"/>
                <w:szCs w:val="20"/>
                <w:color w:val="auto"/>
              </w:rPr>
            </w:pPr>
            <w:r>
              <w:rPr>
                <w:rFonts w:ascii="Arial" w:cs="Arial" w:eastAsia="Arial" w:hAnsi="Arial"/>
                <w:sz w:val="16"/>
                <w:szCs w:val="16"/>
                <w:i w:val="1"/>
                <w:iCs w:val="1"/>
                <w:color w:val="auto"/>
                <w:w w:val="97"/>
              </w:rPr>
              <w:t>Executive Vice</w:t>
            </w:r>
          </w:p>
        </w:tc>
        <w:tc>
          <w:tcPr>
            <w:tcW w:w="180" w:type="dxa"/>
            <w:vAlign w:val="bottom"/>
          </w:tcPr>
          <w:p>
            <w:pPr>
              <w:spacing w:after="0"/>
              <w:rPr>
                <w:sz w:val="14"/>
                <w:szCs w:val="14"/>
                <w:color w:val="auto"/>
              </w:rPr>
            </w:pPr>
          </w:p>
        </w:tc>
        <w:tc>
          <w:tcPr>
            <w:tcW w:w="2440" w:type="dxa"/>
            <w:vAlign w:val="bottom"/>
          </w:tcPr>
          <w:p>
            <w:pPr>
              <w:jc w:val="center"/>
              <w:spacing w:after="0" w:line="168" w:lineRule="exact"/>
              <w:rPr>
                <w:sz w:val="20"/>
                <w:szCs w:val="20"/>
                <w:color w:val="auto"/>
              </w:rPr>
            </w:pPr>
            <w:r>
              <w:rPr>
                <w:rFonts w:ascii="Arial" w:cs="Arial" w:eastAsia="Arial" w:hAnsi="Arial"/>
                <w:sz w:val="16"/>
                <w:szCs w:val="16"/>
                <w:i w:val="1"/>
                <w:iCs w:val="1"/>
                <w:color w:val="auto"/>
                <w:w w:val="96"/>
              </w:rPr>
              <w:t>Executive Vice President-</w:t>
            </w:r>
          </w:p>
        </w:tc>
        <w:tc>
          <w:tcPr>
            <w:tcW w:w="0" w:type="dxa"/>
            <w:vAlign w:val="bottom"/>
          </w:tcPr>
          <w:p>
            <w:pPr>
              <w:spacing w:after="0"/>
              <w:rPr>
                <w:sz w:val="1"/>
                <w:szCs w:val="1"/>
                <w:color w:val="auto"/>
              </w:rPr>
            </w:pPr>
          </w:p>
        </w:tc>
      </w:tr>
      <w:tr>
        <w:trPr>
          <w:trHeight w:val="182"/>
        </w:trPr>
        <w:tc>
          <w:tcPr>
            <w:tcW w:w="2840" w:type="dxa"/>
            <w:vAlign w:val="bottom"/>
            <w:gridSpan w:val="2"/>
          </w:tcPr>
          <w:p>
            <w:pPr>
              <w:jc w:val="center"/>
              <w:ind w:right="180"/>
              <w:spacing w:after="0" w:line="182" w:lineRule="exact"/>
              <w:rPr>
                <w:sz w:val="20"/>
                <w:szCs w:val="20"/>
                <w:color w:val="auto"/>
              </w:rPr>
            </w:pPr>
            <w:r>
              <w:rPr>
                <w:rFonts w:ascii="Arial" w:cs="Arial" w:eastAsia="Arial" w:hAnsi="Arial"/>
                <w:sz w:val="16"/>
                <w:szCs w:val="16"/>
                <w:i w:val="1"/>
                <w:iCs w:val="1"/>
                <w:color w:val="auto"/>
                <w:w w:val="97"/>
              </w:rPr>
              <w:t>Officer</w:t>
            </w:r>
          </w:p>
        </w:tc>
        <w:tc>
          <w:tcPr>
            <w:tcW w:w="2360" w:type="dxa"/>
            <w:vAlign w:val="bottom"/>
          </w:tcPr>
          <w:p>
            <w:pPr>
              <w:jc w:val="center"/>
              <w:ind w:left="142"/>
              <w:spacing w:after="0" w:line="182" w:lineRule="exact"/>
              <w:rPr>
                <w:sz w:val="20"/>
                <w:szCs w:val="20"/>
                <w:color w:val="auto"/>
              </w:rPr>
            </w:pPr>
            <w:r>
              <w:rPr>
                <w:rFonts w:ascii="Arial" w:cs="Arial" w:eastAsia="Arial" w:hAnsi="Arial"/>
                <w:sz w:val="16"/>
                <w:szCs w:val="16"/>
                <w:i w:val="1"/>
                <w:iCs w:val="1"/>
                <w:color w:val="auto"/>
                <w:w w:val="96"/>
              </w:rPr>
              <w:t>Operating Officer</w:t>
            </w:r>
          </w:p>
        </w:tc>
        <w:tc>
          <w:tcPr>
            <w:tcW w:w="340" w:type="dxa"/>
            <w:vAlign w:val="bottom"/>
          </w:tcPr>
          <w:p>
            <w:pPr>
              <w:spacing w:after="0"/>
              <w:rPr>
                <w:sz w:val="15"/>
                <w:szCs w:val="15"/>
                <w:color w:val="auto"/>
              </w:rPr>
            </w:pPr>
          </w:p>
        </w:tc>
        <w:tc>
          <w:tcPr>
            <w:tcW w:w="2460" w:type="dxa"/>
            <w:vAlign w:val="bottom"/>
          </w:tcPr>
          <w:p>
            <w:pPr>
              <w:jc w:val="center"/>
              <w:ind w:left="62"/>
              <w:spacing w:after="0" w:line="182" w:lineRule="exact"/>
              <w:rPr>
                <w:sz w:val="20"/>
                <w:szCs w:val="20"/>
                <w:color w:val="auto"/>
              </w:rPr>
            </w:pPr>
            <w:r>
              <w:rPr>
                <w:rFonts w:ascii="Arial" w:cs="Arial" w:eastAsia="Arial" w:hAnsi="Arial"/>
                <w:sz w:val="16"/>
                <w:szCs w:val="16"/>
                <w:i w:val="1"/>
                <w:iCs w:val="1"/>
                <w:color w:val="auto"/>
                <w:w w:val="98"/>
              </w:rPr>
              <w:t>President-Chief Financial</w:t>
            </w:r>
          </w:p>
        </w:tc>
        <w:tc>
          <w:tcPr>
            <w:tcW w:w="180" w:type="dxa"/>
            <w:vAlign w:val="bottom"/>
          </w:tcPr>
          <w:p>
            <w:pPr>
              <w:spacing w:after="0"/>
              <w:rPr>
                <w:sz w:val="15"/>
                <w:szCs w:val="15"/>
                <w:color w:val="auto"/>
              </w:rPr>
            </w:pPr>
          </w:p>
        </w:tc>
        <w:tc>
          <w:tcPr>
            <w:tcW w:w="2440" w:type="dxa"/>
            <w:vAlign w:val="bottom"/>
          </w:tcPr>
          <w:p>
            <w:pPr>
              <w:jc w:val="center"/>
              <w:spacing w:after="0" w:line="182" w:lineRule="exact"/>
              <w:rPr>
                <w:sz w:val="20"/>
                <w:szCs w:val="20"/>
                <w:color w:val="auto"/>
              </w:rPr>
            </w:pPr>
            <w:r>
              <w:rPr>
                <w:rFonts w:ascii="Arial" w:cs="Arial" w:eastAsia="Arial" w:hAnsi="Arial"/>
                <w:sz w:val="16"/>
                <w:szCs w:val="16"/>
                <w:i w:val="1"/>
                <w:iCs w:val="1"/>
                <w:color w:val="auto"/>
                <w:w w:val="97"/>
              </w:rPr>
              <w:t>General Counsel and</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jc w:val="center"/>
              <w:ind w:left="62"/>
              <w:spacing w:after="0"/>
              <w:rPr>
                <w:sz w:val="20"/>
                <w:szCs w:val="20"/>
                <w:color w:val="auto"/>
              </w:rPr>
            </w:pPr>
            <w:r>
              <w:rPr>
                <w:rFonts w:ascii="Arial" w:cs="Arial" w:eastAsia="Arial" w:hAnsi="Arial"/>
                <w:sz w:val="16"/>
                <w:szCs w:val="16"/>
                <w:i w:val="1"/>
                <w:iCs w:val="1"/>
                <w:color w:val="auto"/>
                <w:w w:val="97"/>
              </w:rPr>
              <w:t>Officer and Treasurer</w:t>
            </w:r>
          </w:p>
        </w:tc>
        <w:tc>
          <w:tcPr>
            <w:tcW w:w="1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i w:val="1"/>
                <w:iCs w:val="1"/>
                <w:color w:val="auto"/>
                <w:w w:val="99"/>
              </w:rPr>
              <w:t>Secretary</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20"/>
          </w:cols>
          <w:pgMar w:left="640" w:top="300" w:right="639" w:bottom="1440" w:gutter="0" w:footer="0" w:header="0"/>
        </w:sectPr>
      </w:pPr>
    </w:p>
    <w:bookmarkStart w:id="24" w:name="page25"/>
    <w:bookmarkEnd w:id="24"/>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2021 SUMMARY INFORMATION</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Business Highlights</w:t>
      </w:r>
    </w:p>
    <w:p>
      <w:pPr>
        <w:spacing w:after="0" w:line="230" w:lineRule="exact"/>
        <w:rPr>
          <w:sz w:val="20"/>
          <w:szCs w:val="20"/>
          <w:color w:val="auto"/>
        </w:rPr>
      </w:pPr>
    </w:p>
    <w:p>
      <w:pPr>
        <w:jc w:val="both"/>
        <w:ind w:left="4"/>
        <w:spacing w:after="0" w:line="243" w:lineRule="auto"/>
        <w:rPr>
          <w:sz w:val="20"/>
          <w:szCs w:val="20"/>
          <w:color w:val="auto"/>
        </w:rPr>
      </w:pPr>
      <w:r>
        <w:rPr>
          <w:rFonts w:ascii="Arial" w:cs="Arial" w:eastAsia="Arial" w:hAnsi="Arial"/>
          <w:sz w:val="17"/>
          <w:szCs w:val="17"/>
          <w:color w:val="auto"/>
        </w:rPr>
        <w:t>All executive compensation decisions are considered in the context of our financial and operational performance for the year. Performance in 2021 was marked primarily by a quicker than anticipated recovery by retail and other tenants from the impacts of COVID, continued focus on smart capital allocation with investments that position the Company for long-term growth and sound execution of our basic business fundamentals of leasing and property operations. Following are some of our performance highlights for 2021 that were considered in determining compensation for our NEOs for 2021.</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7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7"/>
              </w:rPr>
              <w:t>FFO per Share of $5.57*</w:t>
            </w:r>
          </w:p>
        </w:tc>
        <w:tc>
          <w:tcPr>
            <w:tcW w:w="3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$440M New Acquisitions</w:t>
            </w:r>
          </w:p>
        </w:tc>
        <w:tc>
          <w:tcPr>
            <w:tcW w:w="3200" w:type="dxa"/>
            <w:vAlign w:val="bottom"/>
          </w:tcPr>
          <w:p>
            <w:pPr>
              <w:jc w:val="center"/>
              <w:ind w:left="22"/>
              <w:spacing w:after="0"/>
              <w:rPr>
                <w:sz w:val="20"/>
                <w:szCs w:val="20"/>
                <w:color w:val="auto"/>
              </w:rPr>
            </w:pPr>
            <w:r>
              <w:rPr>
                <w:rFonts w:ascii="Arial" w:cs="Arial" w:eastAsia="Arial" w:hAnsi="Arial"/>
                <w:sz w:val="16"/>
                <w:szCs w:val="16"/>
                <w:b w:val="1"/>
                <w:bCs w:val="1"/>
                <w:color w:val="auto"/>
                <w:w w:val="97"/>
              </w:rPr>
              <w:t>$486M Projects Placed in Service</w:t>
            </w:r>
          </w:p>
        </w:tc>
      </w:tr>
      <w:tr>
        <w:trPr>
          <w:trHeight w:val="51"/>
        </w:trPr>
        <w:tc>
          <w:tcPr>
            <w:tcW w:w="3180" w:type="dxa"/>
            <w:vAlign w:val="bottom"/>
            <w:tcBorders>
              <w:bottom w:val="single" w:sz="8" w:color="FF160F"/>
            </w:tcBorders>
          </w:tcPr>
          <w:p>
            <w:pPr>
              <w:spacing w:after="0"/>
              <w:rPr>
                <w:sz w:val="4"/>
                <w:szCs w:val="4"/>
                <w:color w:val="auto"/>
              </w:rPr>
            </w:pPr>
          </w:p>
        </w:tc>
        <w:tc>
          <w:tcPr>
            <w:tcW w:w="520" w:type="dxa"/>
            <w:vAlign w:val="bottom"/>
          </w:tcPr>
          <w:p>
            <w:pPr>
              <w:spacing w:after="0"/>
              <w:rPr>
                <w:sz w:val="4"/>
                <w:szCs w:val="4"/>
                <w:color w:val="auto"/>
              </w:rPr>
            </w:pPr>
          </w:p>
        </w:tc>
        <w:tc>
          <w:tcPr>
            <w:tcW w:w="3200" w:type="dxa"/>
            <w:vAlign w:val="bottom"/>
            <w:tcBorders>
              <w:bottom w:val="single" w:sz="8" w:color="FF160F"/>
            </w:tcBorders>
          </w:tcPr>
          <w:p>
            <w:pPr>
              <w:spacing w:after="0"/>
              <w:rPr>
                <w:sz w:val="4"/>
                <w:szCs w:val="4"/>
                <w:color w:val="auto"/>
              </w:rPr>
            </w:pPr>
          </w:p>
        </w:tc>
        <w:tc>
          <w:tcPr>
            <w:tcW w:w="520" w:type="dxa"/>
            <w:vAlign w:val="bottom"/>
          </w:tcPr>
          <w:p>
            <w:pPr>
              <w:spacing w:after="0"/>
              <w:rPr>
                <w:sz w:val="4"/>
                <w:szCs w:val="4"/>
                <w:color w:val="auto"/>
              </w:rPr>
            </w:pPr>
          </w:p>
        </w:tc>
        <w:tc>
          <w:tcPr>
            <w:tcW w:w="3200" w:type="dxa"/>
            <w:vAlign w:val="bottom"/>
            <w:tcBorders>
              <w:bottom w:val="single" w:sz="8" w:color="FF160F"/>
            </w:tcBorders>
          </w:tcPr>
          <w:p>
            <w:pPr>
              <w:spacing w:after="0"/>
              <w:rPr>
                <w:sz w:val="4"/>
                <w:szCs w:val="4"/>
                <w:color w:val="auto"/>
              </w:rPr>
            </w:pPr>
          </w:p>
        </w:tc>
      </w:tr>
      <w:tr>
        <w:trPr>
          <w:trHeight w:val="197"/>
        </w:trPr>
        <w:tc>
          <w:tcPr>
            <w:tcW w:w="3700" w:type="dxa"/>
            <w:vAlign w:val="bottom"/>
            <w:gridSpan w:val="2"/>
          </w:tcPr>
          <w:p>
            <w:pPr>
              <w:jc w:val="center"/>
              <w:ind w:right="540"/>
              <w:spacing w:after="0"/>
              <w:rPr>
                <w:sz w:val="20"/>
                <w:szCs w:val="20"/>
                <w:color w:val="auto"/>
              </w:rPr>
            </w:pPr>
            <w:r>
              <w:rPr>
                <w:rFonts w:ascii="Arial" w:cs="Arial" w:eastAsia="Arial" w:hAnsi="Arial"/>
                <w:sz w:val="16"/>
                <w:szCs w:val="16"/>
                <w:color w:val="auto"/>
                <w:w w:val="97"/>
              </w:rPr>
              <w:t>Significantly exceeded</w:t>
            </w:r>
          </w:p>
        </w:tc>
        <w:tc>
          <w:tcPr>
            <w:tcW w:w="3720" w:type="dxa"/>
            <w:vAlign w:val="bottom"/>
            <w:gridSpan w:val="2"/>
          </w:tcPr>
          <w:p>
            <w:pPr>
              <w:jc w:val="center"/>
              <w:ind w:right="400"/>
              <w:spacing w:after="0"/>
              <w:rPr>
                <w:sz w:val="20"/>
                <w:szCs w:val="20"/>
                <w:color w:val="auto"/>
              </w:rPr>
            </w:pPr>
            <w:r>
              <w:rPr>
                <w:rFonts w:ascii="Arial" w:cs="Arial" w:eastAsia="Arial" w:hAnsi="Arial"/>
                <w:sz w:val="16"/>
                <w:szCs w:val="16"/>
                <w:color w:val="auto"/>
                <w:w w:val="97"/>
              </w:rPr>
              <w:t>Acquired 5 new assets, 2 in a new</w:t>
            </w:r>
          </w:p>
        </w:tc>
        <w:tc>
          <w:tcPr>
            <w:tcW w:w="3200" w:type="dxa"/>
            <w:vAlign w:val="bottom"/>
          </w:tcPr>
          <w:p>
            <w:pPr>
              <w:jc w:val="center"/>
              <w:ind w:left="42"/>
              <w:spacing w:after="0"/>
              <w:rPr>
                <w:sz w:val="20"/>
                <w:szCs w:val="20"/>
                <w:color w:val="auto"/>
              </w:rPr>
            </w:pPr>
            <w:r>
              <w:rPr>
                <w:rFonts w:ascii="Arial" w:cs="Arial" w:eastAsia="Arial" w:hAnsi="Arial"/>
                <w:sz w:val="16"/>
                <w:szCs w:val="16"/>
                <w:color w:val="auto"/>
                <w:w w:val="97"/>
              </w:rPr>
              <w:t>Major projects, primarily Cocowalk and new</w:t>
            </w:r>
          </w:p>
        </w:tc>
      </w:tr>
      <w:tr>
        <w:trPr>
          <w:trHeight w:val="182"/>
        </w:trPr>
        <w:tc>
          <w:tcPr>
            <w:tcW w:w="3700" w:type="dxa"/>
            <w:vAlign w:val="bottom"/>
            <w:gridSpan w:val="2"/>
          </w:tcPr>
          <w:p>
            <w:pPr>
              <w:jc w:val="center"/>
              <w:ind w:right="520"/>
              <w:spacing w:after="0" w:line="182" w:lineRule="exact"/>
              <w:rPr>
                <w:sz w:val="20"/>
                <w:szCs w:val="20"/>
                <w:color w:val="auto"/>
              </w:rPr>
            </w:pPr>
            <w:r>
              <w:rPr>
                <w:rFonts w:ascii="Arial" w:cs="Arial" w:eastAsia="Arial" w:hAnsi="Arial"/>
                <w:sz w:val="16"/>
                <w:szCs w:val="16"/>
                <w:color w:val="auto"/>
                <w:w w:val="97"/>
              </w:rPr>
              <w:t>expectations with faster than</w:t>
            </w:r>
          </w:p>
        </w:tc>
        <w:tc>
          <w:tcPr>
            <w:tcW w:w="3720" w:type="dxa"/>
            <w:vAlign w:val="bottom"/>
            <w:gridSpan w:val="2"/>
          </w:tcPr>
          <w:p>
            <w:pPr>
              <w:jc w:val="center"/>
              <w:ind w:right="400"/>
              <w:spacing w:after="0" w:line="182" w:lineRule="exact"/>
              <w:rPr>
                <w:sz w:val="20"/>
                <w:szCs w:val="20"/>
                <w:color w:val="auto"/>
              </w:rPr>
            </w:pPr>
            <w:r>
              <w:rPr>
                <w:rFonts w:ascii="Arial" w:cs="Arial" w:eastAsia="Arial" w:hAnsi="Arial"/>
                <w:sz w:val="16"/>
                <w:szCs w:val="16"/>
                <w:color w:val="auto"/>
                <w:w w:val="97"/>
              </w:rPr>
              <w:t>market. Each asset has significant</w:t>
            </w:r>
          </w:p>
        </w:tc>
        <w:tc>
          <w:tcPr>
            <w:tcW w:w="3200" w:type="dxa"/>
            <w:vAlign w:val="bottom"/>
          </w:tcPr>
          <w:p>
            <w:pPr>
              <w:jc w:val="center"/>
              <w:ind w:left="22"/>
              <w:spacing w:after="0" w:line="182" w:lineRule="exact"/>
              <w:rPr>
                <w:sz w:val="20"/>
                <w:szCs w:val="20"/>
                <w:color w:val="auto"/>
              </w:rPr>
            </w:pPr>
            <w:r>
              <w:rPr>
                <w:rFonts w:ascii="Arial" w:cs="Arial" w:eastAsia="Arial" w:hAnsi="Arial"/>
                <w:sz w:val="16"/>
                <w:szCs w:val="16"/>
                <w:color w:val="auto"/>
                <w:w w:val="97"/>
              </w:rPr>
              <w:t>buildings at Assembly Row placed into</w:t>
            </w:r>
          </w:p>
        </w:tc>
      </w:tr>
      <w:tr>
        <w:trPr>
          <w:trHeight w:val="182"/>
        </w:trPr>
        <w:tc>
          <w:tcPr>
            <w:tcW w:w="3700" w:type="dxa"/>
            <w:vAlign w:val="bottom"/>
            <w:gridSpan w:val="2"/>
          </w:tcPr>
          <w:p>
            <w:pPr>
              <w:jc w:val="center"/>
              <w:ind w:right="540"/>
              <w:spacing w:after="0" w:line="182" w:lineRule="exact"/>
              <w:rPr>
                <w:sz w:val="20"/>
                <w:szCs w:val="20"/>
                <w:color w:val="auto"/>
              </w:rPr>
            </w:pPr>
            <w:r>
              <w:rPr>
                <w:rFonts w:ascii="Arial" w:cs="Arial" w:eastAsia="Arial" w:hAnsi="Arial"/>
                <w:sz w:val="16"/>
                <w:szCs w:val="16"/>
                <w:color w:val="auto"/>
                <w:w w:val="97"/>
              </w:rPr>
              <w:t>expected retailer recovery from</w:t>
            </w:r>
          </w:p>
        </w:tc>
        <w:tc>
          <w:tcPr>
            <w:tcW w:w="3720" w:type="dxa"/>
            <w:vAlign w:val="bottom"/>
            <w:gridSpan w:val="2"/>
          </w:tcPr>
          <w:p>
            <w:pPr>
              <w:jc w:val="center"/>
              <w:ind w:right="400"/>
              <w:spacing w:after="0" w:line="182" w:lineRule="exact"/>
              <w:rPr>
                <w:sz w:val="20"/>
                <w:szCs w:val="20"/>
                <w:color w:val="auto"/>
              </w:rPr>
            </w:pPr>
            <w:r>
              <w:rPr>
                <w:rFonts w:ascii="Arial" w:cs="Arial" w:eastAsia="Arial" w:hAnsi="Arial"/>
                <w:sz w:val="16"/>
                <w:szCs w:val="16"/>
                <w:color w:val="auto"/>
                <w:w w:val="97"/>
              </w:rPr>
              <w:t>long-term value creation opportunities and</w:t>
            </w:r>
          </w:p>
        </w:tc>
        <w:tc>
          <w:tcPr>
            <w:tcW w:w="3200" w:type="dxa"/>
            <w:vAlign w:val="bottom"/>
          </w:tcPr>
          <w:p>
            <w:pPr>
              <w:jc w:val="center"/>
              <w:ind w:left="42"/>
              <w:spacing w:after="0" w:line="182" w:lineRule="exact"/>
              <w:rPr>
                <w:sz w:val="20"/>
                <w:szCs w:val="20"/>
                <w:color w:val="auto"/>
              </w:rPr>
            </w:pPr>
            <w:r>
              <w:rPr>
                <w:rFonts w:ascii="Arial" w:cs="Arial" w:eastAsia="Arial" w:hAnsi="Arial"/>
                <w:sz w:val="16"/>
                <w:szCs w:val="16"/>
                <w:color w:val="auto"/>
                <w:w w:val="97"/>
              </w:rPr>
              <w:t>service and delivering additional revenue to</w:t>
            </w:r>
          </w:p>
        </w:tc>
      </w:tr>
      <w:tr>
        <w:trPr>
          <w:trHeight w:val="182"/>
        </w:trPr>
        <w:tc>
          <w:tcPr>
            <w:tcW w:w="3700" w:type="dxa"/>
            <w:vAlign w:val="bottom"/>
            <w:gridSpan w:val="2"/>
          </w:tcPr>
          <w:p>
            <w:pPr>
              <w:jc w:val="center"/>
              <w:ind w:right="540"/>
              <w:spacing w:after="0" w:line="182" w:lineRule="exact"/>
              <w:rPr>
                <w:sz w:val="20"/>
                <w:szCs w:val="20"/>
                <w:color w:val="auto"/>
              </w:rPr>
            </w:pPr>
            <w:r>
              <w:rPr>
                <w:rFonts w:ascii="Arial" w:cs="Arial" w:eastAsia="Arial" w:hAnsi="Arial"/>
                <w:sz w:val="16"/>
                <w:szCs w:val="16"/>
                <w:color w:val="auto"/>
                <w:w w:val="98"/>
              </w:rPr>
              <w:t>COVID and collection of larger</w:t>
            </w:r>
          </w:p>
        </w:tc>
        <w:tc>
          <w:tcPr>
            <w:tcW w:w="3720" w:type="dxa"/>
            <w:vAlign w:val="bottom"/>
            <w:gridSpan w:val="2"/>
          </w:tcPr>
          <w:p>
            <w:pPr>
              <w:jc w:val="center"/>
              <w:ind w:right="400"/>
              <w:spacing w:after="0" w:line="182" w:lineRule="exact"/>
              <w:rPr>
                <w:sz w:val="20"/>
                <w:szCs w:val="20"/>
                <w:color w:val="auto"/>
              </w:rPr>
            </w:pPr>
            <w:r>
              <w:rPr>
                <w:rFonts w:ascii="Arial" w:cs="Arial" w:eastAsia="Arial" w:hAnsi="Arial"/>
                <w:sz w:val="16"/>
                <w:szCs w:val="16"/>
                <w:color w:val="auto"/>
                <w:w w:val="97"/>
              </w:rPr>
              <w:t>was acquired at favorable, COVID impacted</w:t>
            </w:r>
          </w:p>
        </w:tc>
        <w:tc>
          <w:tcPr>
            <w:tcW w:w="3200" w:type="dxa"/>
            <w:vAlign w:val="bottom"/>
          </w:tcPr>
          <w:p>
            <w:pPr>
              <w:jc w:val="center"/>
              <w:ind w:left="42"/>
              <w:spacing w:after="0" w:line="182" w:lineRule="exact"/>
              <w:rPr>
                <w:sz w:val="20"/>
                <w:szCs w:val="20"/>
                <w:color w:val="auto"/>
              </w:rPr>
            </w:pPr>
            <w:r>
              <w:rPr>
                <w:rFonts w:ascii="Arial" w:cs="Arial" w:eastAsia="Arial" w:hAnsi="Arial"/>
                <w:sz w:val="16"/>
                <w:szCs w:val="16"/>
                <w:color w:val="auto"/>
                <w:w w:val="97"/>
              </w:rPr>
              <w:t>drive growth over the next several years</w:t>
            </w:r>
          </w:p>
        </w:tc>
      </w:tr>
      <w:tr>
        <w:trPr>
          <w:trHeight w:val="182"/>
        </w:trPr>
        <w:tc>
          <w:tcPr>
            <w:tcW w:w="3700" w:type="dxa"/>
            <w:vAlign w:val="bottom"/>
            <w:gridSpan w:val="2"/>
          </w:tcPr>
          <w:p>
            <w:pPr>
              <w:jc w:val="center"/>
              <w:ind w:right="540"/>
              <w:spacing w:after="0" w:line="182" w:lineRule="exact"/>
              <w:rPr>
                <w:sz w:val="20"/>
                <w:szCs w:val="20"/>
                <w:color w:val="auto"/>
              </w:rPr>
            </w:pPr>
            <w:r>
              <w:rPr>
                <w:rFonts w:ascii="Arial" w:cs="Arial" w:eastAsia="Arial" w:hAnsi="Arial"/>
                <w:sz w:val="16"/>
                <w:szCs w:val="16"/>
                <w:color w:val="auto"/>
                <w:w w:val="97"/>
              </w:rPr>
              <w:t>amount of past due rents than</w:t>
            </w:r>
          </w:p>
        </w:tc>
        <w:tc>
          <w:tcPr>
            <w:tcW w:w="3720" w:type="dxa"/>
            <w:vAlign w:val="bottom"/>
            <w:gridSpan w:val="2"/>
          </w:tcPr>
          <w:p>
            <w:pPr>
              <w:jc w:val="center"/>
              <w:ind w:right="420"/>
              <w:spacing w:after="0" w:line="182" w:lineRule="exact"/>
              <w:rPr>
                <w:sz w:val="20"/>
                <w:szCs w:val="20"/>
                <w:color w:val="auto"/>
              </w:rPr>
            </w:pPr>
            <w:r>
              <w:rPr>
                <w:rFonts w:ascii="Arial" w:cs="Arial" w:eastAsia="Arial" w:hAnsi="Arial"/>
                <w:sz w:val="16"/>
                <w:szCs w:val="16"/>
                <w:color w:val="auto"/>
                <w:w w:val="96"/>
              </w:rPr>
              <w:t>pricing.</w:t>
            </w:r>
          </w:p>
        </w:tc>
        <w:tc>
          <w:tcPr>
            <w:tcW w:w="3200" w:type="dxa"/>
            <w:vAlign w:val="bottom"/>
          </w:tcPr>
          <w:p>
            <w:pPr>
              <w:spacing w:after="0"/>
              <w:rPr>
                <w:sz w:val="15"/>
                <w:szCs w:val="15"/>
                <w:color w:val="auto"/>
              </w:rPr>
            </w:pPr>
          </w:p>
        </w:tc>
      </w:tr>
      <w:tr>
        <w:trPr>
          <w:trHeight w:val="187"/>
        </w:trPr>
        <w:tc>
          <w:tcPr>
            <w:tcW w:w="3700" w:type="dxa"/>
            <w:vAlign w:val="bottom"/>
            <w:gridSpan w:val="2"/>
          </w:tcPr>
          <w:p>
            <w:pPr>
              <w:jc w:val="center"/>
              <w:ind w:right="540"/>
              <w:spacing w:after="0"/>
              <w:rPr>
                <w:sz w:val="20"/>
                <w:szCs w:val="20"/>
                <w:color w:val="auto"/>
              </w:rPr>
            </w:pPr>
            <w:r>
              <w:rPr>
                <w:rFonts w:ascii="Arial" w:cs="Arial" w:eastAsia="Arial" w:hAnsi="Arial"/>
                <w:sz w:val="16"/>
                <w:szCs w:val="16"/>
                <w:color w:val="auto"/>
                <w:w w:val="98"/>
              </w:rPr>
              <w:t>anticipated</w:t>
            </w:r>
          </w:p>
        </w:tc>
        <w:tc>
          <w:tcPr>
            <w:tcW w:w="3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-714375</wp:posOffset>
            </wp:positionV>
            <wp:extent cx="6740525" cy="735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0525" cy="735330"/>
                    </a:xfrm>
                    <a:prstGeom prst="rect">
                      <a:avLst/>
                    </a:prstGeom>
                    <a:noFill/>
                  </pic:spPr>
                </pic:pic>
              </a:graphicData>
            </a:graphic>
          </wp:anchor>
        </w:drawing>
      </w:r>
    </w:p>
    <w:p>
      <w:pPr>
        <w:spacing w:after="0" w:line="1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FFO per share is a non-GAAP financial measure. See Appendix A for a reconciliation of FFO per share to net income.</w:t>
      </w:r>
    </w:p>
    <w:p>
      <w:pPr>
        <w:spacing w:after="0" w:line="170" w:lineRule="exact"/>
        <w:rPr>
          <w:sz w:val="20"/>
          <w:szCs w:val="20"/>
          <w:color w:val="auto"/>
        </w:rPr>
      </w:pPr>
    </w:p>
    <w:tbl>
      <w:tblPr>
        <w:tblLayout w:type="fixed"/>
        <w:tblInd w:w="1284" w:type="dxa"/>
        <w:tblCellMar>
          <w:top w:w="0" w:type="dxa"/>
          <w:left w:w="0" w:type="dxa"/>
          <w:bottom w:w="0" w:type="dxa"/>
          <w:right w:w="0" w:type="dxa"/>
        </w:tblCellMar>
      </w:tblPr>
      <w:tr>
        <w:trPr>
          <w:trHeight w:val="305"/>
        </w:trPr>
        <w:tc>
          <w:tcPr>
            <w:tcW w:w="466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Record Leasing Activity</w:t>
            </w:r>
          </w:p>
        </w:tc>
        <w:tc>
          <w:tcPr>
            <w:tcW w:w="3400" w:type="dxa"/>
            <w:vAlign w:val="bottom"/>
          </w:tcPr>
          <w:p>
            <w:pPr>
              <w:jc w:val="center"/>
              <w:ind w:left="4"/>
              <w:spacing w:after="0"/>
              <w:rPr>
                <w:sz w:val="20"/>
                <w:szCs w:val="20"/>
                <w:color w:val="auto"/>
              </w:rPr>
            </w:pPr>
            <w:r>
              <w:rPr>
                <w:rFonts w:ascii="Arial" w:cs="Arial" w:eastAsia="Arial" w:hAnsi="Arial"/>
                <w:sz w:val="16"/>
                <w:szCs w:val="16"/>
                <w:b w:val="1"/>
                <w:bCs w:val="1"/>
                <w:color w:val="auto"/>
                <w:w w:val="95"/>
              </w:rPr>
              <w:t>Increased Dividend for 54</w:t>
            </w:r>
            <w:r>
              <w:rPr>
                <w:rFonts w:ascii="Arial" w:cs="Arial" w:eastAsia="Arial" w:hAnsi="Arial"/>
                <w:sz w:val="26"/>
                <w:szCs w:val="26"/>
                <w:b w:val="1"/>
                <w:bCs w:val="1"/>
                <w:color w:val="auto"/>
                <w:w w:val="95"/>
                <w:vertAlign w:val="superscript"/>
              </w:rPr>
              <w:t>th</w:t>
            </w:r>
            <w:r>
              <w:rPr>
                <w:rFonts w:ascii="Arial" w:cs="Arial" w:eastAsia="Arial" w:hAnsi="Arial"/>
                <w:sz w:val="16"/>
                <w:szCs w:val="16"/>
                <w:b w:val="1"/>
                <w:bCs w:val="1"/>
                <w:color w:val="auto"/>
                <w:w w:val="95"/>
              </w:rPr>
              <w:t xml:space="preserve"> Year</w:t>
            </w:r>
          </w:p>
        </w:tc>
      </w:tr>
      <w:tr>
        <w:trPr>
          <w:trHeight w:val="192"/>
        </w:trPr>
        <w:tc>
          <w:tcPr>
            <w:tcW w:w="3380" w:type="dxa"/>
            <w:vAlign w:val="bottom"/>
            <w:tcBorders>
              <w:top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8"/>
              </w:rPr>
              <w:t>Signed 593 new and renewal leases</w:t>
            </w:r>
          </w:p>
        </w:tc>
        <w:tc>
          <w:tcPr>
            <w:tcW w:w="1280" w:type="dxa"/>
            <w:vAlign w:val="bottom"/>
          </w:tcPr>
          <w:p>
            <w:pPr>
              <w:spacing w:after="0"/>
              <w:rPr>
                <w:sz w:val="16"/>
                <w:szCs w:val="16"/>
                <w:color w:val="auto"/>
              </w:rPr>
            </w:pPr>
          </w:p>
        </w:tc>
        <w:tc>
          <w:tcPr>
            <w:tcW w:w="3400" w:type="dxa"/>
            <w:vAlign w:val="bottom"/>
            <w:tcBorders>
              <w:top w:val="single" w:sz="8" w:color="FF160F"/>
            </w:tcBorders>
            <w:shd w:val="clear" w:color="auto" w:fill="D8D8D8"/>
          </w:tcPr>
          <w:p>
            <w:pPr>
              <w:jc w:val="center"/>
              <w:ind w:left="24"/>
              <w:spacing w:after="0"/>
              <w:rPr>
                <w:sz w:val="20"/>
                <w:szCs w:val="20"/>
                <w:color w:val="auto"/>
              </w:rPr>
            </w:pPr>
            <w:r>
              <w:rPr>
                <w:rFonts w:ascii="Arial" w:cs="Arial" w:eastAsia="Arial" w:hAnsi="Arial"/>
                <w:sz w:val="16"/>
                <w:szCs w:val="16"/>
                <w:color w:val="auto"/>
                <w:w w:val="97"/>
              </w:rPr>
              <w:t>Increased dividend rate on our</w:t>
            </w:r>
          </w:p>
        </w:tc>
      </w:tr>
      <w:tr>
        <w:trPr>
          <w:trHeight w:val="187"/>
        </w:trPr>
        <w:tc>
          <w:tcPr>
            <w:tcW w:w="338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7"/>
              </w:rPr>
              <w:t>for nearly 2.9 million square feet of</w:t>
            </w:r>
          </w:p>
        </w:tc>
        <w:tc>
          <w:tcPr>
            <w:tcW w:w="1280" w:type="dxa"/>
            <w:vAlign w:val="bottom"/>
          </w:tcPr>
          <w:p>
            <w:pPr>
              <w:spacing w:after="0"/>
              <w:rPr>
                <w:sz w:val="16"/>
                <w:szCs w:val="16"/>
                <w:color w:val="auto"/>
              </w:rPr>
            </w:pPr>
          </w:p>
        </w:tc>
        <w:tc>
          <w:tcPr>
            <w:tcW w:w="3400" w:type="dxa"/>
            <w:vAlign w:val="bottom"/>
            <w:shd w:val="clear" w:color="auto" w:fill="D8D8D8"/>
          </w:tcPr>
          <w:p>
            <w:pPr>
              <w:jc w:val="center"/>
              <w:ind w:left="4"/>
              <w:spacing w:after="0" w:line="187" w:lineRule="exact"/>
              <w:rPr>
                <w:sz w:val="20"/>
                <w:szCs w:val="20"/>
                <w:color w:val="auto"/>
              </w:rPr>
            </w:pPr>
            <w:r>
              <w:rPr>
                <w:rFonts w:ascii="Arial" w:cs="Arial" w:eastAsia="Arial" w:hAnsi="Arial"/>
                <w:sz w:val="13"/>
                <w:szCs w:val="13"/>
                <w:color w:val="auto"/>
              </w:rPr>
              <w:t>common shares for the 54</w:t>
            </w:r>
            <w:r>
              <w:rPr>
                <w:rFonts w:ascii="Arial" w:cs="Arial" w:eastAsia="Arial" w:hAnsi="Arial"/>
                <w:sz w:val="21"/>
                <w:szCs w:val="21"/>
                <w:color w:val="auto"/>
                <w:vertAlign w:val="superscript"/>
              </w:rPr>
              <w:t>th</w:t>
            </w:r>
          </w:p>
        </w:tc>
      </w:tr>
      <w:tr>
        <w:trPr>
          <w:trHeight w:val="182"/>
        </w:trPr>
        <w:tc>
          <w:tcPr>
            <w:tcW w:w="3380" w:type="dxa"/>
            <w:vAlign w:val="bottom"/>
            <w:shd w:val="clear" w:color="auto" w:fill="D8D8D8"/>
          </w:tcPr>
          <w:p>
            <w:pPr>
              <w:jc w:val="center"/>
              <w:spacing w:after="0" w:line="182" w:lineRule="exact"/>
              <w:rPr>
                <w:sz w:val="20"/>
                <w:szCs w:val="20"/>
                <w:color w:val="auto"/>
              </w:rPr>
            </w:pPr>
            <w:r>
              <w:rPr>
                <w:rFonts w:ascii="Arial" w:cs="Arial" w:eastAsia="Arial" w:hAnsi="Arial"/>
                <w:sz w:val="16"/>
                <w:szCs w:val="16"/>
                <w:color w:val="auto"/>
                <w:w w:val="98"/>
              </w:rPr>
              <w:t>space</w:t>
            </w:r>
          </w:p>
        </w:tc>
        <w:tc>
          <w:tcPr>
            <w:tcW w:w="1280" w:type="dxa"/>
            <w:vAlign w:val="bottom"/>
          </w:tcPr>
          <w:p>
            <w:pPr>
              <w:spacing w:after="0"/>
              <w:rPr>
                <w:sz w:val="15"/>
                <w:szCs w:val="15"/>
                <w:color w:val="auto"/>
              </w:rPr>
            </w:pPr>
          </w:p>
        </w:tc>
        <w:tc>
          <w:tcPr>
            <w:tcW w:w="3400" w:type="dxa"/>
            <w:vAlign w:val="bottom"/>
            <w:shd w:val="clear" w:color="auto" w:fill="D8D8D8"/>
          </w:tcPr>
          <w:p>
            <w:pPr>
              <w:jc w:val="center"/>
              <w:ind w:left="24"/>
              <w:spacing w:after="0" w:line="182" w:lineRule="exact"/>
              <w:rPr>
                <w:sz w:val="20"/>
                <w:szCs w:val="20"/>
                <w:color w:val="auto"/>
              </w:rPr>
            </w:pPr>
            <w:r>
              <w:rPr>
                <w:rFonts w:ascii="Arial" w:cs="Arial" w:eastAsia="Arial" w:hAnsi="Arial"/>
                <w:sz w:val="16"/>
                <w:szCs w:val="16"/>
                <w:color w:val="auto"/>
                <w:w w:val="96"/>
              </w:rPr>
              <w:t>consecutive year, the longest such</w:t>
            </w:r>
          </w:p>
        </w:tc>
      </w:tr>
      <w:tr>
        <w:trPr>
          <w:trHeight w:val="187"/>
        </w:trPr>
        <w:tc>
          <w:tcPr>
            <w:tcW w:w="3380" w:type="dxa"/>
            <w:vAlign w:val="bottom"/>
            <w:shd w:val="clear" w:color="auto" w:fill="D8D8D8"/>
          </w:tcPr>
          <w:p>
            <w:pPr>
              <w:spacing w:after="0"/>
              <w:rPr>
                <w:sz w:val="16"/>
                <w:szCs w:val="16"/>
                <w:color w:val="auto"/>
              </w:rPr>
            </w:pPr>
          </w:p>
        </w:tc>
        <w:tc>
          <w:tcPr>
            <w:tcW w:w="1280" w:type="dxa"/>
            <w:vAlign w:val="bottom"/>
          </w:tcPr>
          <w:p>
            <w:pPr>
              <w:spacing w:after="0"/>
              <w:rPr>
                <w:sz w:val="16"/>
                <w:szCs w:val="16"/>
                <w:color w:val="auto"/>
              </w:rPr>
            </w:pPr>
          </w:p>
        </w:tc>
        <w:tc>
          <w:tcPr>
            <w:tcW w:w="3400" w:type="dxa"/>
            <w:vAlign w:val="bottom"/>
            <w:shd w:val="clear" w:color="auto" w:fill="D8D8D8"/>
          </w:tcPr>
          <w:p>
            <w:pPr>
              <w:jc w:val="center"/>
              <w:ind w:left="24"/>
              <w:spacing w:after="0"/>
              <w:rPr>
                <w:sz w:val="20"/>
                <w:szCs w:val="20"/>
                <w:color w:val="auto"/>
              </w:rPr>
            </w:pPr>
            <w:r>
              <w:rPr>
                <w:rFonts w:ascii="Arial" w:cs="Arial" w:eastAsia="Arial" w:hAnsi="Arial"/>
                <w:sz w:val="16"/>
                <w:szCs w:val="16"/>
                <w:color w:val="auto"/>
                <w:w w:val="97"/>
              </w:rPr>
              <w:t>record in the REIT industry</w:t>
            </w:r>
          </w:p>
        </w:tc>
      </w:tr>
      <w:tr>
        <w:trPr>
          <w:trHeight w:val="32"/>
        </w:trPr>
        <w:tc>
          <w:tcPr>
            <w:tcW w:w="3380" w:type="dxa"/>
            <w:vAlign w:val="bottom"/>
            <w:shd w:val="clear" w:color="auto" w:fill="D8D8D8"/>
          </w:tcPr>
          <w:p>
            <w:pPr>
              <w:spacing w:after="0"/>
              <w:rPr>
                <w:sz w:val="2"/>
                <w:szCs w:val="2"/>
                <w:color w:val="auto"/>
              </w:rPr>
            </w:pPr>
          </w:p>
        </w:tc>
        <w:tc>
          <w:tcPr>
            <w:tcW w:w="1280" w:type="dxa"/>
            <w:vAlign w:val="bottom"/>
          </w:tcPr>
          <w:p>
            <w:pPr>
              <w:spacing w:after="0"/>
              <w:rPr>
                <w:sz w:val="2"/>
                <w:szCs w:val="2"/>
                <w:color w:val="auto"/>
              </w:rPr>
            </w:pPr>
          </w:p>
        </w:tc>
        <w:tc>
          <w:tcPr>
            <w:tcW w:w="3400" w:type="dxa"/>
            <w:vAlign w:val="bottom"/>
            <w:shd w:val="clear" w:color="auto" w:fill="D8D8D8"/>
          </w:tcPr>
          <w:p>
            <w:pPr>
              <w:spacing w:after="0"/>
              <w:rPr>
                <w:sz w:val="2"/>
                <w:szCs w:val="2"/>
                <w:color w:val="auto"/>
              </w:rPr>
            </w:pPr>
          </w:p>
        </w:tc>
      </w:tr>
    </w:tbl>
    <w:p>
      <w:pPr>
        <w:spacing w:after="0" w:line="18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Executive Leadership</w:t>
      </w:r>
    </w:p>
    <w:p>
      <w:pPr>
        <w:spacing w:after="0" w:line="230" w:lineRule="exact"/>
        <w:rPr>
          <w:sz w:val="20"/>
          <w:szCs w:val="20"/>
          <w:color w:val="auto"/>
        </w:rPr>
      </w:pPr>
    </w:p>
    <w:p>
      <w:pPr>
        <w:jc w:val="both"/>
        <w:ind w:left="4"/>
        <w:spacing w:after="0" w:line="247" w:lineRule="auto"/>
        <w:rPr>
          <w:sz w:val="20"/>
          <w:szCs w:val="20"/>
          <w:color w:val="auto"/>
        </w:rPr>
      </w:pPr>
      <w:r>
        <w:rPr>
          <w:rFonts w:ascii="Arial" w:cs="Arial" w:eastAsia="Arial" w:hAnsi="Arial"/>
          <w:sz w:val="17"/>
          <w:szCs w:val="17"/>
          <w:color w:val="auto"/>
        </w:rPr>
        <w:t>In February 2021, Jeffrey S. Berkes was promoted to the position of President and Chief Operating Officer. The Committee approved a new compensation package for Mr. Berkes commensurate with his new responsibilities. A more detailed discussion of that compensation package can be found on page 28.</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Pay Decision Summary</w:t>
      </w:r>
    </w:p>
    <w:p>
      <w:pPr>
        <w:spacing w:after="0" w:line="230"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7"/>
          <w:szCs w:val="17"/>
          <w:color w:val="auto"/>
        </w:rPr>
        <w:t>The Committee did not change the targeted level of compensation for any of our NEOs for 2021 with the exception of Mr. Berkes whose compensation was changed in connection his promotion. In addition, a share grant was made to Mr. Guglielmone as described in more detail below. Based on our 2021 performance, our annual bonus plan paid out at 125% of target and our long-term incentive plan paid out at 99% of target.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COMPENSATION PLAN OVERVIEW</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Compensation Objectives</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executive compensation program is structured with 3 primary objectives:</w:t>
      </w:r>
    </w:p>
    <w:p>
      <w:pPr>
        <w:spacing w:after="0" w:line="21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70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8"/>
              </w:rPr>
              <w:t>Align with Shareholders</w:t>
            </w:r>
          </w:p>
        </w:tc>
        <w:tc>
          <w:tcPr>
            <w:tcW w:w="3080" w:type="dxa"/>
            <w:vAlign w:val="bottom"/>
          </w:tcPr>
          <w:p>
            <w:pPr>
              <w:jc w:val="center"/>
              <w:ind w:left="42"/>
              <w:spacing w:after="0"/>
              <w:rPr>
                <w:sz w:val="20"/>
                <w:szCs w:val="20"/>
                <w:color w:val="auto"/>
              </w:rPr>
            </w:pPr>
            <w:r>
              <w:rPr>
                <w:rFonts w:ascii="Arial" w:cs="Arial" w:eastAsia="Arial" w:hAnsi="Arial"/>
                <w:sz w:val="16"/>
                <w:szCs w:val="16"/>
                <w:b w:val="1"/>
                <w:bCs w:val="1"/>
                <w:color w:val="auto"/>
                <w:w w:val="97"/>
              </w:rPr>
              <w:t>Incentivize Performance</w:t>
            </w:r>
          </w:p>
        </w:tc>
        <w:tc>
          <w:tcPr>
            <w:tcW w:w="740" w:type="dxa"/>
            <w:vAlign w:val="bottom"/>
          </w:tcPr>
          <w:p>
            <w:pPr>
              <w:spacing w:after="0"/>
              <w:rPr>
                <w:sz w:val="17"/>
                <w:szCs w:val="17"/>
                <w:color w:val="auto"/>
              </w:rPr>
            </w:pPr>
          </w:p>
        </w:tc>
        <w:tc>
          <w:tcPr>
            <w:tcW w:w="3100" w:type="dxa"/>
            <w:vAlign w:val="bottom"/>
          </w:tcPr>
          <w:p>
            <w:pPr>
              <w:jc w:val="center"/>
              <w:ind w:left="42"/>
              <w:spacing w:after="0"/>
              <w:rPr>
                <w:sz w:val="20"/>
                <w:szCs w:val="20"/>
                <w:color w:val="auto"/>
              </w:rPr>
            </w:pPr>
            <w:r>
              <w:rPr>
                <w:rFonts w:ascii="Arial" w:cs="Arial" w:eastAsia="Arial" w:hAnsi="Arial"/>
                <w:sz w:val="16"/>
                <w:szCs w:val="16"/>
                <w:b w:val="1"/>
                <w:bCs w:val="1"/>
                <w:color w:val="auto"/>
                <w:w w:val="96"/>
              </w:rPr>
              <w:t>Provide Competitive Pay</w:t>
            </w:r>
          </w:p>
        </w:tc>
      </w:tr>
      <w:tr>
        <w:trPr>
          <w:trHeight w:val="51"/>
        </w:trPr>
        <w:tc>
          <w:tcPr>
            <w:tcW w:w="2960" w:type="dxa"/>
            <w:vAlign w:val="bottom"/>
            <w:tcBorders>
              <w:bottom w:val="single" w:sz="8" w:color="FF160F"/>
            </w:tcBorders>
          </w:tcPr>
          <w:p>
            <w:pPr>
              <w:spacing w:after="0"/>
              <w:rPr>
                <w:sz w:val="4"/>
                <w:szCs w:val="4"/>
                <w:color w:val="auto"/>
              </w:rPr>
            </w:pPr>
          </w:p>
        </w:tc>
        <w:tc>
          <w:tcPr>
            <w:tcW w:w="740" w:type="dxa"/>
            <w:vAlign w:val="bottom"/>
          </w:tcPr>
          <w:p>
            <w:pPr>
              <w:spacing w:after="0"/>
              <w:rPr>
                <w:sz w:val="4"/>
                <w:szCs w:val="4"/>
                <w:color w:val="auto"/>
              </w:rPr>
            </w:pPr>
          </w:p>
        </w:tc>
        <w:tc>
          <w:tcPr>
            <w:tcW w:w="3080" w:type="dxa"/>
            <w:vAlign w:val="bottom"/>
            <w:tcBorders>
              <w:bottom w:val="single" w:sz="8" w:color="FF160F"/>
            </w:tcBorders>
          </w:tcPr>
          <w:p>
            <w:pPr>
              <w:spacing w:after="0"/>
              <w:rPr>
                <w:sz w:val="4"/>
                <w:szCs w:val="4"/>
                <w:color w:val="auto"/>
              </w:rPr>
            </w:pPr>
          </w:p>
        </w:tc>
        <w:tc>
          <w:tcPr>
            <w:tcW w:w="740" w:type="dxa"/>
            <w:vAlign w:val="bottom"/>
          </w:tcPr>
          <w:p>
            <w:pPr>
              <w:spacing w:after="0"/>
              <w:rPr>
                <w:sz w:val="4"/>
                <w:szCs w:val="4"/>
                <w:color w:val="auto"/>
              </w:rPr>
            </w:pPr>
          </w:p>
        </w:tc>
        <w:tc>
          <w:tcPr>
            <w:tcW w:w="3100" w:type="dxa"/>
            <w:vAlign w:val="bottom"/>
            <w:tcBorders>
              <w:bottom w:val="single" w:sz="8" w:color="FF160F"/>
            </w:tcBorders>
          </w:tcPr>
          <w:p>
            <w:pPr>
              <w:spacing w:after="0"/>
              <w:rPr>
                <w:sz w:val="4"/>
                <w:szCs w:val="4"/>
                <w:color w:val="auto"/>
              </w:rPr>
            </w:pPr>
          </w:p>
        </w:tc>
      </w:tr>
      <w:tr>
        <w:trPr>
          <w:trHeight w:val="197"/>
        </w:trPr>
        <w:tc>
          <w:tcPr>
            <w:tcW w:w="296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8"/>
              </w:rPr>
              <w:t>Align executive compensation</w:t>
            </w:r>
          </w:p>
        </w:tc>
        <w:tc>
          <w:tcPr>
            <w:tcW w:w="740" w:type="dxa"/>
            <w:vAlign w:val="bottom"/>
          </w:tcPr>
          <w:p>
            <w:pPr>
              <w:spacing w:after="0"/>
              <w:rPr>
                <w:sz w:val="17"/>
                <w:szCs w:val="17"/>
                <w:color w:val="auto"/>
              </w:rPr>
            </w:pPr>
          </w:p>
        </w:tc>
        <w:tc>
          <w:tcPr>
            <w:tcW w:w="3080" w:type="dxa"/>
            <w:vAlign w:val="bottom"/>
            <w:shd w:val="clear" w:color="auto" w:fill="D8D8D8"/>
          </w:tcPr>
          <w:p>
            <w:pPr>
              <w:jc w:val="center"/>
              <w:ind w:left="62"/>
              <w:spacing w:after="0"/>
              <w:rPr>
                <w:sz w:val="20"/>
                <w:szCs w:val="20"/>
                <w:color w:val="auto"/>
              </w:rPr>
            </w:pPr>
            <w:r>
              <w:rPr>
                <w:rFonts w:ascii="Arial" w:cs="Arial" w:eastAsia="Arial" w:hAnsi="Arial"/>
                <w:sz w:val="16"/>
                <w:szCs w:val="16"/>
                <w:color w:val="auto"/>
                <w:w w:val="97"/>
              </w:rPr>
              <w:t>Link executive compensation to</w:t>
            </w:r>
          </w:p>
        </w:tc>
        <w:tc>
          <w:tcPr>
            <w:tcW w:w="740" w:type="dxa"/>
            <w:vAlign w:val="bottom"/>
          </w:tcPr>
          <w:p>
            <w:pPr>
              <w:spacing w:after="0"/>
              <w:rPr>
                <w:sz w:val="17"/>
                <w:szCs w:val="17"/>
                <w:color w:val="auto"/>
              </w:rPr>
            </w:pPr>
          </w:p>
        </w:tc>
        <w:tc>
          <w:tcPr>
            <w:tcW w:w="3100" w:type="dxa"/>
            <w:vAlign w:val="bottom"/>
            <w:shd w:val="clear" w:color="auto" w:fill="D8D8D8"/>
          </w:tcPr>
          <w:p>
            <w:pPr>
              <w:jc w:val="center"/>
              <w:ind w:left="42"/>
              <w:spacing w:after="0"/>
              <w:rPr>
                <w:sz w:val="20"/>
                <w:szCs w:val="20"/>
                <w:color w:val="auto"/>
              </w:rPr>
            </w:pPr>
            <w:r>
              <w:rPr>
                <w:rFonts w:ascii="Arial" w:cs="Arial" w:eastAsia="Arial" w:hAnsi="Arial"/>
                <w:sz w:val="16"/>
                <w:szCs w:val="16"/>
                <w:color w:val="auto"/>
                <w:w w:val="97"/>
              </w:rPr>
              <w:t>Establish competitive market</w:t>
            </w:r>
          </w:p>
        </w:tc>
      </w:tr>
      <w:tr>
        <w:trPr>
          <w:trHeight w:val="182"/>
        </w:trPr>
        <w:tc>
          <w:tcPr>
            <w:tcW w:w="2960" w:type="dxa"/>
            <w:vAlign w:val="bottom"/>
            <w:shd w:val="clear" w:color="auto" w:fill="D8D8D8"/>
          </w:tcPr>
          <w:p>
            <w:pPr>
              <w:jc w:val="center"/>
              <w:spacing w:after="0" w:line="182" w:lineRule="exact"/>
              <w:rPr>
                <w:sz w:val="20"/>
                <w:szCs w:val="20"/>
                <w:color w:val="auto"/>
              </w:rPr>
            </w:pPr>
            <w:r>
              <w:rPr>
                <w:rFonts w:ascii="Arial" w:cs="Arial" w:eastAsia="Arial" w:hAnsi="Arial"/>
                <w:sz w:val="16"/>
                <w:szCs w:val="16"/>
                <w:color w:val="auto"/>
                <w:w w:val="96"/>
              </w:rPr>
              <w:t>with the interests of our</w:t>
            </w:r>
          </w:p>
        </w:tc>
        <w:tc>
          <w:tcPr>
            <w:tcW w:w="740" w:type="dxa"/>
            <w:vAlign w:val="bottom"/>
          </w:tcPr>
          <w:p>
            <w:pPr>
              <w:spacing w:after="0"/>
              <w:rPr>
                <w:sz w:val="15"/>
                <w:szCs w:val="15"/>
                <w:color w:val="auto"/>
              </w:rPr>
            </w:pPr>
          </w:p>
        </w:tc>
        <w:tc>
          <w:tcPr>
            <w:tcW w:w="3080" w:type="dxa"/>
            <w:vAlign w:val="bottom"/>
            <w:shd w:val="clear" w:color="auto" w:fill="D8D8D8"/>
          </w:tcPr>
          <w:p>
            <w:pPr>
              <w:jc w:val="center"/>
              <w:ind w:left="42"/>
              <w:spacing w:after="0" w:line="182" w:lineRule="exact"/>
              <w:rPr>
                <w:sz w:val="20"/>
                <w:szCs w:val="20"/>
                <w:color w:val="auto"/>
              </w:rPr>
            </w:pPr>
            <w:r>
              <w:rPr>
                <w:rFonts w:ascii="Arial" w:cs="Arial" w:eastAsia="Arial" w:hAnsi="Arial"/>
                <w:sz w:val="16"/>
                <w:szCs w:val="16"/>
                <w:color w:val="auto"/>
                <w:w w:val="98"/>
              </w:rPr>
              <w:t>achieving short- and long-term</w:t>
            </w:r>
          </w:p>
        </w:tc>
        <w:tc>
          <w:tcPr>
            <w:tcW w:w="740" w:type="dxa"/>
            <w:vAlign w:val="bottom"/>
          </w:tcPr>
          <w:p>
            <w:pPr>
              <w:spacing w:after="0"/>
              <w:rPr>
                <w:sz w:val="15"/>
                <w:szCs w:val="15"/>
                <w:color w:val="auto"/>
              </w:rPr>
            </w:pPr>
          </w:p>
        </w:tc>
        <w:tc>
          <w:tcPr>
            <w:tcW w:w="3100" w:type="dxa"/>
            <w:vAlign w:val="bottom"/>
            <w:shd w:val="clear" w:color="auto" w:fill="D8D8D8"/>
          </w:tcPr>
          <w:p>
            <w:pPr>
              <w:jc w:val="center"/>
              <w:ind w:left="42"/>
              <w:spacing w:after="0" w:line="182" w:lineRule="exact"/>
              <w:rPr>
                <w:sz w:val="20"/>
                <w:szCs w:val="20"/>
                <w:color w:val="auto"/>
              </w:rPr>
            </w:pPr>
            <w:r>
              <w:rPr>
                <w:rFonts w:ascii="Arial" w:cs="Arial" w:eastAsia="Arial" w:hAnsi="Arial"/>
                <w:sz w:val="16"/>
                <w:szCs w:val="16"/>
                <w:color w:val="auto"/>
                <w:w w:val="97"/>
              </w:rPr>
              <w:t>compensation to compete and</w:t>
            </w:r>
          </w:p>
        </w:tc>
      </w:tr>
      <w:tr>
        <w:trPr>
          <w:trHeight w:val="182"/>
        </w:trPr>
        <w:tc>
          <w:tcPr>
            <w:tcW w:w="2960" w:type="dxa"/>
            <w:vAlign w:val="bottom"/>
            <w:shd w:val="clear" w:color="auto" w:fill="D8D8D8"/>
          </w:tcPr>
          <w:p>
            <w:pPr>
              <w:jc w:val="center"/>
              <w:spacing w:after="0" w:line="182" w:lineRule="exact"/>
              <w:rPr>
                <w:sz w:val="20"/>
                <w:szCs w:val="20"/>
                <w:color w:val="auto"/>
              </w:rPr>
            </w:pPr>
            <w:r>
              <w:rPr>
                <w:rFonts w:ascii="Arial" w:cs="Arial" w:eastAsia="Arial" w:hAnsi="Arial"/>
                <w:sz w:val="16"/>
                <w:szCs w:val="16"/>
                <w:color w:val="auto"/>
                <w:w w:val="99"/>
              </w:rPr>
              <w:t>shareholders</w:t>
            </w:r>
          </w:p>
        </w:tc>
        <w:tc>
          <w:tcPr>
            <w:tcW w:w="740" w:type="dxa"/>
            <w:vAlign w:val="bottom"/>
          </w:tcPr>
          <w:p>
            <w:pPr>
              <w:spacing w:after="0"/>
              <w:rPr>
                <w:sz w:val="15"/>
                <w:szCs w:val="15"/>
                <w:color w:val="auto"/>
              </w:rPr>
            </w:pPr>
          </w:p>
        </w:tc>
        <w:tc>
          <w:tcPr>
            <w:tcW w:w="3080" w:type="dxa"/>
            <w:vAlign w:val="bottom"/>
            <w:shd w:val="clear" w:color="auto" w:fill="D8D8D8"/>
          </w:tcPr>
          <w:p>
            <w:pPr>
              <w:jc w:val="center"/>
              <w:ind w:left="42"/>
              <w:spacing w:after="0" w:line="182" w:lineRule="exact"/>
              <w:rPr>
                <w:sz w:val="20"/>
                <w:szCs w:val="20"/>
                <w:color w:val="auto"/>
              </w:rPr>
            </w:pPr>
            <w:r>
              <w:rPr>
                <w:rFonts w:ascii="Arial" w:cs="Arial" w:eastAsia="Arial" w:hAnsi="Arial"/>
                <w:sz w:val="16"/>
                <w:szCs w:val="16"/>
                <w:color w:val="auto"/>
                <w:w w:val="98"/>
              </w:rPr>
              <w:t>business objectives</w:t>
            </w:r>
          </w:p>
        </w:tc>
        <w:tc>
          <w:tcPr>
            <w:tcW w:w="740" w:type="dxa"/>
            <w:vAlign w:val="bottom"/>
          </w:tcPr>
          <w:p>
            <w:pPr>
              <w:spacing w:after="0"/>
              <w:rPr>
                <w:sz w:val="15"/>
                <w:szCs w:val="15"/>
                <w:color w:val="auto"/>
              </w:rPr>
            </w:pPr>
          </w:p>
        </w:tc>
        <w:tc>
          <w:tcPr>
            <w:tcW w:w="3100" w:type="dxa"/>
            <w:vAlign w:val="bottom"/>
            <w:shd w:val="clear" w:color="auto" w:fill="D8D8D8"/>
          </w:tcPr>
          <w:p>
            <w:pPr>
              <w:jc w:val="center"/>
              <w:ind w:left="42"/>
              <w:spacing w:after="0" w:line="182" w:lineRule="exact"/>
              <w:rPr>
                <w:sz w:val="20"/>
                <w:szCs w:val="20"/>
                <w:color w:val="auto"/>
              </w:rPr>
            </w:pPr>
            <w:r>
              <w:rPr>
                <w:rFonts w:ascii="Arial" w:cs="Arial" w:eastAsia="Arial" w:hAnsi="Arial"/>
                <w:sz w:val="16"/>
                <w:szCs w:val="16"/>
                <w:color w:val="auto"/>
                <w:w w:val="97"/>
              </w:rPr>
              <w:t>retain top level talent critical to</w:t>
            </w:r>
          </w:p>
        </w:tc>
      </w:tr>
      <w:tr>
        <w:trPr>
          <w:trHeight w:val="187"/>
        </w:trPr>
        <w:tc>
          <w:tcPr>
            <w:tcW w:w="2960" w:type="dxa"/>
            <w:vAlign w:val="bottom"/>
            <w:shd w:val="clear" w:color="auto" w:fill="D8D8D8"/>
          </w:tcPr>
          <w:p>
            <w:pPr>
              <w:spacing w:after="0"/>
              <w:rPr>
                <w:sz w:val="16"/>
                <w:szCs w:val="16"/>
                <w:color w:val="auto"/>
              </w:rPr>
            </w:pPr>
          </w:p>
        </w:tc>
        <w:tc>
          <w:tcPr>
            <w:tcW w:w="740" w:type="dxa"/>
            <w:vAlign w:val="bottom"/>
          </w:tcPr>
          <w:p>
            <w:pPr>
              <w:spacing w:after="0"/>
              <w:rPr>
                <w:sz w:val="16"/>
                <w:szCs w:val="16"/>
                <w:color w:val="auto"/>
              </w:rPr>
            </w:pPr>
          </w:p>
        </w:tc>
        <w:tc>
          <w:tcPr>
            <w:tcW w:w="3080" w:type="dxa"/>
            <w:vAlign w:val="bottom"/>
            <w:shd w:val="clear" w:color="auto" w:fill="D8D8D8"/>
          </w:tcPr>
          <w:p>
            <w:pPr>
              <w:spacing w:after="0"/>
              <w:rPr>
                <w:sz w:val="16"/>
                <w:szCs w:val="16"/>
                <w:color w:val="auto"/>
              </w:rPr>
            </w:pPr>
          </w:p>
        </w:tc>
        <w:tc>
          <w:tcPr>
            <w:tcW w:w="740" w:type="dxa"/>
            <w:vAlign w:val="bottom"/>
          </w:tcPr>
          <w:p>
            <w:pPr>
              <w:spacing w:after="0"/>
              <w:rPr>
                <w:sz w:val="16"/>
                <w:szCs w:val="16"/>
                <w:color w:val="auto"/>
              </w:rPr>
            </w:pPr>
          </w:p>
        </w:tc>
        <w:tc>
          <w:tcPr>
            <w:tcW w:w="3100" w:type="dxa"/>
            <w:vAlign w:val="bottom"/>
            <w:shd w:val="clear" w:color="auto" w:fill="D8D8D8"/>
          </w:tcPr>
          <w:p>
            <w:pPr>
              <w:jc w:val="center"/>
              <w:ind w:left="42"/>
              <w:spacing w:after="0"/>
              <w:rPr>
                <w:sz w:val="20"/>
                <w:szCs w:val="20"/>
                <w:color w:val="auto"/>
              </w:rPr>
            </w:pPr>
            <w:r>
              <w:rPr>
                <w:rFonts w:ascii="Arial" w:cs="Arial" w:eastAsia="Arial" w:hAnsi="Arial"/>
                <w:sz w:val="16"/>
                <w:szCs w:val="16"/>
                <w:color w:val="auto"/>
                <w:w w:val="99"/>
              </w:rPr>
              <w:t>our business</w:t>
            </w:r>
          </w:p>
        </w:tc>
      </w:tr>
      <w:tr>
        <w:trPr>
          <w:trHeight w:val="32"/>
        </w:trPr>
        <w:tc>
          <w:tcPr>
            <w:tcW w:w="2960" w:type="dxa"/>
            <w:vAlign w:val="bottom"/>
            <w:shd w:val="clear" w:color="auto" w:fill="D8D8D8"/>
          </w:tcPr>
          <w:p>
            <w:pPr>
              <w:spacing w:after="0"/>
              <w:rPr>
                <w:sz w:val="2"/>
                <w:szCs w:val="2"/>
                <w:color w:val="auto"/>
              </w:rPr>
            </w:pPr>
          </w:p>
        </w:tc>
        <w:tc>
          <w:tcPr>
            <w:tcW w:w="740" w:type="dxa"/>
            <w:vAlign w:val="bottom"/>
          </w:tcPr>
          <w:p>
            <w:pPr>
              <w:spacing w:after="0"/>
              <w:rPr>
                <w:sz w:val="2"/>
                <w:szCs w:val="2"/>
                <w:color w:val="auto"/>
              </w:rPr>
            </w:pPr>
          </w:p>
        </w:tc>
        <w:tc>
          <w:tcPr>
            <w:tcW w:w="3080" w:type="dxa"/>
            <w:vAlign w:val="bottom"/>
            <w:shd w:val="clear" w:color="auto" w:fill="D8D8D8"/>
          </w:tcPr>
          <w:p>
            <w:pPr>
              <w:spacing w:after="0"/>
              <w:rPr>
                <w:sz w:val="2"/>
                <w:szCs w:val="2"/>
                <w:color w:val="auto"/>
              </w:rPr>
            </w:pPr>
          </w:p>
        </w:tc>
        <w:tc>
          <w:tcPr>
            <w:tcW w:w="740" w:type="dxa"/>
            <w:vAlign w:val="bottom"/>
          </w:tcPr>
          <w:p>
            <w:pPr>
              <w:spacing w:after="0"/>
              <w:rPr>
                <w:sz w:val="2"/>
                <w:szCs w:val="2"/>
                <w:color w:val="auto"/>
              </w:rPr>
            </w:pPr>
          </w:p>
        </w:tc>
        <w:tc>
          <w:tcPr>
            <w:tcW w:w="3100" w:type="dxa"/>
            <w:vAlign w:val="bottom"/>
            <w:shd w:val="clear" w:color="auto" w:fill="D8D8D8"/>
          </w:tcPr>
          <w:p>
            <w:pPr>
              <w:spacing w:after="0"/>
              <w:rPr>
                <w:sz w:val="2"/>
                <w:szCs w:val="2"/>
                <w:color w:val="auto"/>
              </w:rPr>
            </w:pPr>
          </w:p>
        </w:tc>
      </w:tr>
    </w:tbl>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4"/>
          </w:cols>
          <w:pgMar w:left="636" w:top="260" w:right="6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Primary Compensation Elements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diagram outlines the key elements of our compensation program and the objective of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149225</wp:posOffset>
            </wp:positionV>
            <wp:extent cx="5559425" cy="3593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9425"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Pay for Performance</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Our executive compensation program rewards successful annual performance and encourages long-term value creation for our shareholders with the heaviest weighting towards performance based compensation. Both short- and long-term incentive compensation is subject to achieving objective, at-risk performance hurdles across multiple metrics with short-term performance measured over a 1-year period and long-term performance measured over a 3-year period. The charts below show the mix of 2021 fixed pay (base salary) and at-risk pay incentives (annual bonus and long-term incentive) at target levels of compensation for our CEO and the average of the target level compensation for our three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141605</wp:posOffset>
            </wp:positionV>
            <wp:extent cx="5923280" cy="1363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2328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640" w:top="260" w:right="6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Setting Compensation</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Annual compensation for our NEOs is paid in both cash and restricted shares with a significant portion at risk and contingent on achieving either annual or long-term performance goals. The total potential compensation for our NEOs is established based on the scope of his/her individual responsibilities and contributions to our performance taking into account competitive market compensation paid for similar positions. Our Compensation Committee determines appropriate levels of total compensation for each NEO by applying their individual understanding, experiences and judgments in the national marketplace of senior level real estate positions and related industry pay in both public and private companies that may compete for our executives while also considering the relative importance of various positions at the Company given our business plan and organization compared with the business plans of our major competitors. The Compensation Committee also consults compensation surveys prepared for the National Association of Real Estate Investment Trusts (“NAREIT Survey”) to confirm its assessment of appropriate market compensation for our NEOs, reviewing the information reported for each position by the 112 real estate investment trusts (“REITs”) that participated in the latest survey as well as by the approximately 24 retail focused REITs that participated in that survey. In addition, in finalizing decisions for 2021 with respect to annual bonus payouts and payouts under our long-term incentive plan, the Compensation Committee discussed market compensation and various matters with our independent compensation consultant, Semler Brossy Consulting Group (“SBCG”). SBCG provides services solely to the Compensation Committee, does not provide any services directly to management and was determined by the Compensation Committee to be independent with no conflicts of interest.</w:t>
      </w:r>
    </w:p>
    <w:p>
      <w:pPr>
        <w:spacing w:after="0" w:line="399"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Using the three components of compensation, their knowledge and experience in the marketplace, the NAREIT Survey information and the discussions with SBCG, the Compensation Committee establishes an individual compensation package for each NEO setting the target level of potential compensation for each NEO.</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Say on Pay Vote</w:t>
      </w:r>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At the 2021 annual meeting of shareholders, 90% of the votes cast favored our “Say on Pay” proposal. The Committee considered this result together with recommendations of SBCG, and elected to keep in place unchanged the basic structure and elements of our executive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COMPENSATION DECISIONS</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Below is a description of the individual elements of pay and the design used to determine compensation for 2021, followed by a more detailed review of performance and pay decisions for each of our NEOs.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Base Pay</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No changes were made in 2021 to base pays for either Mr. Wood, Mr. Guglielmone or Ms. Becker. Mr. Berkes’ base pay was increased to $575,000, an increase of approximately 9.5%, in connection with his promotion to President and Chief Operating Officer.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640" w:top="260" w:right="639" w:bottom="1440" w:gutter="0" w:footer="0" w:header="0"/>
        </w:sectPr>
      </w:pPr>
    </w:p>
    <w:bookmarkStart w:id="27" w:name="page28"/>
    <w:bookmarkEnd w:id="27"/>
    <w:p>
      <w:pPr>
        <w:ind w:left="20"/>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Annual Bonus Program</w:t>
      </w:r>
    </w:p>
    <w:p>
      <w:pPr>
        <w:spacing w:after="0" w:line="230"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7"/>
          <w:szCs w:val="17"/>
          <w:color w:val="auto"/>
        </w:rPr>
        <w:t>Our bonus plan is an annual cash incentive program designed to reward achievement for the current year measured against a pre-determined hurdle. The process to determine the annual bonus that actually gets paid to each of our NEOs consists of three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906135"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06135" cy="214630"/>
                    </a:xfrm>
                    <a:prstGeom prst="rect">
                      <a:avLst/>
                    </a:prstGeom>
                    <a:noFill/>
                  </pic:spPr>
                </pic:pic>
              </a:graphicData>
            </a:graphic>
          </wp:anchor>
        </w:drawing>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STEP 1</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700" w:type="dxa"/>
            <w:vAlign w:val="bottom"/>
            <w:tcBorders>
              <w:left w:val="single" w:sz="8" w:color="262626"/>
              <w:right w:val="single" w:sz="8" w:color="262626"/>
            </w:tcBorders>
            <w:shd w:val="clear" w:color="auto" w:fill="262626"/>
          </w:tcPr>
          <w:p>
            <w:pPr>
              <w:jc w:val="center"/>
              <w:spacing w:after="0"/>
              <w:rPr>
                <w:sz w:val="20"/>
                <w:szCs w:val="20"/>
                <w:color w:val="auto"/>
              </w:rPr>
            </w:pPr>
            <w:r>
              <w:rPr>
                <w:rFonts w:ascii="Arial" w:cs="Arial" w:eastAsia="Arial" w:hAnsi="Arial"/>
                <w:sz w:val="16"/>
                <w:szCs w:val="16"/>
                <w:color w:val="FFFFFF"/>
                <w:w w:val="96"/>
              </w:rPr>
              <w:t>What We Do</w:t>
            </w:r>
          </w:p>
        </w:tc>
        <w:tc>
          <w:tcPr>
            <w:tcW w:w="200" w:type="dxa"/>
            <w:vAlign w:val="bottom"/>
            <w:tcBorders>
              <w:right w:val="single" w:sz="8" w:color="262626"/>
            </w:tcBorders>
          </w:tcPr>
          <w:p>
            <w:pPr>
              <w:spacing w:after="0"/>
              <w:rPr>
                <w:sz w:val="23"/>
                <w:szCs w:val="23"/>
                <w:color w:val="auto"/>
              </w:rPr>
            </w:pPr>
          </w:p>
        </w:tc>
        <w:tc>
          <w:tcPr>
            <w:tcW w:w="3060" w:type="dxa"/>
            <w:vAlign w:val="bottom"/>
            <w:tcBorders>
              <w:right w:val="single" w:sz="8" w:color="262626"/>
            </w:tcBorders>
            <w:shd w:val="clear" w:color="auto" w:fill="262626"/>
          </w:tcPr>
          <w:p>
            <w:pPr>
              <w:jc w:val="center"/>
              <w:ind w:right="22"/>
              <w:spacing w:after="0"/>
              <w:rPr>
                <w:sz w:val="20"/>
                <w:szCs w:val="20"/>
                <w:color w:val="auto"/>
              </w:rPr>
            </w:pPr>
            <w:r>
              <w:rPr>
                <w:rFonts w:ascii="Arial" w:cs="Arial" w:eastAsia="Arial" w:hAnsi="Arial"/>
                <w:sz w:val="16"/>
                <w:szCs w:val="16"/>
                <w:color w:val="FFFFFF"/>
                <w:w w:val="97"/>
              </w:rPr>
              <w:t>How We Do It</w:t>
            </w:r>
          </w:p>
        </w:tc>
        <w:tc>
          <w:tcPr>
            <w:tcW w:w="180" w:type="dxa"/>
            <w:vAlign w:val="bottom"/>
            <w:tcBorders>
              <w:right w:val="single" w:sz="8" w:color="262626"/>
            </w:tcBorders>
          </w:tcPr>
          <w:p>
            <w:pPr>
              <w:spacing w:after="0"/>
              <w:rPr>
                <w:sz w:val="23"/>
                <w:szCs w:val="23"/>
                <w:color w:val="auto"/>
              </w:rPr>
            </w:pPr>
          </w:p>
        </w:tc>
        <w:tc>
          <w:tcPr>
            <w:tcW w:w="316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6"/>
                <w:szCs w:val="16"/>
                <w:color w:val="FFFFFF"/>
                <w:w w:val="98"/>
              </w:rPr>
              <w:t>2021 Decision</w:t>
            </w:r>
          </w:p>
        </w:tc>
        <w:tc>
          <w:tcPr>
            <w:tcW w:w="0" w:type="dxa"/>
            <w:vAlign w:val="bottom"/>
          </w:tcPr>
          <w:p>
            <w:pPr>
              <w:spacing w:after="0"/>
              <w:rPr>
                <w:sz w:val="1"/>
                <w:szCs w:val="1"/>
                <w:color w:val="auto"/>
              </w:rPr>
            </w:pPr>
          </w:p>
        </w:tc>
      </w:tr>
      <w:tr>
        <w:trPr>
          <w:trHeight w:val="418"/>
        </w:trPr>
        <w:tc>
          <w:tcPr>
            <w:tcW w:w="2700" w:type="dxa"/>
            <w:vAlign w:val="bottom"/>
            <w:tcBorders>
              <w:left w:val="single" w:sz="8" w:color="FF160F"/>
              <w:right w:val="single" w:sz="8" w:color="FF160F"/>
            </w:tcBorders>
            <w:shd w:val="clear" w:color="auto" w:fill="D8D8D8"/>
          </w:tcPr>
          <w:p>
            <w:pPr>
              <w:spacing w:after="0"/>
              <w:rPr>
                <w:sz w:val="24"/>
                <w:szCs w:val="24"/>
                <w:color w:val="auto"/>
              </w:rPr>
            </w:pPr>
          </w:p>
        </w:tc>
        <w:tc>
          <w:tcPr>
            <w:tcW w:w="200" w:type="dxa"/>
            <w:vAlign w:val="bottom"/>
            <w:tcBorders>
              <w:right w:val="single" w:sz="8" w:color="FF160F"/>
            </w:tcBorders>
          </w:tcPr>
          <w:p>
            <w:pPr>
              <w:spacing w:after="0"/>
              <w:rPr>
                <w:sz w:val="24"/>
                <w:szCs w:val="24"/>
                <w:color w:val="auto"/>
              </w:rPr>
            </w:pPr>
          </w:p>
        </w:tc>
        <w:tc>
          <w:tcPr>
            <w:tcW w:w="3060" w:type="dxa"/>
            <w:vAlign w:val="bottom"/>
            <w:tcBorders>
              <w:right w:val="single" w:sz="8" w:color="FF160F"/>
            </w:tcBorders>
            <w:shd w:val="clear" w:color="auto" w:fill="D8D8D8"/>
          </w:tcPr>
          <w:p>
            <w:pPr>
              <w:jc w:val="center"/>
              <w:ind w:right="22"/>
              <w:spacing w:after="0"/>
              <w:rPr>
                <w:sz w:val="20"/>
                <w:szCs w:val="20"/>
                <w:color w:val="auto"/>
              </w:rPr>
            </w:pPr>
            <w:r>
              <w:rPr>
                <w:rFonts w:ascii="Arial" w:cs="Arial" w:eastAsia="Arial" w:hAnsi="Arial"/>
                <w:sz w:val="16"/>
                <w:szCs w:val="16"/>
                <w:color w:val="auto"/>
                <w:w w:val="97"/>
              </w:rPr>
              <w:t>Determine target bonus for each</w:t>
            </w:r>
          </w:p>
        </w:tc>
        <w:tc>
          <w:tcPr>
            <w:tcW w:w="180" w:type="dxa"/>
            <w:vAlign w:val="bottom"/>
            <w:tcBorders>
              <w:right w:val="single" w:sz="8" w:color="FF160F"/>
            </w:tcBorders>
          </w:tcPr>
          <w:p>
            <w:pPr>
              <w:spacing w:after="0"/>
              <w:rPr>
                <w:sz w:val="24"/>
                <w:szCs w:val="24"/>
                <w:color w:val="auto"/>
              </w:rPr>
            </w:pPr>
          </w:p>
        </w:tc>
        <w:tc>
          <w:tcPr>
            <w:tcW w:w="3160" w:type="dxa"/>
            <w:vAlign w:val="bottom"/>
            <w:tcBorders>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7"/>
              </w:rPr>
              <w:t>The Committee did not make any changes</w:t>
            </w:r>
          </w:p>
        </w:tc>
        <w:tc>
          <w:tcPr>
            <w:tcW w:w="0" w:type="dxa"/>
            <w:vAlign w:val="bottom"/>
          </w:tcPr>
          <w:p>
            <w:pPr>
              <w:spacing w:after="0"/>
              <w:rPr>
                <w:sz w:val="1"/>
                <w:szCs w:val="1"/>
                <w:color w:val="auto"/>
              </w:rPr>
            </w:pPr>
          </w:p>
        </w:tc>
      </w:tr>
      <w:tr>
        <w:trPr>
          <w:trHeight w:val="182"/>
        </w:trPr>
        <w:tc>
          <w:tcPr>
            <w:tcW w:w="2700" w:type="dxa"/>
            <w:vAlign w:val="bottom"/>
            <w:tcBorders>
              <w:left w:val="single" w:sz="8" w:color="FF160F"/>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Establish bonus potential for</w:t>
            </w:r>
          </w:p>
        </w:tc>
        <w:tc>
          <w:tcPr>
            <w:tcW w:w="200" w:type="dxa"/>
            <w:vAlign w:val="bottom"/>
            <w:tcBorders>
              <w:right w:val="single" w:sz="8" w:color="FF160F"/>
            </w:tcBorders>
          </w:tcPr>
          <w:p>
            <w:pPr>
              <w:spacing w:after="0"/>
              <w:rPr>
                <w:sz w:val="15"/>
                <w:szCs w:val="15"/>
                <w:color w:val="auto"/>
              </w:rPr>
            </w:pPr>
          </w:p>
        </w:tc>
        <w:tc>
          <w:tcPr>
            <w:tcW w:w="3060" w:type="dxa"/>
            <w:vAlign w:val="bottom"/>
            <w:tcBorders>
              <w:right w:val="single" w:sz="8" w:color="FF160F"/>
            </w:tcBorders>
            <w:shd w:val="clear" w:color="auto" w:fill="D8D8D8"/>
          </w:tcPr>
          <w:p>
            <w:pPr>
              <w:jc w:val="center"/>
              <w:ind w:right="42"/>
              <w:spacing w:after="0" w:line="182" w:lineRule="exact"/>
              <w:rPr>
                <w:sz w:val="20"/>
                <w:szCs w:val="20"/>
                <w:color w:val="auto"/>
              </w:rPr>
            </w:pPr>
            <w:r>
              <w:rPr>
                <w:rFonts w:ascii="Arial" w:cs="Arial" w:eastAsia="Arial" w:hAnsi="Arial"/>
                <w:sz w:val="16"/>
                <w:szCs w:val="16"/>
                <w:color w:val="auto"/>
                <w:w w:val="97"/>
              </w:rPr>
              <w:t>NEO as a percentage of base pay</w:t>
            </w:r>
          </w:p>
        </w:tc>
        <w:tc>
          <w:tcPr>
            <w:tcW w:w="180" w:type="dxa"/>
            <w:vAlign w:val="bottom"/>
            <w:tcBorders>
              <w:right w:val="single" w:sz="8" w:color="FF160F"/>
            </w:tcBorders>
          </w:tcPr>
          <w:p>
            <w:pPr>
              <w:spacing w:after="0"/>
              <w:rPr>
                <w:sz w:val="15"/>
                <w:szCs w:val="15"/>
                <w:color w:val="auto"/>
              </w:rPr>
            </w:pPr>
          </w:p>
        </w:tc>
        <w:tc>
          <w:tcPr>
            <w:tcW w:w="3160" w:type="dxa"/>
            <w:vAlign w:val="bottom"/>
            <w:tcBorders>
              <w:right w:val="single" w:sz="8" w:color="FF160F"/>
            </w:tcBorders>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to the target bonus percentage for any of</w:t>
            </w:r>
          </w:p>
        </w:tc>
        <w:tc>
          <w:tcPr>
            <w:tcW w:w="0" w:type="dxa"/>
            <w:vAlign w:val="bottom"/>
          </w:tcPr>
          <w:p>
            <w:pPr>
              <w:spacing w:after="0"/>
              <w:rPr>
                <w:sz w:val="1"/>
                <w:szCs w:val="1"/>
                <w:color w:val="auto"/>
              </w:rPr>
            </w:pPr>
          </w:p>
        </w:tc>
      </w:tr>
      <w:tr>
        <w:trPr>
          <w:trHeight w:val="91"/>
        </w:trPr>
        <w:tc>
          <w:tcPr>
            <w:tcW w:w="2700" w:type="dxa"/>
            <w:vAlign w:val="bottom"/>
            <w:tcBorders>
              <w:left w:val="single" w:sz="8" w:color="FF160F"/>
              <w:right w:val="single" w:sz="8" w:color="FF160F"/>
            </w:tcBorders>
            <w:vMerge w:val="continue"/>
            <w:shd w:val="clear" w:color="auto" w:fill="D8D8D8"/>
          </w:tcPr>
          <w:p>
            <w:pPr>
              <w:spacing w:after="0"/>
              <w:rPr>
                <w:sz w:val="7"/>
                <w:szCs w:val="7"/>
                <w:color w:val="auto"/>
              </w:rPr>
            </w:pPr>
          </w:p>
        </w:tc>
        <w:tc>
          <w:tcPr>
            <w:tcW w:w="200" w:type="dxa"/>
            <w:vAlign w:val="bottom"/>
            <w:tcBorders>
              <w:right w:val="single" w:sz="8" w:color="FF160F"/>
            </w:tcBorders>
          </w:tcPr>
          <w:p>
            <w:pPr>
              <w:spacing w:after="0"/>
              <w:rPr>
                <w:sz w:val="7"/>
                <w:szCs w:val="7"/>
                <w:color w:val="auto"/>
              </w:rPr>
            </w:pPr>
          </w:p>
        </w:tc>
        <w:tc>
          <w:tcPr>
            <w:tcW w:w="3060" w:type="dxa"/>
            <w:vAlign w:val="bottom"/>
            <w:tcBorders>
              <w:right w:val="single" w:sz="8" w:color="FF160F"/>
            </w:tcBorders>
            <w:vMerge w:val="restart"/>
            <w:shd w:val="clear" w:color="auto" w:fill="D8D8D8"/>
          </w:tcPr>
          <w:p>
            <w:pPr>
              <w:jc w:val="center"/>
              <w:ind w:right="42"/>
              <w:spacing w:after="0" w:line="182" w:lineRule="exact"/>
              <w:rPr>
                <w:sz w:val="20"/>
                <w:szCs w:val="20"/>
                <w:color w:val="auto"/>
              </w:rPr>
            </w:pPr>
            <w:r>
              <w:rPr>
                <w:rFonts w:ascii="Arial" w:cs="Arial" w:eastAsia="Arial" w:hAnsi="Arial"/>
                <w:sz w:val="16"/>
                <w:szCs w:val="16"/>
                <w:color w:val="auto"/>
                <w:w w:val="98"/>
              </w:rPr>
              <w:t>with target percentage determined</w:t>
            </w:r>
          </w:p>
        </w:tc>
        <w:tc>
          <w:tcPr>
            <w:tcW w:w="180" w:type="dxa"/>
            <w:vAlign w:val="bottom"/>
            <w:tcBorders>
              <w:right w:val="single" w:sz="8" w:color="FF160F"/>
            </w:tcBorders>
          </w:tcPr>
          <w:p>
            <w:pPr>
              <w:spacing w:after="0"/>
              <w:rPr>
                <w:sz w:val="7"/>
                <w:szCs w:val="7"/>
                <w:color w:val="auto"/>
              </w:rPr>
            </w:pPr>
          </w:p>
        </w:tc>
        <w:tc>
          <w:tcPr>
            <w:tcW w:w="31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our NEOs for 2021, leaving the bonus</w:t>
            </w:r>
          </w:p>
        </w:tc>
        <w:tc>
          <w:tcPr>
            <w:tcW w:w="0" w:type="dxa"/>
            <w:vAlign w:val="bottom"/>
          </w:tcPr>
          <w:p>
            <w:pPr>
              <w:spacing w:after="0"/>
              <w:rPr>
                <w:sz w:val="1"/>
                <w:szCs w:val="1"/>
                <w:color w:val="auto"/>
              </w:rPr>
            </w:pPr>
          </w:p>
        </w:tc>
      </w:tr>
      <w:tr>
        <w:trPr>
          <w:trHeight w:val="91"/>
        </w:trPr>
        <w:tc>
          <w:tcPr>
            <w:tcW w:w="2700" w:type="dxa"/>
            <w:vAlign w:val="bottom"/>
            <w:tcBorders>
              <w:left w:val="single" w:sz="8" w:color="FF160F"/>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each NEO</w:t>
            </w:r>
          </w:p>
        </w:tc>
        <w:tc>
          <w:tcPr>
            <w:tcW w:w="200" w:type="dxa"/>
            <w:vAlign w:val="bottom"/>
            <w:tcBorders>
              <w:right w:val="single" w:sz="8" w:color="FF160F"/>
            </w:tcBorders>
          </w:tcPr>
          <w:p>
            <w:pPr>
              <w:spacing w:after="0"/>
              <w:rPr>
                <w:sz w:val="7"/>
                <w:szCs w:val="7"/>
                <w:color w:val="auto"/>
              </w:rPr>
            </w:pPr>
          </w:p>
        </w:tc>
        <w:tc>
          <w:tcPr>
            <w:tcW w:w="3060" w:type="dxa"/>
            <w:vAlign w:val="bottom"/>
            <w:tcBorders>
              <w:right w:val="single" w:sz="8" w:color="FF160F"/>
            </w:tcBorders>
            <w:vMerge w:val="continue"/>
            <w:shd w:val="clear" w:color="auto" w:fill="D8D8D8"/>
          </w:tcPr>
          <w:p>
            <w:pPr>
              <w:spacing w:after="0"/>
              <w:rPr>
                <w:sz w:val="7"/>
                <w:szCs w:val="7"/>
                <w:color w:val="auto"/>
              </w:rPr>
            </w:pPr>
          </w:p>
        </w:tc>
        <w:tc>
          <w:tcPr>
            <w:tcW w:w="180" w:type="dxa"/>
            <w:vAlign w:val="bottom"/>
            <w:tcBorders>
              <w:right w:val="single" w:sz="8" w:color="FF160F"/>
            </w:tcBorders>
          </w:tcPr>
          <w:p>
            <w:pPr>
              <w:spacing w:after="0"/>
              <w:rPr>
                <w:sz w:val="7"/>
                <w:szCs w:val="7"/>
                <w:color w:val="auto"/>
              </w:rPr>
            </w:pPr>
          </w:p>
        </w:tc>
        <w:tc>
          <w:tcPr>
            <w:tcW w:w="3160" w:type="dxa"/>
            <w:vAlign w:val="bottom"/>
            <w:tcBorders>
              <w:right w:val="single" w:sz="8" w:color="FF160F"/>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700" w:type="dxa"/>
            <w:vAlign w:val="bottom"/>
            <w:tcBorders>
              <w:left w:val="single" w:sz="8" w:color="FF160F"/>
              <w:right w:val="single" w:sz="8" w:color="FF160F"/>
            </w:tcBorders>
            <w:vMerge w:val="continue"/>
            <w:shd w:val="clear" w:color="auto" w:fill="D8D8D8"/>
          </w:tcPr>
          <w:p>
            <w:pPr>
              <w:spacing w:after="0"/>
              <w:rPr>
                <w:sz w:val="8"/>
                <w:szCs w:val="8"/>
                <w:color w:val="auto"/>
              </w:rPr>
            </w:pPr>
          </w:p>
        </w:tc>
        <w:tc>
          <w:tcPr>
            <w:tcW w:w="200" w:type="dxa"/>
            <w:vAlign w:val="bottom"/>
            <w:tcBorders>
              <w:right w:val="single" w:sz="8" w:color="FF160F"/>
            </w:tcBorders>
          </w:tcPr>
          <w:p>
            <w:pPr>
              <w:spacing w:after="0"/>
              <w:rPr>
                <w:sz w:val="8"/>
                <w:szCs w:val="8"/>
                <w:color w:val="auto"/>
              </w:rPr>
            </w:pPr>
          </w:p>
        </w:tc>
        <w:tc>
          <w:tcPr>
            <w:tcW w:w="3060" w:type="dxa"/>
            <w:vAlign w:val="bottom"/>
            <w:tcBorders>
              <w:right w:val="single" w:sz="8" w:color="FF160F"/>
            </w:tcBorders>
            <w:vMerge w:val="restart"/>
            <w:shd w:val="clear" w:color="auto" w:fill="D8D8D8"/>
          </w:tcPr>
          <w:p>
            <w:pPr>
              <w:jc w:val="center"/>
              <w:ind w:right="22"/>
              <w:spacing w:after="0" w:line="182" w:lineRule="exact"/>
              <w:rPr>
                <w:sz w:val="20"/>
                <w:szCs w:val="20"/>
                <w:color w:val="auto"/>
              </w:rPr>
            </w:pPr>
            <w:r>
              <w:rPr>
                <w:rFonts w:ascii="Arial" w:cs="Arial" w:eastAsia="Arial" w:hAnsi="Arial"/>
                <w:sz w:val="16"/>
                <w:szCs w:val="16"/>
                <w:color w:val="auto"/>
                <w:w w:val="97"/>
              </w:rPr>
              <w:t>as part of NEO’s total</w:t>
            </w:r>
          </w:p>
        </w:tc>
        <w:tc>
          <w:tcPr>
            <w:tcW w:w="180" w:type="dxa"/>
            <w:vAlign w:val="bottom"/>
            <w:tcBorders>
              <w:right w:val="single" w:sz="8" w:color="FF160F"/>
            </w:tcBorders>
          </w:tcPr>
          <w:p>
            <w:pPr>
              <w:spacing w:after="0"/>
              <w:rPr>
                <w:sz w:val="8"/>
                <w:szCs w:val="8"/>
                <w:color w:val="auto"/>
              </w:rPr>
            </w:pPr>
          </w:p>
        </w:tc>
        <w:tc>
          <w:tcPr>
            <w:tcW w:w="31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potential for each NEO unchanged from</w:t>
            </w:r>
          </w:p>
        </w:tc>
        <w:tc>
          <w:tcPr>
            <w:tcW w:w="0" w:type="dxa"/>
            <w:vAlign w:val="bottom"/>
          </w:tcPr>
          <w:p>
            <w:pPr>
              <w:spacing w:after="0"/>
              <w:rPr>
                <w:sz w:val="1"/>
                <w:szCs w:val="1"/>
                <w:color w:val="auto"/>
              </w:rPr>
            </w:pPr>
          </w:p>
        </w:tc>
      </w:tr>
      <w:tr>
        <w:trPr>
          <w:trHeight w:val="86"/>
        </w:trPr>
        <w:tc>
          <w:tcPr>
            <w:tcW w:w="2700" w:type="dxa"/>
            <w:vAlign w:val="bottom"/>
            <w:tcBorders>
              <w:left w:val="single" w:sz="8" w:color="FF160F"/>
              <w:right w:val="single" w:sz="8" w:color="FF160F"/>
            </w:tcBorders>
            <w:shd w:val="clear" w:color="auto" w:fill="D8D8D8"/>
          </w:tcPr>
          <w:p>
            <w:pPr>
              <w:spacing w:after="0"/>
              <w:rPr>
                <w:sz w:val="7"/>
                <w:szCs w:val="7"/>
                <w:color w:val="auto"/>
              </w:rPr>
            </w:pPr>
          </w:p>
        </w:tc>
        <w:tc>
          <w:tcPr>
            <w:tcW w:w="200" w:type="dxa"/>
            <w:vAlign w:val="bottom"/>
            <w:tcBorders>
              <w:right w:val="single" w:sz="8" w:color="FF160F"/>
            </w:tcBorders>
          </w:tcPr>
          <w:p>
            <w:pPr>
              <w:spacing w:after="0"/>
              <w:rPr>
                <w:sz w:val="7"/>
                <w:szCs w:val="7"/>
                <w:color w:val="auto"/>
              </w:rPr>
            </w:pPr>
          </w:p>
        </w:tc>
        <w:tc>
          <w:tcPr>
            <w:tcW w:w="3060" w:type="dxa"/>
            <w:vAlign w:val="bottom"/>
            <w:tcBorders>
              <w:right w:val="single" w:sz="8" w:color="FF160F"/>
            </w:tcBorders>
            <w:vMerge w:val="continue"/>
            <w:shd w:val="clear" w:color="auto" w:fill="D8D8D8"/>
          </w:tcPr>
          <w:p>
            <w:pPr>
              <w:spacing w:after="0"/>
              <w:rPr>
                <w:sz w:val="7"/>
                <w:szCs w:val="7"/>
                <w:color w:val="auto"/>
              </w:rPr>
            </w:pPr>
          </w:p>
        </w:tc>
        <w:tc>
          <w:tcPr>
            <w:tcW w:w="180" w:type="dxa"/>
            <w:vAlign w:val="bottom"/>
            <w:tcBorders>
              <w:right w:val="single" w:sz="8" w:color="FF160F"/>
            </w:tcBorders>
          </w:tcPr>
          <w:p>
            <w:pPr>
              <w:spacing w:after="0"/>
              <w:rPr>
                <w:sz w:val="7"/>
                <w:szCs w:val="7"/>
                <w:color w:val="auto"/>
              </w:rPr>
            </w:pPr>
          </w:p>
        </w:tc>
        <w:tc>
          <w:tcPr>
            <w:tcW w:w="3160" w:type="dxa"/>
            <w:vAlign w:val="bottom"/>
            <w:tcBorders>
              <w:right w:val="single" w:sz="8" w:color="FF160F"/>
            </w:tcBorders>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700" w:type="dxa"/>
            <w:vAlign w:val="bottom"/>
            <w:tcBorders>
              <w:left w:val="single" w:sz="8" w:color="FF160F"/>
              <w:right w:val="single" w:sz="8" w:color="FF160F"/>
            </w:tcBorders>
            <w:shd w:val="clear" w:color="auto" w:fill="D8D8D8"/>
          </w:tcPr>
          <w:p>
            <w:pPr>
              <w:spacing w:after="0"/>
              <w:rPr>
                <w:sz w:val="16"/>
                <w:szCs w:val="16"/>
                <w:color w:val="auto"/>
              </w:rPr>
            </w:pPr>
          </w:p>
        </w:tc>
        <w:tc>
          <w:tcPr>
            <w:tcW w:w="200" w:type="dxa"/>
            <w:vAlign w:val="bottom"/>
            <w:tcBorders>
              <w:right w:val="single" w:sz="8" w:color="FF160F"/>
            </w:tcBorders>
          </w:tcPr>
          <w:p>
            <w:pPr>
              <w:spacing w:after="0"/>
              <w:rPr>
                <w:sz w:val="16"/>
                <w:szCs w:val="16"/>
                <w:color w:val="auto"/>
              </w:rPr>
            </w:pPr>
          </w:p>
        </w:tc>
        <w:tc>
          <w:tcPr>
            <w:tcW w:w="3060" w:type="dxa"/>
            <w:vAlign w:val="bottom"/>
            <w:tcBorders>
              <w:right w:val="single" w:sz="8" w:color="FF160F"/>
            </w:tcBorders>
            <w:shd w:val="clear" w:color="auto" w:fill="D8D8D8"/>
          </w:tcPr>
          <w:p>
            <w:pPr>
              <w:jc w:val="center"/>
              <w:ind w:right="42"/>
              <w:spacing w:after="0"/>
              <w:rPr>
                <w:sz w:val="20"/>
                <w:szCs w:val="20"/>
                <w:color w:val="auto"/>
              </w:rPr>
            </w:pPr>
            <w:r>
              <w:rPr>
                <w:rFonts w:ascii="Arial" w:cs="Arial" w:eastAsia="Arial" w:hAnsi="Arial"/>
                <w:sz w:val="16"/>
                <w:szCs w:val="16"/>
                <w:color w:val="auto"/>
                <w:w w:val="98"/>
              </w:rPr>
              <w:t>compensation package</w:t>
            </w:r>
          </w:p>
        </w:tc>
        <w:tc>
          <w:tcPr>
            <w:tcW w:w="180" w:type="dxa"/>
            <w:vAlign w:val="bottom"/>
            <w:tcBorders>
              <w:right w:val="single" w:sz="8" w:color="FF160F"/>
            </w:tcBorders>
          </w:tcPr>
          <w:p>
            <w:pPr>
              <w:spacing w:after="0"/>
              <w:rPr>
                <w:sz w:val="16"/>
                <w:szCs w:val="16"/>
                <w:color w:val="auto"/>
              </w:rPr>
            </w:pPr>
          </w:p>
        </w:tc>
        <w:tc>
          <w:tcPr>
            <w:tcW w:w="3160" w:type="dxa"/>
            <w:vAlign w:val="bottom"/>
            <w:tcBorders>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7"/>
              </w:rPr>
              <w:t>the prior year</w:t>
            </w:r>
          </w:p>
        </w:tc>
        <w:tc>
          <w:tcPr>
            <w:tcW w:w="0" w:type="dxa"/>
            <w:vAlign w:val="bottom"/>
          </w:tcPr>
          <w:p>
            <w:pPr>
              <w:spacing w:after="0"/>
              <w:rPr>
                <w:sz w:val="1"/>
                <w:szCs w:val="1"/>
                <w:color w:val="auto"/>
              </w:rPr>
            </w:pPr>
          </w:p>
        </w:tc>
      </w:tr>
      <w:tr>
        <w:trPr>
          <w:trHeight w:val="272"/>
        </w:trPr>
        <w:tc>
          <w:tcPr>
            <w:tcW w:w="2700" w:type="dxa"/>
            <w:vAlign w:val="bottom"/>
            <w:tcBorders>
              <w:left w:val="single" w:sz="8" w:color="FF160F"/>
              <w:bottom w:val="single" w:sz="8" w:color="FF160F"/>
              <w:right w:val="single" w:sz="8" w:color="FF160F"/>
            </w:tcBorders>
            <w:shd w:val="clear" w:color="auto" w:fill="D8D8D8"/>
          </w:tcPr>
          <w:p>
            <w:pPr>
              <w:spacing w:after="0"/>
              <w:rPr>
                <w:sz w:val="23"/>
                <w:szCs w:val="23"/>
                <w:color w:val="auto"/>
              </w:rPr>
            </w:pPr>
          </w:p>
        </w:tc>
        <w:tc>
          <w:tcPr>
            <w:tcW w:w="200" w:type="dxa"/>
            <w:vAlign w:val="bottom"/>
            <w:tcBorders>
              <w:right w:val="single" w:sz="8" w:color="FF160F"/>
            </w:tcBorders>
          </w:tcPr>
          <w:p>
            <w:pPr>
              <w:spacing w:after="0"/>
              <w:rPr>
                <w:sz w:val="23"/>
                <w:szCs w:val="23"/>
                <w:color w:val="auto"/>
              </w:rPr>
            </w:pPr>
          </w:p>
        </w:tc>
        <w:tc>
          <w:tcPr>
            <w:tcW w:w="3060" w:type="dxa"/>
            <w:vAlign w:val="bottom"/>
            <w:tcBorders>
              <w:bottom w:val="single" w:sz="8" w:color="FF160F"/>
              <w:right w:val="single" w:sz="8" w:color="FF160F"/>
            </w:tcBorders>
            <w:shd w:val="clear" w:color="auto" w:fill="D8D8D8"/>
          </w:tcPr>
          <w:p>
            <w:pPr>
              <w:spacing w:after="0"/>
              <w:rPr>
                <w:sz w:val="23"/>
                <w:szCs w:val="23"/>
                <w:color w:val="auto"/>
              </w:rPr>
            </w:pPr>
          </w:p>
        </w:tc>
        <w:tc>
          <w:tcPr>
            <w:tcW w:w="180" w:type="dxa"/>
            <w:vAlign w:val="bottom"/>
            <w:tcBorders>
              <w:right w:val="single" w:sz="8" w:color="FF160F"/>
            </w:tcBorders>
          </w:tcPr>
          <w:p>
            <w:pPr>
              <w:spacing w:after="0"/>
              <w:rPr>
                <w:sz w:val="23"/>
                <w:szCs w:val="23"/>
                <w:color w:val="auto"/>
              </w:rPr>
            </w:pPr>
          </w:p>
        </w:tc>
        <w:tc>
          <w:tcPr>
            <w:tcW w:w="3160" w:type="dxa"/>
            <w:vAlign w:val="bottom"/>
            <w:tcBorders>
              <w:bottom w:val="single" w:sz="8" w:color="FF160F"/>
              <w:right w:val="single" w:sz="8" w:color="FF160F"/>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20" w:right="20"/>
        <w:spacing w:after="0" w:line="243" w:lineRule="auto"/>
        <w:rPr>
          <w:sz w:val="20"/>
          <w:szCs w:val="20"/>
          <w:color w:val="auto"/>
        </w:rPr>
      </w:pPr>
      <w:r>
        <w:rPr>
          <w:rFonts w:ascii="Arial" w:cs="Arial" w:eastAsia="Arial" w:hAnsi="Arial"/>
          <w:sz w:val="17"/>
          <w:szCs w:val="17"/>
          <w:color w:val="auto"/>
        </w:rPr>
        <w:t>The Compensation Committee determines for each NEO an appropriate annual bonus target set as a percentage of base pay. The total potential bonus for each NEO is considered in the context of ensuring that each NEO’s overall compensation potential is within market for the position, has a significant component based on company performance and provides appropriate incentive for the NEO to drive Company performance. The Committee did not adjust the target bonus percentage for any of our NEOs in 2021. The following table sets forth the bonus potential for each NEO and the original date on which his or her bonus target was established.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280" w:type="dxa"/>
            <w:vAlign w:val="bottom"/>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0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2021</w:t>
            </w:r>
          </w:p>
        </w:tc>
        <w:tc>
          <w:tcPr>
            <w:tcW w:w="1040" w:type="dxa"/>
            <w:vAlign w:val="bottom"/>
            <w:tcBorders>
              <w:right w:val="single" w:sz="8" w:color="auto"/>
            </w:tcBorders>
            <w:shd w:val="clear" w:color="auto" w:fill="000000"/>
          </w:tcPr>
          <w:p>
            <w:pPr>
              <w:jc w:val="right"/>
              <w:ind w:right="131"/>
              <w:spacing w:after="0"/>
              <w:rPr>
                <w:sz w:val="20"/>
                <w:szCs w:val="20"/>
                <w:color w:val="auto"/>
              </w:rPr>
            </w:pPr>
            <w:r>
              <w:rPr>
                <w:rFonts w:ascii="Arial" w:cs="Arial" w:eastAsia="Arial" w:hAnsi="Arial"/>
                <w:sz w:val="14"/>
                <w:szCs w:val="14"/>
                <w:b w:val="1"/>
                <w:bCs w:val="1"/>
                <w:color w:val="FFFFFF"/>
              </w:rPr>
              <w:t>Target</w:t>
            </w:r>
          </w:p>
        </w:tc>
        <w:tc>
          <w:tcPr>
            <w:tcW w:w="400" w:type="dxa"/>
            <w:vAlign w:val="bottom"/>
            <w:shd w:val="clear" w:color="auto" w:fill="000000"/>
          </w:tcPr>
          <w:p>
            <w:pPr>
              <w:spacing w:after="0"/>
              <w:rPr>
                <w:sz w:val="21"/>
                <w:szCs w:val="21"/>
                <w:color w:val="auto"/>
              </w:rPr>
            </w:pPr>
          </w:p>
        </w:tc>
        <w:tc>
          <w:tcPr>
            <w:tcW w:w="840" w:type="dxa"/>
            <w:vAlign w:val="bottom"/>
            <w:shd w:val="clear" w:color="auto" w:fill="000000"/>
          </w:tcPr>
          <w:p>
            <w:pPr>
              <w:spacing w:after="0"/>
              <w:rPr>
                <w:sz w:val="21"/>
                <w:szCs w:val="21"/>
                <w:color w:val="auto"/>
              </w:rPr>
            </w:pPr>
          </w:p>
        </w:tc>
        <w:tc>
          <w:tcPr>
            <w:tcW w:w="2860" w:type="dxa"/>
            <w:vAlign w:val="bottom"/>
            <w:tcBorders>
              <w:right w:val="single" w:sz="8" w:color="auto"/>
            </w:tcBorders>
            <w:gridSpan w:val="4"/>
            <w:shd w:val="clear" w:color="auto" w:fill="000000"/>
          </w:tcPr>
          <w:p>
            <w:pPr>
              <w:jc w:val="right"/>
              <w:ind w:right="1191"/>
              <w:spacing w:after="0"/>
              <w:rPr>
                <w:sz w:val="20"/>
                <w:szCs w:val="20"/>
                <w:color w:val="auto"/>
              </w:rPr>
            </w:pPr>
            <w:r>
              <w:rPr>
                <w:rFonts w:ascii="Arial" w:cs="Arial" w:eastAsia="Arial" w:hAnsi="Arial"/>
                <w:sz w:val="14"/>
                <w:szCs w:val="14"/>
                <w:b w:val="1"/>
                <w:bCs w:val="1"/>
                <w:color w:val="FFFFFF"/>
              </w:rPr>
              <w:t>Bonus Payout Potential</w:t>
            </w:r>
          </w:p>
        </w:tc>
        <w:tc>
          <w:tcPr>
            <w:tcW w:w="1840" w:type="dxa"/>
            <w:vAlign w:val="bottom"/>
            <w:shd w:val="clear" w:color="auto" w:fill="000000"/>
          </w:tcPr>
          <w:p>
            <w:pPr>
              <w:spacing w:after="0"/>
              <w:rPr>
                <w:sz w:val="21"/>
                <w:szCs w:val="21"/>
                <w:color w:val="auto"/>
              </w:rPr>
            </w:pPr>
          </w:p>
        </w:tc>
      </w:tr>
      <w:tr>
        <w:trPr>
          <w:trHeight w:val="259"/>
        </w:trPr>
        <w:tc>
          <w:tcPr>
            <w:tcW w:w="228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NEO</w:t>
            </w:r>
          </w:p>
        </w:tc>
        <w:tc>
          <w:tcPr>
            <w:tcW w:w="240" w:type="dxa"/>
            <w:vAlign w:val="bottom"/>
            <w:shd w:val="clear" w:color="auto" w:fill="000000"/>
          </w:tcPr>
          <w:p>
            <w:pPr>
              <w:spacing w:after="0"/>
              <w:rPr>
                <w:sz w:val="22"/>
                <w:szCs w:val="22"/>
                <w:color w:val="auto"/>
              </w:rPr>
            </w:pPr>
          </w:p>
        </w:tc>
        <w:tc>
          <w:tcPr>
            <w:tcW w:w="90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Base Pay</w:t>
            </w:r>
          </w:p>
        </w:tc>
        <w:tc>
          <w:tcPr>
            <w:tcW w:w="1040" w:type="dxa"/>
            <w:vAlign w:val="bottom"/>
            <w:tcBorders>
              <w:right w:val="single" w:sz="8" w:color="auto"/>
            </w:tcBorders>
            <w:shd w:val="clear" w:color="auto" w:fill="000000"/>
          </w:tcPr>
          <w:p>
            <w:pPr>
              <w:jc w:val="right"/>
              <w:ind w:right="131"/>
              <w:spacing w:after="0"/>
              <w:rPr>
                <w:sz w:val="20"/>
                <w:szCs w:val="20"/>
                <w:color w:val="auto"/>
              </w:rPr>
            </w:pPr>
            <w:r>
              <w:rPr>
                <w:rFonts w:ascii="Arial" w:cs="Arial" w:eastAsia="Arial" w:hAnsi="Arial"/>
                <w:sz w:val="14"/>
                <w:szCs w:val="14"/>
                <w:b w:val="1"/>
                <w:bCs w:val="1"/>
                <w:color w:val="FFFFFF"/>
              </w:rPr>
              <w:t>Percentage</w:t>
            </w:r>
          </w:p>
        </w:tc>
        <w:tc>
          <w:tcPr>
            <w:tcW w:w="1240" w:type="dxa"/>
            <w:vAlign w:val="bottom"/>
            <w:gridSpan w:val="2"/>
            <w:shd w:val="clear" w:color="auto" w:fill="000000"/>
          </w:tcPr>
          <w:p>
            <w:pPr>
              <w:jc w:val="right"/>
              <w:spacing w:after="0"/>
              <w:rPr>
                <w:sz w:val="20"/>
                <w:szCs w:val="20"/>
                <w:color w:val="auto"/>
              </w:rPr>
            </w:pPr>
            <w:r>
              <w:rPr>
                <w:rFonts w:ascii="Arial" w:cs="Arial" w:eastAsia="Arial" w:hAnsi="Arial"/>
                <w:sz w:val="14"/>
                <w:szCs w:val="14"/>
                <w:b w:val="1"/>
                <w:bCs w:val="1"/>
                <w:color w:val="FFFFFF"/>
              </w:rPr>
              <w:t>Threshold (75%)</w:t>
            </w:r>
          </w:p>
        </w:tc>
        <w:tc>
          <w:tcPr>
            <w:tcW w:w="280" w:type="dxa"/>
            <w:vAlign w:val="bottom"/>
            <w:shd w:val="clear" w:color="auto" w:fill="000000"/>
          </w:tcPr>
          <w:p>
            <w:pPr>
              <w:spacing w:after="0"/>
              <w:rPr>
                <w:sz w:val="22"/>
                <w:szCs w:val="22"/>
                <w:color w:val="auto"/>
              </w:rPr>
            </w:pPr>
          </w:p>
        </w:tc>
        <w:tc>
          <w:tcPr>
            <w:tcW w:w="1020" w:type="dxa"/>
            <w:vAlign w:val="bottom"/>
            <w:shd w:val="clear" w:color="auto" w:fill="000000"/>
          </w:tcPr>
          <w:p>
            <w:pPr>
              <w:jc w:val="right"/>
              <w:ind w:right="31"/>
              <w:spacing w:after="0"/>
              <w:rPr>
                <w:sz w:val="20"/>
                <w:szCs w:val="20"/>
                <w:color w:val="auto"/>
              </w:rPr>
            </w:pPr>
            <w:r>
              <w:rPr>
                <w:rFonts w:ascii="Arial" w:cs="Arial" w:eastAsia="Arial" w:hAnsi="Arial"/>
                <w:sz w:val="14"/>
                <w:szCs w:val="14"/>
                <w:b w:val="1"/>
                <w:bCs w:val="1"/>
                <w:color w:val="FFFFFF"/>
                <w:w w:val="97"/>
              </w:rPr>
              <w:t>Target (100%)</w:t>
            </w:r>
          </w:p>
        </w:tc>
        <w:tc>
          <w:tcPr>
            <w:tcW w:w="200" w:type="dxa"/>
            <w:vAlign w:val="bottom"/>
            <w:shd w:val="clear" w:color="auto" w:fill="000000"/>
          </w:tcPr>
          <w:p>
            <w:pPr>
              <w:spacing w:after="0"/>
              <w:rPr>
                <w:sz w:val="22"/>
                <w:szCs w:val="22"/>
                <w:color w:val="auto"/>
              </w:rPr>
            </w:pPr>
          </w:p>
        </w:tc>
        <w:tc>
          <w:tcPr>
            <w:tcW w:w="1360" w:type="dxa"/>
            <w:vAlign w:val="bottom"/>
            <w:tcBorders>
              <w:right w:val="single" w:sz="8" w:color="auto"/>
            </w:tcBorders>
            <w:shd w:val="clear" w:color="auto" w:fill="000000"/>
          </w:tcPr>
          <w:p>
            <w:pPr>
              <w:jc w:val="right"/>
              <w:ind w:right="311"/>
              <w:spacing w:after="0"/>
              <w:rPr>
                <w:sz w:val="20"/>
                <w:szCs w:val="20"/>
                <w:color w:val="auto"/>
              </w:rPr>
            </w:pPr>
            <w:r>
              <w:rPr>
                <w:rFonts w:ascii="Arial" w:cs="Arial" w:eastAsia="Arial" w:hAnsi="Arial"/>
                <w:sz w:val="14"/>
                <w:szCs w:val="14"/>
                <w:b w:val="1"/>
                <w:bCs w:val="1"/>
                <w:color w:val="FFFFFF"/>
                <w:w w:val="98"/>
              </w:rPr>
              <w:t>Stretch (125%)</w:t>
            </w:r>
          </w:p>
        </w:tc>
        <w:tc>
          <w:tcPr>
            <w:tcW w:w="184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Target%</w:t>
            </w:r>
          </w:p>
        </w:tc>
      </w:tr>
      <w:tr>
        <w:trPr>
          <w:trHeight w:val="235"/>
        </w:trPr>
        <w:tc>
          <w:tcPr>
            <w:tcW w:w="2280" w:type="dxa"/>
            <w:vAlign w:val="bottom"/>
          </w:tcPr>
          <w:p>
            <w:pPr>
              <w:ind w:left="40"/>
              <w:spacing w:after="0"/>
              <w:rPr>
                <w:sz w:val="20"/>
                <w:szCs w:val="20"/>
                <w:color w:val="auto"/>
              </w:rPr>
            </w:pPr>
            <w:r>
              <w:rPr>
                <w:rFonts w:ascii="Arial" w:cs="Arial" w:eastAsia="Arial" w:hAnsi="Arial"/>
                <w:sz w:val="14"/>
                <w:szCs w:val="14"/>
                <w:color w:val="auto"/>
              </w:rPr>
              <w:t>Mr. Wood</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950,000</w:t>
            </w:r>
          </w:p>
        </w:tc>
        <w:tc>
          <w:tcPr>
            <w:tcW w:w="104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150%</w:t>
            </w:r>
          </w:p>
        </w:tc>
        <w:tc>
          <w:tcPr>
            <w:tcW w:w="4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1,068,750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1,425,000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right"/>
              <w:ind w:right="311"/>
              <w:spacing w:after="0"/>
              <w:rPr>
                <w:sz w:val="20"/>
                <w:szCs w:val="20"/>
                <w:color w:val="auto"/>
              </w:rPr>
            </w:pPr>
            <w:r>
              <w:rPr>
                <w:rFonts w:ascii="Arial" w:cs="Arial" w:eastAsia="Arial" w:hAnsi="Arial"/>
                <w:sz w:val="14"/>
                <w:szCs w:val="14"/>
                <w:color w:val="auto"/>
              </w:rPr>
              <w:t>1,781,250</w:t>
            </w:r>
          </w:p>
        </w:tc>
        <w:tc>
          <w:tcPr>
            <w:tcW w:w="1840" w:type="dxa"/>
            <w:vAlign w:val="bottom"/>
          </w:tcPr>
          <w:p>
            <w:pPr>
              <w:ind w:left="80"/>
              <w:spacing w:after="0"/>
              <w:rPr>
                <w:sz w:val="20"/>
                <w:szCs w:val="20"/>
                <w:color w:val="auto"/>
              </w:rPr>
            </w:pPr>
            <w:r>
              <w:rPr>
                <w:rFonts w:ascii="Arial" w:cs="Arial" w:eastAsia="Arial" w:hAnsi="Arial"/>
                <w:sz w:val="14"/>
                <w:szCs w:val="14"/>
                <w:color w:val="auto"/>
              </w:rPr>
              <w:t>No change since 2010</w:t>
            </w:r>
          </w:p>
        </w:tc>
      </w:tr>
      <w:tr>
        <w:trPr>
          <w:trHeight w:val="247"/>
        </w:trPr>
        <w:tc>
          <w:tcPr>
            <w:tcW w:w="2280" w:type="dxa"/>
            <w:vAlign w:val="bottom"/>
          </w:tcPr>
          <w:p>
            <w:pPr>
              <w:ind w:left="40"/>
              <w:spacing w:after="0"/>
              <w:rPr>
                <w:sz w:val="20"/>
                <w:szCs w:val="20"/>
                <w:color w:val="auto"/>
              </w:rPr>
            </w:pPr>
            <w:r>
              <w:rPr>
                <w:rFonts w:ascii="Arial" w:cs="Arial" w:eastAsia="Arial" w:hAnsi="Arial"/>
                <w:sz w:val="14"/>
                <w:szCs w:val="14"/>
                <w:color w:val="auto"/>
              </w:rPr>
              <w:t>Mr. Berkes</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575,000</w:t>
            </w:r>
          </w:p>
        </w:tc>
        <w:tc>
          <w:tcPr>
            <w:tcW w:w="104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100%</w:t>
            </w:r>
          </w:p>
        </w:tc>
        <w:tc>
          <w:tcPr>
            <w:tcW w:w="4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431,250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575,000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right"/>
              <w:ind w:right="311"/>
              <w:spacing w:after="0"/>
              <w:rPr>
                <w:sz w:val="20"/>
                <w:szCs w:val="20"/>
                <w:color w:val="auto"/>
              </w:rPr>
            </w:pPr>
            <w:r>
              <w:rPr>
                <w:rFonts w:ascii="Arial" w:cs="Arial" w:eastAsia="Arial" w:hAnsi="Arial"/>
                <w:sz w:val="14"/>
                <w:szCs w:val="14"/>
                <w:color w:val="auto"/>
              </w:rPr>
              <w:t>718,750</w:t>
            </w:r>
          </w:p>
        </w:tc>
        <w:tc>
          <w:tcPr>
            <w:tcW w:w="1840" w:type="dxa"/>
            <w:vAlign w:val="bottom"/>
          </w:tcPr>
          <w:p>
            <w:pPr>
              <w:ind w:left="80"/>
              <w:spacing w:after="0"/>
              <w:rPr>
                <w:sz w:val="20"/>
                <w:szCs w:val="20"/>
                <w:color w:val="auto"/>
              </w:rPr>
            </w:pPr>
            <w:r>
              <w:rPr>
                <w:rFonts w:ascii="Arial" w:cs="Arial" w:eastAsia="Arial" w:hAnsi="Arial"/>
                <w:sz w:val="14"/>
                <w:szCs w:val="14"/>
                <w:color w:val="auto"/>
              </w:rPr>
              <w:t>No change since 2019</w:t>
            </w:r>
          </w:p>
        </w:tc>
      </w:tr>
      <w:tr>
        <w:trPr>
          <w:trHeight w:val="247"/>
        </w:trPr>
        <w:tc>
          <w:tcPr>
            <w:tcW w:w="2280" w:type="dxa"/>
            <w:vAlign w:val="bottom"/>
          </w:tcPr>
          <w:p>
            <w:pPr>
              <w:ind w:left="40"/>
              <w:spacing w:after="0"/>
              <w:rPr>
                <w:sz w:val="20"/>
                <w:szCs w:val="20"/>
                <w:color w:val="auto"/>
              </w:rPr>
            </w:pPr>
            <w:r>
              <w:rPr>
                <w:rFonts w:ascii="Arial" w:cs="Arial" w:eastAsia="Arial" w:hAnsi="Arial"/>
                <w:sz w:val="14"/>
                <w:szCs w:val="14"/>
                <w:color w:val="auto"/>
              </w:rPr>
              <w:t>Mr. Guglielmone</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500,000</w:t>
            </w:r>
          </w:p>
        </w:tc>
        <w:tc>
          <w:tcPr>
            <w:tcW w:w="104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75%</w:t>
            </w:r>
          </w:p>
        </w:tc>
        <w:tc>
          <w:tcPr>
            <w:tcW w:w="4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281,250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375,000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right"/>
              <w:ind w:right="311"/>
              <w:spacing w:after="0"/>
              <w:rPr>
                <w:sz w:val="20"/>
                <w:szCs w:val="20"/>
                <w:color w:val="auto"/>
              </w:rPr>
            </w:pPr>
            <w:r>
              <w:rPr>
                <w:rFonts w:ascii="Arial" w:cs="Arial" w:eastAsia="Arial" w:hAnsi="Arial"/>
                <w:sz w:val="14"/>
                <w:szCs w:val="14"/>
                <w:color w:val="auto"/>
              </w:rPr>
              <w:t>468,750</w:t>
            </w:r>
          </w:p>
        </w:tc>
        <w:tc>
          <w:tcPr>
            <w:tcW w:w="1840" w:type="dxa"/>
            <w:vAlign w:val="bottom"/>
          </w:tcPr>
          <w:p>
            <w:pPr>
              <w:ind w:left="80"/>
              <w:spacing w:after="0"/>
              <w:rPr>
                <w:sz w:val="20"/>
                <w:szCs w:val="20"/>
                <w:color w:val="auto"/>
              </w:rPr>
            </w:pPr>
            <w:r>
              <w:rPr>
                <w:rFonts w:ascii="Arial" w:cs="Arial" w:eastAsia="Arial" w:hAnsi="Arial"/>
                <w:sz w:val="14"/>
                <w:szCs w:val="14"/>
                <w:color w:val="auto"/>
              </w:rPr>
              <w:t>No change since 2016</w:t>
            </w:r>
          </w:p>
        </w:tc>
      </w:tr>
      <w:tr>
        <w:trPr>
          <w:trHeight w:val="259"/>
        </w:trPr>
        <w:tc>
          <w:tcPr>
            <w:tcW w:w="2280" w:type="dxa"/>
            <w:vAlign w:val="bottom"/>
          </w:tcPr>
          <w:p>
            <w:pPr>
              <w:ind w:left="40"/>
              <w:spacing w:after="0"/>
              <w:rPr>
                <w:sz w:val="20"/>
                <w:szCs w:val="20"/>
                <w:color w:val="auto"/>
              </w:rPr>
            </w:pPr>
            <w:r>
              <w:rPr>
                <w:rFonts w:ascii="Arial" w:cs="Arial" w:eastAsia="Arial" w:hAnsi="Arial"/>
                <w:sz w:val="14"/>
                <w:szCs w:val="14"/>
                <w:color w:val="auto"/>
              </w:rPr>
              <w:t>Ms. Becker</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475,000</w:t>
            </w:r>
          </w:p>
        </w:tc>
        <w:tc>
          <w:tcPr>
            <w:tcW w:w="104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75%</w:t>
            </w:r>
          </w:p>
        </w:tc>
        <w:tc>
          <w:tcPr>
            <w:tcW w:w="4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267,188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356,250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tcPr>
          <w:p>
            <w:pPr>
              <w:jc w:val="right"/>
              <w:ind w:right="311"/>
              <w:spacing w:after="0"/>
              <w:rPr>
                <w:sz w:val="20"/>
                <w:szCs w:val="20"/>
                <w:color w:val="auto"/>
              </w:rPr>
            </w:pPr>
            <w:r>
              <w:rPr>
                <w:rFonts w:ascii="Arial" w:cs="Arial" w:eastAsia="Arial" w:hAnsi="Arial"/>
                <w:sz w:val="14"/>
                <w:szCs w:val="14"/>
                <w:color w:val="auto"/>
              </w:rPr>
              <w:t>445,313</w:t>
            </w:r>
          </w:p>
        </w:tc>
        <w:tc>
          <w:tcPr>
            <w:tcW w:w="1840" w:type="dxa"/>
            <w:vAlign w:val="bottom"/>
          </w:tcPr>
          <w:p>
            <w:pPr>
              <w:ind w:left="80"/>
              <w:spacing w:after="0"/>
              <w:rPr>
                <w:sz w:val="20"/>
                <w:szCs w:val="20"/>
                <w:color w:val="auto"/>
              </w:rPr>
            </w:pPr>
            <w:r>
              <w:rPr>
                <w:rFonts w:ascii="Arial" w:cs="Arial" w:eastAsia="Arial" w:hAnsi="Arial"/>
                <w:sz w:val="14"/>
                <w:szCs w:val="14"/>
                <w:color w:val="auto"/>
              </w:rPr>
              <w:t>No change since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5906135"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06135" cy="214630"/>
                    </a:xfrm>
                    <a:prstGeom prst="rect">
                      <a:avLst/>
                    </a:prstGeom>
                    <a:noFill/>
                  </pic:spPr>
                </pic:pic>
              </a:graphicData>
            </a:graphic>
          </wp:anchor>
        </w:drawing>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STEP 2</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700" w:type="dxa"/>
            <w:vAlign w:val="bottom"/>
            <w:tcBorders>
              <w:left w:val="single" w:sz="8" w:color="262626"/>
              <w:right w:val="single" w:sz="8" w:color="262626"/>
            </w:tcBorders>
            <w:shd w:val="clear" w:color="auto" w:fill="262626"/>
          </w:tcPr>
          <w:p>
            <w:pPr>
              <w:jc w:val="center"/>
              <w:spacing w:after="0"/>
              <w:rPr>
                <w:sz w:val="20"/>
                <w:szCs w:val="20"/>
                <w:color w:val="auto"/>
              </w:rPr>
            </w:pPr>
            <w:r>
              <w:rPr>
                <w:rFonts w:ascii="Arial" w:cs="Arial" w:eastAsia="Arial" w:hAnsi="Arial"/>
                <w:sz w:val="16"/>
                <w:szCs w:val="16"/>
                <w:color w:val="FFFFFF"/>
                <w:w w:val="96"/>
              </w:rPr>
              <w:t>What We Do</w:t>
            </w:r>
          </w:p>
        </w:tc>
        <w:tc>
          <w:tcPr>
            <w:tcW w:w="200" w:type="dxa"/>
            <w:vAlign w:val="bottom"/>
            <w:tcBorders>
              <w:right w:val="single" w:sz="8" w:color="262626"/>
            </w:tcBorders>
          </w:tcPr>
          <w:p>
            <w:pPr>
              <w:spacing w:after="0"/>
              <w:rPr>
                <w:sz w:val="23"/>
                <w:szCs w:val="23"/>
                <w:color w:val="auto"/>
              </w:rPr>
            </w:pPr>
          </w:p>
        </w:tc>
        <w:tc>
          <w:tcPr>
            <w:tcW w:w="3060" w:type="dxa"/>
            <w:vAlign w:val="bottom"/>
            <w:tcBorders>
              <w:right w:val="single" w:sz="8" w:color="262626"/>
            </w:tcBorders>
            <w:shd w:val="clear" w:color="auto" w:fill="262626"/>
          </w:tcPr>
          <w:p>
            <w:pPr>
              <w:jc w:val="center"/>
              <w:ind w:right="22"/>
              <w:spacing w:after="0"/>
              <w:rPr>
                <w:sz w:val="20"/>
                <w:szCs w:val="20"/>
                <w:color w:val="auto"/>
              </w:rPr>
            </w:pPr>
            <w:r>
              <w:rPr>
                <w:rFonts w:ascii="Arial" w:cs="Arial" w:eastAsia="Arial" w:hAnsi="Arial"/>
                <w:sz w:val="16"/>
                <w:szCs w:val="16"/>
                <w:color w:val="FFFFFF"/>
                <w:w w:val="97"/>
              </w:rPr>
              <w:t>How We Do It</w:t>
            </w:r>
          </w:p>
        </w:tc>
        <w:tc>
          <w:tcPr>
            <w:tcW w:w="180" w:type="dxa"/>
            <w:vAlign w:val="bottom"/>
            <w:tcBorders>
              <w:right w:val="single" w:sz="8" w:color="262626"/>
            </w:tcBorders>
          </w:tcPr>
          <w:p>
            <w:pPr>
              <w:spacing w:after="0"/>
              <w:rPr>
                <w:sz w:val="23"/>
                <w:szCs w:val="23"/>
                <w:color w:val="auto"/>
              </w:rPr>
            </w:pPr>
          </w:p>
        </w:tc>
        <w:tc>
          <w:tcPr>
            <w:tcW w:w="316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6"/>
                <w:szCs w:val="16"/>
                <w:color w:val="FFFFFF"/>
                <w:w w:val="98"/>
              </w:rPr>
              <w:t>2021 Decision</w:t>
            </w:r>
          </w:p>
        </w:tc>
        <w:tc>
          <w:tcPr>
            <w:tcW w:w="0" w:type="dxa"/>
            <w:vAlign w:val="bottom"/>
          </w:tcPr>
          <w:p>
            <w:pPr>
              <w:spacing w:after="0"/>
              <w:rPr>
                <w:sz w:val="1"/>
                <w:szCs w:val="1"/>
                <w:color w:val="auto"/>
              </w:rPr>
            </w:pPr>
          </w:p>
        </w:tc>
      </w:tr>
      <w:tr>
        <w:trPr>
          <w:trHeight w:val="418"/>
        </w:trPr>
        <w:tc>
          <w:tcPr>
            <w:tcW w:w="2700" w:type="dxa"/>
            <w:vAlign w:val="bottom"/>
            <w:tcBorders>
              <w:left w:val="single" w:sz="8" w:color="FF160F"/>
              <w:right w:val="single" w:sz="8" w:color="FF160F"/>
            </w:tcBorders>
            <w:shd w:val="clear" w:color="auto" w:fill="D8D8D8"/>
          </w:tcPr>
          <w:p>
            <w:pPr>
              <w:spacing w:after="0"/>
              <w:rPr>
                <w:sz w:val="24"/>
                <w:szCs w:val="24"/>
                <w:color w:val="auto"/>
              </w:rPr>
            </w:pPr>
          </w:p>
        </w:tc>
        <w:tc>
          <w:tcPr>
            <w:tcW w:w="200" w:type="dxa"/>
            <w:vAlign w:val="bottom"/>
            <w:tcBorders>
              <w:right w:val="single" w:sz="8" w:color="FF160F"/>
            </w:tcBorders>
          </w:tcPr>
          <w:p>
            <w:pPr>
              <w:spacing w:after="0"/>
              <w:rPr>
                <w:sz w:val="24"/>
                <w:szCs w:val="24"/>
                <w:color w:val="auto"/>
              </w:rPr>
            </w:pPr>
          </w:p>
        </w:tc>
        <w:tc>
          <w:tcPr>
            <w:tcW w:w="3060" w:type="dxa"/>
            <w:vAlign w:val="bottom"/>
            <w:tcBorders>
              <w:right w:val="single" w:sz="8" w:color="FF160F"/>
            </w:tcBorders>
            <w:shd w:val="clear" w:color="auto" w:fill="D8D8D8"/>
          </w:tcPr>
          <w:p>
            <w:pPr>
              <w:jc w:val="center"/>
              <w:ind w:right="42"/>
              <w:spacing w:after="0"/>
              <w:rPr>
                <w:sz w:val="20"/>
                <w:szCs w:val="20"/>
                <w:color w:val="auto"/>
              </w:rPr>
            </w:pPr>
            <w:r>
              <w:rPr>
                <w:rFonts w:ascii="Arial" w:cs="Arial" w:eastAsia="Arial" w:hAnsi="Arial"/>
                <w:sz w:val="16"/>
                <w:szCs w:val="16"/>
                <w:color w:val="auto"/>
                <w:w w:val="97"/>
              </w:rPr>
              <w:t>Based on FFO per diluted share</w:t>
            </w:r>
          </w:p>
        </w:tc>
        <w:tc>
          <w:tcPr>
            <w:tcW w:w="180" w:type="dxa"/>
            <w:vAlign w:val="bottom"/>
            <w:tcBorders>
              <w:right w:val="single" w:sz="8" w:color="FF160F"/>
            </w:tcBorders>
          </w:tcPr>
          <w:p>
            <w:pPr>
              <w:spacing w:after="0"/>
              <w:rPr>
                <w:sz w:val="24"/>
                <w:szCs w:val="24"/>
                <w:color w:val="auto"/>
              </w:rPr>
            </w:pPr>
          </w:p>
        </w:tc>
        <w:tc>
          <w:tcPr>
            <w:tcW w:w="3160" w:type="dxa"/>
            <w:vAlign w:val="bottom"/>
            <w:tcBorders>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Bonus pool funding established at 125% of</w:t>
            </w:r>
          </w:p>
        </w:tc>
        <w:tc>
          <w:tcPr>
            <w:tcW w:w="0" w:type="dxa"/>
            <w:vAlign w:val="bottom"/>
          </w:tcPr>
          <w:p>
            <w:pPr>
              <w:spacing w:after="0"/>
              <w:rPr>
                <w:sz w:val="1"/>
                <w:szCs w:val="1"/>
                <w:color w:val="auto"/>
              </w:rPr>
            </w:pPr>
          </w:p>
        </w:tc>
      </w:tr>
      <w:tr>
        <w:trPr>
          <w:trHeight w:val="156"/>
        </w:trPr>
        <w:tc>
          <w:tcPr>
            <w:tcW w:w="2700" w:type="dxa"/>
            <w:vAlign w:val="bottom"/>
            <w:tcBorders>
              <w:left w:val="single" w:sz="8" w:color="FF160F"/>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Determine level of available</w:t>
            </w:r>
          </w:p>
        </w:tc>
        <w:tc>
          <w:tcPr>
            <w:tcW w:w="200" w:type="dxa"/>
            <w:vAlign w:val="bottom"/>
            <w:tcBorders>
              <w:right w:val="single" w:sz="8" w:color="FF160F"/>
            </w:tcBorders>
          </w:tcPr>
          <w:p>
            <w:pPr>
              <w:spacing w:after="0"/>
              <w:rPr>
                <w:sz w:val="13"/>
                <w:szCs w:val="13"/>
                <w:color w:val="auto"/>
              </w:rPr>
            </w:pPr>
          </w:p>
        </w:tc>
        <w:tc>
          <w:tcPr>
            <w:tcW w:w="3060" w:type="dxa"/>
            <w:vAlign w:val="bottom"/>
            <w:tcBorders>
              <w:right w:val="single" w:sz="8" w:color="FF160F"/>
            </w:tcBorders>
            <w:shd w:val="clear" w:color="auto" w:fill="D8D8D8"/>
          </w:tcPr>
          <w:p>
            <w:pPr>
              <w:jc w:val="center"/>
              <w:ind w:right="42"/>
              <w:spacing w:after="0" w:line="156" w:lineRule="exact"/>
              <w:rPr>
                <w:sz w:val="20"/>
                <w:szCs w:val="20"/>
                <w:color w:val="auto"/>
              </w:rPr>
            </w:pPr>
            <w:r>
              <w:rPr>
                <w:rFonts w:ascii="Arial" w:cs="Arial" w:eastAsia="Arial" w:hAnsi="Arial"/>
                <w:sz w:val="16"/>
                <w:szCs w:val="16"/>
                <w:color w:val="auto"/>
                <w:w w:val="97"/>
              </w:rPr>
              <w:t>achieved by the Company for the</w:t>
            </w:r>
          </w:p>
        </w:tc>
        <w:tc>
          <w:tcPr>
            <w:tcW w:w="180" w:type="dxa"/>
            <w:vAlign w:val="bottom"/>
            <w:tcBorders>
              <w:right w:val="single" w:sz="8" w:color="FF160F"/>
            </w:tcBorders>
          </w:tcPr>
          <w:p>
            <w:pPr>
              <w:spacing w:after="0"/>
              <w:rPr>
                <w:sz w:val="13"/>
                <w:szCs w:val="13"/>
                <w:color w:val="auto"/>
              </w:rPr>
            </w:pPr>
          </w:p>
        </w:tc>
        <w:tc>
          <w:tcPr>
            <w:tcW w:w="3160" w:type="dxa"/>
            <w:vAlign w:val="bottom"/>
            <w:tcBorders>
              <w:right w:val="single" w:sz="8" w:color="FF160F"/>
            </w:tcBorders>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00" w:type="dxa"/>
            <w:vAlign w:val="bottom"/>
            <w:tcBorders>
              <w:left w:val="single" w:sz="8" w:color="FF160F"/>
              <w:right w:val="single" w:sz="8" w:color="FF160F"/>
            </w:tcBorders>
            <w:vMerge w:val="continue"/>
            <w:shd w:val="clear" w:color="auto" w:fill="D8D8D8"/>
          </w:tcPr>
          <w:p>
            <w:pPr>
              <w:spacing w:after="0"/>
              <w:rPr>
                <w:sz w:val="14"/>
                <w:szCs w:val="14"/>
                <w:color w:val="auto"/>
              </w:rPr>
            </w:pPr>
          </w:p>
        </w:tc>
        <w:tc>
          <w:tcPr>
            <w:tcW w:w="200" w:type="dxa"/>
            <w:vAlign w:val="bottom"/>
            <w:tcBorders>
              <w:right w:val="single" w:sz="8" w:color="FF160F"/>
            </w:tcBorders>
          </w:tcPr>
          <w:p>
            <w:pPr>
              <w:spacing w:after="0"/>
              <w:rPr>
                <w:sz w:val="14"/>
                <w:szCs w:val="14"/>
                <w:color w:val="auto"/>
              </w:rPr>
            </w:pPr>
          </w:p>
        </w:tc>
        <w:tc>
          <w:tcPr>
            <w:tcW w:w="3060" w:type="dxa"/>
            <w:vAlign w:val="bottom"/>
            <w:tcBorders>
              <w:right w:val="single" w:sz="8" w:color="FF160F"/>
            </w:tcBorders>
            <w:shd w:val="clear" w:color="auto" w:fill="D8D8D8"/>
          </w:tcPr>
          <w:p>
            <w:pPr>
              <w:jc w:val="center"/>
              <w:ind w:right="42"/>
              <w:spacing w:after="0" w:line="169" w:lineRule="exact"/>
              <w:rPr>
                <w:sz w:val="20"/>
                <w:szCs w:val="20"/>
                <w:color w:val="auto"/>
              </w:rPr>
            </w:pPr>
            <w:r>
              <w:rPr>
                <w:rFonts w:ascii="Arial" w:cs="Arial" w:eastAsia="Arial" w:hAnsi="Arial"/>
                <w:sz w:val="16"/>
                <w:szCs w:val="16"/>
                <w:color w:val="auto"/>
                <w:w w:val="97"/>
              </w:rPr>
              <w:t>year measured against previously</w:t>
            </w:r>
          </w:p>
        </w:tc>
        <w:tc>
          <w:tcPr>
            <w:tcW w:w="180" w:type="dxa"/>
            <w:vAlign w:val="bottom"/>
            <w:tcBorders>
              <w:right w:val="single" w:sz="8" w:color="FF160F"/>
            </w:tcBorders>
          </w:tcPr>
          <w:p>
            <w:pPr>
              <w:spacing w:after="0"/>
              <w:rPr>
                <w:sz w:val="14"/>
                <w:szCs w:val="14"/>
                <w:color w:val="auto"/>
              </w:rPr>
            </w:pPr>
          </w:p>
        </w:tc>
        <w:tc>
          <w:tcPr>
            <w:tcW w:w="3160" w:type="dxa"/>
            <w:vAlign w:val="bottom"/>
            <w:tcBorders>
              <w:right w:val="single" w:sz="8" w:color="FF160F"/>
            </w:tcBorders>
            <w:shd w:val="clear" w:color="auto" w:fill="D8D8D8"/>
          </w:tcPr>
          <w:p>
            <w:pPr>
              <w:jc w:val="center"/>
              <w:spacing w:after="0" w:line="169" w:lineRule="exact"/>
              <w:rPr>
                <w:sz w:val="20"/>
                <w:szCs w:val="20"/>
                <w:color w:val="auto"/>
              </w:rPr>
            </w:pPr>
            <w:r>
              <w:rPr>
                <w:rFonts w:ascii="Arial" w:cs="Arial" w:eastAsia="Arial" w:hAnsi="Arial"/>
                <w:sz w:val="16"/>
                <w:szCs w:val="16"/>
                <w:color w:val="auto"/>
                <w:w w:val="97"/>
              </w:rPr>
              <w:t>target based on achieving FFO per diluted</w:t>
            </w:r>
          </w:p>
        </w:tc>
        <w:tc>
          <w:tcPr>
            <w:tcW w:w="0" w:type="dxa"/>
            <w:vAlign w:val="bottom"/>
          </w:tcPr>
          <w:p>
            <w:pPr>
              <w:spacing w:after="0"/>
              <w:rPr>
                <w:sz w:val="1"/>
                <w:szCs w:val="1"/>
                <w:color w:val="auto"/>
              </w:rPr>
            </w:pPr>
          </w:p>
        </w:tc>
      </w:tr>
      <w:tr>
        <w:trPr>
          <w:trHeight w:val="195"/>
        </w:trPr>
        <w:tc>
          <w:tcPr>
            <w:tcW w:w="2700" w:type="dxa"/>
            <w:vAlign w:val="bottom"/>
            <w:tcBorders>
              <w:left w:val="single" w:sz="8" w:color="FF160F"/>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7"/>
              </w:rPr>
              <w:t>funding for bonus payouts</w:t>
            </w:r>
          </w:p>
        </w:tc>
        <w:tc>
          <w:tcPr>
            <w:tcW w:w="200" w:type="dxa"/>
            <w:vAlign w:val="bottom"/>
            <w:tcBorders>
              <w:right w:val="single" w:sz="8" w:color="FF160F"/>
            </w:tcBorders>
          </w:tcPr>
          <w:p>
            <w:pPr>
              <w:spacing w:after="0"/>
              <w:rPr>
                <w:sz w:val="16"/>
                <w:szCs w:val="16"/>
                <w:color w:val="auto"/>
              </w:rPr>
            </w:pPr>
          </w:p>
        </w:tc>
        <w:tc>
          <w:tcPr>
            <w:tcW w:w="3060" w:type="dxa"/>
            <w:vAlign w:val="bottom"/>
            <w:tcBorders>
              <w:right w:val="single" w:sz="8" w:color="FF160F"/>
            </w:tcBorders>
            <w:shd w:val="clear" w:color="auto" w:fill="D8D8D8"/>
          </w:tcPr>
          <w:p>
            <w:pPr>
              <w:jc w:val="center"/>
              <w:ind w:right="42"/>
              <w:spacing w:after="0"/>
              <w:rPr>
                <w:sz w:val="20"/>
                <w:szCs w:val="20"/>
                <w:color w:val="auto"/>
              </w:rPr>
            </w:pPr>
            <w:r>
              <w:rPr>
                <w:rFonts w:ascii="Arial" w:cs="Arial" w:eastAsia="Arial" w:hAnsi="Arial"/>
                <w:sz w:val="16"/>
                <w:szCs w:val="16"/>
                <w:color w:val="auto"/>
                <w:w w:val="97"/>
              </w:rPr>
              <w:t>established hurdles. See</w:t>
            </w:r>
          </w:p>
        </w:tc>
        <w:tc>
          <w:tcPr>
            <w:tcW w:w="180" w:type="dxa"/>
            <w:vAlign w:val="bottom"/>
            <w:tcBorders>
              <w:right w:val="single" w:sz="8" w:color="FF160F"/>
            </w:tcBorders>
          </w:tcPr>
          <w:p>
            <w:pPr>
              <w:spacing w:after="0"/>
              <w:rPr>
                <w:sz w:val="16"/>
                <w:szCs w:val="16"/>
                <w:color w:val="auto"/>
              </w:rPr>
            </w:pPr>
          </w:p>
        </w:tc>
        <w:tc>
          <w:tcPr>
            <w:tcW w:w="3160" w:type="dxa"/>
            <w:vAlign w:val="bottom"/>
            <w:tcBorders>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7"/>
              </w:rPr>
              <w:t>share for 2021 of $5.57. See additional</w:t>
            </w:r>
          </w:p>
        </w:tc>
        <w:tc>
          <w:tcPr>
            <w:tcW w:w="0" w:type="dxa"/>
            <w:vAlign w:val="bottom"/>
          </w:tcPr>
          <w:p>
            <w:pPr>
              <w:spacing w:after="0"/>
              <w:rPr>
                <w:sz w:val="1"/>
                <w:szCs w:val="1"/>
                <w:color w:val="auto"/>
              </w:rPr>
            </w:pPr>
          </w:p>
        </w:tc>
      </w:tr>
      <w:tr>
        <w:trPr>
          <w:trHeight w:val="213"/>
        </w:trPr>
        <w:tc>
          <w:tcPr>
            <w:tcW w:w="2700" w:type="dxa"/>
            <w:vAlign w:val="bottom"/>
            <w:tcBorders>
              <w:left w:val="single" w:sz="8" w:color="FF160F"/>
              <w:right w:val="single" w:sz="8" w:color="FF160F"/>
            </w:tcBorders>
            <w:shd w:val="clear" w:color="auto" w:fill="D8D8D8"/>
          </w:tcPr>
          <w:p>
            <w:pPr>
              <w:spacing w:after="0"/>
              <w:rPr>
                <w:sz w:val="18"/>
                <w:szCs w:val="18"/>
                <w:color w:val="auto"/>
              </w:rPr>
            </w:pPr>
          </w:p>
        </w:tc>
        <w:tc>
          <w:tcPr>
            <w:tcW w:w="200" w:type="dxa"/>
            <w:vAlign w:val="bottom"/>
            <w:tcBorders>
              <w:right w:val="single" w:sz="8" w:color="FF160F"/>
            </w:tcBorders>
          </w:tcPr>
          <w:p>
            <w:pPr>
              <w:spacing w:after="0"/>
              <w:rPr>
                <w:sz w:val="18"/>
                <w:szCs w:val="18"/>
                <w:color w:val="auto"/>
              </w:rPr>
            </w:pPr>
          </w:p>
        </w:tc>
        <w:tc>
          <w:tcPr>
            <w:tcW w:w="3060" w:type="dxa"/>
            <w:vAlign w:val="bottom"/>
            <w:tcBorders>
              <w:right w:val="single" w:sz="8" w:color="FF160F"/>
            </w:tcBorders>
            <w:shd w:val="clear" w:color="auto" w:fill="D8D8D8"/>
          </w:tcPr>
          <w:p>
            <w:pPr>
              <w:jc w:val="center"/>
              <w:ind w:right="42"/>
              <w:spacing w:after="0"/>
              <w:rPr>
                <w:sz w:val="20"/>
                <w:szCs w:val="20"/>
                <w:color w:val="auto"/>
              </w:rPr>
            </w:pPr>
            <w:r>
              <w:rPr>
                <w:rFonts w:ascii="Arial" w:cs="Arial" w:eastAsia="Arial" w:hAnsi="Arial"/>
                <w:sz w:val="16"/>
                <w:szCs w:val="16"/>
                <w:color w:val="auto"/>
                <w:w w:val="97"/>
              </w:rPr>
              <w:t>additional discussion below</w:t>
            </w:r>
          </w:p>
        </w:tc>
        <w:tc>
          <w:tcPr>
            <w:tcW w:w="180" w:type="dxa"/>
            <w:vAlign w:val="bottom"/>
            <w:tcBorders>
              <w:right w:val="single" w:sz="8" w:color="FF160F"/>
            </w:tcBorders>
          </w:tcPr>
          <w:p>
            <w:pPr>
              <w:spacing w:after="0"/>
              <w:rPr>
                <w:sz w:val="18"/>
                <w:szCs w:val="18"/>
                <w:color w:val="auto"/>
              </w:rPr>
            </w:pPr>
          </w:p>
        </w:tc>
        <w:tc>
          <w:tcPr>
            <w:tcW w:w="3160" w:type="dxa"/>
            <w:vAlign w:val="bottom"/>
            <w:tcBorders>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7"/>
              </w:rPr>
              <w:t>discussion below</w:t>
            </w:r>
          </w:p>
        </w:tc>
        <w:tc>
          <w:tcPr>
            <w:tcW w:w="0" w:type="dxa"/>
            <w:vAlign w:val="bottom"/>
          </w:tcPr>
          <w:p>
            <w:pPr>
              <w:spacing w:after="0"/>
              <w:rPr>
                <w:sz w:val="1"/>
                <w:szCs w:val="1"/>
                <w:color w:val="auto"/>
              </w:rPr>
            </w:pPr>
          </w:p>
        </w:tc>
      </w:tr>
      <w:tr>
        <w:trPr>
          <w:trHeight w:val="389"/>
        </w:trPr>
        <w:tc>
          <w:tcPr>
            <w:tcW w:w="2700" w:type="dxa"/>
            <w:vAlign w:val="bottom"/>
            <w:tcBorders>
              <w:left w:val="single" w:sz="8" w:color="FF160F"/>
              <w:bottom w:val="single" w:sz="8" w:color="FF160F"/>
              <w:right w:val="single" w:sz="8" w:color="FF160F"/>
            </w:tcBorders>
            <w:shd w:val="clear" w:color="auto" w:fill="D8D8D8"/>
          </w:tcPr>
          <w:p>
            <w:pPr>
              <w:spacing w:after="0"/>
              <w:rPr>
                <w:sz w:val="24"/>
                <w:szCs w:val="24"/>
                <w:color w:val="auto"/>
              </w:rPr>
            </w:pPr>
          </w:p>
        </w:tc>
        <w:tc>
          <w:tcPr>
            <w:tcW w:w="200" w:type="dxa"/>
            <w:vAlign w:val="bottom"/>
            <w:tcBorders>
              <w:right w:val="single" w:sz="8" w:color="FF160F"/>
            </w:tcBorders>
          </w:tcPr>
          <w:p>
            <w:pPr>
              <w:spacing w:after="0"/>
              <w:rPr>
                <w:sz w:val="24"/>
                <w:szCs w:val="24"/>
                <w:color w:val="auto"/>
              </w:rPr>
            </w:pPr>
          </w:p>
        </w:tc>
        <w:tc>
          <w:tcPr>
            <w:tcW w:w="3060" w:type="dxa"/>
            <w:vAlign w:val="bottom"/>
            <w:tcBorders>
              <w:bottom w:val="single" w:sz="8" w:color="FF160F"/>
              <w:right w:val="single" w:sz="8" w:color="FF160F"/>
            </w:tcBorders>
            <w:shd w:val="clear" w:color="auto" w:fill="D8D8D8"/>
          </w:tcPr>
          <w:p>
            <w:pPr>
              <w:spacing w:after="0"/>
              <w:rPr>
                <w:sz w:val="24"/>
                <w:szCs w:val="24"/>
                <w:color w:val="auto"/>
              </w:rPr>
            </w:pPr>
          </w:p>
        </w:tc>
        <w:tc>
          <w:tcPr>
            <w:tcW w:w="180" w:type="dxa"/>
            <w:vAlign w:val="bottom"/>
            <w:tcBorders>
              <w:right w:val="single" w:sz="8" w:color="FF160F"/>
            </w:tcBorders>
          </w:tcPr>
          <w:p>
            <w:pPr>
              <w:spacing w:after="0"/>
              <w:rPr>
                <w:sz w:val="24"/>
                <w:szCs w:val="24"/>
                <w:color w:val="auto"/>
              </w:rPr>
            </w:pPr>
          </w:p>
        </w:tc>
        <w:tc>
          <w:tcPr>
            <w:tcW w:w="3160" w:type="dxa"/>
            <w:vAlign w:val="bottom"/>
            <w:tcBorders>
              <w:bottom w:val="single" w:sz="8" w:color="FF160F"/>
              <w:right w:val="single" w:sz="8" w:color="FF160F"/>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20"/>
        <w:spacing w:after="0" w:line="243" w:lineRule="auto"/>
        <w:rPr>
          <w:sz w:val="20"/>
          <w:szCs w:val="20"/>
          <w:color w:val="auto"/>
        </w:rPr>
      </w:pPr>
      <w:r>
        <w:rPr>
          <w:rFonts w:ascii="Arial" w:cs="Arial" w:eastAsia="Arial" w:hAnsi="Arial"/>
          <w:sz w:val="17"/>
          <w:szCs w:val="17"/>
          <w:color w:val="auto"/>
        </w:rPr>
        <w:t>The Compensation Committee has determined that FFO per diluted share is the appropriate measure to use for our annual bonus program. It is a key annual metric used by investors, the Board and management use it to evaluate the Company’s performance for the year and it reflects the full range of decision making and execution for the Company for the year. The Committee sets the required performance level for FFO per diluted share at the beginning of each year with levels reflecting performance that ranges from acceptable at the threshold level to exceptional at the stretch level.</w:t>
      </w:r>
    </w:p>
    <w:p>
      <w:pPr>
        <w:spacing w:after="0" w:line="194"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7"/>
          <w:szCs w:val="17"/>
          <w:color w:val="auto"/>
        </w:rPr>
        <w:t>The FFO per diluted share achievement levels for our 2021 annual bonus program were established by the Compensation Committee early in the year based on our budget for the year which was heavily impacted by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0"/>
          </w:cols>
          <w:pgMar w:left="620" w:top="260" w:right="639" w:bottom="1440" w:gutter="0" w:footer="0" w:header="0"/>
        </w:sectPr>
      </w:pPr>
    </w:p>
    <w:bookmarkStart w:id="28" w:name="page29"/>
    <w:bookmarkEnd w:id="28"/>
    <w:p>
      <w:pPr>
        <w:jc w:val="both"/>
        <w:ind w:left="20"/>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view of the continuing impact of COVID-19 on our tenants’ ability to pay rent due under their leases. To try to capture this higher than normal level of uncertainty around expected performance for 2021, the Committee set our target bonus payout slightly higher than our initial budget for the year and established a range of $ 0.25 per share from threshold payout to stretch payout, a range that was nearly 45% wider than either our 5 or 10-year historical average. Following are the achievement levels set by the Compensation Committee and our actual level of FFO per share achieved.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50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020" w:type="dxa"/>
            <w:vAlign w:val="bottom"/>
            <w:shd w:val="clear" w:color="auto" w:fill="000000"/>
          </w:tcPr>
          <w:p>
            <w:pPr>
              <w:jc w:val="right"/>
              <w:ind w:right="62"/>
              <w:spacing w:after="0"/>
              <w:rPr>
                <w:sz w:val="20"/>
                <w:szCs w:val="20"/>
                <w:color w:val="auto"/>
              </w:rPr>
            </w:pPr>
            <w:r>
              <w:rPr>
                <w:rFonts w:ascii="Arial" w:cs="Arial" w:eastAsia="Arial" w:hAnsi="Arial"/>
                <w:sz w:val="16"/>
                <w:szCs w:val="16"/>
                <w:b w:val="1"/>
                <w:bCs w:val="1"/>
                <w:color w:val="FFFFFF"/>
              </w:rPr>
              <w:t>Threshold</w:t>
            </w:r>
          </w:p>
        </w:tc>
        <w:tc>
          <w:tcPr>
            <w:tcW w:w="500" w:type="dxa"/>
            <w:vAlign w:val="bottom"/>
            <w:shd w:val="clear" w:color="auto" w:fill="000000"/>
          </w:tcPr>
          <w:p>
            <w:pPr>
              <w:spacing w:after="0"/>
              <w:rPr>
                <w:sz w:val="24"/>
                <w:szCs w:val="24"/>
                <w:color w:val="auto"/>
              </w:rPr>
            </w:pPr>
          </w:p>
        </w:tc>
        <w:tc>
          <w:tcPr>
            <w:tcW w:w="880" w:type="dxa"/>
            <w:vAlign w:val="bottom"/>
            <w:shd w:val="clear" w:color="auto" w:fill="000000"/>
          </w:tcPr>
          <w:p>
            <w:pPr>
              <w:jc w:val="right"/>
              <w:ind w:right="62"/>
              <w:spacing w:after="0"/>
              <w:rPr>
                <w:sz w:val="20"/>
                <w:szCs w:val="20"/>
                <w:color w:val="auto"/>
              </w:rPr>
            </w:pPr>
            <w:r>
              <w:rPr>
                <w:rFonts w:ascii="Arial" w:cs="Arial" w:eastAsia="Arial" w:hAnsi="Arial"/>
                <w:sz w:val="16"/>
                <w:szCs w:val="16"/>
                <w:b w:val="1"/>
                <w:bCs w:val="1"/>
                <w:color w:val="FFFFFF"/>
              </w:rPr>
              <w:t>Target</w:t>
            </w:r>
          </w:p>
        </w:tc>
        <w:tc>
          <w:tcPr>
            <w:tcW w:w="460" w:type="dxa"/>
            <w:vAlign w:val="bottom"/>
            <w:shd w:val="clear" w:color="auto" w:fill="000000"/>
          </w:tcPr>
          <w:p>
            <w:pPr>
              <w:spacing w:after="0"/>
              <w:rPr>
                <w:sz w:val="24"/>
                <w:szCs w:val="24"/>
                <w:color w:val="auto"/>
              </w:rPr>
            </w:pPr>
          </w:p>
        </w:tc>
        <w:tc>
          <w:tcPr>
            <w:tcW w:w="860" w:type="dxa"/>
            <w:vAlign w:val="bottom"/>
            <w:shd w:val="clear" w:color="auto" w:fill="000000"/>
          </w:tcPr>
          <w:p>
            <w:pPr>
              <w:jc w:val="right"/>
              <w:ind w:right="2"/>
              <w:spacing w:after="0"/>
              <w:rPr>
                <w:sz w:val="20"/>
                <w:szCs w:val="20"/>
                <w:color w:val="auto"/>
              </w:rPr>
            </w:pPr>
            <w:r>
              <w:rPr>
                <w:rFonts w:ascii="Arial" w:cs="Arial" w:eastAsia="Arial" w:hAnsi="Arial"/>
                <w:sz w:val="16"/>
                <w:szCs w:val="16"/>
                <w:b w:val="1"/>
                <w:bCs w:val="1"/>
                <w:color w:val="FFFFFF"/>
              </w:rPr>
              <w:t>Stretch</w:t>
            </w:r>
          </w:p>
        </w:tc>
        <w:tc>
          <w:tcPr>
            <w:tcW w:w="580" w:type="dxa"/>
            <w:vAlign w:val="bottom"/>
            <w:shd w:val="clear" w:color="auto" w:fill="000000"/>
          </w:tcPr>
          <w:p>
            <w:pPr>
              <w:spacing w:after="0"/>
              <w:rPr>
                <w:sz w:val="24"/>
                <w:szCs w:val="24"/>
                <w:color w:val="auto"/>
              </w:rPr>
            </w:pPr>
          </w:p>
        </w:tc>
        <w:tc>
          <w:tcPr>
            <w:tcW w:w="840" w:type="dxa"/>
            <w:vAlign w:val="bottom"/>
            <w:shd w:val="clear" w:color="auto" w:fill="000000"/>
          </w:tcPr>
          <w:p>
            <w:pPr>
              <w:jc w:val="right"/>
              <w:ind w:right="2"/>
              <w:spacing w:after="0"/>
              <w:rPr>
                <w:sz w:val="20"/>
                <w:szCs w:val="20"/>
                <w:color w:val="auto"/>
              </w:rPr>
            </w:pPr>
            <w:r>
              <w:rPr>
                <w:rFonts w:ascii="Arial" w:cs="Arial" w:eastAsia="Arial" w:hAnsi="Arial"/>
                <w:sz w:val="16"/>
                <w:szCs w:val="16"/>
                <w:b w:val="1"/>
                <w:bCs w:val="1"/>
                <w:color w:val="FFFFFF"/>
              </w:rPr>
              <w:t>Actual</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FFO per Share</w:t>
            </w:r>
          </w:p>
        </w:tc>
        <w:tc>
          <w:tcPr>
            <w:tcW w:w="4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4.55</w:t>
            </w:r>
          </w:p>
        </w:tc>
        <w:tc>
          <w:tcPr>
            <w:tcW w:w="5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4.68</w:t>
            </w:r>
          </w:p>
        </w:tc>
        <w:tc>
          <w:tcPr>
            <w:tcW w:w="4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4.80</w:t>
            </w:r>
          </w:p>
        </w:tc>
        <w:tc>
          <w:tcPr>
            <w:tcW w:w="580" w:type="dxa"/>
            <w:vAlign w:val="bottom"/>
            <w:shd w:val="clear" w:color="auto" w:fill="D8D8D8"/>
          </w:tcPr>
          <w:p>
            <w:pPr>
              <w:jc w:val="right"/>
              <w:ind w:right="202"/>
              <w:spacing w:after="0"/>
              <w:rPr>
                <w:sz w:val="20"/>
                <w:szCs w:val="20"/>
                <w:color w:val="auto"/>
              </w:rPr>
            </w:pPr>
            <w:r>
              <w:rPr>
                <w:rFonts w:ascii="Arial" w:cs="Arial" w:eastAsia="Arial" w:hAnsi="Arial"/>
                <w:sz w:val="16"/>
                <w:szCs w:val="16"/>
                <w:color w:val="auto"/>
              </w:rPr>
              <w:t>$</w:t>
            </w:r>
          </w:p>
        </w:tc>
        <w:tc>
          <w:tcPr>
            <w:tcW w:w="840" w:type="dxa"/>
            <w:vAlign w:val="bottom"/>
            <w:shd w:val="clear" w:color="auto" w:fill="D8D8D8"/>
          </w:tcPr>
          <w:p>
            <w:pPr>
              <w:jc w:val="right"/>
              <w:ind w:right="42"/>
              <w:spacing w:after="0"/>
              <w:rPr>
                <w:sz w:val="20"/>
                <w:szCs w:val="20"/>
                <w:color w:val="auto"/>
              </w:rPr>
            </w:pPr>
            <w:r>
              <w:rPr>
                <w:rFonts w:ascii="Arial" w:cs="Arial" w:eastAsia="Arial" w:hAnsi="Arial"/>
                <w:sz w:val="16"/>
                <w:szCs w:val="16"/>
                <w:color w:val="auto"/>
              </w:rPr>
              <w:t>5.57</w:t>
            </w:r>
          </w:p>
        </w:tc>
      </w:tr>
      <w:tr>
        <w:trPr>
          <w:trHeight w:val="227"/>
        </w:trPr>
        <w:tc>
          <w:tcPr>
            <w:tcW w:w="2500" w:type="dxa"/>
            <w:vAlign w:val="bottom"/>
          </w:tcPr>
          <w:p>
            <w:pPr>
              <w:spacing w:after="0"/>
              <w:rPr>
                <w:sz w:val="20"/>
                <w:szCs w:val="20"/>
                <w:color w:val="auto"/>
              </w:rPr>
            </w:pPr>
            <w:r>
              <w:rPr>
                <w:rFonts w:ascii="Arial" w:cs="Arial" w:eastAsia="Arial" w:hAnsi="Arial"/>
                <w:sz w:val="16"/>
                <w:szCs w:val="16"/>
                <w:color w:val="auto"/>
              </w:rPr>
              <w:t>Payout as % of Target</w:t>
            </w:r>
          </w:p>
        </w:tc>
        <w:tc>
          <w:tcPr>
            <w:tcW w:w="42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500" w:type="dxa"/>
            <w:vAlign w:val="bottom"/>
          </w:tcPr>
          <w:p>
            <w:pPr>
              <w:spacing w:after="0"/>
              <w:rPr>
                <w:sz w:val="19"/>
                <w:szCs w:val="19"/>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580" w:type="dxa"/>
            <w:vAlign w:val="bottom"/>
            <w:shd w:val="clear" w:color="auto" w:fill="D8D8D8"/>
          </w:tcPr>
          <w:p>
            <w:pPr>
              <w:spacing w:after="0"/>
              <w:rPr>
                <w:sz w:val="19"/>
                <w:szCs w:val="19"/>
                <w:color w:val="auto"/>
              </w:rPr>
            </w:pPr>
          </w:p>
        </w:tc>
        <w:tc>
          <w:tcPr>
            <w:tcW w:w="8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125%</w:t>
            </w:r>
          </w:p>
        </w:tc>
      </w:tr>
    </w:tbl>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See Appendix A for a reconciliation of FFO per share to net income.</w:t>
      </w:r>
    </w:p>
    <w:p>
      <w:pPr>
        <w:spacing w:after="0" w:line="208" w:lineRule="exact"/>
        <w:rPr>
          <w:sz w:val="20"/>
          <w:szCs w:val="20"/>
          <w:color w:val="auto"/>
        </w:rPr>
      </w:pPr>
    </w:p>
    <w:p>
      <w:pPr>
        <w:jc w:val="both"/>
        <w:ind w:left="20"/>
        <w:spacing w:after="0" w:line="242" w:lineRule="auto"/>
        <w:rPr>
          <w:sz w:val="20"/>
          <w:szCs w:val="20"/>
          <w:color w:val="auto"/>
        </w:rPr>
      </w:pPr>
      <w:r>
        <w:rPr>
          <w:rFonts w:ascii="Arial" w:cs="Arial" w:eastAsia="Arial" w:hAnsi="Arial"/>
          <w:sz w:val="17"/>
          <w:szCs w:val="17"/>
          <w:color w:val="auto"/>
        </w:rPr>
        <w:t>Our actual FFO per share exceeded our bonus target by approximately 19% driven primarily by the businesses of our retail tenants rebounding more quickly and with more strength than we contemplated in our budget. We were able to collect significantly more rent tenants owed for the prior year of 2020 than we had anticipated, fewer tenants closed their doors than expected which led to increased revenue and we experienced significantly lower levels of credit loss than we had planned for at the time our bonus target was established. Significant outperformance during 2021 as compared to initial expectations for the year was a consistent theme amongst other public company retail landlords with 7 similarly situated retail landlords having also exceeded their initial expectations provided to investors by 19%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5906135"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06135" cy="2146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STEP 3</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700" w:type="dxa"/>
            <w:vAlign w:val="bottom"/>
            <w:tcBorders>
              <w:left w:val="single" w:sz="8" w:color="262626"/>
              <w:right w:val="single" w:sz="8" w:color="262626"/>
            </w:tcBorders>
            <w:shd w:val="clear" w:color="auto" w:fill="262626"/>
          </w:tcPr>
          <w:p>
            <w:pPr>
              <w:ind w:left="920"/>
              <w:spacing w:after="0"/>
              <w:rPr>
                <w:sz w:val="20"/>
                <w:szCs w:val="20"/>
                <w:color w:val="auto"/>
              </w:rPr>
            </w:pPr>
            <w:r>
              <w:rPr>
                <w:rFonts w:ascii="Arial" w:cs="Arial" w:eastAsia="Arial" w:hAnsi="Arial"/>
                <w:sz w:val="16"/>
                <w:szCs w:val="16"/>
                <w:b w:val="1"/>
                <w:bCs w:val="1"/>
                <w:color w:val="FFFFFF"/>
              </w:rPr>
              <w:t>What We Do</w:t>
            </w:r>
          </w:p>
        </w:tc>
        <w:tc>
          <w:tcPr>
            <w:tcW w:w="200" w:type="dxa"/>
            <w:vAlign w:val="bottom"/>
            <w:tcBorders>
              <w:right w:val="single" w:sz="8" w:color="262626"/>
            </w:tcBorders>
          </w:tcPr>
          <w:p>
            <w:pPr>
              <w:spacing w:after="0"/>
              <w:rPr>
                <w:sz w:val="23"/>
                <w:szCs w:val="23"/>
                <w:color w:val="auto"/>
              </w:rPr>
            </w:pPr>
          </w:p>
        </w:tc>
        <w:tc>
          <w:tcPr>
            <w:tcW w:w="3060" w:type="dxa"/>
            <w:vAlign w:val="bottom"/>
            <w:tcBorders>
              <w:right w:val="single" w:sz="8" w:color="262626"/>
            </w:tcBorders>
            <w:shd w:val="clear" w:color="auto" w:fill="262626"/>
          </w:tcPr>
          <w:p>
            <w:pPr>
              <w:ind w:left="980"/>
              <w:spacing w:after="0"/>
              <w:rPr>
                <w:sz w:val="20"/>
                <w:szCs w:val="20"/>
                <w:color w:val="auto"/>
              </w:rPr>
            </w:pPr>
            <w:r>
              <w:rPr>
                <w:rFonts w:ascii="Arial" w:cs="Arial" w:eastAsia="Arial" w:hAnsi="Arial"/>
                <w:sz w:val="16"/>
                <w:szCs w:val="16"/>
                <w:b w:val="1"/>
                <w:bCs w:val="1"/>
                <w:color w:val="FFFFFF"/>
              </w:rPr>
              <w:t>How We Do It</w:t>
            </w:r>
          </w:p>
        </w:tc>
        <w:tc>
          <w:tcPr>
            <w:tcW w:w="180" w:type="dxa"/>
            <w:vAlign w:val="bottom"/>
            <w:tcBorders>
              <w:right w:val="single" w:sz="8" w:color="262626"/>
            </w:tcBorders>
          </w:tcPr>
          <w:p>
            <w:pPr>
              <w:spacing w:after="0"/>
              <w:rPr>
                <w:sz w:val="23"/>
                <w:szCs w:val="23"/>
                <w:color w:val="auto"/>
              </w:rPr>
            </w:pPr>
          </w:p>
        </w:tc>
        <w:tc>
          <w:tcPr>
            <w:tcW w:w="3160" w:type="dxa"/>
            <w:vAlign w:val="bottom"/>
            <w:tcBorders>
              <w:right w:val="single" w:sz="8" w:color="262626"/>
            </w:tcBorders>
            <w:shd w:val="clear" w:color="auto" w:fill="262626"/>
          </w:tcPr>
          <w:p>
            <w:pPr>
              <w:jc w:val="center"/>
              <w:spacing w:after="0"/>
              <w:rPr>
                <w:sz w:val="20"/>
                <w:szCs w:val="20"/>
                <w:color w:val="auto"/>
              </w:rPr>
            </w:pPr>
            <w:r>
              <w:rPr>
                <w:rFonts w:ascii="Arial" w:cs="Arial" w:eastAsia="Arial" w:hAnsi="Arial"/>
                <w:sz w:val="16"/>
                <w:szCs w:val="16"/>
                <w:b w:val="1"/>
                <w:bCs w:val="1"/>
                <w:color w:val="FFFFFF"/>
                <w:w w:val="97"/>
              </w:rPr>
              <w:t>2021 Decision</w:t>
            </w:r>
          </w:p>
        </w:tc>
        <w:tc>
          <w:tcPr>
            <w:tcW w:w="0" w:type="dxa"/>
            <w:vAlign w:val="bottom"/>
          </w:tcPr>
          <w:p>
            <w:pPr>
              <w:spacing w:after="0"/>
              <w:rPr>
                <w:sz w:val="1"/>
                <w:szCs w:val="1"/>
                <w:color w:val="auto"/>
              </w:rPr>
            </w:pPr>
          </w:p>
        </w:tc>
      </w:tr>
      <w:tr>
        <w:trPr>
          <w:trHeight w:val="418"/>
        </w:trPr>
        <w:tc>
          <w:tcPr>
            <w:tcW w:w="2700" w:type="dxa"/>
            <w:vAlign w:val="bottom"/>
            <w:tcBorders>
              <w:left w:val="single" w:sz="8" w:color="FF160F"/>
              <w:right w:val="single" w:sz="8" w:color="FF160F"/>
            </w:tcBorders>
            <w:vMerge w:val="restart"/>
            <w:shd w:val="clear" w:color="auto" w:fill="D8D8D8"/>
          </w:tcPr>
          <w:p>
            <w:pPr>
              <w:jc w:val="center"/>
              <w:ind w:left="62"/>
              <w:spacing w:after="0"/>
              <w:rPr>
                <w:sz w:val="20"/>
                <w:szCs w:val="20"/>
                <w:color w:val="auto"/>
              </w:rPr>
            </w:pPr>
            <w:r>
              <w:rPr>
                <w:rFonts w:ascii="Arial" w:cs="Arial" w:eastAsia="Arial" w:hAnsi="Arial"/>
                <w:sz w:val="16"/>
                <w:szCs w:val="16"/>
                <w:color w:val="auto"/>
                <w:w w:val="97"/>
              </w:rPr>
              <w:t>Determine final bonus</w:t>
            </w:r>
          </w:p>
        </w:tc>
        <w:tc>
          <w:tcPr>
            <w:tcW w:w="200" w:type="dxa"/>
            <w:vAlign w:val="bottom"/>
            <w:tcBorders>
              <w:right w:val="single" w:sz="8" w:color="FF160F"/>
            </w:tcBorders>
          </w:tcPr>
          <w:p>
            <w:pPr>
              <w:spacing w:after="0"/>
              <w:rPr>
                <w:sz w:val="24"/>
                <w:szCs w:val="24"/>
                <w:color w:val="auto"/>
              </w:rPr>
            </w:pPr>
          </w:p>
        </w:tc>
        <w:tc>
          <w:tcPr>
            <w:tcW w:w="3060" w:type="dxa"/>
            <w:vAlign w:val="bottom"/>
            <w:tcBorders>
              <w:right w:val="single" w:sz="8" w:color="FF160F"/>
            </w:tcBorders>
            <w:shd w:val="clear" w:color="auto" w:fill="D8D8D8"/>
          </w:tcPr>
          <w:p>
            <w:pPr>
              <w:jc w:val="center"/>
              <w:spacing w:after="0"/>
              <w:rPr>
                <w:sz w:val="20"/>
                <w:szCs w:val="20"/>
                <w:color w:val="auto"/>
              </w:rPr>
            </w:pPr>
            <w:r>
              <w:rPr>
                <w:rFonts w:ascii="Arial" w:cs="Arial" w:eastAsia="Arial" w:hAnsi="Arial"/>
                <w:sz w:val="16"/>
                <w:szCs w:val="16"/>
                <w:color w:val="auto"/>
                <w:w w:val="96"/>
              </w:rPr>
              <w:t>25% of total potential earned based</w:t>
            </w:r>
          </w:p>
        </w:tc>
        <w:tc>
          <w:tcPr>
            <w:tcW w:w="180" w:type="dxa"/>
            <w:vAlign w:val="bottom"/>
            <w:tcBorders>
              <w:right w:val="single" w:sz="8" w:color="FF160F"/>
            </w:tcBorders>
          </w:tcPr>
          <w:p>
            <w:pPr>
              <w:spacing w:after="0"/>
              <w:rPr>
                <w:sz w:val="24"/>
                <w:szCs w:val="24"/>
                <w:color w:val="auto"/>
              </w:rPr>
            </w:pPr>
          </w:p>
        </w:tc>
        <w:tc>
          <w:tcPr>
            <w:tcW w:w="3160" w:type="dxa"/>
            <w:vAlign w:val="bottom"/>
            <w:tcBorders>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Based on the individual achievements of</w:t>
            </w:r>
          </w:p>
        </w:tc>
        <w:tc>
          <w:tcPr>
            <w:tcW w:w="0" w:type="dxa"/>
            <w:vAlign w:val="bottom"/>
          </w:tcPr>
          <w:p>
            <w:pPr>
              <w:spacing w:after="0"/>
              <w:rPr>
                <w:sz w:val="1"/>
                <w:szCs w:val="1"/>
                <w:color w:val="auto"/>
              </w:rPr>
            </w:pPr>
          </w:p>
        </w:tc>
      </w:tr>
      <w:tr>
        <w:trPr>
          <w:trHeight w:val="52"/>
        </w:trPr>
        <w:tc>
          <w:tcPr>
            <w:tcW w:w="2700" w:type="dxa"/>
            <w:vAlign w:val="bottom"/>
            <w:tcBorders>
              <w:left w:val="single" w:sz="8" w:color="FF160F"/>
              <w:right w:val="single" w:sz="8" w:color="FF160F"/>
            </w:tcBorders>
            <w:vMerge w:val="continue"/>
            <w:shd w:val="clear" w:color="auto" w:fill="D8D8D8"/>
          </w:tcPr>
          <w:p>
            <w:pPr>
              <w:spacing w:after="0"/>
              <w:rPr>
                <w:sz w:val="4"/>
                <w:szCs w:val="4"/>
                <w:color w:val="auto"/>
              </w:rPr>
            </w:pPr>
          </w:p>
        </w:tc>
        <w:tc>
          <w:tcPr>
            <w:tcW w:w="200" w:type="dxa"/>
            <w:vAlign w:val="bottom"/>
            <w:tcBorders>
              <w:right w:val="single" w:sz="8" w:color="FF160F"/>
            </w:tcBorders>
          </w:tcPr>
          <w:p>
            <w:pPr>
              <w:spacing w:after="0"/>
              <w:rPr>
                <w:sz w:val="4"/>
                <w:szCs w:val="4"/>
                <w:color w:val="auto"/>
              </w:rPr>
            </w:pPr>
          </w:p>
        </w:tc>
        <w:tc>
          <w:tcPr>
            <w:tcW w:w="30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6"/>
              </w:rPr>
              <w:t>on company performance;</w:t>
            </w:r>
          </w:p>
        </w:tc>
        <w:tc>
          <w:tcPr>
            <w:tcW w:w="180" w:type="dxa"/>
            <w:vAlign w:val="bottom"/>
            <w:tcBorders>
              <w:right w:val="single" w:sz="8" w:color="FF160F"/>
            </w:tcBorders>
          </w:tcPr>
          <w:p>
            <w:pPr>
              <w:spacing w:after="0"/>
              <w:rPr>
                <w:sz w:val="4"/>
                <w:szCs w:val="4"/>
                <w:color w:val="auto"/>
              </w:rPr>
            </w:pPr>
          </w:p>
        </w:tc>
        <w:tc>
          <w:tcPr>
            <w:tcW w:w="3160" w:type="dxa"/>
            <w:vAlign w:val="bottom"/>
            <w:tcBorders>
              <w:right w:val="single" w:sz="8" w:color="FF160F"/>
            </w:tcBorders>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700" w:type="dxa"/>
            <w:vAlign w:val="bottom"/>
            <w:tcBorders>
              <w:left w:val="single" w:sz="8" w:color="FF160F"/>
              <w:right w:val="single" w:sz="8" w:color="FF160F"/>
            </w:tcBorders>
            <w:vMerge w:val="restart"/>
            <w:shd w:val="clear" w:color="auto" w:fill="D8D8D8"/>
          </w:tcPr>
          <w:p>
            <w:pPr>
              <w:jc w:val="center"/>
              <w:ind w:left="62"/>
              <w:spacing w:after="0" w:line="182" w:lineRule="exact"/>
              <w:rPr>
                <w:sz w:val="20"/>
                <w:szCs w:val="20"/>
                <w:color w:val="auto"/>
              </w:rPr>
            </w:pPr>
            <w:r>
              <w:rPr>
                <w:rFonts w:ascii="Arial" w:cs="Arial" w:eastAsia="Arial" w:hAnsi="Arial"/>
                <w:sz w:val="16"/>
                <w:szCs w:val="16"/>
                <w:color w:val="auto"/>
                <w:w w:val="97"/>
              </w:rPr>
              <w:t>payment to each NEO based</w:t>
            </w:r>
          </w:p>
        </w:tc>
        <w:tc>
          <w:tcPr>
            <w:tcW w:w="200" w:type="dxa"/>
            <w:vAlign w:val="bottom"/>
            <w:tcBorders>
              <w:right w:val="single" w:sz="8" w:color="FF160F"/>
            </w:tcBorders>
          </w:tcPr>
          <w:p>
            <w:pPr>
              <w:spacing w:after="0"/>
              <w:rPr>
                <w:sz w:val="11"/>
                <w:szCs w:val="11"/>
                <w:color w:val="auto"/>
              </w:rPr>
            </w:pPr>
          </w:p>
        </w:tc>
        <w:tc>
          <w:tcPr>
            <w:tcW w:w="3060" w:type="dxa"/>
            <w:vAlign w:val="bottom"/>
            <w:tcBorders>
              <w:right w:val="single" w:sz="8" w:color="FF160F"/>
            </w:tcBorders>
            <w:vMerge w:val="continue"/>
            <w:shd w:val="clear" w:color="auto" w:fill="D8D8D8"/>
          </w:tcPr>
          <w:p>
            <w:pPr>
              <w:spacing w:after="0"/>
              <w:rPr>
                <w:sz w:val="11"/>
                <w:szCs w:val="11"/>
                <w:color w:val="auto"/>
              </w:rPr>
            </w:pPr>
          </w:p>
        </w:tc>
        <w:tc>
          <w:tcPr>
            <w:tcW w:w="180" w:type="dxa"/>
            <w:vAlign w:val="bottom"/>
            <w:tcBorders>
              <w:right w:val="single" w:sz="8" w:color="FF160F"/>
            </w:tcBorders>
          </w:tcPr>
          <w:p>
            <w:pPr>
              <w:spacing w:after="0"/>
              <w:rPr>
                <w:sz w:val="11"/>
                <w:szCs w:val="11"/>
                <w:color w:val="auto"/>
              </w:rPr>
            </w:pPr>
          </w:p>
        </w:tc>
        <w:tc>
          <w:tcPr>
            <w:tcW w:w="31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each NEO in 2021 outlined in more detail</w:t>
            </w:r>
          </w:p>
        </w:tc>
        <w:tc>
          <w:tcPr>
            <w:tcW w:w="0" w:type="dxa"/>
            <w:vAlign w:val="bottom"/>
          </w:tcPr>
          <w:p>
            <w:pPr>
              <w:spacing w:after="0"/>
              <w:rPr>
                <w:sz w:val="1"/>
                <w:szCs w:val="1"/>
                <w:color w:val="auto"/>
              </w:rPr>
            </w:pPr>
          </w:p>
        </w:tc>
      </w:tr>
      <w:tr>
        <w:trPr>
          <w:trHeight w:val="52"/>
        </w:trPr>
        <w:tc>
          <w:tcPr>
            <w:tcW w:w="2700" w:type="dxa"/>
            <w:vAlign w:val="bottom"/>
            <w:tcBorders>
              <w:left w:val="single" w:sz="8" w:color="FF160F"/>
              <w:right w:val="single" w:sz="8" w:color="FF160F"/>
            </w:tcBorders>
            <w:vMerge w:val="continue"/>
            <w:shd w:val="clear" w:color="auto" w:fill="D8D8D8"/>
          </w:tcPr>
          <w:p>
            <w:pPr>
              <w:spacing w:after="0"/>
              <w:rPr>
                <w:sz w:val="4"/>
                <w:szCs w:val="4"/>
                <w:color w:val="auto"/>
              </w:rPr>
            </w:pPr>
          </w:p>
        </w:tc>
        <w:tc>
          <w:tcPr>
            <w:tcW w:w="200" w:type="dxa"/>
            <w:vAlign w:val="bottom"/>
            <w:tcBorders>
              <w:right w:val="single" w:sz="8" w:color="FF160F"/>
            </w:tcBorders>
          </w:tcPr>
          <w:p>
            <w:pPr>
              <w:spacing w:after="0"/>
              <w:rPr>
                <w:sz w:val="4"/>
                <w:szCs w:val="4"/>
                <w:color w:val="auto"/>
              </w:rPr>
            </w:pPr>
          </w:p>
        </w:tc>
        <w:tc>
          <w:tcPr>
            <w:tcW w:w="30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6"/>
              </w:rPr>
              <w:t>remaining 75% earned based on</w:t>
            </w:r>
          </w:p>
        </w:tc>
        <w:tc>
          <w:tcPr>
            <w:tcW w:w="180" w:type="dxa"/>
            <w:vAlign w:val="bottom"/>
            <w:tcBorders>
              <w:right w:val="single" w:sz="8" w:color="FF160F"/>
            </w:tcBorders>
          </w:tcPr>
          <w:p>
            <w:pPr>
              <w:spacing w:after="0"/>
              <w:rPr>
                <w:sz w:val="4"/>
                <w:szCs w:val="4"/>
                <w:color w:val="auto"/>
              </w:rPr>
            </w:pPr>
          </w:p>
        </w:tc>
        <w:tc>
          <w:tcPr>
            <w:tcW w:w="3160" w:type="dxa"/>
            <w:vAlign w:val="bottom"/>
            <w:tcBorders>
              <w:right w:val="single" w:sz="8" w:color="FF160F"/>
            </w:tcBorders>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700" w:type="dxa"/>
            <w:vAlign w:val="bottom"/>
            <w:tcBorders>
              <w:left w:val="single" w:sz="8" w:color="FF160F"/>
              <w:right w:val="single" w:sz="8" w:color="FF160F"/>
            </w:tcBorders>
            <w:vMerge w:val="restart"/>
            <w:shd w:val="clear" w:color="auto" w:fill="D8D8D8"/>
          </w:tcPr>
          <w:p>
            <w:pPr>
              <w:jc w:val="center"/>
              <w:ind w:left="82"/>
              <w:spacing w:after="0" w:line="182" w:lineRule="exact"/>
              <w:rPr>
                <w:sz w:val="20"/>
                <w:szCs w:val="20"/>
                <w:color w:val="auto"/>
              </w:rPr>
            </w:pPr>
            <w:r>
              <w:rPr>
                <w:rFonts w:ascii="Arial" w:cs="Arial" w:eastAsia="Arial" w:hAnsi="Arial"/>
                <w:sz w:val="16"/>
                <w:szCs w:val="16"/>
                <w:color w:val="auto"/>
                <w:w w:val="96"/>
              </w:rPr>
              <w:t>on available funding</w:t>
            </w:r>
          </w:p>
        </w:tc>
        <w:tc>
          <w:tcPr>
            <w:tcW w:w="200" w:type="dxa"/>
            <w:vAlign w:val="bottom"/>
            <w:tcBorders>
              <w:right w:val="single" w:sz="8" w:color="FF160F"/>
            </w:tcBorders>
          </w:tcPr>
          <w:p>
            <w:pPr>
              <w:spacing w:after="0"/>
              <w:rPr>
                <w:sz w:val="11"/>
                <w:szCs w:val="11"/>
                <w:color w:val="auto"/>
              </w:rPr>
            </w:pPr>
          </w:p>
        </w:tc>
        <w:tc>
          <w:tcPr>
            <w:tcW w:w="3060" w:type="dxa"/>
            <w:vAlign w:val="bottom"/>
            <w:tcBorders>
              <w:right w:val="single" w:sz="8" w:color="FF160F"/>
            </w:tcBorders>
            <w:vMerge w:val="continue"/>
            <w:shd w:val="clear" w:color="auto" w:fill="D8D8D8"/>
          </w:tcPr>
          <w:p>
            <w:pPr>
              <w:spacing w:after="0"/>
              <w:rPr>
                <w:sz w:val="11"/>
                <w:szCs w:val="11"/>
                <w:color w:val="auto"/>
              </w:rPr>
            </w:pPr>
          </w:p>
        </w:tc>
        <w:tc>
          <w:tcPr>
            <w:tcW w:w="180" w:type="dxa"/>
            <w:vAlign w:val="bottom"/>
            <w:tcBorders>
              <w:right w:val="single" w:sz="8" w:color="FF160F"/>
            </w:tcBorders>
          </w:tcPr>
          <w:p>
            <w:pPr>
              <w:spacing w:after="0"/>
              <w:rPr>
                <w:sz w:val="11"/>
                <w:szCs w:val="11"/>
                <w:color w:val="auto"/>
              </w:rPr>
            </w:pPr>
          </w:p>
        </w:tc>
        <w:tc>
          <w:tcPr>
            <w:tcW w:w="31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below, the Committee awarded each NEO</w:t>
            </w:r>
          </w:p>
        </w:tc>
        <w:tc>
          <w:tcPr>
            <w:tcW w:w="0" w:type="dxa"/>
            <w:vAlign w:val="bottom"/>
          </w:tcPr>
          <w:p>
            <w:pPr>
              <w:spacing w:after="0"/>
              <w:rPr>
                <w:sz w:val="1"/>
                <w:szCs w:val="1"/>
                <w:color w:val="auto"/>
              </w:rPr>
            </w:pPr>
          </w:p>
        </w:tc>
      </w:tr>
      <w:tr>
        <w:trPr>
          <w:trHeight w:val="52"/>
        </w:trPr>
        <w:tc>
          <w:tcPr>
            <w:tcW w:w="2700" w:type="dxa"/>
            <w:vAlign w:val="bottom"/>
            <w:tcBorders>
              <w:left w:val="single" w:sz="8" w:color="FF160F"/>
              <w:right w:val="single" w:sz="8" w:color="FF160F"/>
            </w:tcBorders>
            <w:vMerge w:val="continue"/>
            <w:shd w:val="clear" w:color="auto" w:fill="D8D8D8"/>
          </w:tcPr>
          <w:p>
            <w:pPr>
              <w:spacing w:after="0"/>
              <w:rPr>
                <w:sz w:val="4"/>
                <w:szCs w:val="4"/>
                <w:color w:val="auto"/>
              </w:rPr>
            </w:pPr>
          </w:p>
        </w:tc>
        <w:tc>
          <w:tcPr>
            <w:tcW w:w="200" w:type="dxa"/>
            <w:vAlign w:val="bottom"/>
            <w:tcBorders>
              <w:right w:val="single" w:sz="8" w:color="FF160F"/>
            </w:tcBorders>
          </w:tcPr>
          <w:p>
            <w:pPr>
              <w:spacing w:after="0"/>
              <w:rPr>
                <w:sz w:val="4"/>
                <w:szCs w:val="4"/>
                <w:color w:val="auto"/>
              </w:rPr>
            </w:pPr>
          </w:p>
        </w:tc>
        <w:tc>
          <w:tcPr>
            <w:tcW w:w="30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8"/>
              </w:rPr>
              <w:t>Committee evaluation of NEO</w:t>
            </w:r>
          </w:p>
        </w:tc>
        <w:tc>
          <w:tcPr>
            <w:tcW w:w="180" w:type="dxa"/>
            <w:vAlign w:val="bottom"/>
            <w:tcBorders>
              <w:right w:val="single" w:sz="8" w:color="FF160F"/>
            </w:tcBorders>
          </w:tcPr>
          <w:p>
            <w:pPr>
              <w:spacing w:after="0"/>
              <w:rPr>
                <w:sz w:val="4"/>
                <w:szCs w:val="4"/>
                <w:color w:val="auto"/>
              </w:rPr>
            </w:pPr>
          </w:p>
        </w:tc>
        <w:tc>
          <w:tcPr>
            <w:tcW w:w="3160" w:type="dxa"/>
            <w:vAlign w:val="bottom"/>
            <w:tcBorders>
              <w:right w:val="single" w:sz="8" w:color="FF160F"/>
            </w:tcBorders>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700" w:type="dxa"/>
            <w:vAlign w:val="bottom"/>
            <w:tcBorders>
              <w:left w:val="single" w:sz="8" w:color="FF160F"/>
              <w:right w:val="single" w:sz="8" w:color="FF160F"/>
            </w:tcBorders>
            <w:vMerge w:val="restart"/>
            <w:shd w:val="clear" w:color="auto" w:fill="D8D8D8"/>
          </w:tcPr>
          <w:p>
            <w:pPr>
              <w:jc w:val="center"/>
              <w:ind w:left="82"/>
              <w:spacing w:after="0" w:line="182" w:lineRule="exact"/>
              <w:rPr>
                <w:sz w:val="20"/>
                <w:szCs w:val="20"/>
                <w:color w:val="auto"/>
              </w:rPr>
            </w:pPr>
            <w:r>
              <w:rPr>
                <w:rFonts w:ascii="Arial" w:cs="Arial" w:eastAsia="Arial" w:hAnsi="Arial"/>
                <w:sz w:val="16"/>
                <w:szCs w:val="16"/>
                <w:color w:val="auto"/>
                <w:w w:val="97"/>
              </w:rPr>
              <w:t>determined by Company</w:t>
            </w:r>
          </w:p>
        </w:tc>
        <w:tc>
          <w:tcPr>
            <w:tcW w:w="200" w:type="dxa"/>
            <w:vAlign w:val="bottom"/>
            <w:tcBorders>
              <w:right w:val="single" w:sz="8" w:color="FF160F"/>
            </w:tcBorders>
          </w:tcPr>
          <w:p>
            <w:pPr>
              <w:spacing w:after="0"/>
              <w:rPr>
                <w:sz w:val="11"/>
                <w:szCs w:val="11"/>
                <w:color w:val="auto"/>
              </w:rPr>
            </w:pPr>
          </w:p>
        </w:tc>
        <w:tc>
          <w:tcPr>
            <w:tcW w:w="3060" w:type="dxa"/>
            <w:vAlign w:val="bottom"/>
            <w:tcBorders>
              <w:right w:val="single" w:sz="8" w:color="FF160F"/>
            </w:tcBorders>
            <w:vMerge w:val="continue"/>
            <w:shd w:val="clear" w:color="auto" w:fill="D8D8D8"/>
          </w:tcPr>
          <w:p>
            <w:pPr>
              <w:spacing w:after="0"/>
              <w:rPr>
                <w:sz w:val="11"/>
                <w:szCs w:val="11"/>
                <w:color w:val="auto"/>
              </w:rPr>
            </w:pPr>
          </w:p>
        </w:tc>
        <w:tc>
          <w:tcPr>
            <w:tcW w:w="180" w:type="dxa"/>
            <w:vAlign w:val="bottom"/>
            <w:tcBorders>
              <w:right w:val="single" w:sz="8" w:color="FF160F"/>
            </w:tcBorders>
          </w:tcPr>
          <w:p>
            <w:pPr>
              <w:spacing w:after="0"/>
              <w:rPr>
                <w:sz w:val="11"/>
                <w:szCs w:val="11"/>
                <w:color w:val="auto"/>
              </w:rPr>
            </w:pPr>
          </w:p>
        </w:tc>
        <w:tc>
          <w:tcPr>
            <w:tcW w:w="3160" w:type="dxa"/>
            <w:vAlign w:val="bottom"/>
            <w:tcBorders>
              <w:right w:val="single" w:sz="8" w:color="FF160F"/>
            </w:tcBorders>
            <w:vMerge w:val="restart"/>
            <w:shd w:val="clear" w:color="auto" w:fill="D8D8D8"/>
          </w:tcPr>
          <w:p>
            <w:pPr>
              <w:jc w:val="center"/>
              <w:spacing w:after="0" w:line="182" w:lineRule="exact"/>
              <w:rPr>
                <w:sz w:val="20"/>
                <w:szCs w:val="20"/>
                <w:color w:val="auto"/>
              </w:rPr>
            </w:pPr>
            <w:r>
              <w:rPr>
                <w:rFonts w:ascii="Arial" w:cs="Arial" w:eastAsia="Arial" w:hAnsi="Arial"/>
                <w:sz w:val="16"/>
                <w:szCs w:val="16"/>
                <w:color w:val="auto"/>
                <w:w w:val="97"/>
              </w:rPr>
              <w:t>100% of his or her bonus potential for the</w:t>
            </w:r>
          </w:p>
        </w:tc>
        <w:tc>
          <w:tcPr>
            <w:tcW w:w="0" w:type="dxa"/>
            <w:vAlign w:val="bottom"/>
          </w:tcPr>
          <w:p>
            <w:pPr>
              <w:spacing w:after="0"/>
              <w:rPr>
                <w:sz w:val="1"/>
                <w:szCs w:val="1"/>
                <w:color w:val="auto"/>
              </w:rPr>
            </w:pPr>
          </w:p>
        </w:tc>
      </w:tr>
      <w:tr>
        <w:trPr>
          <w:trHeight w:val="52"/>
        </w:trPr>
        <w:tc>
          <w:tcPr>
            <w:tcW w:w="2700" w:type="dxa"/>
            <w:vAlign w:val="bottom"/>
            <w:tcBorders>
              <w:left w:val="single" w:sz="8" w:color="FF160F"/>
              <w:right w:val="single" w:sz="8" w:color="FF160F"/>
            </w:tcBorders>
            <w:vMerge w:val="continue"/>
            <w:shd w:val="clear" w:color="auto" w:fill="D8D8D8"/>
          </w:tcPr>
          <w:p>
            <w:pPr>
              <w:spacing w:after="0"/>
              <w:rPr>
                <w:sz w:val="4"/>
                <w:szCs w:val="4"/>
                <w:color w:val="auto"/>
              </w:rPr>
            </w:pPr>
          </w:p>
        </w:tc>
        <w:tc>
          <w:tcPr>
            <w:tcW w:w="200" w:type="dxa"/>
            <w:vAlign w:val="bottom"/>
            <w:tcBorders>
              <w:right w:val="single" w:sz="8" w:color="FF160F"/>
            </w:tcBorders>
          </w:tcPr>
          <w:p>
            <w:pPr>
              <w:spacing w:after="0"/>
              <w:rPr>
                <w:sz w:val="4"/>
                <w:szCs w:val="4"/>
                <w:color w:val="auto"/>
              </w:rPr>
            </w:pPr>
          </w:p>
        </w:tc>
        <w:tc>
          <w:tcPr>
            <w:tcW w:w="3060" w:type="dxa"/>
            <w:vAlign w:val="bottom"/>
            <w:tcBorders>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w w:val="97"/>
              </w:rPr>
              <w:t>performance</w:t>
            </w:r>
          </w:p>
        </w:tc>
        <w:tc>
          <w:tcPr>
            <w:tcW w:w="180" w:type="dxa"/>
            <w:vAlign w:val="bottom"/>
            <w:tcBorders>
              <w:right w:val="single" w:sz="8" w:color="FF160F"/>
            </w:tcBorders>
          </w:tcPr>
          <w:p>
            <w:pPr>
              <w:spacing w:after="0"/>
              <w:rPr>
                <w:sz w:val="4"/>
                <w:szCs w:val="4"/>
                <w:color w:val="auto"/>
              </w:rPr>
            </w:pPr>
          </w:p>
        </w:tc>
        <w:tc>
          <w:tcPr>
            <w:tcW w:w="3160" w:type="dxa"/>
            <w:vAlign w:val="bottom"/>
            <w:tcBorders>
              <w:right w:val="single" w:sz="8" w:color="FF160F"/>
            </w:tcBorders>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tcBorders>
              <w:left w:val="single" w:sz="8" w:color="FF160F"/>
              <w:right w:val="single" w:sz="8" w:color="FF160F"/>
            </w:tcBorders>
            <w:vMerge w:val="restart"/>
            <w:shd w:val="clear" w:color="auto" w:fill="D8D8D8"/>
          </w:tcPr>
          <w:p>
            <w:pPr>
              <w:jc w:val="center"/>
              <w:ind w:left="62"/>
              <w:spacing w:after="0"/>
              <w:rPr>
                <w:sz w:val="20"/>
                <w:szCs w:val="20"/>
                <w:color w:val="auto"/>
              </w:rPr>
            </w:pPr>
            <w:r>
              <w:rPr>
                <w:rFonts w:ascii="Arial" w:cs="Arial" w:eastAsia="Arial" w:hAnsi="Arial"/>
                <w:sz w:val="16"/>
                <w:szCs w:val="16"/>
                <w:color w:val="auto"/>
                <w:w w:val="97"/>
              </w:rPr>
              <w:t>performance</w:t>
            </w:r>
          </w:p>
        </w:tc>
        <w:tc>
          <w:tcPr>
            <w:tcW w:w="200" w:type="dxa"/>
            <w:vAlign w:val="bottom"/>
            <w:tcBorders>
              <w:right w:val="single" w:sz="8" w:color="FF160F"/>
            </w:tcBorders>
          </w:tcPr>
          <w:p>
            <w:pPr>
              <w:spacing w:after="0"/>
              <w:rPr>
                <w:sz w:val="11"/>
                <w:szCs w:val="11"/>
                <w:color w:val="auto"/>
              </w:rPr>
            </w:pPr>
          </w:p>
        </w:tc>
        <w:tc>
          <w:tcPr>
            <w:tcW w:w="3060" w:type="dxa"/>
            <w:vAlign w:val="bottom"/>
            <w:tcBorders>
              <w:right w:val="single" w:sz="8" w:color="FF160F"/>
            </w:tcBorders>
            <w:vMerge w:val="continue"/>
            <w:shd w:val="clear" w:color="auto" w:fill="D8D8D8"/>
          </w:tcPr>
          <w:p>
            <w:pPr>
              <w:spacing w:after="0"/>
              <w:rPr>
                <w:sz w:val="11"/>
                <w:szCs w:val="11"/>
                <w:color w:val="auto"/>
              </w:rPr>
            </w:pPr>
          </w:p>
        </w:tc>
        <w:tc>
          <w:tcPr>
            <w:tcW w:w="180" w:type="dxa"/>
            <w:vAlign w:val="bottom"/>
            <w:tcBorders>
              <w:right w:val="single" w:sz="8" w:color="FF160F"/>
            </w:tcBorders>
          </w:tcPr>
          <w:p>
            <w:pPr>
              <w:spacing w:after="0"/>
              <w:rPr>
                <w:sz w:val="11"/>
                <w:szCs w:val="11"/>
                <w:color w:val="auto"/>
              </w:rPr>
            </w:pPr>
          </w:p>
        </w:tc>
        <w:tc>
          <w:tcPr>
            <w:tcW w:w="3160" w:type="dxa"/>
            <w:vAlign w:val="bottom"/>
            <w:tcBorders>
              <w:right w:val="single" w:sz="8" w:color="FF160F"/>
            </w:tcBorders>
            <w:vMerge w:val="restart"/>
            <w:shd w:val="clear" w:color="auto" w:fill="D8D8D8"/>
          </w:tcPr>
          <w:p>
            <w:pPr>
              <w:jc w:val="center"/>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65"/>
        </w:trPr>
        <w:tc>
          <w:tcPr>
            <w:tcW w:w="2700" w:type="dxa"/>
            <w:vAlign w:val="bottom"/>
            <w:tcBorders>
              <w:left w:val="single" w:sz="8" w:color="FF160F"/>
              <w:right w:val="single" w:sz="8" w:color="FF160F"/>
            </w:tcBorders>
            <w:vMerge w:val="continue"/>
            <w:shd w:val="clear" w:color="auto" w:fill="D8D8D8"/>
          </w:tcPr>
          <w:p>
            <w:pPr>
              <w:spacing w:after="0"/>
              <w:rPr>
                <w:sz w:val="5"/>
                <w:szCs w:val="5"/>
                <w:color w:val="auto"/>
              </w:rPr>
            </w:pPr>
          </w:p>
        </w:tc>
        <w:tc>
          <w:tcPr>
            <w:tcW w:w="200" w:type="dxa"/>
            <w:vAlign w:val="bottom"/>
            <w:tcBorders>
              <w:right w:val="single" w:sz="8" w:color="FF160F"/>
            </w:tcBorders>
          </w:tcPr>
          <w:p>
            <w:pPr>
              <w:spacing w:after="0"/>
              <w:rPr>
                <w:sz w:val="5"/>
                <w:szCs w:val="5"/>
                <w:color w:val="auto"/>
              </w:rPr>
            </w:pPr>
          </w:p>
        </w:tc>
        <w:tc>
          <w:tcPr>
            <w:tcW w:w="3060" w:type="dxa"/>
            <w:vAlign w:val="bottom"/>
            <w:tcBorders>
              <w:right w:val="single" w:sz="8" w:color="FF160F"/>
            </w:tcBorders>
            <w:shd w:val="clear" w:color="auto" w:fill="D8D8D8"/>
          </w:tcPr>
          <w:p>
            <w:pPr>
              <w:spacing w:after="0"/>
              <w:rPr>
                <w:sz w:val="5"/>
                <w:szCs w:val="5"/>
                <w:color w:val="auto"/>
              </w:rPr>
            </w:pPr>
          </w:p>
        </w:tc>
        <w:tc>
          <w:tcPr>
            <w:tcW w:w="180" w:type="dxa"/>
            <w:vAlign w:val="bottom"/>
            <w:tcBorders>
              <w:right w:val="single" w:sz="8" w:color="FF160F"/>
            </w:tcBorders>
          </w:tcPr>
          <w:p>
            <w:pPr>
              <w:spacing w:after="0"/>
              <w:rPr>
                <w:sz w:val="5"/>
                <w:szCs w:val="5"/>
                <w:color w:val="auto"/>
              </w:rPr>
            </w:pPr>
          </w:p>
        </w:tc>
        <w:tc>
          <w:tcPr>
            <w:tcW w:w="3160" w:type="dxa"/>
            <w:vAlign w:val="bottom"/>
            <w:tcBorders>
              <w:right w:val="single" w:sz="8" w:color="FF160F"/>
            </w:tcBorders>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700" w:type="dxa"/>
            <w:vAlign w:val="bottom"/>
            <w:tcBorders>
              <w:left w:val="single" w:sz="8" w:color="FF160F"/>
              <w:bottom w:val="single" w:sz="8" w:color="FF160F"/>
              <w:right w:val="single" w:sz="8" w:color="FF160F"/>
            </w:tcBorders>
            <w:shd w:val="clear" w:color="auto" w:fill="D8D8D8"/>
          </w:tcPr>
          <w:p>
            <w:pPr>
              <w:spacing w:after="0"/>
              <w:rPr>
                <w:sz w:val="24"/>
                <w:szCs w:val="24"/>
                <w:color w:val="auto"/>
              </w:rPr>
            </w:pPr>
          </w:p>
        </w:tc>
        <w:tc>
          <w:tcPr>
            <w:tcW w:w="200" w:type="dxa"/>
            <w:vAlign w:val="bottom"/>
            <w:tcBorders>
              <w:right w:val="single" w:sz="8" w:color="FF160F"/>
            </w:tcBorders>
          </w:tcPr>
          <w:p>
            <w:pPr>
              <w:spacing w:after="0"/>
              <w:rPr>
                <w:sz w:val="24"/>
                <w:szCs w:val="24"/>
                <w:color w:val="auto"/>
              </w:rPr>
            </w:pPr>
          </w:p>
        </w:tc>
        <w:tc>
          <w:tcPr>
            <w:tcW w:w="3060" w:type="dxa"/>
            <w:vAlign w:val="bottom"/>
            <w:tcBorders>
              <w:bottom w:val="single" w:sz="8" w:color="FF160F"/>
              <w:right w:val="single" w:sz="8" w:color="FF160F"/>
            </w:tcBorders>
            <w:shd w:val="clear" w:color="auto" w:fill="D8D8D8"/>
          </w:tcPr>
          <w:p>
            <w:pPr>
              <w:spacing w:after="0"/>
              <w:rPr>
                <w:sz w:val="24"/>
                <w:szCs w:val="24"/>
                <w:color w:val="auto"/>
              </w:rPr>
            </w:pPr>
          </w:p>
        </w:tc>
        <w:tc>
          <w:tcPr>
            <w:tcW w:w="180" w:type="dxa"/>
            <w:vAlign w:val="bottom"/>
            <w:tcBorders>
              <w:right w:val="single" w:sz="8" w:color="FF160F"/>
            </w:tcBorders>
          </w:tcPr>
          <w:p>
            <w:pPr>
              <w:spacing w:after="0"/>
              <w:rPr>
                <w:sz w:val="24"/>
                <w:szCs w:val="24"/>
                <w:color w:val="auto"/>
              </w:rPr>
            </w:pPr>
          </w:p>
        </w:tc>
        <w:tc>
          <w:tcPr>
            <w:tcW w:w="3160" w:type="dxa"/>
            <w:vAlign w:val="bottom"/>
            <w:tcBorders>
              <w:bottom w:val="single" w:sz="8" w:color="FF160F"/>
              <w:right w:val="single" w:sz="8" w:color="FF160F"/>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7"/>
          <w:szCs w:val="17"/>
          <w:color w:val="auto"/>
        </w:rPr>
        <w:t>With the bonus pool having been funded based on Company performance, the final step is to determine how much of that potential bonus each of our NEOs will actually be paid. Each NEO is entitled to 25% of his or her bonus potential based on Company performance. The remaining 75% of the bonus potential is earned based on the Committee’s assessment of each individual’s performance and whether that NEO achieved the objectives set out by the Company within that NEO’s area of responsibility. The Committee elected to award each of our NEOs 100% of the individual performance portion of their bonus potential. The detailed considerations supporting that decision are set forth on pages 27-30. The table below summarizes the final bonus payouts to each of our NEOs.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160" w:type="dxa"/>
            <w:vAlign w:val="bottom"/>
            <w:shd w:val="clear" w:color="auto" w:fill="000000"/>
          </w:tcPr>
          <w:p>
            <w:pPr>
              <w:spacing w:after="0"/>
              <w:rPr>
                <w:sz w:val="21"/>
                <w:szCs w:val="21"/>
                <w:color w:val="auto"/>
              </w:rPr>
            </w:pPr>
          </w:p>
        </w:tc>
        <w:tc>
          <w:tcPr>
            <w:tcW w:w="340" w:type="dxa"/>
            <w:vAlign w:val="bottom"/>
            <w:shd w:val="clear" w:color="auto" w:fill="000000"/>
          </w:tcPr>
          <w:p>
            <w:pPr>
              <w:spacing w:after="0"/>
              <w:rPr>
                <w:sz w:val="21"/>
                <w:szCs w:val="21"/>
                <w:color w:val="auto"/>
              </w:rPr>
            </w:pPr>
          </w:p>
        </w:tc>
        <w:tc>
          <w:tcPr>
            <w:tcW w:w="880" w:type="dxa"/>
            <w:vAlign w:val="bottom"/>
            <w:tcBorders>
              <w:right w:val="single" w:sz="8" w:color="auto"/>
            </w:tcBorders>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3160" w:type="dxa"/>
            <w:vAlign w:val="bottom"/>
            <w:tcBorders>
              <w:right w:val="single" w:sz="8" w:color="auto"/>
            </w:tcBorders>
            <w:gridSpan w:val="3"/>
            <w:shd w:val="clear" w:color="auto" w:fill="000000"/>
          </w:tcPr>
          <w:p>
            <w:pPr>
              <w:jc w:val="right"/>
              <w:ind w:right="1131"/>
              <w:spacing w:after="0"/>
              <w:rPr>
                <w:sz w:val="20"/>
                <w:szCs w:val="20"/>
                <w:color w:val="auto"/>
              </w:rPr>
            </w:pPr>
            <w:r>
              <w:rPr>
                <w:rFonts w:ascii="Arial" w:cs="Arial" w:eastAsia="Arial" w:hAnsi="Arial"/>
                <w:sz w:val="14"/>
                <w:szCs w:val="14"/>
                <w:b w:val="1"/>
                <w:bCs w:val="1"/>
                <w:color w:val="FFFFFF"/>
              </w:rPr>
              <w:t>Earned Based on</w:t>
            </w:r>
          </w:p>
        </w:tc>
        <w:tc>
          <w:tcPr>
            <w:tcW w:w="340" w:type="dxa"/>
            <w:vAlign w:val="bottom"/>
            <w:shd w:val="clear" w:color="auto" w:fill="000000"/>
          </w:tcPr>
          <w:p>
            <w:pPr>
              <w:spacing w:after="0"/>
              <w:rPr>
                <w:sz w:val="21"/>
                <w:szCs w:val="21"/>
                <w:color w:val="auto"/>
              </w:rPr>
            </w:pPr>
          </w:p>
        </w:tc>
        <w:tc>
          <w:tcPr>
            <w:tcW w:w="840" w:type="dxa"/>
            <w:vAlign w:val="bottom"/>
            <w:tcBorders>
              <w:right w:val="single" w:sz="8" w:color="auto"/>
            </w:tcBorders>
            <w:shd w:val="clear" w:color="auto" w:fill="000000"/>
          </w:tcPr>
          <w:p>
            <w:pPr>
              <w:spacing w:after="0"/>
              <w:rPr>
                <w:sz w:val="21"/>
                <w:szCs w:val="21"/>
                <w:color w:val="auto"/>
              </w:rPr>
            </w:pPr>
          </w:p>
        </w:tc>
      </w:tr>
      <w:tr>
        <w:trPr>
          <w:trHeight w:val="222"/>
        </w:trPr>
        <w:tc>
          <w:tcPr>
            <w:tcW w:w="216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88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Bonus</w:t>
            </w:r>
          </w:p>
        </w:tc>
        <w:tc>
          <w:tcPr>
            <w:tcW w:w="360" w:type="dxa"/>
            <w:vAlign w:val="bottom"/>
            <w:shd w:val="clear" w:color="auto" w:fill="000000"/>
          </w:tcPr>
          <w:p>
            <w:pPr>
              <w:spacing w:after="0"/>
              <w:rPr>
                <w:sz w:val="19"/>
                <w:szCs w:val="19"/>
                <w:color w:val="auto"/>
              </w:rPr>
            </w:pPr>
          </w:p>
        </w:tc>
        <w:tc>
          <w:tcPr>
            <w:tcW w:w="1440" w:type="dxa"/>
            <w:vAlign w:val="bottom"/>
            <w:shd w:val="clear" w:color="auto" w:fill="000000"/>
          </w:tcPr>
          <w:p>
            <w:pPr>
              <w:jc w:val="right"/>
              <w:ind w:right="91"/>
              <w:spacing w:after="0"/>
              <w:rPr>
                <w:sz w:val="20"/>
                <w:szCs w:val="20"/>
                <w:color w:val="auto"/>
              </w:rPr>
            </w:pPr>
            <w:r>
              <w:rPr>
                <w:rFonts w:ascii="Arial" w:cs="Arial" w:eastAsia="Arial" w:hAnsi="Arial"/>
                <w:sz w:val="14"/>
                <w:szCs w:val="14"/>
                <w:b w:val="1"/>
                <w:bCs w:val="1"/>
                <w:color w:val="FFFFFF"/>
              </w:rPr>
              <w:t>Company</w:t>
            </w:r>
          </w:p>
        </w:tc>
        <w:tc>
          <w:tcPr>
            <w:tcW w:w="240" w:type="dxa"/>
            <w:vAlign w:val="bottom"/>
            <w:shd w:val="clear" w:color="auto" w:fill="000000"/>
          </w:tcPr>
          <w:p>
            <w:pPr>
              <w:spacing w:after="0"/>
              <w:rPr>
                <w:sz w:val="19"/>
                <w:szCs w:val="19"/>
                <w:color w:val="auto"/>
              </w:rPr>
            </w:pPr>
          </w:p>
        </w:tc>
        <w:tc>
          <w:tcPr>
            <w:tcW w:w="148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Individual</w:t>
            </w:r>
          </w:p>
        </w:tc>
        <w:tc>
          <w:tcPr>
            <w:tcW w:w="340" w:type="dxa"/>
            <w:vAlign w:val="bottom"/>
            <w:shd w:val="clear" w:color="auto" w:fill="000000"/>
          </w:tcPr>
          <w:p>
            <w:pPr>
              <w:spacing w:after="0"/>
              <w:rPr>
                <w:sz w:val="19"/>
                <w:szCs w:val="19"/>
                <w:color w:val="auto"/>
              </w:rPr>
            </w:pPr>
          </w:p>
        </w:tc>
        <w:tc>
          <w:tcPr>
            <w:tcW w:w="840" w:type="dxa"/>
            <w:vAlign w:val="bottom"/>
            <w:tcBorders>
              <w:right w:val="single" w:sz="8" w:color="auto"/>
            </w:tcBorders>
            <w:shd w:val="clear" w:color="auto" w:fill="000000"/>
          </w:tcPr>
          <w:p>
            <w:pPr>
              <w:spacing w:after="0"/>
              <w:rPr>
                <w:sz w:val="19"/>
                <w:szCs w:val="19"/>
                <w:color w:val="auto"/>
              </w:rPr>
            </w:pPr>
          </w:p>
        </w:tc>
      </w:tr>
      <w:tr>
        <w:trPr>
          <w:trHeight w:val="207"/>
        </w:trPr>
        <w:tc>
          <w:tcPr>
            <w:tcW w:w="216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NEO</w:t>
            </w:r>
          </w:p>
        </w:tc>
        <w:tc>
          <w:tcPr>
            <w:tcW w:w="340" w:type="dxa"/>
            <w:vAlign w:val="bottom"/>
            <w:shd w:val="clear" w:color="auto" w:fill="000000"/>
          </w:tcPr>
          <w:p>
            <w:pPr>
              <w:spacing w:after="0"/>
              <w:rPr>
                <w:sz w:val="17"/>
                <w:szCs w:val="17"/>
                <w:color w:val="auto"/>
              </w:rPr>
            </w:pPr>
          </w:p>
        </w:tc>
        <w:tc>
          <w:tcPr>
            <w:tcW w:w="88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Potential</w:t>
            </w:r>
          </w:p>
        </w:tc>
        <w:tc>
          <w:tcPr>
            <w:tcW w:w="360" w:type="dxa"/>
            <w:vAlign w:val="bottom"/>
            <w:shd w:val="clear" w:color="auto" w:fill="000000"/>
          </w:tcPr>
          <w:p>
            <w:pPr>
              <w:spacing w:after="0"/>
              <w:rPr>
                <w:sz w:val="17"/>
                <w:szCs w:val="17"/>
                <w:color w:val="auto"/>
              </w:rPr>
            </w:pPr>
          </w:p>
        </w:tc>
        <w:tc>
          <w:tcPr>
            <w:tcW w:w="1440" w:type="dxa"/>
            <w:vAlign w:val="bottom"/>
            <w:shd w:val="clear" w:color="auto" w:fill="000000"/>
          </w:tcPr>
          <w:p>
            <w:pPr>
              <w:jc w:val="right"/>
              <w:ind w:right="91"/>
              <w:spacing w:after="0"/>
              <w:rPr>
                <w:sz w:val="20"/>
                <w:szCs w:val="20"/>
                <w:color w:val="auto"/>
              </w:rPr>
            </w:pPr>
            <w:r>
              <w:rPr>
                <w:rFonts w:ascii="Arial" w:cs="Arial" w:eastAsia="Arial" w:hAnsi="Arial"/>
                <w:sz w:val="14"/>
                <w:szCs w:val="14"/>
                <w:b w:val="1"/>
                <w:bCs w:val="1"/>
                <w:color w:val="FFFFFF"/>
                <w:w w:val="99"/>
              </w:rPr>
              <w:t>Performance (25%)</w:t>
            </w:r>
          </w:p>
        </w:tc>
        <w:tc>
          <w:tcPr>
            <w:tcW w:w="240" w:type="dxa"/>
            <w:vAlign w:val="bottom"/>
            <w:shd w:val="clear" w:color="auto" w:fill="000000"/>
          </w:tcPr>
          <w:p>
            <w:pPr>
              <w:spacing w:after="0"/>
              <w:rPr>
                <w:sz w:val="17"/>
                <w:szCs w:val="17"/>
                <w:color w:val="auto"/>
              </w:rPr>
            </w:pPr>
          </w:p>
        </w:tc>
        <w:tc>
          <w:tcPr>
            <w:tcW w:w="1480" w:type="dxa"/>
            <w:vAlign w:val="bottom"/>
            <w:tcBorders>
              <w:right w:val="single" w:sz="8" w:color="auto"/>
            </w:tcBorders>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w w:val="97"/>
              </w:rPr>
              <w:t>Performance (75%)</w:t>
            </w:r>
          </w:p>
        </w:tc>
        <w:tc>
          <w:tcPr>
            <w:tcW w:w="1180" w:type="dxa"/>
            <w:vAlign w:val="bottom"/>
            <w:tcBorders>
              <w:right w:val="single" w:sz="8" w:color="auto"/>
            </w:tcBorders>
            <w:gridSpan w:val="2"/>
            <w:shd w:val="clear" w:color="auto" w:fill="000000"/>
          </w:tcPr>
          <w:p>
            <w:pPr>
              <w:jc w:val="right"/>
              <w:ind w:right="111"/>
              <w:spacing w:after="0"/>
              <w:rPr>
                <w:sz w:val="20"/>
                <w:szCs w:val="20"/>
                <w:color w:val="auto"/>
              </w:rPr>
            </w:pPr>
            <w:r>
              <w:rPr>
                <w:rFonts w:ascii="Arial" w:cs="Arial" w:eastAsia="Arial" w:hAnsi="Arial"/>
                <w:sz w:val="14"/>
                <w:szCs w:val="14"/>
                <w:b w:val="1"/>
                <w:bCs w:val="1"/>
                <w:color w:val="FFFFFF"/>
              </w:rPr>
              <w:t>Total Earned</w:t>
            </w:r>
          </w:p>
        </w:tc>
      </w:tr>
      <w:tr>
        <w:trPr>
          <w:trHeight w:val="235"/>
        </w:trPr>
        <w:tc>
          <w:tcPr>
            <w:tcW w:w="2160" w:type="dxa"/>
            <w:vAlign w:val="bottom"/>
          </w:tcPr>
          <w:p>
            <w:pPr>
              <w:ind w:left="40"/>
              <w:spacing w:after="0"/>
              <w:rPr>
                <w:sz w:val="20"/>
                <w:szCs w:val="20"/>
                <w:color w:val="auto"/>
              </w:rPr>
            </w:pPr>
            <w:r>
              <w:rPr>
                <w:rFonts w:ascii="Arial" w:cs="Arial" w:eastAsia="Arial" w:hAnsi="Arial"/>
                <w:sz w:val="14"/>
                <w:szCs w:val="14"/>
                <w:color w:val="auto"/>
              </w:rPr>
              <w:t>Mr. Wood</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1,781,250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1"/>
              <w:spacing w:after="0"/>
              <w:rPr>
                <w:sz w:val="20"/>
                <w:szCs w:val="20"/>
                <w:color w:val="auto"/>
              </w:rPr>
            </w:pPr>
            <w:r>
              <w:rPr>
                <w:rFonts w:ascii="Arial" w:cs="Arial" w:eastAsia="Arial" w:hAnsi="Arial"/>
                <w:sz w:val="14"/>
                <w:szCs w:val="14"/>
                <w:color w:val="auto"/>
              </w:rPr>
              <w:t>445,313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1,335,938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1,781,250</w:t>
            </w:r>
          </w:p>
        </w:tc>
      </w:tr>
      <w:tr>
        <w:trPr>
          <w:trHeight w:val="247"/>
        </w:trPr>
        <w:tc>
          <w:tcPr>
            <w:tcW w:w="2160" w:type="dxa"/>
            <w:vAlign w:val="bottom"/>
          </w:tcPr>
          <w:p>
            <w:pPr>
              <w:ind w:left="40"/>
              <w:spacing w:after="0"/>
              <w:rPr>
                <w:sz w:val="20"/>
                <w:szCs w:val="20"/>
                <w:color w:val="auto"/>
              </w:rPr>
            </w:pPr>
            <w:r>
              <w:rPr>
                <w:rFonts w:ascii="Arial" w:cs="Arial" w:eastAsia="Arial" w:hAnsi="Arial"/>
                <w:sz w:val="14"/>
                <w:szCs w:val="14"/>
                <w:color w:val="auto"/>
              </w:rPr>
              <w:t>Mr. Berkes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718,750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1"/>
              <w:spacing w:after="0"/>
              <w:rPr>
                <w:sz w:val="20"/>
                <w:szCs w:val="20"/>
                <w:color w:val="auto"/>
              </w:rPr>
            </w:pPr>
            <w:r>
              <w:rPr>
                <w:rFonts w:ascii="Arial" w:cs="Arial" w:eastAsia="Arial" w:hAnsi="Arial"/>
                <w:sz w:val="14"/>
                <w:szCs w:val="14"/>
                <w:color w:val="auto"/>
              </w:rPr>
              <w:t>179,688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539,063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718,750</w:t>
            </w:r>
          </w:p>
        </w:tc>
      </w:tr>
      <w:tr>
        <w:trPr>
          <w:trHeight w:val="247"/>
        </w:trPr>
        <w:tc>
          <w:tcPr>
            <w:tcW w:w="2160" w:type="dxa"/>
            <w:vAlign w:val="bottom"/>
          </w:tcPr>
          <w:p>
            <w:pPr>
              <w:ind w:left="40"/>
              <w:spacing w:after="0"/>
              <w:rPr>
                <w:sz w:val="20"/>
                <w:szCs w:val="20"/>
                <w:color w:val="auto"/>
              </w:rPr>
            </w:pPr>
            <w:r>
              <w:rPr>
                <w:rFonts w:ascii="Arial" w:cs="Arial" w:eastAsia="Arial" w:hAnsi="Arial"/>
                <w:sz w:val="14"/>
                <w:szCs w:val="14"/>
                <w:color w:val="auto"/>
              </w:rPr>
              <w:t>Mr. Guglielmone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468,750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1"/>
              <w:spacing w:after="0"/>
              <w:rPr>
                <w:sz w:val="20"/>
                <w:szCs w:val="20"/>
                <w:color w:val="auto"/>
              </w:rPr>
            </w:pPr>
            <w:r>
              <w:rPr>
                <w:rFonts w:ascii="Arial" w:cs="Arial" w:eastAsia="Arial" w:hAnsi="Arial"/>
                <w:sz w:val="14"/>
                <w:szCs w:val="14"/>
                <w:color w:val="auto"/>
              </w:rPr>
              <w:t>117,188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351,563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468,750</w:t>
            </w:r>
          </w:p>
        </w:tc>
      </w:tr>
      <w:tr>
        <w:trPr>
          <w:trHeight w:val="259"/>
        </w:trPr>
        <w:tc>
          <w:tcPr>
            <w:tcW w:w="2160" w:type="dxa"/>
            <w:vAlign w:val="bottom"/>
          </w:tcPr>
          <w:p>
            <w:pPr>
              <w:ind w:left="40"/>
              <w:spacing w:after="0"/>
              <w:rPr>
                <w:sz w:val="20"/>
                <w:szCs w:val="20"/>
                <w:color w:val="auto"/>
              </w:rPr>
            </w:pPr>
            <w:r>
              <w:rPr>
                <w:rFonts w:ascii="Arial" w:cs="Arial" w:eastAsia="Arial" w:hAnsi="Arial"/>
                <w:sz w:val="14"/>
                <w:szCs w:val="14"/>
                <w:color w:val="auto"/>
              </w:rPr>
              <w:t>Ms. Becker</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445,313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31"/>
              <w:spacing w:after="0"/>
              <w:rPr>
                <w:sz w:val="20"/>
                <w:szCs w:val="20"/>
                <w:color w:val="auto"/>
              </w:rPr>
            </w:pPr>
            <w:r>
              <w:rPr>
                <w:rFonts w:ascii="Arial" w:cs="Arial" w:eastAsia="Arial" w:hAnsi="Arial"/>
                <w:sz w:val="14"/>
                <w:szCs w:val="14"/>
                <w:color w:val="auto"/>
              </w:rPr>
              <w:t>111,328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333,984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111"/>
              <w:spacing w:after="0"/>
              <w:rPr>
                <w:sz w:val="20"/>
                <w:szCs w:val="20"/>
                <w:color w:val="auto"/>
              </w:rPr>
            </w:pPr>
            <w:r>
              <w:rPr>
                <w:rFonts w:ascii="Arial" w:cs="Arial" w:eastAsia="Arial" w:hAnsi="Arial"/>
                <w:sz w:val="14"/>
                <w:szCs w:val="14"/>
                <w:color w:val="auto"/>
              </w:rPr>
              <w:t>445,313</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0"/>
          </w:cols>
          <w:pgMar w:left="620" w:top="282" w:right="639" w:bottom="1440" w:gutter="0" w:footer="0" w:header="0"/>
        </w:sectPr>
      </w:pPr>
    </w:p>
    <w:bookmarkStart w:id="29" w:name="page30"/>
    <w:bookmarkEnd w:id="29"/>
    <w:p>
      <w:pPr>
        <w:jc w:val="both"/>
        <w:ind w:right="2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2021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Long-Term Incentive Program</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largest portion of compensation for each of our NEOs comes from our equity based long-term incentive program that aligns the interests of our NEOs with shareholders by incentivizing our NEOs to identify and accomplish longer-term business objectives that generate value through share price appreciation and dividend growth. Our program measures performance over the prior 3-year period with shares awarded at the end of the 3-year performance period based on actual results. Performance for purposes of our long-term incentive program is measured against the following preset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760" w:type="dxa"/>
            <w:vAlign w:val="bottom"/>
            <w:shd w:val="clear" w:color="auto" w:fill="000000"/>
          </w:tcPr>
          <w:p>
            <w:pPr>
              <w:spacing w:after="0"/>
              <w:rPr>
                <w:sz w:val="20"/>
                <w:szCs w:val="20"/>
                <w:color w:val="auto"/>
              </w:rPr>
            </w:pPr>
            <w:r>
              <w:rPr>
                <w:rFonts w:ascii="Arial" w:cs="Arial" w:eastAsia="Arial" w:hAnsi="Arial"/>
                <w:sz w:val="17"/>
                <w:szCs w:val="17"/>
                <w:b w:val="1"/>
                <w:bCs w:val="1"/>
                <w:color w:val="FFFFFF"/>
              </w:rPr>
              <w:t>Plan Metric</w:t>
            </w:r>
          </w:p>
        </w:tc>
        <w:tc>
          <w:tcPr>
            <w:tcW w:w="130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w w:val="99"/>
              </w:rPr>
              <w:t>Weighting</w:t>
            </w:r>
          </w:p>
        </w:tc>
        <w:tc>
          <w:tcPr>
            <w:tcW w:w="6560" w:type="dxa"/>
            <w:vAlign w:val="bottom"/>
            <w:shd w:val="clear" w:color="auto" w:fill="000000"/>
          </w:tcPr>
          <w:p>
            <w:pPr>
              <w:ind w:left="200"/>
              <w:spacing w:after="0"/>
              <w:rPr>
                <w:sz w:val="20"/>
                <w:szCs w:val="20"/>
                <w:color w:val="auto"/>
              </w:rPr>
            </w:pPr>
            <w:r>
              <w:rPr>
                <w:rFonts w:ascii="Arial" w:cs="Arial" w:eastAsia="Arial" w:hAnsi="Arial"/>
                <w:sz w:val="17"/>
                <w:szCs w:val="17"/>
                <w:b w:val="1"/>
                <w:bCs w:val="1"/>
                <w:color w:val="FFFFFF"/>
              </w:rPr>
              <w:t>Description</w:t>
            </w:r>
          </w:p>
        </w:tc>
      </w:tr>
      <w:tr>
        <w:trPr>
          <w:trHeight w:val="194"/>
        </w:trPr>
        <w:tc>
          <w:tcPr>
            <w:tcW w:w="2760" w:type="dxa"/>
            <w:vAlign w:val="bottom"/>
          </w:tcPr>
          <w:p>
            <w:pPr>
              <w:ind w:left="80"/>
              <w:spacing w:after="0" w:line="194" w:lineRule="exact"/>
              <w:rPr>
                <w:sz w:val="20"/>
                <w:szCs w:val="20"/>
                <w:color w:val="auto"/>
              </w:rPr>
            </w:pPr>
            <w:r>
              <w:rPr>
                <w:rFonts w:ascii="Arial" w:cs="Arial" w:eastAsia="Arial" w:hAnsi="Arial"/>
                <w:sz w:val="17"/>
                <w:szCs w:val="17"/>
                <w:color w:val="auto"/>
              </w:rPr>
              <w:t>Relative Total Shareholder Return</w:t>
            </w:r>
          </w:p>
        </w:tc>
        <w:tc>
          <w:tcPr>
            <w:tcW w:w="1300" w:type="dxa"/>
            <w:vAlign w:val="bottom"/>
          </w:tcPr>
          <w:p>
            <w:pPr>
              <w:jc w:val="center"/>
              <w:spacing w:after="0" w:line="194" w:lineRule="exact"/>
              <w:rPr>
                <w:sz w:val="20"/>
                <w:szCs w:val="20"/>
                <w:color w:val="auto"/>
              </w:rPr>
            </w:pPr>
            <w:r>
              <w:rPr>
                <w:rFonts w:ascii="Arial" w:cs="Arial" w:eastAsia="Arial" w:hAnsi="Arial"/>
                <w:sz w:val="17"/>
                <w:szCs w:val="17"/>
                <w:color w:val="auto"/>
                <w:w w:val="99"/>
              </w:rPr>
              <w:t>34%</w:t>
            </w:r>
          </w:p>
        </w:tc>
        <w:tc>
          <w:tcPr>
            <w:tcW w:w="6560" w:type="dxa"/>
            <w:vAlign w:val="bottom"/>
          </w:tcPr>
          <w:p>
            <w:pPr>
              <w:ind w:left="200"/>
              <w:spacing w:after="0" w:line="194" w:lineRule="exact"/>
              <w:rPr>
                <w:sz w:val="20"/>
                <w:szCs w:val="20"/>
                <w:color w:val="auto"/>
              </w:rPr>
            </w:pPr>
            <w:r>
              <w:rPr>
                <w:rFonts w:ascii="Arial" w:cs="Arial" w:eastAsia="Arial" w:hAnsi="Arial"/>
                <w:sz w:val="17"/>
                <w:szCs w:val="17"/>
                <w:color w:val="auto"/>
              </w:rPr>
              <w:t>•   Compares our total shareholder return, taking into account share price</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appreciation and assuming reinvestment of dividends, against the total return</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achieved by the Bloomberg REIT Shopping Center index (“BBRESHOP”)</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200"/>
              <w:spacing w:after="0"/>
              <w:rPr>
                <w:sz w:val="20"/>
                <w:szCs w:val="20"/>
                <w:color w:val="auto"/>
              </w:rPr>
            </w:pPr>
            <w:r>
              <w:rPr>
                <w:rFonts w:ascii="Arial" w:cs="Arial" w:eastAsia="Arial" w:hAnsi="Arial"/>
                <w:sz w:val="17"/>
                <w:szCs w:val="17"/>
                <w:color w:val="auto"/>
              </w:rPr>
              <w:t>•   BBRESHOP is comprised of publicly traded companies that own and operate</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open air shopping centers</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200"/>
              <w:spacing w:after="0"/>
              <w:rPr>
                <w:sz w:val="20"/>
                <w:szCs w:val="20"/>
                <w:color w:val="auto"/>
              </w:rPr>
            </w:pPr>
            <w:r>
              <w:rPr>
                <w:rFonts w:ascii="Arial" w:cs="Arial" w:eastAsia="Arial" w:hAnsi="Arial"/>
                <w:sz w:val="17"/>
                <w:szCs w:val="17"/>
                <w:color w:val="auto"/>
              </w:rPr>
              <w:t>•   BBRESHOP provides an appropriate basis to compare our performance</w:t>
            </w:r>
          </w:p>
        </w:tc>
      </w:tr>
      <w:tr>
        <w:trPr>
          <w:trHeight w:val="209"/>
        </w:trPr>
        <w:tc>
          <w:tcPr>
            <w:tcW w:w="2760" w:type="dxa"/>
            <w:vAlign w:val="bottom"/>
            <w:tcBorders>
              <w:bottom w:val="single" w:sz="8" w:color="FF160F"/>
            </w:tcBorders>
          </w:tcPr>
          <w:p>
            <w:pPr>
              <w:spacing w:after="0"/>
              <w:rPr>
                <w:sz w:val="18"/>
                <w:szCs w:val="18"/>
                <w:color w:val="auto"/>
              </w:rPr>
            </w:pPr>
          </w:p>
        </w:tc>
        <w:tc>
          <w:tcPr>
            <w:tcW w:w="1300" w:type="dxa"/>
            <w:vAlign w:val="bottom"/>
            <w:tcBorders>
              <w:bottom w:val="single" w:sz="8" w:color="FF160F"/>
            </w:tcBorders>
          </w:tcPr>
          <w:p>
            <w:pPr>
              <w:spacing w:after="0"/>
              <w:rPr>
                <w:sz w:val="18"/>
                <w:szCs w:val="18"/>
                <w:color w:val="auto"/>
              </w:rPr>
            </w:pPr>
          </w:p>
        </w:tc>
        <w:tc>
          <w:tcPr>
            <w:tcW w:w="6560" w:type="dxa"/>
            <w:vAlign w:val="bottom"/>
            <w:tcBorders>
              <w:bottom w:val="single" w:sz="8" w:color="FF160F"/>
            </w:tcBorders>
          </w:tcPr>
          <w:p>
            <w:pPr>
              <w:ind w:left="540"/>
              <w:spacing w:after="0"/>
              <w:rPr>
                <w:sz w:val="20"/>
                <w:szCs w:val="20"/>
                <w:color w:val="auto"/>
              </w:rPr>
            </w:pPr>
            <w:r>
              <w:rPr>
                <w:rFonts w:ascii="Arial" w:cs="Arial" w:eastAsia="Arial" w:hAnsi="Arial"/>
                <w:sz w:val="17"/>
                <w:szCs w:val="17"/>
                <w:color w:val="auto"/>
              </w:rPr>
              <w:t>against similarly situated companies</w:t>
            </w:r>
          </w:p>
        </w:tc>
      </w:tr>
      <w:tr>
        <w:trPr>
          <w:trHeight w:val="187"/>
        </w:trPr>
        <w:tc>
          <w:tcPr>
            <w:tcW w:w="2760" w:type="dxa"/>
            <w:vAlign w:val="bottom"/>
          </w:tcPr>
          <w:p>
            <w:pPr>
              <w:ind w:left="80"/>
              <w:spacing w:after="0" w:line="188" w:lineRule="exact"/>
              <w:rPr>
                <w:sz w:val="20"/>
                <w:szCs w:val="20"/>
                <w:color w:val="auto"/>
              </w:rPr>
            </w:pPr>
            <w:r>
              <w:rPr>
                <w:rFonts w:ascii="Arial" w:cs="Arial" w:eastAsia="Arial" w:hAnsi="Arial"/>
                <w:sz w:val="17"/>
                <w:szCs w:val="17"/>
                <w:color w:val="auto"/>
              </w:rPr>
              <w:t>FFO Multiple Premium</w:t>
            </w:r>
          </w:p>
        </w:tc>
        <w:tc>
          <w:tcPr>
            <w:tcW w:w="1300" w:type="dxa"/>
            <w:vAlign w:val="bottom"/>
          </w:tcPr>
          <w:p>
            <w:pPr>
              <w:jc w:val="center"/>
              <w:spacing w:after="0" w:line="188" w:lineRule="exact"/>
              <w:rPr>
                <w:sz w:val="20"/>
                <w:szCs w:val="20"/>
                <w:color w:val="auto"/>
              </w:rPr>
            </w:pPr>
            <w:r>
              <w:rPr>
                <w:rFonts w:ascii="Arial" w:cs="Arial" w:eastAsia="Arial" w:hAnsi="Arial"/>
                <w:sz w:val="17"/>
                <w:szCs w:val="17"/>
                <w:color w:val="auto"/>
                <w:w w:val="99"/>
              </w:rPr>
              <w:t>33%</w:t>
            </w:r>
          </w:p>
        </w:tc>
        <w:tc>
          <w:tcPr>
            <w:tcW w:w="6560" w:type="dxa"/>
            <w:vAlign w:val="bottom"/>
          </w:tcPr>
          <w:p>
            <w:pPr>
              <w:ind w:left="200"/>
              <w:spacing w:after="0" w:line="188" w:lineRule="exact"/>
              <w:rPr>
                <w:sz w:val="20"/>
                <w:szCs w:val="20"/>
                <w:color w:val="auto"/>
              </w:rPr>
            </w:pPr>
            <w:r>
              <w:rPr>
                <w:rFonts w:ascii="Arial" w:cs="Arial" w:eastAsia="Arial" w:hAnsi="Arial"/>
                <w:sz w:val="17"/>
                <w:szCs w:val="17"/>
                <w:color w:val="auto"/>
              </w:rPr>
              <w:t>•   Compares FFO multiple at which the Company is trading at the end of the</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performance period against the average FFO multiple at which all other public</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shopping center companies (other than the Company) are trading at that time</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200"/>
              <w:spacing w:after="0"/>
              <w:rPr>
                <w:sz w:val="20"/>
                <w:szCs w:val="20"/>
                <w:color w:val="auto"/>
              </w:rPr>
            </w:pPr>
            <w:r>
              <w:rPr>
                <w:rFonts w:ascii="Arial" w:cs="Arial" w:eastAsia="Arial" w:hAnsi="Arial"/>
                <w:sz w:val="17"/>
                <w:szCs w:val="17"/>
                <w:color w:val="auto"/>
              </w:rPr>
              <w:t>•   FFO multiples are provided by a third party investment bank</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200"/>
              <w:spacing w:after="0"/>
              <w:rPr>
                <w:sz w:val="20"/>
                <w:szCs w:val="20"/>
                <w:color w:val="auto"/>
              </w:rPr>
            </w:pPr>
            <w:r>
              <w:rPr>
                <w:rFonts w:ascii="Arial" w:cs="Arial" w:eastAsia="Arial" w:hAnsi="Arial"/>
                <w:sz w:val="17"/>
                <w:szCs w:val="17"/>
                <w:color w:val="auto"/>
              </w:rPr>
              <w:t>•   Serves as a measure of investor expectations of our long-term growth</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potential and confidence in our management team versus other publicly</w:t>
            </w:r>
          </w:p>
        </w:tc>
      </w:tr>
      <w:tr>
        <w:trPr>
          <w:trHeight w:val="209"/>
        </w:trPr>
        <w:tc>
          <w:tcPr>
            <w:tcW w:w="2760" w:type="dxa"/>
            <w:vAlign w:val="bottom"/>
            <w:tcBorders>
              <w:bottom w:val="single" w:sz="8" w:color="FF160F"/>
            </w:tcBorders>
          </w:tcPr>
          <w:p>
            <w:pPr>
              <w:spacing w:after="0"/>
              <w:rPr>
                <w:sz w:val="18"/>
                <w:szCs w:val="18"/>
                <w:color w:val="auto"/>
              </w:rPr>
            </w:pPr>
          </w:p>
        </w:tc>
        <w:tc>
          <w:tcPr>
            <w:tcW w:w="1300" w:type="dxa"/>
            <w:vAlign w:val="bottom"/>
            <w:tcBorders>
              <w:bottom w:val="single" w:sz="8" w:color="FF160F"/>
            </w:tcBorders>
          </w:tcPr>
          <w:p>
            <w:pPr>
              <w:spacing w:after="0"/>
              <w:rPr>
                <w:sz w:val="18"/>
                <w:szCs w:val="18"/>
                <w:color w:val="auto"/>
              </w:rPr>
            </w:pPr>
          </w:p>
        </w:tc>
        <w:tc>
          <w:tcPr>
            <w:tcW w:w="6560" w:type="dxa"/>
            <w:vAlign w:val="bottom"/>
            <w:tcBorders>
              <w:bottom w:val="single" w:sz="8" w:color="FF160F"/>
            </w:tcBorders>
          </w:tcPr>
          <w:p>
            <w:pPr>
              <w:ind w:left="540"/>
              <w:spacing w:after="0"/>
              <w:rPr>
                <w:sz w:val="20"/>
                <w:szCs w:val="20"/>
                <w:color w:val="auto"/>
              </w:rPr>
            </w:pPr>
            <w:r>
              <w:rPr>
                <w:rFonts w:ascii="Arial" w:cs="Arial" w:eastAsia="Arial" w:hAnsi="Arial"/>
                <w:sz w:val="17"/>
                <w:szCs w:val="17"/>
                <w:color w:val="auto"/>
              </w:rPr>
              <w:t>traded open air shopping center companies</w:t>
            </w:r>
          </w:p>
        </w:tc>
      </w:tr>
      <w:tr>
        <w:trPr>
          <w:trHeight w:val="187"/>
        </w:trPr>
        <w:tc>
          <w:tcPr>
            <w:tcW w:w="2760" w:type="dxa"/>
            <w:vAlign w:val="bottom"/>
          </w:tcPr>
          <w:p>
            <w:pPr>
              <w:ind w:left="80"/>
              <w:spacing w:after="0" w:line="188" w:lineRule="exact"/>
              <w:rPr>
                <w:sz w:val="20"/>
                <w:szCs w:val="20"/>
                <w:color w:val="auto"/>
              </w:rPr>
            </w:pPr>
            <w:r>
              <w:rPr>
                <w:rFonts w:ascii="Arial" w:cs="Arial" w:eastAsia="Arial" w:hAnsi="Arial"/>
                <w:sz w:val="17"/>
                <w:szCs w:val="17"/>
                <w:color w:val="auto"/>
              </w:rPr>
              <w:t>Return on Invested Capital</w:t>
            </w:r>
          </w:p>
        </w:tc>
        <w:tc>
          <w:tcPr>
            <w:tcW w:w="1300" w:type="dxa"/>
            <w:vAlign w:val="bottom"/>
          </w:tcPr>
          <w:p>
            <w:pPr>
              <w:jc w:val="center"/>
              <w:spacing w:after="0" w:line="188" w:lineRule="exact"/>
              <w:rPr>
                <w:sz w:val="20"/>
                <w:szCs w:val="20"/>
                <w:color w:val="auto"/>
              </w:rPr>
            </w:pPr>
            <w:r>
              <w:rPr>
                <w:rFonts w:ascii="Arial" w:cs="Arial" w:eastAsia="Arial" w:hAnsi="Arial"/>
                <w:sz w:val="17"/>
                <w:szCs w:val="17"/>
                <w:color w:val="auto"/>
                <w:w w:val="99"/>
              </w:rPr>
              <w:t>33%</w:t>
            </w:r>
          </w:p>
        </w:tc>
        <w:tc>
          <w:tcPr>
            <w:tcW w:w="6560" w:type="dxa"/>
            <w:vAlign w:val="bottom"/>
          </w:tcPr>
          <w:p>
            <w:pPr>
              <w:ind w:left="200"/>
              <w:spacing w:after="0" w:line="188" w:lineRule="exact"/>
              <w:rPr>
                <w:sz w:val="20"/>
                <w:szCs w:val="20"/>
                <w:color w:val="auto"/>
              </w:rPr>
            </w:pPr>
            <w:r>
              <w:rPr>
                <w:rFonts w:ascii="Arial" w:cs="Arial" w:eastAsia="Arial" w:hAnsi="Arial"/>
                <w:sz w:val="17"/>
                <w:szCs w:val="17"/>
                <w:color w:val="auto"/>
              </w:rPr>
              <w:t>•   Reflects how effectively we have allocated our shareholders’ capital during the</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540"/>
              <w:spacing w:after="0"/>
              <w:rPr>
                <w:sz w:val="20"/>
                <w:szCs w:val="20"/>
                <w:color w:val="auto"/>
              </w:rPr>
            </w:pPr>
            <w:r>
              <w:rPr>
                <w:rFonts w:ascii="Arial" w:cs="Arial" w:eastAsia="Arial" w:hAnsi="Arial"/>
                <w:sz w:val="17"/>
                <w:szCs w:val="17"/>
                <w:color w:val="auto"/>
              </w:rPr>
              <w:t>3-year performance period</w:t>
            </w:r>
          </w:p>
        </w:tc>
      </w:tr>
      <w:tr>
        <w:trPr>
          <w:trHeight w:val="195"/>
        </w:trPr>
        <w:tc>
          <w:tcPr>
            <w:tcW w:w="2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560" w:type="dxa"/>
            <w:vAlign w:val="bottom"/>
          </w:tcPr>
          <w:p>
            <w:pPr>
              <w:ind w:left="200"/>
              <w:spacing w:after="0"/>
              <w:rPr>
                <w:sz w:val="20"/>
                <w:szCs w:val="20"/>
                <w:color w:val="auto"/>
              </w:rPr>
            </w:pPr>
            <w:r>
              <w:rPr>
                <w:rFonts w:ascii="Arial" w:cs="Arial" w:eastAsia="Arial" w:hAnsi="Arial"/>
                <w:sz w:val="17"/>
                <w:szCs w:val="17"/>
                <w:color w:val="auto"/>
              </w:rPr>
              <w:t>•   Incentivizes sound, long-term investment decisions focused on generating</w:t>
            </w:r>
          </w:p>
        </w:tc>
      </w:tr>
    </w:tbl>
    <w:p>
      <w:pPr>
        <w:ind w:left="4600"/>
        <w:spacing w:after="0"/>
        <w:rPr>
          <w:sz w:val="20"/>
          <w:szCs w:val="20"/>
          <w:color w:val="auto"/>
        </w:rPr>
      </w:pPr>
      <w:r>
        <w:rPr>
          <w:rFonts w:ascii="Arial" w:cs="Arial" w:eastAsia="Arial" w:hAnsi="Arial"/>
          <w:sz w:val="17"/>
          <w:szCs w:val="17"/>
          <w:color w:val="auto"/>
        </w:rPr>
        <w:t>strong future shareholder returns</w:t>
      </w:r>
    </w:p>
    <w:p>
      <w:pPr>
        <w:ind w:left="4260"/>
        <w:spacing w:after="0"/>
        <w:tabs>
          <w:tab w:leader="none" w:pos="4560" w:val="left"/>
        </w:tabs>
        <w:rPr>
          <w:sz w:val="20"/>
          <w:szCs w:val="20"/>
          <w:color w:val="auto"/>
        </w:rPr>
      </w:pPr>
      <w:r>
        <w:rPr>
          <w:rFonts w:ascii="Arial" w:cs="Arial" w:eastAsia="Arial" w:hAnsi="Arial"/>
          <w:sz w:val="17"/>
          <w:szCs w:val="17"/>
          <w:color w:val="auto"/>
        </w:rPr>
        <w:t>•</w:t>
        <w:tab/>
        <w:t>Encompasses the revenue and investment impact from all capital decisions</w:t>
      </w:r>
    </w:p>
    <w:p>
      <w:pPr>
        <w:ind w:left="4580" w:right="540" w:hanging="346"/>
        <w:spacing w:after="0" w:line="256" w:lineRule="auto"/>
        <w:tabs>
          <w:tab w:leader="none" w:pos="4560" w:val="left"/>
        </w:tabs>
        <w:rPr>
          <w:sz w:val="20"/>
          <w:szCs w:val="20"/>
          <w:color w:val="auto"/>
        </w:rPr>
      </w:pPr>
      <w:r>
        <w:rPr>
          <w:rFonts w:ascii="Arial" w:cs="Arial" w:eastAsia="Arial" w:hAnsi="Arial"/>
          <w:sz w:val="17"/>
          <w:szCs w:val="17"/>
          <w:color w:val="auto"/>
        </w:rPr>
        <w:t>•</w:t>
        <w:tab/>
        <w:t>Required performance levels established in advance to reflect changing market expectations as we acquire, sell and develop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20"/>
          </w:cols>
          <w:pgMar w:left="640" w:top="282" w:right="639" w:bottom="1440" w:gutter="0" w:footer="0" w:header="0"/>
        </w:sectPr>
      </w:pPr>
    </w:p>
    <w:bookmarkStart w:id="30" w:name="page31"/>
    <w:bookmarkEnd w:id="30"/>
    <w:p>
      <w:pPr>
        <w:jc w:val="both"/>
        <w:ind w:right="20"/>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The required performance levels for each of these metrics and the actual performance achieved for the 3-year performance period from 2019 through 2021 is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Performance Level</w:t>
            </w:r>
          </w:p>
        </w:tc>
        <w:tc>
          <w:tcPr>
            <w:tcW w:w="1100" w:type="dxa"/>
            <w:vAlign w:val="bottom"/>
            <w:shd w:val="clear" w:color="auto" w:fill="000000"/>
          </w:tcPr>
          <w:p>
            <w:pPr>
              <w:spacing w:after="0"/>
              <w:rPr>
                <w:sz w:val="18"/>
                <w:szCs w:val="18"/>
                <w:color w:val="auto"/>
              </w:rPr>
            </w:pPr>
          </w:p>
        </w:tc>
        <w:tc>
          <w:tcPr>
            <w:tcW w:w="1260" w:type="dxa"/>
            <w:vAlign w:val="bottom"/>
            <w:shd w:val="clear" w:color="auto" w:fill="000000"/>
          </w:tcPr>
          <w:p>
            <w:pPr>
              <w:jc w:val="right"/>
              <w:ind w:right="171"/>
              <w:spacing w:after="0"/>
              <w:rPr>
                <w:sz w:val="20"/>
                <w:szCs w:val="20"/>
                <w:color w:val="auto"/>
              </w:rPr>
            </w:pPr>
            <w:r>
              <w:rPr>
                <w:rFonts w:ascii="Arial" w:cs="Arial" w:eastAsia="Arial" w:hAnsi="Arial"/>
                <w:sz w:val="14"/>
                <w:szCs w:val="14"/>
                <w:b w:val="1"/>
                <w:bCs w:val="1"/>
                <w:color w:val="FFFFFF"/>
              </w:rPr>
              <w:t>Treshold</w:t>
            </w:r>
          </w:p>
        </w:tc>
        <w:tc>
          <w:tcPr>
            <w:tcW w:w="1320" w:type="dxa"/>
            <w:vAlign w:val="bottom"/>
            <w:shd w:val="clear" w:color="auto" w:fill="000000"/>
          </w:tcPr>
          <w:p>
            <w:pPr>
              <w:jc w:val="right"/>
              <w:ind w:right="171"/>
              <w:spacing w:after="0"/>
              <w:rPr>
                <w:sz w:val="20"/>
                <w:szCs w:val="20"/>
                <w:color w:val="auto"/>
              </w:rPr>
            </w:pPr>
            <w:r>
              <w:rPr>
                <w:rFonts w:ascii="Arial" w:cs="Arial" w:eastAsia="Arial" w:hAnsi="Arial"/>
                <w:sz w:val="14"/>
                <w:szCs w:val="14"/>
                <w:b w:val="1"/>
                <w:bCs w:val="1"/>
                <w:color w:val="FFFFFF"/>
              </w:rPr>
              <w:t>Target</w:t>
            </w:r>
          </w:p>
        </w:tc>
        <w:tc>
          <w:tcPr>
            <w:tcW w:w="1320" w:type="dxa"/>
            <w:vAlign w:val="bottom"/>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Stretch</w:t>
            </w:r>
          </w:p>
        </w:tc>
        <w:tc>
          <w:tcPr>
            <w:tcW w:w="940" w:type="dxa"/>
            <w:vAlign w:val="bottom"/>
            <w:shd w:val="clear" w:color="auto" w:fill="000000"/>
          </w:tcPr>
          <w:p>
            <w:pPr>
              <w:spacing w:after="0"/>
              <w:rPr>
                <w:sz w:val="18"/>
                <w:szCs w:val="18"/>
                <w:color w:val="auto"/>
              </w:rPr>
            </w:pPr>
          </w:p>
        </w:tc>
        <w:tc>
          <w:tcPr>
            <w:tcW w:w="740" w:type="dxa"/>
            <w:vAlign w:val="bottom"/>
            <w:shd w:val="clear" w:color="auto" w:fill="000000"/>
          </w:tcPr>
          <w:p>
            <w:pPr>
              <w:spacing w:after="0"/>
              <w:rPr>
                <w:sz w:val="18"/>
                <w:szCs w:val="18"/>
                <w:color w:val="auto"/>
              </w:rPr>
            </w:pPr>
          </w:p>
        </w:tc>
      </w:tr>
      <w:tr>
        <w:trPr>
          <w:trHeight w:val="207"/>
        </w:trPr>
        <w:tc>
          <w:tcPr>
            <w:tcW w:w="326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Payout as Percent of Target</w:t>
            </w:r>
          </w:p>
        </w:tc>
        <w:tc>
          <w:tcPr>
            <w:tcW w:w="1100" w:type="dxa"/>
            <w:vAlign w:val="bottom"/>
            <w:shd w:val="clear" w:color="auto" w:fill="000000"/>
          </w:tcPr>
          <w:p>
            <w:pPr>
              <w:jc w:val="right"/>
              <w:ind w:right="171"/>
              <w:spacing w:after="0"/>
              <w:rPr>
                <w:sz w:val="20"/>
                <w:szCs w:val="20"/>
                <w:color w:val="auto"/>
              </w:rPr>
            </w:pPr>
            <w:r>
              <w:rPr>
                <w:rFonts w:ascii="Arial" w:cs="Arial" w:eastAsia="Arial" w:hAnsi="Arial"/>
                <w:sz w:val="14"/>
                <w:szCs w:val="14"/>
                <w:b w:val="1"/>
                <w:bCs w:val="1"/>
                <w:color w:val="FFFFFF"/>
              </w:rPr>
              <w:t>Weighting</w:t>
            </w:r>
          </w:p>
        </w:tc>
        <w:tc>
          <w:tcPr>
            <w:tcW w:w="1260" w:type="dxa"/>
            <w:vAlign w:val="bottom"/>
            <w:shd w:val="clear" w:color="auto" w:fill="000000"/>
          </w:tcPr>
          <w:p>
            <w:pPr>
              <w:jc w:val="right"/>
              <w:ind w:right="171"/>
              <w:spacing w:after="0"/>
              <w:rPr>
                <w:sz w:val="20"/>
                <w:szCs w:val="20"/>
                <w:color w:val="auto"/>
              </w:rPr>
            </w:pPr>
            <w:r>
              <w:rPr>
                <w:rFonts w:ascii="Arial" w:cs="Arial" w:eastAsia="Arial" w:hAnsi="Arial"/>
                <w:sz w:val="14"/>
                <w:szCs w:val="14"/>
                <w:b w:val="1"/>
                <w:bCs w:val="1"/>
                <w:color w:val="FFFFFF"/>
              </w:rPr>
              <w:t>50%</w:t>
            </w:r>
          </w:p>
        </w:tc>
        <w:tc>
          <w:tcPr>
            <w:tcW w:w="1320" w:type="dxa"/>
            <w:vAlign w:val="bottom"/>
            <w:shd w:val="clear" w:color="auto" w:fill="000000"/>
          </w:tcPr>
          <w:p>
            <w:pPr>
              <w:jc w:val="right"/>
              <w:ind w:right="171"/>
              <w:spacing w:after="0"/>
              <w:rPr>
                <w:sz w:val="20"/>
                <w:szCs w:val="20"/>
                <w:color w:val="auto"/>
              </w:rPr>
            </w:pPr>
            <w:r>
              <w:rPr>
                <w:rFonts w:ascii="Arial" w:cs="Arial" w:eastAsia="Arial" w:hAnsi="Arial"/>
                <w:sz w:val="14"/>
                <w:szCs w:val="14"/>
                <w:b w:val="1"/>
                <w:bCs w:val="1"/>
                <w:color w:val="FFFFFF"/>
              </w:rPr>
              <w:t>100%</w:t>
            </w:r>
          </w:p>
        </w:tc>
        <w:tc>
          <w:tcPr>
            <w:tcW w:w="1320" w:type="dxa"/>
            <w:vAlign w:val="bottom"/>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150%</w:t>
            </w:r>
          </w:p>
        </w:tc>
        <w:tc>
          <w:tcPr>
            <w:tcW w:w="940" w:type="dxa"/>
            <w:vAlign w:val="bottom"/>
            <w:shd w:val="clear" w:color="auto" w:fill="000000"/>
          </w:tcPr>
          <w:p>
            <w:pPr>
              <w:jc w:val="right"/>
              <w:ind w:right="151"/>
              <w:spacing w:after="0"/>
              <w:rPr>
                <w:sz w:val="20"/>
                <w:szCs w:val="20"/>
                <w:color w:val="auto"/>
              </w:rPr>
            </w:pPr>
            <w:r>
              <w:rPr>
                <w:rFonts w:ascii="Arial" w:cs="Arial" w:eastAsia="Arial" w:hAnsi="Arial"/>
                <w:sz w:val="14"/>
                <w:szCs w:val="14"/>
                <w:b w:val="1"/>
                <w:bCs w:val="1"/>
                <w:color w:val="FFFFFF"/>
              </w:rPr>
              <w:t>Actual</w:t>
            </w:r>
          </w:p>
        </w:tc>
        <w:tc>
          <w:tcPr>
            <w:tcW w:w="7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Payout</w:t>
            </w:r>
          </w:p>
        </w:tc>
      </w:tr>
      <w:tr>
        <w:trPr>
          <w:trHeight w:val="235"/>
        </w:trPr>
        <w:tc>
          <w:tcPr>
            <w:tcW w:w="3260" w:type="dxa"/>
            <w:vAlign w:val="bottom"/>
          </w:tcPr>
          <w:p>
            <w:pPr>
              <w:ind w:left="40"/>
              <w:spacing w:after="0"/>
              <w:rPr>
                <w:sz w:val="20"/>
                <w:szCs w:val="20"/>
                <w:color w:val="auto"/>
              </w:rPr>
            </w:pPr>
            <w:r>
              <w:rPr>
                <w:rFonts w:ascii="Arial" w:cs="Arial" w:eastAsia="Arial" w:hAnsi="Arial"/>
                <w:sz w:val="14"/>
                <w:szCs w:val="14"/>
                <w:color w:val="auto"/>
              </w:rPr>
              <w:t>Relative Total Return</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34%</w:t>
            </w:r>
          </w:p>
        </w:tc>
        <w:tc>
          <w:tcPr>
            <w:tcW w:w="1260" w:type="dxa"/>
            <w:vAlign w:val="bottom"/>
          </w:tcPr>
          <w:p>
            <w:pPr>
              <w:jc w:val="right"/>
              <w:ind w:right="171"/>
              <w:spacing w:after="0"/>
              <w:rPr>
                <w:sz w:val="20"/>
                <w:szCs w:val="20"/>
                <w:color w:val="auto"/>
              </w:rPr>
            </w:pPr>
            <w:r>
              <w:rPr>
                <w:rFonts w:ascii="Arial" w:cs="Arial" w:eastAsia="Arial" w:hAnsi="Arial"/>
                <w:sz w:val="14"/>
                <w:szCs w:val="14"/>
                <w:color w:val="auto"/>
              </w:rPr>
              <w:t>Index - 5%</w:t>
            </w:r>
          </w:p>
        </w:tc>
        <w:tc>
          <w:tcPr>
            <w:tcW w:w="1320" w:type="dxa"/>
            <w:vAlign w:val="bottom"/>
          </w:tcPr>
          <w:p>
            <w:pPr>
              <w:jc w:val="right"/>
              <w:ind w:right="171"/>
              <w:spacing w:after="0"/>
              <w:rPr>
                <w:sz w:val="20"/>
                <w:szCs w:val="20"/>
                <w:color w:val="auto"/>
              </w:rPr>
            </w:pPr>
            <w:r>
              <w:rPr>
                <w:rFonts w:ascii="Arial" w:cs="Arial" w:eastAsia="Arial" w:hAnsi="Arial"/>
                <w:sz w:val="14"/>
                <w:szCs w:val="14"/>
                <w:color w:val="auto"/>
              </w:rPr>
              <w:t>Index</w:t>
            </w:r>
          </w:p>
        </w:tc>
        <w:tc>
          <w:tcPr>
            <w:tcW w:w="1320" w:type="dxa"/>
            <w:vAlign w:val="bottom"/>
          </w:tcPr>
          <w:p>
            <w:pPr>
              <w:jc w:val="right"/>
              <w:ind w:right="151"/>
              <w:spacing w:after="0"/>
              <w:rPr>
                <w:sz w:val="20"/>
                <w:szCs w:val="20"/>
                <w:color w:val="auto"/>
              </w:rPr>
            </w:pPr>
            <w:r>
              <w:rPr>
                <w:rFonts w:ascii="Arial" w:cs="Arial" w:eastAsia="Arial" w:hAnsi="Arial"/>
                <w:sz w:val="14"/>
                <w:szCs w:val="14"/>
                <w:color w:val="auto"/>
              </w:rPr>
              <w:t>Index + 5%</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-5.83%</w:t>
            </w: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47"/>
        </w:trPr>
        <w:tc>
          <w:tcPr>
            <w:tcW w:w="3260" w:type="dxa"/>
            <w:vAlign w:val="bottom"/>
          </w:tcPr>
          <w:p>
            <w:pPr>
              <w:ind w:left="40"/>
              <w:spacing w:after="0"/>
              <w:rPr>
                <w:sz w:val="20"/>
                <w:szCs w:val="20"/>
                <w:color w:val="auto"/>
              </w:rPr>
            </w:pPr>
            <w:r>
              <w:rPr>
                <w:rFonts w:ascii="Arial" w:cs="Arial" w:eastAsia="Arial" w:hAnsi="Arial"/>
                <w:sz w:val="14"/>
                <w:szCs w:val="14"/>
                <w:color w:val="auto"/>
              </w:rPr>
              <w:t>FFO Multiple Premium</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33%</w:t>
            </w:r>
          </w:p>
        </w:tc>
        <w:tc>
          <w:tcPr>
            <w:tcW w:w="1260" w:type="dxa"/>
            <w:vAlign w:val="bottom"/>
          </w:tcPr>
          <w:p>
            <w:pPr>
              <w:jc w:val="right"/>
              <w:ind w:right="171"/>
              <w:spacing w:after="0"/>
              <w:rPr>
                <w:sz w:val="20"/>
                <w:szCs w:val="20"/>
                <w:color w:val="auto"/>
              </w:rPr>
            </w:pPr>
            <w:r>
              <w:rPr>
                <w:rFonts w:ascii="Arial" w:cs="Arial" w:eastAsia="Arial" w:hAnsi="Arial"/>
                <w:sz w:val="14"/>
                <w:szCs w:val="14"/>
                <w:color w:val="auto"/>
              </w:rPr>
              <w:t>At least +5%</w:t>
            </w:r>
          </w:p>
        </w:tc>
        <w:tc>
          <w:tcPr>
            <w:tcW w:w="1320" w:type="dxa"/>
            <w:vAlign w:val="bottom"/>
          </w:tcPr>
          <w:p>
            <w:pPr>
              <w:jc w:val="right"/>
              <w:ind w:right="171"/>
              <w:spacing w:after="0"/>
              <w:rPr>
                <w:sz w:val="20"/>
                <w:szCs w:val="20"/>
                <w:color w:val="auto"/>
              </w:rPr>
            </w:pPr>
            <w:r>
              <w:rPr>
                <w:rFonts w:ascii="Arial" w:cs="Arial" w:eastAsia="Arial" w:hAnsi="Arial"/>
                <w:sz w:val="14"/>
                <w:szCs w:val="14"/>
                <w:color w:val="auto"/>
              </w:rPr>
              <w:t>At least +15%</w:t>
            </w:r>
          </w:p>
        </w:tc>
        <w:tc>
          <w:tcPr>
            <w:tcW w:w="1320" w:type="dxa"/>
            <w:vAlign w:val="bottom"/>
          </w:tcPr>
          <w:p>
            <w:pPr>
              <w:jc w:val="right"/>
              <w:ind w:right="151"/>
              <w:spacing w:after="0"/>
              <w:rPr>
                <w:sz w:val="20"/>
                <w:szCs w:val="20"/>
                <w:color w:val="auto"/>
              </w:rPr>
            </w:pPr>
            <w:r>
              <w:rPr>
                <w:rFonts w:ascii="Arial" w:cs="Arial" w:eastAsia="Arial" w:hAnsi="Arial"/>
                <w:sz w:val="14"/>
                <w:szCs w:val="14"/>
                <w:color w:val="auto"/>
              </w:rPr>
              <w:t>At least +20%</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47.10%</w:t>
            </w: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47"/>
        </w:trPr>
        <w:tc>
          <w:tcPr>
            <w:tcW w:w="3260" w:type="dxa"/>
            <w:vAlign w:val="bottom"/>
          </w:tcPr>
          <w:p>
            <w:pPr>
              <w:ind w:left="40"/>
              <w:spacing w:after="0"/>
              <w:rPr>
                <w:sz w:val="20"/>
                <w:szCs w:val="20"/>
                <w:color w:val="auto"/>
              </w:rPr>
            </w:pPr>
            <w:r>
              <w:rPr>
                <w:rFonts w:ascii="Arial" w:cs="Arial" w:eastAsia="Arial" w:hAnsi="Arial"/>
                <w:sz w:val="14"/>
                <w:szCs w:val="14"/>
                <w:color w:val="auto"/>
              </w:rPr>
              <w:t>Return on Invested Capital</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33%</w:t>
            </w:r>
          </w:p>
        </w:tc>
        <w:tc>
          <w:tcPr>
            <w:tcW w:w="1260" w:type="dxa"/>
            <w:vAlign w:val="bottom"/>
          </w:tcPr>
          <w:p>
            <w:pPr>
              <w:jc w:val="right"/>
              <w:ind w:right="171"/>
              <w:spacing w:after="0"/>
              <w:rPr>
                <w:sz w:val="20"/>
                <w:szCs w:val="20"/>
                <w:color w:val="auto"/>
              </w:rPr>
            </w:pPr>
            <w:r>
              <w:rPr>
                <w:rFonts w:ascii="Arial" w:cs="Arial" w:eastAsia="Arial" w:hAnsi="Arial"/>
                <w:sz w:val="14"/>
                <w:szCs w:val="14"/>
                <w:color w:val="auto"/>
              </w:rPr>
              <w:t>6.25%</w:t>
            </w:r>
          </w:p>
        </w:tc>
        <w:tc>
          <w:tcPr>
            <w:tcW w:w="1320" w:type="dxa"/>
            <w:vAlign w:val="bottom"/>
          </w:tcPr>
          <w:p>
            <w:pPr>
              <w:jc w:val="right"/>
              <w:ind w:right="171"/>
              <w:spacing w:after="0"/>
              <w:rPr>
                <w:sz w:val="20"/>
                <w:szCs w:val="20"/>
                <w:color w:val="auto"/>
              </w:rPr>
            </w:pPr>
            <w:r>
              <w:rPr>
                <w:rFonts w:ascii="Arial" w:cs="Arial" w:eastAsia="Arial" w:hAnsi="Arial"/>
                <w:sz w:val="14"/>
                <w:szCs w:val="14"/>
                <w:color w:val="auto"/>
              </w:rPr>
              <w:t>6.50%</w:t>
            </w:r>
          </w:p>
        </w:tc>
        <w:tc>
          <w:tcPr>
            <w:tcW w:w="1320" w:type="dxa"/>
            <w:vAlign w:val="bottom"/>
          </w:tcPr>
          <w:p>
            <w:pPr>
              <w:jc w:val="right"/>
              <w:ind w:right="151"/>
              <w:spacing w:after="0"/>
              <w:rPr>
                <w:sz w:val="20"/>
                <w:szCs w:val="20"/>
                <w:color w:val="auto"/>
              </w:rPr>
            </w:pPr>
            <w:r>
              <w:rPr>
                <w:rFonts w:ascii="Arial" w:cs="Arial" w:eastAsia="Arial" w:hAnsi="Arial"/>
                <w:sz w:val="14"/>
                <w:szCs w:val="14"/>
                <w:color w:val="auto"/>
              </w:rPr>
              <w:t>6.75%</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6.76%</w:t>
            </w: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r>
    </w:tbl>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Based on these levels of performance, each of our NEOs is eligible for total payout under the plan at 99% of his/her target long-term incentive award. The Committee has the right to increase or decrease each NEO’s award under our long-term incentive program by up to 20% to reflect individual performance. The Committee elected to exercise that right with respect to the award for Mr. Wood as discussed in more detail on page 27. The amount each NEO is eligible to receive under our long-term incentive program and the amount actually awarded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20" w:type="dxa"/>
            <w:vAlign w:val="bottom"/>
            <w:tcBorders>
              <w:right w:val="single" w:sz="8" w:color="auto"/>
            </w:tcBorders>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2980" w:type="dxa"/>
            <w:vAlign w:val="bottom"/>
            <w:tcBorders>
              <w:right w:val="single" w:sz="8" w:color="auto"/>
            </w:tcBorders>
            <w:gridSpan w:val="5"/>
            <w:shd w:val="clear" w:color="auto" w:fill="000000"/>
          </w:tcPr>
          <w:p>
            <w:pPr>
              <w:jc w:val="right"/>
              <w:ind w:right="671"/>
              <w:spacing w:after="0"/>
              <w:rPr>
                <w:sz w:val="20"/>
                <w:szCs w:val="20"/>
                <w:color w:val="auto"/>
              </w:rPr>
            </w:pPr>
            <w:r>
              <w:rPr>
                <w:rFonts w:ascii="Arial" w:cs="Arial" w:eastAsia="Arial" w:hAnsi="Arial"/>
                <w:sz w:val="14"/>
                <w:szCs w:val="14"/>
                <w:b w:val="1"/>
                <w:bCs w:val="1"/>
                <w:color w:val="FFFFFF"/>
              </w:rPr>
              <w:t>Long-Term Equity Potential</w:t>
            </w:r>
          </w:p>
        </w:tc>
        <w:tc>
          <w:tcPr>
            <w:tcW w:w="300" w:type="dxa"/>
            <w:vAlign w:val="bottom"/>
            <w:shd w:val="clear" w:color="auto" w:fill="000000"/>
          </w:tcPr>
          <w:p>
            <w:pPr>
              <w:spacing w:after="0"/>
              <w:rPr>
                <w:sz w:val="21"/>
                <w:szCs w:val="21"/>
                <w:color w:val="auto"/>
              </w:rPr>
            </w:pPr>
          </w:p>
        </w:tc>
        <w:tc>
          <w:tcPr>
            <w:tcW w:w="860" w:type="dxa"/>
            <w:vAlign w:val="bottom"/>
            <w:tcBorders>
              <w:right w:val="single" w:sz="8" w:color="auto"/>
            </w:tcBorders>
            <w:shd w:val="clear" w:color="auto" w:fill="000000"/>
          </w:tcPr>
          <w:p>
            <w:pPr>
              <w:jc w:val="right"/>
              <w:ind w:right="71"/>
              <w:spacing w:after="0"/>
              <w:rPr>
                <w:sz w:val="20"/>
                <w:szCs w:val="20"/>
                <w:color w:val="auto"/>
              </w:rPr>
            </w:pPr>
            <w:r>
              <w:rPr>
                <w:rFonts w:ascii="Arial" w:cs="Arial" w:eastAsia="Arial" w:hAnsi="Arial"/>
                <w:sz w:val="14"/>
                <w:szCs w:val="14"/>
                <w:b w:val="1"/>
                <w:bCs w:val="1"/>
                <w:color w:val="FFFFFF"/>
              </w:rPr>
              <w:t>Amount</w:t>
            </w:r>
          </w:p>
        </w:tc>
        <w:tc>
          <w:tcPr>
            <w:tcW w:w="320" w:type="dxa"/>
            <w:vAlign w:val="bottom"/>
            <w:shd w:val="clear" w:color="auto" w:fill="000000"/>
          </w:tcPr>
          <w:p>
            <w:pPr>
              <w:spacing w:after="0"/>
              <w:rPr>
                <w:sz w:val="21"/>
                <w:szCs w:val="21"/>
                <w:color w:val="auto"/>
              </w:rPr>
            </w:pPr>
          </w:p>
        </w:tc>
        <w:tc>
          <w:tcPr>
            <w:tcW w:w="780" w:type="dxa"/>
            <w:vAlign w:val="bottom"/>
            <w:shd w:val="clear" w:color="auto" w:fill="000000"/>
          </w:tcPr>
          <w:p>
            <w:pPr>
              <w:jc w:val="right"/>
              <w:ind w:right="11"/>
              <w:spacing w:after="0"/>
              <w:rPr>
                <w:sz w:val="20"/>
                <w:szCs w:val="20"/>
                <w:color w:val="auto"/>
              </w:rPr>
            </w:pPr>
            <w:r>
              <w:rPr>
                <w:rFonts w:ascii="Arial" w:cs="Arial" w:eastAsia="Arial" w:hAnsi="Arial"/>
                <w:sz w:val="14"/>
                <w:szCs w:val="14"/>
                <w:b w:val="1"/>
                <w:bCs w:val="1"/>
                <w:color w:val="FFFFFF"/>
              </w:rPr>
              <w:t>Amount</w:t>
            </w:r>
          </w:p>
        </w:tc>
      </w:tr>
      <w:tr>
        <w:trPr>
          <w:trHeight w:val="259"/>
        </w:trPr>
        <w:tc>
          <w:tcPr>
            <w:tcW w:w="252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NEO</w:t>
            </w:r>
          </w:p>
        </w:tc>
        <w:tc>
          <w:tcPr>
            <w:tcW w:w="300" w:type="dxa"/>
            <w:vAlign w:val="bottom"/>
            <w:shd w:val="clear" w:color="auto" w:fill="000000"/>
          </w:tcPr>
          <w:p>
            <w:pPr>
              <w:spacing w:after="0"/>
              <w:rPr>
                <w:sz w:val="22"/>
                <w:szCs w:val="22"/>
                <w:color w:val="auto"/>
              </w:rPr>
            </w:pPr>
          </w:p>
        </w:tc>
        <w:tc>
          <w:tcPr>
            <w:tcW w:w="840" w:type="dxa"/>
            <w:vAlign w:val="bottom"/>
            <w:shd w:val="clear" w:color="auto" w:fill="000000"/>
          </w:tcPr>
          <w:p>
            <w:pPr>
              <w:jc w:val="right"/>
              <w:ind w:right="51"/>
              <w:spacing w:after="0"/>
              <w:rPr>
                <w:sz w:val="20"/>
                <w:szCs w:val="20"/>
                <w:color w:val="auto"/>
              </w:rPr>
            </w:pPr>
            <w:r>
              <w:rPr>
                <w:rFonts w:ascii="Arial" w:cs="Arial" w:eastAsia="Arial" w:hAnsi="Arial"/>
                <w:sz w:val="14"/>
                <w:szCs w:val="14"/>
                <w:b w:val="1"/>
                <w:bCs w:val="1"/>
                <w:color w:val="FFFFFF"/>
              </w:rPr>
              <w:t>Threshold</w:t>
            </w:r>
          </w:p>
        </w:tc>
        <w:tc>
          <w:tcPr>
            <w:tcW w:w="240" w:type="dxa"/>
            <w:vAlign w:val="bottom"/>
            <w:shd w:val="clear" w:color="auto" w:fill="000000"/>
          </w:tcPr>
          <w:p>
            <w:pPr>
              <w:spacing w:after="0"/>
              <w:rPr>
                <w:sz w:val="22"/>
                <w:szCs w:val="22"/>
                <w:color w:val="auto"/>
              </w:rPr>
            </w:pPr>
          </w:p>
        </w:tc>
        <w:tc>
          <w:tcPr>
            <w:tcW w:w="800" w:type="dxa"/>
            <w:vAlign w:val="bottom"/>
            <w:shd w:val="clear" w:color="auto" w:fill="000000"/>
          </w:tcPr>
          <w:p>
            <w:pPr>
              <w:jc w:val="right"/>
              <w:ind w:right="71"/>
              <w:spacing w:after="0"/>
              <w:rPr>
                <w:sz w:val="20"/>
                <w:szCs w:val="20"/>
                <w:color w:val="auto"/>
              </w:rPr>
            </w:pPr>
            <w:r>
              <w:rPr>
                <w:rFonts w:ascii="Arial" w:cs="Arial" w:eastAsia="Arial" w:hAnsi="Arial"/>
                <w:sz w:val="14"/>
                <w:szCs w:val="14"/>
                <w:b w:val="1"/>
                <w:bCs w:val="1"/>
                <w:color w:val="FFFFFF"/>
              </w:rPr>
              <w:t>Target</w:t>
            </w:r>
          </w:p>
        </w:tc>
        <w:tc>
          <w:tcPr>
            <w:tcW w:w="240" w:type="dxa"/>
            <w:vAlign w:val="bottom"/>
            <w:shd w:val="clear" w:color="auto" w:fill="000000"/>
          </w:tcPr>
          <w:p>
            <w:pPr>
              <w:spacing w:after="0"/>
              <w:rPr>
                <w:sz w:val="22"/>
                <w:szCs w:val="22"/>
                <w:color w:val="auto"/>
              </w:rPr>
            </w:pPr>
          </w:p>
        </w:tc>
        <w:tc>
          <w:tcPr>
            <w:tcW w:w="860" w:type="dxa"/>
            <w:vAlign w:val="bottom"/>
            <w:tcBorders>
              <w:right w:val="single" w:sz="8" w:color="auto"/>
            </w:tcBorders>
            <w:shd w:val="clear" w:color="auto" w:fill="000000"/>
          </w:tcPr>
          <w:p>
            <w:pPr>
              <w:jc w:val="right"/>
              <w:ind w:right="71"/>
              <w:spacing w:after="0"/>
              <w:rPr>
                <w:sz w:val="20"/>
                <w:szCs w:val="20"/>
                <w:color w:val="auto"/>
              </w:rPr>
            </w:pPr>
            <w:r>
              <w:rPr>
                <w:rFonts w:ascii="Arial" w:cs="Arial" w:eastAsia="Arial" w:hAnsi="Arial"/>
                <w:sz w:val="14"/>
                <w:szCs w:val="14"/>
                <w:b w:val="1"/>
                <w:bCs w:val="1"/>
                <w:color w:val="FFFFFF"/>
              </w:rPr>
              <w:t>Stretch</w:t>
            </w:r>
          </w:p>
        </w:tc>
        <w:tc>
          <w:tcPr>
            <w:tcW w:w="300" w:type="dxa"/>
            <w:vAlign w:val="bottom"/>
            <w:shd w:val="clear" w:color="auto" w:fill="000000"/>
          </w:tcPr>
          <w:p>
            <w:pPr>
              <w:spacing w:after="0"/>
              <w:rPr>
                <w:sz w:val="22"/>
                <w:szCs w:val="22"/>
                <w:color w:val="auto"/>
              </w:rPr>
            </w:pPr>
          </w:p>
        </w:tc>
        <w:tc>
          <w:tcPr>
            <w:tcW w:w="860" w:type="dxa"/>
            <w:vAlign w:val="bottom"/>
            <w:tcBorders>
              <w:right w:val="single" w:sz="8" w:color="auto"/>
            </w:tcBorders>
            <w:shd w:val="clear" w:color="auto" w:fill="000000"/>
          </w:tcPr>
          <w:p>
            <w:pPr>
              <w:jc w:val="right"/>
              <w:ind w:right="71"/>
              <w:spacing w:after="0"/>
              <w:rPr>
                <w:sz w:val="20"/>
                <w:szCs w:val="20"/>
                <w:color w:val="auto"/>
              </w:rPr>
            </w:pPr>
            <w:r>
              <w:rPr>
                <w:rFonts w:ascii="Arial" w:cs="Arial" w:eastAsia="Arial" w:hAnsi="Arial"/>
                <w:sz w:val="14"/>
                <w:szCs w:val="14"/>
                <w:b w:val="1"/>
                <w:bCs w:val="1"/>
                <w:color w:val="FFFFFF"/>
              </w:rPr>
              <w:t>Earned</w:t>
            </w:r>
          </w:p>
        </w:tc>
        <w:tc>
          <w:tcPr>
            <w:tcW w:w="320" w:type="dxa"/>
            <w:vAlign w:val="bottom"/>
            <w:shd w:val="clear" w:color="auto" w:fill="000000"/>
          </w:tcPr>
          <w:p>
            <w:pPr>
              <w:spacing w:after="0"/>
              <w:rPr>
                <w:sz w:val="22"/>
                <w:szCs w:val="22"/>
                <w:color w:val="auto"/>
              </w:rPr>
            </w:pPr>
          </w:p>
        </w:tc>
        <w:tc>
          <w:tcPr>
            <w:tcW w:w="780" w:type="dxa"/>
            <w:vAlign w:val="bottom"/>
            <w:shd w:val="clear" w:color="auto" w:fill="000000"/>
          </w:tcPr>
          <w:p>
            <w:pPr>
              <w:jc w:val="right"/>
              <w:ind w:right="11"/>
              <w:spacing w:after="0"/>
              <w:rPr>
                <w:sz w:val="20"/>
                <w:szCs w:val="20"/>
                <w:color w:val="auto"/>
              </w:rPr>
            </w:pPr>
            <w:r>
              <w:rPr>
                <w:rFonts w:ascii="Arial" w:cs="Arial" w:eastAsia="Arial" w:hAnsi="Arial"/>
                <w:sz w:val="14"/>
                <w:szCs w:val="14"/>
                <w:b w:val="1"/>
                <w:bCs w:val="1"/>
                <w:color w:val="FFFFFF"/>
              </w:rPr>
              <w:t>Awarded</w:t>
            </w:r>
          </w:p>
        </w:tc>
      </w:tr>
      <w:tr>
        <w:trPr>
          <w:trHeight w:val="235"/>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Mr. Wood</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2,500,000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5,000,000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7,500,000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w w:val="99"/>
              </w:rPr>
              <w:t>4,950,000</w:t>
            </w: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5,940,000</w:t>
            </w:r>
          </w:p>
        </w:tc>
      </w:tr>
      <w:tr>
        <w:trPr>
          <w:trHeight w:val="247"/>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Mr. Berkes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500,000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1,000,000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1,500,000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990,000</w:t>
            </w: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990,000</w:t>
            </w:r>
          </w:p>
        </w:tc>
      </w:tr>
      <w:tr>
        <w:trPr>
          <w:trHeight w:val="247"/>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Mr. Guglielmone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450,000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900,000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1,350,000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891,000</w:t>
            </w: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891,000</w:t>
            </w:r>
          </w:p>
        </w:tc>
      </w:tr>
      <w:tr>
        <w:trPr>
          <w:trHeight w:val="259"/>
        </w:trPr>
        <w:tc>
          <w:tcPr>
            <w:tcW w:w="25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Ms. Becker</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300,000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600,000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31"/>
              <w:spacing w:after="0"/>
              <w:rPr>
                <w:sz w:val="20"/>
                <w:szCs w:val="20"/>
                <w:color w:val="auto"/>
              </w:rPr>
            </w:pPr>
            <w:r>
              <w:rPr>
                <w:rFonts w:ascii="Arial" w:cs="Arial" w:eastAsia="Arial" w:hAnsi="Arial"/>
                <w:sz w:val="14"/>
                <w:szCs w:val="14"/>
                <w:color w:val="auto"/>
              </w:rPr>
              <w:t>900,000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51"/>
              <w:spacing w:after="0"/>
              <w:rPr>
                <w:sz w:val="20"/>
                <w:szCs w:val="20"/>
                <w:color w:val="auto"/>
              </w:rPr>
            </w:pPr>
            <w:r>
              <w:rPr>
                <w:rFonts w:ascii="Arial" w:cs="Arial" w:eastAsia="Arial" w:hAnsi="Arial"/>
                <w:sz w:val="14"/>
                <w:szCs w:val="14"/>
                <w:color w:val="auto"/>
              </w:rPr>
              <w:t>594,000</w:t>
            </w:r>
          </w:p>
        </w:tc>
        <w:tc>
          <w:tcPr>
            <w:tcW w:w="3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D8D8"/>
          </w:tcPr>
          <w:p>
            <w:pPr>
              <w:jc w:val="right"/>
              <w:ind w:right="51"/>
              <w:spacing w:after="0"/>
              <w:rPr>
                <w:sz w:val="20"/>
                <w:szCs w:val="20"/>
                <w:color w:val="auto"/>
              </w:rPr>
            </w:pPr>
            <w:r>
              <w:rPr>
                <w:rFonts w:ascii="Arial" w:cs="Arial" w:eastAsia="Arial" w:hAnsi="Arial"/>
                <w:sz w:val="14"/>
                <w:szCs w:val="14"/>
                <w:color w:val="auto"/>
              </w:rPr>
              <w:t>594,000</w:t>
            </w:r>
          </w:p>
        </w:tc>
      </w:tr>
    </w:tbl>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See the discussions on pages 27-30 for the factors considered by the Compensation Committee in determining the final long-term incentive awards payable to our NEOs for the 2019 through 2021 performance period.</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equity awards under our long-term incentive program are paid in the form of restricted shares that are issued upon completion of a 3-year performance period and then vest over an additional period of 3 years from the date they are issued. The actual number of shares awarded to each of our NEOs is determined by dividing the amount of the award by the closing price of our stock on the NYSE on the date the awards are made. All participants in our long-term incentive program, including our NEOs, have the ability to take up to half of his/her award in the form of options that vest over 5 years. For 2021, all of our NEOs elected to take the entirety of his/her award in the form of restricted shares.</w:t>
      </w:r>
    </w:p>
    <w:p>
      <w:pPr>
        <w:spacing w:after="0" w:line="196"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There is no amount included in the Summary Compensation Table or Grants of Plan-Based Awards Table in this proxy statement for long-term incentive awards earned for the 2019-2021 performance period. Those amounts will be included in next year’s proxy statement. The long-term incentive awards included in the Summary Compensation Table and the Grants of Plan-Based Awards Table for our NEOs in this proxy statement relate to awards made in February 2021 for the 3-year performance period ending December 31, 2020.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20"/>
          </w:cols>
          <w:pgMar w:left="640" w:top="282" w:right="6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2021 Compensation Decisions</w:t>
      </w:r>
    </w:p>
    <w:p>
      <w:pPr>
        <w:spacing w:after="0" w:line="2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Below is a summary of the 2021 earned and awarded compensation for our NEOs and the accomplishments considered by the Committee when determining 2021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shd w:val="clear" w:color="auto" w:fill="000000"/>
          </w:tcPr>
          <w:p>
            <w:pPr>
              <w:spacing w:after="0"/>
              <w:rPr>
                <w:sz w:val="16"/>
                <w:szCs w:val="16"/>
                <w:color w:val="auto"/>
              </w:rPr>
            </w:pPr>
          </w:p>
        </w:tc>
        <w:tc>
          <w:tcPr>
            <w:tcW w:w="242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Donald C. Wood</w:t>
            </w:r>
          </w:p>
        </w:tc>
        <w:tc>
          <w:tcPr>
            <w:tcW w:w="408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Responsibilities</w:t>
            </w:r>
          </w:p>
        </w:tc>
        <w:tc>
          <w:tcPr>
            <w:tcW w:w="4020" w:type="dxa"/>
            <w:vAlign w:val="bottom"/>
            <w:gridSpan w:val="2"/>
            <w:shd w:val="clear" w:color="auto" w:fill="000000"/>
          </w:tcPr>
          <w:p>
            <w:pPr>
              <w:ind w:left="900"/>
              <w:spacing w:after="0"/>
              <w:rPr>
                <w:sz w:val="20"/>
                <w:szCs w:val="20"/>
                <w:color w:val="auto"/>
              </w:rPr>
            </w:pPr>
            <w:r>
              <w:rPr>
                <w:rFonts w:ascii="Arial" w:cs="Arial" w:eastAsia="Arial" w:hAnsi="Arial"/>
                <w:sz w:val="16"/>
                <w:szCs w:val="16"/>
                <w:b w:val="1"/>
                <w:bCs w:val="1"/>
                <w:color w:val="FFFFFF"/>
              </w:rPr>
              <w:t xml:space="preserve">2021 Compensation </w:t>
            </w:r>
            <w:r>
              <w:rPr>
                <w:rFonts w:ascii="Arial" w:cs="Arial" w:eastAsia="Arial" w:hAnsi="Arial"/>
                <w:sz w:val="16"/>
                <w:szCs w:val="16"/>
                <w:color w:val="FFFFFF"/>
              </w:rPr>
              <w:t>(in 000s)</w:t>
            </w:r>
          </w:p>
        </w:tc>
        <w:tc>
          <w:tcPr>
            <w:tcW w:w="0" w:type="dxa"/>
            <w:vAlign w:val="bottom"/>
          </w:tcPr>
          <w:p>
            <w:pPr>
              <w:spacing w:after="0"/>
              <w:rPr>
                <w:sz w:val="1"/>
                <w:szCs w:val="1"/>
                <w:color w:val="auto"/>
              </w:rPr>
            </w:pPr>
          </w:p>
        </w:tc>
      </w:tr>
      <w:tr>
        <w:trPr>
          <w:trHeight w:val="182"/>
        </w:trPr>
        <w:tc>
          <w:tcPr>
            <w:tcW w:w="100" w:type="dxa"/>
            <w:vAlign w:val="bottom"/>
            <w:shd w:val="clear" w:color="auto" w:fill="000000"/>
          </w:tcPr>
          <w:p>
            <w:pPr>
              <w:spacing w:after="0"/>
              <w:rPr>
                <w:sz w:val="15"/>
                <w:szCs w:val="15"/>
                <w:color w:val="auto"/>
              </w:rPr>
            </w:pPr>
          </w:p>
        </w:tc>
        <w:tc>
          <w:tcPr>
            <w:tcW w:w="2420" w:type="dxa"/>
            <w:vAlign w:val="bottom"/>
            <w:shd w:val="clear" w:color="auto" w:fill="000000"/>
          </w:tcPr>
          <w:p>
            <w:pPr>
              <w:ind w:left="100"/>
              <w:spacing w:after="0" w:line="182" w:lineRule="exact"/>
              <w:rPr>
                <w:sz w:val="20"/>
                <w:szCs w:val="20"/>
                <w:color w:val="auto"/>
              </w:rPr>
            </w:pPr>
            <w:r>
              <w:rPr>
                <w:rFonts w:ascii="Arial" w:cs="Arial" w:eastAsia="Arial" w:hAnsi="Arial"/>
                <w:sz w:val="16"/>
                <w:szCs w:val="16"/>
                <w:color w:val="FFFFFF"/>
              </w:rPr>
              <w:t>Chief Executive Officer</w:t>
            </w:r>
          </w:p>
        </w:tc>
        <w:tc>
          <w:tcPr>
            <w:tcW w:w="4080" w:type="dxa"/>
            <w:vAlign w:val="bottom"/>
            <w:shd w:val="clear" w:color="auto" w:fill="000000"/>
          </w:tcPr>
          <w:p>
            <w:pPr>
              <w:ind w:left="100"/>
              <w:spacing w:after="0" w:line="182" w:lineRule="exact"/>
              <w:rPr>
                <w:sz w:val="20"/>
                <w:szCs w:val="20"/>
                <w:color w:val="auto"/>
              </w:rPr>
            </w:pPr>
            <w:r>
              <w:rPr>
                <w:rFonts w:ascii="Arial" w:cs="Arial" w:eastAsia="Arial" w:hAnsi="Arial"/>
                <w:sz w:val="16"/>
                <w:szCs w:val="16"/>
                <w:color w:val="FFFFFF"/>
              </w:rPr>
              <w:t>Mr. Wood has overall responsibility for the</w:t>
            </w:r>
          </w:p>
        </w:tc>
        <w:tc>
          <w:tcPr>
            <w:tcW w:w="2500" w:type="dxa"/>
            <w:vAlign w:val="bottom"/>
            <w:shd w:val="clear" w:color="auto" w:fill="000000"/>
          </w:tcPr>
          <w:p>
            <w:pPr>
              <w:ind w:left="900"/>
              <w:spacing w:after="0" w:line="182" w:lineRule="exact"/>
              <w:rPr>
                <w:sz w:val="20"/>
                <w:szCs w:val="20"/>
                <w:color w:val="auto"/>
              </w:rPr>
            </w:pPr>
            <w:r>
              <w:rPr>
                <w:rFonts w:ascii="Arial" w:cs="Arial" w:eastAsia="Arial" w:hAnsi="Arial"/>
                <w:sz w:val="16"/>
                <w:szCs w:val="16"/>
                <w:color w:val="FFFFFF"/>
              </w:rPr>
              <w:t>Base Pay:</w:t>
            </w:r>
          </w:p>
        </w:tc>
        <w:tc>
          <w:tcPr>
            <w:tcW w:w="1520" w:type="dxa"/>
            <w:vAlign w:val="bottom"/>
            <w:shd w:val="clear" w:color="auto" w:fill="000000"/>
          </w:tcPr>
          <w:p>
            <w:pPr>
              <w:jc w:val="right"/>
              <w:ind w:right="642"/>
              <w:spacing w:after="0" w:line="182" w:lineRule="exact"/>
              <w:rPr>
                <w:sz w:val="20"/>
                <w:szCs w:val="20"/>
                <w:color w:val="auto"/>
              </w:rPr>
            </w:pPr>
            <w:r>
              <w:rPr>
                <w:rFonts w:ascii="Arial" w:cs="Arial" w:eastAsia="Arial" w:hAnsi="Arial"/>
                <w:sz w:val="16"/>
                <w:szCs w:val="16"/>
                <w:color w:val="FFFFFF"/>
              </w:rPr>
              <w:t>$  950</w:t>
            </w:r>
          </w:p>
        </w:tc>
        <w:tc>
          <w:tcPr>
            <w:tcW w:w="0" w:type="dxa"/>
            <w:vAlign w:val="bottom"/>
          </w:tcPr>
          <w:p>
            <w:pPr>
              <w:spacing w:after="0"/>
              <w:rPr>
                <w:sz w:val="1"/>
                <w:szCs w:val="1"/>
                <w:color w:val="auto"/>
              </w:rPr>
            </w:pPr>
          </w:p>
        </w:tc>
      </w:tr>
      <w:tr>
        <w:trPr>
          <w:trHeight w:val="182"/>
        </w:trPr>
        <w:tc>
          <w:tcPr>
            <w:tcW w:w="100" w:type="dxa"/>
            <w:vAlign w:val="bottom"/>
            <w:shd w:val="clear" w:color="auto" w:fill="000000"/>
          </w:tcPr>
          <w:p>
            <w:pPr>
              <w:spacing w:after="0"/>
              <w:rPr>
                <w:sz w:val="15"/>
                <w:szCs w:val="15"/>
                <w:color w:val="auto"/>
              </w:rPr>
            </w:pPr>
          </w:p>
        </w:tc>
        <w:tc>
          <w:tcPr>
            <w:tcW w:w="2420" w:type="dxa"/>
            <w:vAlign w:val="bottom"/>
            <w:shd w:val="clear" w:color="auto" w:fill="000000"/>
          </w:tcPr>
          <w:p>
            <w:pPr>
              <w:spacing w:after="0"/>
              <w:rPr>
                <w:sz w:val="15"/>
                <w:szCs w:val="15"/>
                <w:color w:val="auto"/>
              </w:rPr>
            </w:pPr>
          </w:p>
        </w:tc>
        <w:tc>
          <w:tcPr>
            <w:tcW w:w="4080" w:type="dxa"/>
            <w:vAlign w:val="bottom"/>
            <w:shd w:val="clear" w:color="auto" w:fill="000000"/>
          </w:tcPr>
          <w:p>
            <w:pPr>
              <w:ind w:left="100"/>
              <w:spacing w:after="0" w:line="182" w:lineRule="exact"/>
              <w:rPr>
                <w:sz w:val="20"/>
                <w:szCs w:val="20"/>
                <w:color w:val="auto"/>
              </w:rPr>
            </w:pPr>
            <w:r>
              <w:rPr>
                <w:rFonts w:ascii="Arial" w:cs="Arial" w:eastAsia="Arial" w:hAnsi="Arial"/>
                <w:sz w:val="16"/>
                <w:szCs w:val="16"/>
                <w:color w:val="FFFFFF"/>
              </w:rPr>
              <w:t>development and execution of our long-term</w:t>
            </w:r>
          </w:p>
        </w:tc>
        <w:tc>
          <w:tcPr>
            <w:tcW w:w="2500" w:type="dxa"/>
            <w:vAlign w:val="bottom"/>
            <w:shd w:val="clear" w:color="auto" w:fill="000000"/>
          </w:tcPr>
          <w:p>
            <w:pPr>
              <w:ind w:left="900"/>
              <w:spacing w:after="0" w:line="182" w:lineRule="exact"/>
              <w:rPr>
                <w:sz w:val="20"/>
                <w:szCs w:val="20"/>
                <w:color w:val="auto"/>
              </w:rPr>
            </w:pPr>
            <w:r>
              <w:rPr>
                <w:rFonts w:ascii="Arial" w:cs="Arial" w:eastAsia="Arial" w:hAnsi="Arial"/>
                <w:sz w:val="16"/>
                <w:szCs w:val="16"/>
                <w:color w:val="FFFFFF"/>
              </w:rPr>
              <w:t>Annual Bonus:</w:t>
            </w:r>
          </w:p>
        </w:tc>
        <w:tc>
          <w:tcPr>
            <w:tcW w:w="1520" w:type="dxa"/>
            <w:vAlign w:val="bottom"/>
            <w:shd w:val="clear" w:color="auto" w:fill="000000"/>
          </w:tcPr>
          <w:p>
            <w:pPr>
              <w:jc w:val="right"/>
              <w:ind w:right="582"/>
              <w:spacing w:after="0" w:line="182" w:lineRule="exact"/>
              <w:rPr>
                <w:sz w:val="20"/>
                <w:szCs w:val="20"/>
                <w:color w:val="auto"/>
              </w:rPr>
            </w:pPr>
            <w:r>
              <w:rPr>
                <w:rFonts w:ascii="Arial" w:cs="Arial" w:eastAsia="Arial" w:hAnsi="Arial"/>
                <w:sz w:val="16"/>
                <w:szCs w:val="16"/>
                <w:color w:val="FFFFFF"/>
              </w:rPr>
              <w:t>$1,781</w:t>
            </w:r>
          </w:p>
        </w:tc>
        <w:tc>
          <w:tcPr>
            <w:tcW w:w="0" w:type="dxa"/>
            <w:vAlign w:val="bottom"/>
          </w:tcPr>
          <w:p>
            <w:pPr>
              <w:spacing w:after="0"/>
              <w:rPr>
                <w:sz w:val="1"/>
                <w:szCs w:val="1"/>
                <w:color w:val="auto"/>
              </w:rPr>
            </w:pPr>
          </w:p>
        </w:tc>
      </w:tr>
      <w:tr>
        <w:trPr>
          <w:trHeight w:val="182"/>
        </w:trPr>
        <w:tc>
          <w:tcPr>
            <w:tcW w:w="100" w:type="dxa"/>
            <w:vAlign w:val="bottom"/>
            <w:shd w:val="clear" w:color="auto" w:fill="000000"/>
          </w:tcPr>
          <w:p>
            <w:pPr>
              <w:spacing w:after="0"/>
              <w:rPr>
                <w:sz w:val="15"/>
                <w:szCs w:val="15"/>
                <w:color w:val="auto"/>
              </w:rPr>
            </w:pPr>
          </w:p>
        </w:tc>
        <w:tc>
          <w:tcPr>
            <w:tcW w:w="2420" w:type="dxa"/>
            <w:vAlign w:val="bottom"/>
            <w:vMerge w:val="restart"/>
            <w:shd w:val="clear" w:color="auto" w:fill="000000"/>
          </w:tcPr>
          <w:p>
            <w:pPr>
              <w:ind w:left="1260"/>
              <w:spacing w:after="0"/>
              <w:rPr>
                <w:sz w:val="20"/>
                <w:szCs w:val="20"/>
                <w:color w:val="auto"/>
              </w:rPr>
            </w:pPr>
            <w:r>
              <w:rPr>
                <w:rFonts w:ascii="Arial" w:cs="Arial" w:eastAsia="Arial" w:hAnsi="Arial"/>
                <w:sz w:val="16"/>
                <w:szCs w:val="16"/>
                <w:i w:val="1"/>
                <w:iCs w:val="1"/>
                <w:color w:val="FFFFFF"/>
              </w:rPr>
              <w:t>Age: 61</w:t>
            </w:r>
          </w:p>
        </w:tc>
        <w:tc>
          <w:tcPr>
            <w:tcW w:w="4080" w:type="dxa"/>
            <w:vAlign w:val="bottom"/>
            <w:shd w:val="clear" w:color="auto" w:fill="000000"/>
          </w:tcPr>
          <w:p>
            <w:pPr>
              <w:ind w:left="100"/>
              <w:spacing w:after="0" w:line="182" w:lineRule="exact"/>
              <w:rPr>
                <w:sz w:val="20"/>
                <w:szCs w:val="20"/>
                <w:color w:val="auto"/>
              </w:rPr>
            </w:pPr>
            <w:r>
              <w:rPr>
                <w:rFonts w:ascii="Arial" w:cs="Arial" w:eastAsia="Arial" w:hAnsi="Arial"/>
                <w:sz w:val="16"/>
                <w:szCs w:val="16"/>
                <w:color w:val="FFFFFF"/>
              </w:rPr>
              <w:t>strategic priorities to generate value for our</w:t>
            </w:r>
          </w:p>
        </w:tc>
        <w:tc>
          <w:tcPr>
            <w:tcW w:w="2500" w:type="dxa"/>
            <w:vAlign w:val="bottom"/>
            <w:shd w:val="clear" w:color="auto" w:fill="000000"/>
          </w:tcPr>
          <w:p>
            <w:pPr>
              <w:ind w:left="900"/>
              <w:spacing w:after="0" w:line="182" w:lineRule="exact"/>
              <w:rPr>
                <w:sz w:val="20"/>
                <w:szCs w:val="20"/>
                <w:color w:val="auto"/>
              </w:rPr>
            </w:pPr>
            <w:r>
              <w:rPr>
                <w:rFonts w:ascii="Arial" w:cs="Arial" w:eastAsia="Arial" w:hAnsi="Arial"/>
                <w:sz w:val="16"/>
                <w:szCs w:val="16"/>
                <w:color w:val="FFFFFF"/>
              </w:rPr>
              <w:t>Long-Term Equity:</w:t>
            </w:r>
          </w:p>
        </w:tc>
        <w:tc>
          <w:tcPr>
            <w:tcW w:w="1520" w:type="dxa"/>
            <w:vAlign w:val="bottom"/>
            <w:shd w:val="clear" w:color="auto" w:fill="000000"/>
          </w:tcPr>
          <w:p>
            <w:pPr>
              <w:jc w:val="right"/>
              <w:ind w:right="602"/>
              <w:spacing w:after="0" w:line="182" w:lineRule="exact"/>
              <w:rPr>
                <w:sz w:val="20"/>
                <w:szCs w:val="20"/>
                <w:color w:val="auto"/>
              </w:rPr>
            </w:pPr>
            <w:r>
              <w:rPr>
                <w:rFonts w:ascii="Arial" w:cs="Arial" w:eastAsia="Arial" w:hAnsi="Arial"/>
                <w:sz w:val="16"/>
                <w:szCs w:val="16"/>
                <w:color w:val="FFFFFF"/>
              </w:rPr>
              <w:t>$5,940</w:t>
            </w:r>
          </w:p>
        </w:tc>
        <w:tc>
          <w:tcPr>
            <w:tcW w:w="0" w:type="dxa"/>
            <w:vAlign w:val="bottom"/>
          </w:tcPr>
          <w:p>
            <w:pPr>
              <w:spacing w:after="0"/>
              <w:rPr>
                <w:sz w:val="1"/>
                <w:szCs w:val="1"/>
                <w:color w:val="auto"/>
              </w:rPr>
            </w:pPr>
          </w:p>
        </w:tc>
      </w:tr>
      <w:tr>
        <w:trPr>
          <w:trHeight w:val="153"/>
        </w:trPr>
        <w:tc>
          <w:tcPr>
            <w:tcW w:w="100" w:type="dxa"/>
            <w:vAlign w:val="bottom"/>
            <w:shd w:val="clear" w:color="auto" w:fill="000000"/>
          </w:tcPr>
          <w:p>
            <w:pPr>
              <w:spacing w:after="0"/>
              <w:rPr>
                <w:sz w:val="13"/>
                <w:szCs w:val="13"/>
                <w:color w:val="auto"/>
              </w:rPr>
            </w:pPr>
          </w:p>
        </w:tc>
        <w:tc>
          <w:tcPr>
            <w:tcW w:w="2420" w:type="dxa"/>
            <w:vAlign w:val="bottom"/>
            <w:vMerge w:val="continue"/>
            <w:shd w:val="clear" w:color="auto" w:fill="000000"/>
          </w:tcPr>
          <w:p>
            <w:pPr>
              <w:spacing w:after="0"/>
              <w:rPr>
                <w:sz w:val="13"/>
                <w:szCs w:val="13"/>
                <w:color w:val="auto"/>
              </w:rPr>
            </w:pPr>
          </w:p>
        </w:tc>
        <w:tc>
          <w:tcPr>
            <w:tcW w:w="4080" w:type="dxa"/>
            <w:vAlign w:val="bottom"/>
            <w:shd w:val="clear" w:color="auto" w:fill="000000"/>
          </w:tcPr>
          <w:p>
            <w:pPr>
              <w:ind w:left="100"/>
              <w:spacing w:after="0" w:line="153" w:lineRule="exact"/>
              <w:rPr>
                <w:sz w:val="20"/>
                <w:szCs w:val="20"/>
                <w:color w:val="auto"/>
              </w:rPr>
            </w:pPr>
            <w:r>
              <w:rPr>
                <w:rFonts w:ascii="Arial" w:cs="Arial" w:eastAsia="Arial" w:hAnsi="Arial"/>
                <w:sz w:val="16"/>
                <w:szCs w:val="16"/>
                <w:color w:val="FFFFFF"/>
              </w:rPr>
              <w:t>shareholders</w:t>
            </w:r>
          </w:p>
        </w:tc>
        <w:tc>
          <w:tcPr>
            <w:tcW w:w="2500" w:type="dxa"/>
            <w:vAlign w:val="bottom"/>
            <w:shd w:val="clear" w:color="auto" w:fill="000000"/>
          </w:tcPr>
          <w:p>
            <w:pPr>
              <w:ind w:left="900"/>
              <w:spacing w:after="0" w:line="153" w:lineRule="exact"/>
              <w:rPr>
                <w:sz w:val="20"/>
                <w:szCs w:val="20"/>
                <w:color w:val="auto"/>
              </w:rPr>
            </w:pPr>
            <w:r>
              <w:rPr>
                <w:rFonts w:ascii="Arial" w:cs="Arial" w:eastAsia="Arial" w:hAnsi="Arial"/>
                <w:sz w:val="16"/>
                <w:szCs w:val="16"/>
                <w:color w:val="FFFFFF"/>
              </w:rPr>
              <w:t>Total:</w:t>
            </w:r>
          </w:p>
        </w:tc>
        <w:tc>
          <w:tcPr>
            <w:tcW w:w="1520" w:type="dxa"/>
            <w:vAlign w:val="bottom"/>
            <w:shd w:val="clear" w:color="auto" w:fill="000000"/>
          </w:tcPr>
          <w:p>
            <w:pPr>
              <w:jc w:val="right"/>
              <w:ind w:right="582"/>
              <w:spacing w:after="0" w:line="153" w:lineRule="exact"/>
              <w:rPr>
                <w:sz w:val="20"/>
                <w:szCs w:val="20"/>
                <w:color w:val="auto"/>
              </w:rPr>
            </w:pPr>
            <w:r>
              <w:rPr>
                <w:rFonts w:ascii="Arial" w:cs="Arial" w:eastAsia="Arial" w:hAnsi="Arial"/>
                <w:sz w:val="16"/>
                <w:szCs w:val="16"/>
                <w:color w:val="FFFFFF"/>
              </w:rPr>
              <w:t>$8,671</w:t>
            </w:r>
          </w:p>
        </w:tc>
        <w:tc>
          <w:tcPr>
            <w:tcW w:w="0" w:type="dxa"/>
            <w:vAlign w:val="bottom"/>
          </w:tcPr>
          <w:p>
            <w:pPr>
              <w:spacing w:after="0"/>
              <w:rPr>
                <w:sz w:val="1"/>
                <w:szCs w:val="1"/>
                <w:color w:val="auto"/>
              </w:rPr>
            </w:pPr>
          </w:p>
        </w:tc>
      </w:tr>
      <w:tr>
        <w:trPr>
          <w:trHeight w:val="203"/>
        </w:trPr>
        <w:tc>
          <w:tcPr>
            <w:tcW w:w="100" w:type="dxa"/>
            <w:vAlign w:val="bottom"/>
            <w:shd w:val="clear" w:color="auto" w:fill="000000"/>
          </w:tcPr>
          <w:p>
            <w:pPr>
              <w:spacing w:after="0"/>
              <w:rPr>
                <w:sz w:val="17"/>
                <w:szCs w:val="17"/>
                <w:color w:val="auto"/>
              </w:rPr>
            </w:pPr>
          </w:p>
        </w:tc>
        <w:tc>
          <w:tcPr>
            <w:tcW w:w="2420" w:type="dxa"/>
            <w:vAlign w:val="bottom"/>
            <w:shd w:val="clear" w:color="auto" w:fill="000000"/>
          </w:tcPr>
          <w:p>
            <w:pPr>
              <w:ind w:left="1260"/>
              <w:spacing w:after="0"/>
              <w:rPr>
                <w:sz w:val="20"/>
                <w:szCs w:val="20"/>
                <w:color w:val="auto"/>
              </w:rPr>
            </w:pPr>
            <w:r>
              <w:rPr>
                <w:rFonts w:ascii="Arial" w:cs="Arial" w:eastAsia="Arial" w:hAnsi="Arial"/>
                <w:sz w:val="16"/>
                <w:szCs w:val="16"/>
                <w:i w:val="1"/>
                <w:iCs w:val="1"/>
                <w:color w:val="FFFFFF"/>
              </w:rPr>
              <w:t>Joined: 1998</w:t>
            </w:r>
          </w:p>
        </w:tc>
        <w:tc>
          <w:tcPr>
            <w:tcW w:w="4080" w:type="dxa"/>
            <w:vAlign w:val="bottom"/>
            <w:shd w:val="clear" w:color="auto" w:fill="000000"/>
          </w:tcPr>
          <w:p>
            <w:pPr>
              <w:spacing w:after="0"/>
              <w:rPr>
                <w:sz w:val="17"/>
                <w:szCs w:val="17"/>
                <w:color w:val="auto"/>
              </w:rPr>
            </w:pPr>
          </w:p>
        </w:tc>
        <w:tc>
          <w:tcPr>
            <w:tcW w:w="2500" w:type="dxa"/>
            <w:vAlign w:val="bottom"/>
            <w:shd w:val="clear" w:color="auto" w:fill="000000"/>
          </w:tcPr>
          <w:p>
            <w:pPr>
              <w:spacing w:after="0"/>
              <w:rPr>
                <w:sz w:val="17"/>
                <w:szCs w:val="17"/>
                <w:color w:val="auto"/>
              </w:rPr>
            </w:pPr>
          </w:p>
        </w:tc>
        <w:tc>
          <w:tcPr>
            <w:tcW w:w="15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shd w:val="clear" w:color="auto" w:fill="000000"/>
          </w:tcPr>
          <w:p>
            <w:pPr>
              <w:spacing w:after="0"/>
              <w:rPr>
                <w:sz w:val="24"/>
                <w:szCs w:val="24"/>
                <w:color w:val="auto"/>
              </w:rPr>
            </w:pPr>
          </w:p>
        </w:tc>
        <w:tc>
          <w:tcPr>
            <w:tcW w:w="2420" w:type="dxa"/>
            <w:vAlign w:val="bottom"/>
            <w:shd w:val="clear" w:color="auto" w:fill="000000"/>
          </w:tcPr>
          <w:p>
            <w:pPr>
              <w:spacing w:after="0"/>
              <w:rPr>
                <w:sz w:val="24"/>
                <w:szCs w:val="24"/>
                <w:color w:val="auto"/>
              </w:rPr>
            </w:pPr>
          </w:p>
        </w:tc>
        <w:tc>
          <w:tcPr>
            <w:tcW w:w="4080" w:type="dxa"/>
            <w:vAlign w:val="bottom"/>
            <w:shd w:val="clear" w:color="auto" w:fill="000000"/>
          </w:tcPr>
          <w:p>
            <w:pPr>
              <w:spacing w:after="0"/>
              <w:rPr>
                <w:sz w:val="24"/>
                <w:szCs w:val="24"/>
                <w:color w:val="auto"/>
              </w:rPr>
            </w:pPr>
          </w:p>
        </w:tc>
        <w:tc>
          <w:tcPr>
            <w:tcW w:w="2500" w:type="dxa"/>
            <w:vAlign w:val="bottom"/>
            <w:shd w:val="clear" w:color="auto" w:fill="000000"/>
          </w:tcPr>
          <w:p>
            <w:pPr>
              <w:spacing w:after="0"/>
              <w:rPr>
                <w:sz w:val="24"/>
                <w:szCs w:val="24"/>
                <w:color w:val="auto"/>
              </w:rPr>
            </w:pPr>
          </w:p>
        </w:tc>
        <w:tc>
          <w:tcPr>
            <w:tcW w:w="15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6009005</wp:posOffset>
            </wp:positionH>
            <wp:positionV relativeFrom="paragraph">
              <wp:posOffset>-462280</wp:posOffset>
            </wp:positionV>
            <wp:extent cx="302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-668655</wp:posOffset>
            </wp:positionV>
            <wp:extent cx="561975" cy="6115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1975" cy="611505"/>
                    </a:xfrm>
                    <a:prstGeom prst="rect">
                      <a:avLst/>
                    </a:prstGeom>
                    <a:noFill/>
                  </pic:spPr>
                </pic:pic>
              </a:graphicData>
            </a:graphic>
          </wp:anchor>
        </w:drawing>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2021 Compensation Decisions and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674052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8" w:lineRule="exact"/>
        <w:rPr>
          <w:sz w:val="20"/>
          <w:szCs w:val="20"/>
          <w:color w:val="auto"/>
        </w:rPr>
      </w:pPr>
    </w:p>
    <w:p>
      <w:pPr>
        <w:ind w:left="100" w:right="260"/>
        <w:spacing w:after="0" w:line="242" w:lineRule="auto"/>
        <w:rPr>
          <w:sz w:val="20"/>
          <w:szCs w:val="20"/>
          <w:color w:val="auto"/>
        </w:rPr>
      </w:pPr>
      <w:r>
        <w:rPr>
          <w:rFonts w:ascii="Arial" w:cs="Arial" w:eastAsia="Arial" w:hAnsi="Arial"/>
          <w:sz w:val="17"/>
          <w:szCs w:val="17"/>
          <w:color w:val="auto"/>
        </w:rPr>
        <w:t>The Committee’s practice for the last decade has been to consider and implement any necessary market adjustments to Mr. Wood’s target compensation package every 5 years. With the last adjustment having occurred in 2016, a market adjustment was scheduled to be considered for 2021 compensation. The Committee decided, however, that it would not be appropriate to make any market compensation adjustments in 2021 given the continuing COVID-related business uncertainties and elected to defer consideration of market pay adjustments until 2022. As a result, Mr. Wood’s target compensation was not changed for 2021, remaining at the level established in 2016.</w:t>
      </w:r>
    </w:p>
    <w:p>
      <w:pPr>
        <w:spacing w:after="0" w:line="222" w:lineRule="exact"/>
        <w:rPr>
          <w:sz w:val="20"/>
          <w:szCs w:val="20"/>
          <w:color w:val="auto"/>
        </w:rPr>
      </w:pPr>
    </w:p>
    <w:p>
      <w:pPr>
        <w:ind w:left="100" w:right="340"/>
        <w:spacing w:after="0" w:line="242" w:lineRule="auto"/>
        <w:rPr>
          <w:sz w:val="20"/>
          <w:szCs w:val="20"/>
          <w:color w:val="auto"/>
        </w:rPr>
      </w:pPr>
      <w:r>
        <w:rPr>
          <w:rFonts w:ascii="Arial" w:cs="Arial" w:eastAsia="Arial" w:hAnsi="Arial"/>
          <w:sz w:val="17"/>
          <w:szCs w:val="17"/>
          <w:color w:val="auto"/>
        </w:rPr>
        <w:t>Based on the performance of the Company and Mr. Wood’s performance in 2021, and after considering market data provided by SBCG, the Committee elected to award Mr. Wood his full annual bonus opportunity and to increase Mr. Wood’s long-term incentive award by 20% for individual performance as permitted under the provisions of the long-term incentive program. The Committee believed the adjustment was warranted given Mr. Wood’s leadership of the Company, the fact that no market adjustments had been made to his compensation since 2016 and that our compensation consultant indicated that the total award was still well within market for a person with Mr. Wood’s experience and in light of Company performance. Given that 87% of Mr. Wood’s target compensation is tied to our performance over a 1 and 3-year period, Mr. Wood’s pay remains highly correlated to our performance.</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2021 Key Achievements</w:t>
      </w:r>
    </w:p>
    <w:p>
      <w:pPr>
        <w:spacing w:after="0" w:line="100" w:lineRule="exact"/>
        <w:rPr>
          <w:sz w:val="20"/>
          <w:szCs w:val="20"/>
          <w:color w:val="auto"/>
        </w:rPr>
      </w:pPr>
    </w:p>
    <w:p>
      <w:pPr>
        <w:ind w:left="1480" w:hanging="313"/>
        <w:spacing w:after="0"/>
        <w:tabs>
          <w:tab w:leader="none" w:pos="148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the Company’s efforts to execute on our long-term strategy and objectives</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succession planning with the promotion of Mr. Berkes to President and Chief Operating Officer</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our overall efforts to maximize our post-COVID rent collections</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our record level of leasing activity to drive portfolio occupancy</w:t>
      </w:r>
    </w:p>
    <w:p>
      <w:pPr>
        <w:spacing w:after="0" w:line="12" w:lineRule="exact"/>
        <w:rPr>
          <w:rFonts w:ascii="MS PGothic" w:cs="MS PGothic" w:eastAsia="MS PGothic" w:hAnsi="MS PGothic"/>
          <w:sz w:val="17"/>
          <w:szCs w:val="17"/>
          <w:color w:val="auto"/>
        </w:rPr>
      </w:pPr>
    </w:p>
    <w:p>
      <w:pPr>
        <w:ind w:left="1480" w:right="340" w:hanging="313"/>
        <w:spacing w:after="0" w:line="247" w:lineRule="auto"/>
        <w:tabs>
          <w:tab w:leader="none" w:pos="1484"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our diversity, equity and inclusion initiatives, including by taking a leadership role in the Diversity Council of the National Association of Real Estate Investment Trusts</w:t>
      </w:r>
    </w:p>
    <w:p>
      <w:pPr>
        <w:ind w:left="1480" w:hanging="313"/>
        <w:spacing w:after="0"/>
        <w:tabs>
          <w:tab w:leader="none" w:pos="148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continued advancement of overall strategy and objectives on environmental, social and governance initiatives</w:t>
      </w:r>
    </w:p>
    <w:p>
      <w:pPr>
        <w:spacing w:after="0" w:line="12" w:lineRule="exact"/>
        <w:rPr>
          <w:rFonts w:ascii="MS PGothic" w:cs="MS PGothic" w:eastAsia="MS PGothic" w:hAnsi="MS PGothic"/>
          <w:sz w:val="17"/>
          <w:szCs w:val="17"/>
          <w:color w:val="auto"/>
        </w:rPr>
      </w:pPr>
    </w:p>
    <w:p>
      <w:pPr>
        <w:ind w:left="1480" w:right="380" w:hanging="313"/>
        <w:spacing w:after="0" w:line="272" w:lineRule="auto"/>
        <w:tabs>
          <w:tab w:leader="none" w:pos="1484"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Led capital allocation decisions in acquisitions and developments intended to create significant future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-1213485</wp:posOffset>
            </wp:positionV>
            <wp:extent cx="6740525" cy="396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40525" cy="39624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20"/>
          </w:cols>
          <w:pgMar w:left="640" w:top="260" w:right="6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8"/>
        </w:trPr>
        <w:tc>
          <w:tcPr>
            <w:tcW w:w="100" w:type="dxa"/>
            <w:vAlign w:val="bottom"/>
            <w:shd w:val="clear" w:color="auto" w:fill="000000"/>
          </w:tcPr>
          <w:p>
            <w:pPr>
              <w:spacing w:after="0"/>
              <w:rPr>
                <w:sz w:val="17"/>
                <w:szCs w:val="17"/>
                <w:color w:val="auto"/>
              </w:rPr>
            </w:pPr>
          </w:p>
        </w:tc>
        <w:tc>
          <w:tcPr>
            <w:tcW w:w="2420" w:type="dxa"/>
            <w:vAlign w:val="bottom"/>
            <w:gridSpan w:val="2"/>
            <w:shd w:val="clear" w:color="auto" w:fill="000000"/>
          </w:tcPr>
          <w:p>
            <w:pPr>
              <w:ind w:left="100"/>
              <w:spacing w:after="0"/>
              <w:rPr>
                <w:sz w:val="20"/>
                <w:szCs w:val="20"/>
                <w:color w:val="auto"/>
              </w:rPr>
            </w:pPr>
            <w:r>
              <w:rPr>
                <w:rFonts w:ascii="Arial" w:cs="Arial" w:eastAsia="Arial" w:hAnsi="Arial"/>
                <w:sz w:val="16"/>
                <w:szCs w:val="16"/>
                <w:b w:val="1"/>
                <w:bCs w:val="1"/>
                <w:color w:val="FFFFFF"/>
              </w:rPr>
              <w:t>Jeffrey S. Berkes</w:t>
            </w:r>
          </w:p>
        </w:tc>
        <w:tc>
          <w:tcPr>
            <w:tcW w:w="408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Responsibilities</w:t>
            </w:r>
          </w:p>
        </w:tc>
        <w:tc>
          <w:tcPr>
            <w:tcW w:w="3240" w:type="dxa"/>
            <w:vAlign w:val="bottom"/>
            <w:shd w:val="clear" w:color="auto" w:fill="000000"/>
          </w:tcPr>
          <w:p>
            <w:pPr>
              <w:ind w:left="580"/>
              <w:spacing w:after="0"/>
              <w:rPr>
                <w:sz w:val="20"/>
                <w:szCs w:val="20"/>
                <w:color w:val="auto"/>
              </w:rPr>
            </w:pPr>
            <w:r>
              <w:rPr>
                <w:rFonts w:ascii="Arial" w:cs="Arial" w:eastAsia="Arial" w:hAnsi="Arial"/>
                <w:sz w:val="16"/>
                <w:szCs w:val="16"/>
                <w:b w:val="1"/>
                <w:bCs w:val="1"/>
                <w:color w:val="FFFFFF"/>
              </w:rPr>
              <w:t xml:space="preserve">2021 Compensation </w:t>
            </w:r>
            <w:r>
              <w:rPr>
                <w:rFonts w:ascii="Arial" w:cs="Arial" w:eastAsia="Arial" w:hAnsi="Arial"/>
                <w:sz w:val="16"/>
                <w:szCs w:val="16"/>
                <w:color w:val="FFFFFF"/>
              </w:rPr>
              <w:t>(in 000s)</w:t>
            </w:r>
          </w:p>
        </w:tc>
        <w:tc>
          <w:tcPr>
            <w:tcW w:w="10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2420" w:type="dxa"/>
            <w:vAlign w:val="bottom"/>
            <w:gridSpan w:val="2"/>
            <w:shd w:val="clear" w:color="auto" w:fill="000000"/>
          </w:tcPr>
          <w:p>
            <w:pPr>
              <w:ind w:left="100"/>
              <w:spacing w:after="0" w:line="168" w:lineRule="exact"/>
              <w:rPr>
                <w:sz w:val="20"/>
                <w:szCs w:val="20"/>
                <w:color w:val="auto"/>
              </w:rPr>
            </w:pPr>
            <w:r>
              <w:rPr>
                <w:rFonts w:ascii="Arial" w:cs="Arial" w:eastAsia="Arial" w:hAnsi="Arial"/>
                <w:sz w:val="16"/>
                <w:szCs w:val="16"/>
                <w:i w:val="1"/>
                <w:iCs w:val="1"/>
                <w:color w:val="FFFFFF"/>
              </w:rPr>
              <w:t>President and Chief Operating</w:t>
            </w:r>
          </w:p>
        </w:tc>
        <w:tc>
          <w:tcPr>
            <w:tcW w:w="4080" w:type="dxa"/>
            <w:vAlign w:val="bottom"/>
            <w:shd w:val="clear" w:color="auto" w:fill="000000"/>
          </w:tcPr>
          <w:p>
            <w:pPr>
              <w:ind w:left="100"/>
              <w:spacing w:after="0" w:line="168" w:lineRule="exact"/>
              <w:rPr>
                <w:sz w:val="20"/>
                <w:szCs w:val="20"/>
                <w:color w:val="auto"/>
              </w:rPr>
            </w:pPr>
            <w:r>
              <w:rPr>
                <w:rFonts w:ascii="Arial" w:cs="Arial" w:eastAsia="Arial" w:hAnsi="Arial"/>
                <w:sz w:val="16"/>
                <w:szCs w:val="16"/>
                <w:color w:val="FFFFFF"/>
              </w:rPr>
              <w:t>Mr. Berkes has overall responsibility for the</w:t>
            </w:r>
          </w:p>
        </w:tc>
        <w:tc>
          <w:tcPr>
            <w:tcW w:w="3240" w:type="dxa"/>
            <w:vAlign w:val="bottom"/>
            <w:shd w:val="clear" w:color="auto" w:fill="000000"/>
          </w:tcPr>
          <w:p>
            <w:pPr>
              <w:ind w:left="580"/>
              <w:spacing w:after="0" w:line="168" w:lineRule="exact"/>
              <w:rPr>
                <w:sz w:val="20"/>
                <w:szCs w:val="20"/>
                <w:color w:val="auto"/>
              </w:rPr>
            </w:pPr>
            <w:r>
              <w:rPr>
                <w:rFonts w:ascii="Arial" w:cs="Arial" w:eastAsia="Arial" w:hAnsi="Arial"/>
                <w:sz w:val="16"/>
                <w:szCs w:val="16"/>
                <w:color w:val="FFFFFF"/>
              </w:rPr>
              <w:t>Base Pay:</w:t>
            </w:r>
          </w:p>
        </w:tc>
        <w:tc>
          <w:tcPr>
            <w:tcW w:w="100" w:type="dxa"/>
            <w:vAlign w:val="bottom"/>
            <w:shd w:val="clear" w:color="auto" w:fill="000000"/>
          </w:tcPr>
          <w:p>
            <w:pPr>
              <w:spacing w:after="0"/>
              <w:rPr>
                <w:sz w:val="14"/>
                <w:szCs w:val="14"/>
                <w:color w:val="auto"/>
              </w:rPr>
            </w:pPr>
          </w:p>
        </w:tc>
        <w:tc>
          <w:tcPr>
            <w:tcW w:w="180" w:type="dxa"/>
            <w:vAlign w:val="bottom"/>
            <w:shd w:val="clear" w:color="auto" w:fill="000000"/>
          </w:tcPr>
          <w:p>
            <w:pPr>
              <w:jc w:val="right"/>
              <w:spacing w:after="0" w:line="168" w:lineRule="exact"/>
              <w:rPr>
                <w:sz w:val="20"/>
                <w:szCs w:val="20"/>
                <w:color w:val="auto"/>
              </w:rPr>
            </w:pPr>
            <w:r>
              <w:rPr>
                <w:rFonts w:ascii="Arial" w:cs="Arial" w:eastAsia="Arial" w:hAnsi="Arial"/>
                <w:sz w:val="16"/>
                <w:szCs w:val="16"/>
                <w:color w:val="FFFFFF"/>
              </w:rPr>
              <w:t>$</w:t>
            </w:r>
          </w:p>
        </w:tc>
        <w:tc>
          <w:tcPr>
            <w:tcW w:w="500" w:type="dxa"/>
            <w:vAlign w:val="bottom"/>
            <w:shd w:val="clear" w:color="auto" w:fill="000000"/>
          </w:tcPr>
          <w:p>
            <w:pPr>
              <w:jc w:val="right"/>
              <w:ind w:right="42"/>
              <w:spacing w:after="0" w:line="168" w:lineRule="exact"/>
              <w:rPr>
                <w:sz w:val="20"/>
                <w:szCs w:val="20"/>
                <w:color w:val="auto"/>
              </w:rPr>
            </w:pPr>
            <w:r>
              <w:rPr>
                <w:rFonts w:ascii="Arial" w:cs="Arial" w:eastAsia="Arial" w:hAnsi="Arial"/>
                <w:sz w:val="16"/>
                <w:szCs w:val="16"/>
                <w:color w:val="FFFFFF"/>
              </w:rPr>
              <w:t>575</w:t>
            </w:r>
          </w:p>
        </w:tc>
      </w:tr>
      <w:tr>
        <w:trPr>
          <w:trHeight w:val="189"/>
        </w:trPr>
        <w:tc>
          <w:tcPr>
            <w:tcW w:w="100" w:type="dxa"/>
            <w:vAlign w:val="bottom"/>
          </w:tcPr>
          <w:p>
            <w:pPr>
              <w:spacing w:after="0"/>
              <w:rPr>
                <w:sz w:val="16"/>
                <w:szCs w:val="16"/>
                <w:color w:val="auto"/>
              </w:rPr>
            </w:pPr>
          </w:p>
        </w:tc>
        <w:tc>
          <w:tcPr>
            <w:tcW w:w="2420" w:type="dxa"/>
            <w:vAlign w:val="bottom"/>
            <w:tcBorders>
              <w:bottom w:val="single" w:sz="8" w:color="auto"/>
            </w:tcBorders>
            <w:gridSpan w:val="2"/>
            <w:shd w:val="clear" w:color="auto" w:fill="000000"/>
          </w:tcPr>
          <w:p>
            <w:pPr>
              <w:ind w:left="100"/>
              <w:spacing w:after="0"/>
              <w:rPr>
                <w:sz w:val="20"/>
                <w:szCs w:val="20"/>
                <w:color w:val="auto"/>
              </w:rPr>
            </w:pPr>
            <w:r>
              <w:rPr>
                <w:rFonts w:ascii="Arial" w:cs="Arial" w:eastAsia="Arial" w:hAnsi="Arial"/>
                <w:sz w:val="16"/>
                <w:szCs w:val="16"/>
                <w:i w:val="1"/>
                <w:iCs w:val="1"/>
                <w:color w:val="FFFFFF"/>
              </w:rPr>
              <w:t>Officer</w:t>
            </w:r>
          </w:p>
        </w:tc>
        <w:tc>
          <w:tcPr>
            <w:tcW w:w="4080" w:type="dxa"/>
            <w:vAlign w:val="bottom"/>
            <w:tcBorders>
              <w:bottom w:val="single" w:sz="8" w:color="auto"/>
            </w:tcBorders>
            <w:shd w:val="clear" w:color="auto" w:fill="000000"/>
          </w:tcPr>
          <w:p>
            <w:pPr>
              <w:ind w:left="100"/>
              <w:spacing w:after="0"/>
              <w:rPr>
                <w:sz w:val="20"/>
                <w:szCs w:val="20"/>
                <w:color w:val="auto"/>
              </w:rPr>
            </w:pPr>
            <w:r>
              <w:rPr>
                <w:rFonts w:ascii="Arial" w:cs="Arial" w:eastAsia="Arial" w:hAnsi="Arial"/>
                <w:sz w:val="16"/>
                <w:szCs w:val="16"/>
                <w:color w:val="FFFFFF"/>
              </w:rPr>
              <w:t>operation of the Company’s operating assets and</w:t>
            </w:r>
          </w:p>
        </w:tc>
        <w:tc>
          <w:tcPr>
            <w:tcW w:w="3240" w:type="dxa"/>
            <w:vAlign w:val="bottom"/>
            <w:tcBorders>
              <w:bottom w:val="single" w:sz="8" w:color="auto"/>
            </w:tcBorders>
            <w:shd w:val="clear" w:color="auto" w:fill="000000"/>
          </w:tcPr>
          <w:p>
            <w:pPr>
              <w:ind w:left="580"/>
              <w:spacing w:after="0"/>
              <w:rPr>
                <w:sz w:val="20"/>
                <w:szCs w:val="20"/>
                <w:color w:val="auto"/>
              </w:rPr>
            </w:pPr>
            <w:r>
              <w:rPr>
                <w:rFonts w:ascii="Arial" w:cs="Arial" w:eastAsia="Arial" w:hAnsi="Arial"/>
                <w:sz w:val="16"/>
                <w:szCs w:val="16"/>
                <w:color w:val="FFFFFF"/>
              </w:rPr>
              <w:t>Annual Bonus:</w:t>
            </w:r>
          </w:p>
        </w:tc>
        <w:tc>
          <w:tcPr>
            <w:tcW w:w="100" w:type="dxa"/>
            <w:vAlign w:val="bottom"/>
            <w:tcBorders>
              <w:bottom w:val="single" w:sz="8" w:color="auto"/>
            </w:tcBorders>
            <w:shd w:val="clear" w:color="auto" w:fill="000000"/>
          </w:tcPr>
          <w:p>
            <w:pPr>
              <w:spacing w:after="0"/>
              <w:rPr>
                <w:sz w:val="16"/>
                <w:szCs w:val="16"/>
                <w:color w:val="auto"/>
              </w:rPr>
            </w:pPr>
          </w:p>
        </w:tc>
        <w:tc>
          <w:tcPr>
            <w:tcW w:w="18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6"/>
                <w:szCs w:val="16"/>
                <w:color w:val="FFFFFF"/>
              </w:rPr>
              <w:t>$</w:t>
            </w:r>
          </w:p>
        </w:tc>
        <w:tc>
          <w:tcPr>
            <w:tcW w:w="500" w:type="dxa"/>
            <w:vAlign w:val="bottom"/>
            <w:tcBorders>
              <w:bottom w:val="single" w:sz="8" w:color="auto"/>
            </w:tcBorders>
            <w:shd w:val="clear" w:color="auto" w:fill="000000"/>
          </w:tcPr>
          <w:p>
            <w:pPr>
              <w:jc w:val="right"/>
              <w:ind w:right="42"/>
              <w:spacing w:after="0"/>
              <w:rPr>
                <w:sz w:val="20"/>
                <w:szCs w:val="20"/>
                <w:color w:val="auto"/>
              </w:rPr>
            </w:pPr>
            <w:r>
              <w:rPr>
                <w:rFonts w:ascii="Arial" w:cs="Arial" w:eastAsia="Arial" w:hAnsi="Arial"/>
                <w:sz w:val="16"/>
                <w:szCs w:val="16"/>
                <w:color w:val="FFFFFF"/>
              </w:rPr>
              <w:t>719</w:t>
            </w:r>
          </w:p>
        </w:tc>
      </w:tr>
      <w:tr>
        <w:trPr>
          <w:trHeight w:val="158"/>
        </w:trPr>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shd w:val="clear" w:color="auto" w:fill="000000"/>
          </w:tcPr>
          <w:p>
            <w:pPr>
              <w:ind w:left="100"/>
              <w:spacing w:after="0" w:line="158" w:lineRule="exact"/>
              <w:rPr>
                <w:sz w:val="20"/>
                <w:szCs w:val="20"/>
                <w:color w:val="auto"/>
              </w:rPr>
            </w:pPr>
            <w:r>
              <w:rPr>
                <w:rFonts w:ascii="Arial" w:cs="Arial" w:eastAsia="Arial" w:hAnsi="Arial"/>
                <w:sz w:val="16"/>
                <w:szCs w:val="16"/>
                <w:i w:val="1"/>
                <w:iCs w:val="1"/>
                <w:color w:val="FFFFFF"/>
              </w:rPr>
              <w:t>Age: 58</w:t>
            </w:r>
          </w:p>
        </w:tc>
        <w:tc>
          <w:tcPr>
            <w:tcW w:w="4080" w:type="dxa"/>
            <w:vAlign w:val="bottom"/>
            <w:shd w:val="clear" w:color="auto" w:fill="000000"/>
          </w:tcPr>
          <w:p>
            <w:pPr>
              <w:ind w:left="100"/>
              <w:spacing w:after="0" w:line="158" w:lineRule="exact"/>
              <w:rPr>
                <w:sz w:val="20"/>
                <w:szCs w:val="20"/>
                <w:color w:val="auto"/>
              </w:rPr>
            </w:pPr>
            <w:r>
              <w:rPr>
                <w:rFonts w:ascii="Arial" w:cs="Arial" w:eastAsia="Arial" w:hAnsi="Arial"/>
                <w:sz w:val="16"/>
                <w:szCs w:val="16"/>
                <w:color w:val="FFFFFF"/>
              </w:rPr>
              <w:t>development projects as well as overall</w:t>
            </w:r>
          </w:p>
        </w:tc>
        <w:tc>
          <w:tcPr>
            <w:tcW w:w="3240" w:type="dxa"/>
            <w:vAlign w:val="bottom"/>
            <w:shd w:val="clear" w:color="auto" w:fill="000000"/>
          </w:tcPr>
          <w:p>
            <w:pPr>
              <w:ind w:left="580"/>
              <w:spacing w:after="0" w:line="158" w:lineRule="exact"/>
              <w:rPr>
                <w:sz w:val="20"/>
                <w:szCs w:val="20"/>
                <w:color w:val="auto"/>
              </w:rPr>
            </w:pPr>
            <w:r>
              <w:rPr>
                <w:rFonts w:ascii="Arial" w:cs="Arial" w:eastAsia="Arial" w:hAnsi="Arial"/>
                <w:sz w:val="16"/>
                <w:szCs w:val="16"/>
                <w:color w:val="FFFFFF"/>
              </w:rPr>
              <w:t>Long-Term Equity:</w:t>
            </w:r>
          </w:p>
        </w:tc>
        <w:tc>
          <w:tcPr>
            <w:tcW w:w="100" w:type="dxa"/>
            <w:vAlign w:val="bottom"/>
            <w:shd w:val="clear" w:color="auto" w:fill="000000"/>
          </w:tcPr>
          <w:p>
            <w:pPr>
              <w:spacing w:after="0"/>
              <w:rPr>
                <w:sz w:val="13"/>
                <w:szCs w:val="13"/>
                <w:color w:val="auto"/>
              </w:rPr>
            </w:pPr>
          </w:p>
        </w:tc>
        <w:tc>
          <w:tcPr>
            <w:tcW w:w="180" w:type="dxa"/>
            <w:vAlign w:val="bottom"/>
            <w:shd w:val="clear" w:color="auto" w:fill="000000"/>
          </w:tcPr>
          <w:p>
            <w:pPr>
              <w:jc w:val="right"/>
              <w:spacing w:after="0" w:line="158" w:lineRule="exact"/>
              <w:rPr>
                <w:sz w:val="20"/>
                <w:szCs w:val="20"/>
                <w:color w:val="auto"/>
              </w:rPr>
            </w:pPr>
            <w:r>
              <w:rPr>
                <w:rFonts w:ascii="Arial" w:cs="Arial" w:eastAsia="Arial" w:hAnsi="Arial"/>
                <w:sz w:val="16"/>
                <w:szCs w:val="16"/>
                <w:color w:val="FFFFFF"/>
              </w:rPr>
              <w:t>$</w:t>
            </w:r>
          </w:p>
        </w:tc>
        <w:tc>
          <w:tcPr>
            <w:tcW w:w="500" w:type="dxa"/>
            <w:vAlign w:val="bottom"/>
            <w:shd w:val="clear" w:color="auto" w:fill="000000"/>
          </w:tcPr>
          <w:p>
            <w:pPr>
              <w:jc w:val="right"/>
              <w:ind w:right="42"/>
              <w:spacing w:after="0" w:line="158" w:lineRule="exact"/>
              <w:rPr>
                <w:sz w:val="20"/>
                <w:szCs w:val="20"/>
                <w:color w:val="auto"/>
              </w:rPr>
            </w:pPr>
            <w:r>
              <w:rPr>
                <w:rFonts w:ascii="Arial" w:cs="Arial" w:eastAsia="Arial" w:hAnsi="Arial"/>
                <w:sz w:val="16"/>
                <w:szCs w:val="16"/>
                <w:color w:val="FFFFFF"/>
              </w:rPr>
              <w:t>990</w:t>
            </w:r>
          </w:p>
        </w:tc>
      </w:tr>
      <w:tr>
        <w:trPr>
          <w:trHeight w:val="219"/>
        </w:trPr>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shd w:val="clear" w:color="auto" w:fill="000000"/>
          </w:tcPr>
          <w:p>
            <w:pPr>
              <w:ind w:left="100"/>
              <w:spacing w:after="0"/>
              <w:rPr>
                <w:sz w:val="20"/>
                <w:szCs w:val="20"/>
                <w:color w:val="auto"/>
              </w:rPr>
            </w:pPr>
            <w:r>
              <w:rPr>
                <w:rFonts w:ascii="Arial" w:cs="Arial" w:eastAsia="Arial" w:hAnsi="Arial"/>
                <w:sz w:val="16"/>
                <w:szCs w:val="16"/>
                <w:i w:val="1"/>
                <w:iCs w:val="1"/>
                <w:color w:val="FFFFFF"/>
              </w:rPr>
              <w:t>Joined: 2000</w:t>
            </w:r>
          </w:p>
        </w:tc>
        <w:tc>
          <w:tcPr>
            <w:tcW w:w="4080" w:type="dxa"/>
            <w:vAlign w:val="bottom"/>
            <w:shd w:val="clear" w:color="auto" w:fill="000000"/>
          </w:tcPr>
          <w:p>
            <w:pPr>
              <w:ind w:left="100"/>
              <w:spacing w:after="0"/>
              <w:rPr>
                <w:sz w:val="20"/>
                <w:szCs w:val="20"/>
                <w:color w:val="auto"/>
              </w:rPr>
            </w:pPr>
            <w:r>
              <w:rPr>
                <w:rFonts w:ascii="Arial" w:cs="Arial" w:eastAsia="Arial" w:hAnsi="Arial"/>
                <w:sz w:val="16"/>
                <w:szCs w:val="16"/>
                <w:color w:val="FFFFFF"/>
              </w:rPr>
              <w:t>responsibility for new property acquisitions</w:t>
            </w:r>
          </w:p>
        </w:tc>
        <w:tc>
          <w:tcPr>
            <w:tcW w:w="3240" w:type="dxa"/>
            <w:vAlign w:val="bottom"/>
            <w:shd w:val="clear" w:color="auto" w:fill="000000"/>
          </w:tcPr>
          <w:p>
            <w:pPr>
              <w:ind w:left="580"/>
              <w:spacing w:after="0"/>
              <w:rPr>
                <w:sz w:val="20"/>
                <w:szCs w:val="20"/>
                <w:color w:val="auto"/>
              </w:rPr>
            </w:pPr>
            <w:r>
              <w:rPr>
                <w:rFonts w:ascii="Arial" w:cs="Arial" w:eastAsia="Arial" w:hAnsi="Arial"/>
                <w:sz w:val="16"/>
                <w:szCs w:val="16"/>
                <w:color w:val="FFFFFF"/>
              </w:rPr>
              <w:t>Total:</w:t>
            </w:r>
          </w:p>
        </w:tc>
        <w:tc>
          <w:tcPr>
            <w:tcW w:w="100" w:type="dxa"/>
            <w:vAlign w:val="bottom"/>
            <w:shd w:val="clear" w:color="auto" w:fill="000000"/>
          </w:tcPr>
          <w:p>
            <w:pPr>
              <w:spacing w:after="0"/>
              <w:rPr>
                <w:sz w:val="19"/>
                <w:szCs w:val="19"/>
                <w:color w:val="auto"/>
              </w:rPr>
            </w:pPr>
          </w:p>
        </w:tc>
        <w:tc>
          <w:tcPr>
            <w:tcW w:w="180" w:type="dxa"/>
            <w:vAlign w:val="bottom"/>
            <w:shd w:val="clear" w:color="auto" w:fill="000000"/>
          </w:tcPr>
          <w:p>
            <w:pPr>
              <w:jc w:val="right"/>
              <w:spacing w:after="0"/>
              <w:rPr>
                <w:sz w:val="20"/>
                <w:szCs w:val="20"/>
                <w:color w:val="auto"/>
              </w:rPr>
            </w:pPr>
            <w:r>
              <w:rPr>
                <w:rFonts w:ascii="Arial" w:cs="Arial" w:eastAsia="Arial" w:hAnsi="Arial"/>
                <w:sz w:val="16"/>
                <w:szCs w:val="16"/>
                <w:color w:val="FFFFFF"/>
              </w:rPr>
              <w:t>$</w:t>
            </w:r>
          </w:p>
        </w:tc>
        <w:tc>
          <w:tcPr>
            <w:tcW w:w="500" w:type="dxa"/>
            <w:vAlign w:val="bottom"/>
            <w:shd w:val="clear" w:color="auto" w:fill="000000"/>
          </w:tcPr>
          <w:p>
            <w:pPr>
              <w:jc w:val="right"/>
              <w:ind w:right="42"/>
              <w:spacing w:after="0"/>
              <w:rPr>
                <w:sz w:val="20"/>
                <w:szCs w:val="20"/>
                <w:color w:val="auto"/>
              </w:rPr>
            </w:pPr>
            <w:r>
              <w:rPr>
                <w:rFonts w:ascii="Arial" w:cs="Arial" w:eastAsia="Arial" w:hAnsi="Arial"/>
                <w:sz w:val="16"/>
                <w:szCs w:val="16"/>
                <w:color w:val="FFFFFF"/>
                <w:w w:val="89"/>
              </w:rPr>
              <w:t>2,284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13462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134620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-478790</wp:posOffset>
            </wp:positionV>
            <wp:extent cx="6674485" cy="1131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74485" cy="113157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-478790</wp:posOffset>
            </wp:positionV>
            <wp:extent cx="6674485" cy="11315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74485" cy="1131570"/>
                    </a:xfrm>
                    <a:prstGeom prst="rect">
                      <a:avLst/>
                    </a:prstGeom>
                    <a:noFill/>
                  </pic:spPr>
                </pic:pic>
              </a:graphicData>
            </a:graphic>
          </wp:anchor>
        </w:drawing>
      </w:r>
    </w:p>
    <w:p>
      <w:pPr>
        <w:spacing w:after="0" w:line="198"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EAEFED"/>
        </w:rPr>
        <w:t>Other:</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6"/>
          <w:szCs w:val="16"/>
          <w:color w:val="FFFFFF"/>
        </w:rPr>
        <w:t>$1M restricted share award</w:t>
      </w:r>
    </w:p>
    <w:p>
      <w:pPr>
        <w:ind w:left="7180"/>
        <w:spacing w:after="0" w:line="237" w:lineRule="auto"/>
        <w:rPr>
          <w:sz w:val="20"/>
          <w:szCs w:val="20"/>
          <w:color w:val="auto"/>
        </w:rPr>
      </w:pPr>
      <w:r>
        <w:rPr>
          <w:rFonts w:ascii="Arial" w:cs="Arial" w:eastAsia="Arial" w:hAnsi="Arial"/>
          <w:sz w:val="16"/>
          <w:szCs w:val="16"/>
          <w:color w:val="FFFFFF"/>
        </w:rPr>
        <w:t>$1M performance share award</w:t>
      </w:r>
    </w:p>
    <w:p>
      <w:pPr>
        <w:ind w:left="7180"/>
        <w:spacing w:after="0"/>
        <w:rPr>
          <w:sz w:val="20"/>
          <w:szCs w:val="20"/>
          <w:color w:val="auto"/>
        </w:rPr>
      </w:pPr>
      <w:r>
        <w:rPr>
          <w:rFonts w:ascii="Arial" w:cs="Arial" w:eastAsia="Arial" w:hAnsi="Arial"/>
          <w:sz w:val="16"/>
          <w:szCs w:val="16"/>
          <w:color w:val="FFFFFF"/>
        </w:rPr>
        <w:t>$75,000 cash bonus</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2021 Compensation Decisions and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674052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80" w:lineRule="exact"/>
        <w:rPr>
          <w:sz w:val="20"/>
          <w:szCs w:val="20"/>
          <w:color w:val="auto"/>
        </w:rPr>
      </w:pPr>
    </w:p>
    <w:p>
      <w:pPr>
        <w:ind w:left="100" w:right="180"/>
        <w:spacing w:after="0"/>
        <w:rPr>
          <w:sz w:val="20"/>
          <w:szCs w:val="20"/>
          <w:color w:val="auto"/>
        </w:rPr>
      </w:pPr>
      <w:r>
        <w:rPr>
          <w:rFonts w:ascii="Arial" w:cs="Arial" w:eastAsia="Arial" w:hAnsi="Arial"/>
          <w:sz w:val="17"/>
          <w:szCs w:val="17"/>
          <w:color w:val="auto"/>
        </w:rPr>
        <w:t>The Committee retained SBCG to assist with developing Mr. Berkes’ 2021 target compensation package to reflect his new position and increased responsibilities as President and Chief Operating Officer. The new compensation package included an increase in base pay from $525,000 to $575,000 as well as two new equity awards described below. No change was made to Mr. Berkes’ target bonus percentage or to his long-term equity target. Included in the new package was a restricted share award of $1 million that will vest equally over 5 years provided Mr. Berkes remains employed by the Company and a performance award with the opportunity to earn 10,441 restricted share units at target level performance (valued at the time of award at $1 million) in the event the Company’s relative total shareholder return for the period from January 1, 2021 through December 31, 2024 is at least equal to the total shareholder return for the BBRESHOP. Mr. Berkes could earn as few as 5,221 share units if our total shareholder return is more than 5% below the BBRESHOP during the performance period or as many as 20,882 share units if our total shareholder return exceeds the BBRESHOP by at least 10%. Final results will be interpolated between the performance levels. At the end of the performance period, Mr. Berkes will also be entitled to receive dividend equivalent units on each restricted share unit that is earned. The Committee, in consultation with SBCG, determined that these awards, combined with the basic compensation package, were within appropriate market ranges of compensation for a company president with Mr. Berkes’ years of experience and expertise in the real estate industry and with the Company and created an appropriate balance between time-based vesting and performance based awards to provide additional retention value.</w:t>
      </w:r>
    </w:p>
    <w:p>
      <w:pPr>
        <w:spacing w:after="0" w:line="200" w:lineRule="exact"/>
        <w:rPr>
          <w:sz w:val="20"/>
          <w:szCs w:val="20"/>
          <w:color w:val="auto"/>
        </w:rPr>
      </w:pPr>
    </w:p>
    <w:p>
      <w:pPr>
        <w:spacing w:after="0" w:line="225" w:lineRule="exact"/>
        <w:rPr>
          <w:sz w:val="20"/>
          <w:szCs w:val="20"/>
          <w:color w:val="auto"/>
        </w:rPr>
      </w:pPr>
    </w:p>
    <w:p>
      <w:pPr>
        <w:ind w:left="100" w:right="160"/>
        <w:spacing w:after="0" w:line="245" w:lineRule="auto"/>
        <w:rPr>
          <w:sz w:val="20"/>
          <w:szCs w:val="20"/>
          <w:color w:val="auto"/>
        </w:rPr>
      </w:pPr>
      <w:r>
        <w:rPr>
          <w:rFonts w:ascii="Arial" w:cs="Arial" w:eastAsia="Arial" w:hAnsi="Arial"/>
          <w:sz w:val="17"/>
          <w:szCs w:val="17"/>
          <w:color w:val="auto"/>
        </w:rPr>
        <w:t>As part of the final 2021 compensation decisions, based on Mr. Berkes’ performance, the Committee awarded Mr. Berkes his full bonus and full long-term equity award and, as part of a special bonus allocation that the Company awarded to every employee in the Company other than Mr. Wood, the Committee awarded Mr. Berkes a one-time cash bonus of $75,000 in recognition of the extraordinary efforts to manage the Company through the worst of the financial impacts from COVID.</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2021 Key Achievements</w:t>
      </w:r>
    </w:p>
    <w:p>
      <w:pPr>
        <w:spacing w:after="0" w:line="100" w:lineRule="exact"/>
        <w:rPr>
          <w:sz w:val="20"/>
          <w:szCs w:val="20"/>
          <w:color w:val="auto"/>
        </w:rPr>
      </w:pPr>
    </w:p>
    <w:p>
      <w:pPr>
        <w:ind w:left="1480" w:hanging="313"/>
        <w:spacing w:after="0"/>
        <w:tabs>
          <w:tab w:leader="none" w:pos="148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Led the Company’s investment efforts that resulted in acquisition of 5 new properties with a total value of $440 million</w:t>
      </w:r>
    </w:p>
    <w:p>
      <w:pPr>
        <w:spacing w:after="0" w:line="12" w:lineRule="exact"/>
        <w:rPr>
          <w:rFonts w:ascii="MS PGothic" w:cs="MS PGothic" w:eastAsia="MS PGothic" w:hAnsi="MS PGothic"/>
          <w:sz w:val="17"/>
          <w:szCs w:val="17"/>
          <w:color w:val="auto"/>
        </w:rPr>
      </w:pPr>
    </w:p>
    <w:p>
      <w:pPr>
        <w:ind w:left="1480" w:right="120" w:hanging="313"/>
        <w:spacing w:after="0" w:line="247" w:lineRule="auto"/>
        <w:tabs>
          <w:tab w:leader="none" w:pos="1484"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Oversaw development efforts that resulted in delivery of more than $486 million of major development projects placed into service and commencement of one new ground-up development project and numerous smaller projects</w:t>
      </w:r>
    </w:p>
    <w:p>
      <w:pPr>
        <w:ind w:left="1480" w:hanging="313"/>
        <w:spacing w:after="0"/>
        <w:tabs>
          <w:tab w:leader="none" w:pos="148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Oversaw redevelopment efforts to improve operating properties to better position them for long-term growth</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Oversaw record level of portfolio leasing</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Oversaw efforts that resulted in significantly higher portfolio occupancy at the end of 2021 versus 2020</w:t>
      </w:r>
    </w:p>
    <w:p>
      <w:pPr>
        <w:spacing w:after="0" w:line="12" w:lineRule="exact"/>
        <w:rPr>
          <w:rFonts w:ascii="MS PGothic" w:cs="MS PGothic" w:eastAsia="MS PGothic" w:hAnsi="MS PGothic"/>
          <w:sz w:val="17"/>
          <w:szCs w:val="17"/>
          <w:color w:val="auto"/>
        </w:rPr>
      </w:pPr>
    </w:p>
    <w:p>
      <w:pPr>
        <w:ind w:left="1480" w:hanging="313"/>
        <w:spacing w:after="0"/>
        <w:tabs>
          <w:tab w:leader="none" w:pos="148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Oversaw significantly improved rent collections ending 2021 at nearly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-924560</wp:posOffset>
            </wp:positionV>
            <wp:extent cx="6740525" cy="412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0525" cy="412750"/>
                    </a:xfrm>
                    <a:prstGeom prst="rect">
                      <a:avLst/>
                    </a:prstGeom>
                    <a:noFill/>
                  </pic:spPr>
                </pic:pic>
              </a:graphicData>
            </a:graphic>
          </wp:anchor>
        </w:drawing>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20"/>
          </w:cols>
          <w:pgMar w:left="640" w:top="280" w:right="639" w:bottom="1440" w:gutter="0" w:footer="0" w:header="0"/>
        </w:sectPr>
      </w:pPr>
    </w:p>
    <w:bookmarkStart w:id="33" w:name="page34"/>
    <w:bookmarkEnd w:id="33"/>
    <w:tbl>
      <w:tblPr>
        <w:tblLayout w:type="fixed"/>
        <w:tblInd w:w="100" w:type="dxa"/>
        <w:tblCellMar>
          <w:top w:w="0" w:type="dxa"/>
          <w:left w:w="0" w:type="dxa"/>
          <w:bottom w:w="0" w:type="dxa"/>
          <w:right w:w="0" w:type="dxa"/>
        </w:tblCellMar>
      </w:tblPr>
      <w:tr>
        <w:trPr>
          <w:trHeight w:val="200"/>
        </w:trPr>
        <w:tc>
          <w:tcPr>
            <w:tcW w:w="2100" w:type="dxa"/>
            <w:vAlign w:val="bottom"/>
            <w:vMerge w:val="restart"/>
          </w:tcPr>
          <w:p>
            <w:pPr>
              <w:spacing w:after="0"/>
              <w:rPr>
                <w:sz w:val="20"/>
                <w:szCs w:val="20"/>
                <w:color w:val="auto"/>
              </w:rPr>
            </w:pPr>
            <w:r>
              <w:rPr>
                <w:rFonts w:ascii="Arial" w:cs="Arial" w:eastAsia="Arial" w:hAnsi="Arial"/>
                <w:sz w:val="16"/>
                <w:szCs w:val="16"/>
                <w:b w:val="1"/>
                <w:bCs w:val="1"/>
                <w:color w:val="FFFFFF"/>
              </w:rPr>
              <w:t>Daniel Guglielmone</w:t>
            </w:r>
          </w:p>
        </w:tc>
        <w:tc>
          <w:tcPr>
            <w:tcW w:w="3520" w:type="dxa"/>
            <w:vAlign w:val="bottom"/>
          </w:tcPr>
          <w:p>
            <w:pPr>
              <w:ind w:left="280"/>
              <w:spacing w:after="0"/>
              <w:rPr>
                <w:sz w:val="20"/>
                <w:szCs w:val="20"/>
                <w:color w:val="auto"/>
              </w:rPr>
            </w:pPr>
            <w:r>
              <w:rPr>
                <w:rFonts w:ascii="Arial" w:cs="Arial" w:eastAsia="Arial" w:hAnsi="Arial"/>
                <w:sz w:val="16"/>
                <w:szCs w:val="16"/>
                <w:b w:val="1"/>
                <w:bCs w:val="1"/>
                <w:color w:val="FFFFFF"/>
              </w:rPr>
              <w:t>Responsibilities</w:t>
            </w:r>
          </w:p>
        </w:tc>
        <w:tc>
          <w:tcPr>
            <w:tcW w:w="2940" w:type="dxa"/>
            <w:vAlign w:val="bottom"/>
          </w:tcPr>
          <w:p>
            <w:pPr>
              <w:ind w:left="60"/>
              <w:spacing w:after="0"/>
              <w:rPr>
                <w:sz w:val="20"/>
                <w:szCs w:val="20"/>
                <w:color w:val="auto"/>
              </w:rPr>
            </w:pPr>
            <w:r>
              <w:rPr>
                <w:rFonts w:ascii="Arial" w:cs="Arial" w:eastAsia="Arial" w:hAnsi="Arial"/>
                <w:sz w:val="16"/>
                <w:szCs w:val="16"/>
                <w:b w:val="1"/>
                <w:bCs w:val="1"/>
                <w:color w:val="FFFFFF"/>
              </w:rPr>
              <w:t xml:space="preserve">2021 Compensation </w:t>
            </w:r>
            <w:r>
              <w:rPr>
                <w:rFonts w:ascii="Arial" w:cs="Arial" w:eastAsia="Arial" w:hAnsi="Arial"/>
                <w:sz w:val="16"/>
                <w:szCs w:val="16"/>
                <w:color w:val="FFFFFF"/>
              </w:rPr>
              <w:t>(in 000s)</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100" w:type="dxa"/>
            <w:vAlign w:val="bottom"/>
            <w:vMerge w:val="continue"/>
          </w:tcPr>
          <w:p>
            <w:pPr>
              <w:spacing w:after="0"/>
              <w:rPr>
                <w:sz w:val="8"/>
                <w:szCs w:val="8"/>
                <w:color w:val="auto"/>
              </w:rPr>
            </w:pPr>
          </w:p>
        </w:tc>
        <w:tc>
          <w:tcPr>
            <w:tcW w:w="3520" w:type="dxa"/>
            <w:vAlign w:val="bottom"/>
            <w:vMerge w:val="restart"/>
          </w:tcPr>
          <w:p>
            <w:pPr>
              <w:ind w:left="280"/>
              <w:spacing w:after="0" w:line="182" w:lineRule="exact"/>
              <w:rPr>
                <w:sz w:val="20"/>
                <w:szCs w:val="20"/>
                <w:color w:val="auto"/>
              </w:rPr>
            </w:pPr>
            <w:r>
              <w:rPr>
                <w:rFonts w:ascii="Arial" w:cs="Arial" w:eastAsia="Arial" w:hAnsi="Arial"/>
                <w:sz w:val="16"/>
                <w:szCs w:val="16"/>
                <w:color w:val="FFFFFF"/>
              </w:rPr>
              <w:t>Mr. Guglielmone has overall responsibility</w:t>
            </w:r>
          </w:p>
        </w:tc>
        <w:tc>
          <w:tcPr>
            <w:tcW w:w="2940" w:type="dxa"/>
            <w:vAlign w:val="bottom"/>
            <w:vMerge w:val="restart"/>
          </w:tcPr>
          <w:p>
            <w:pPr>
              <w:ind w:left="60"/>
              <w:spacing w:after="0" w:line="182" w:lineRule="exact"/>
              <w:rPr>
                <w:sz w:val="20"/>
                <w:szCs w:val="20"/>
                <w:color w:val="auto"/>
              </w:rPr>
            </w:pPr>
            <w:r>
              <w:rPr>
                <w:rFonts w:ascii="Arial" w:cs="Arial" w:eastAsia="Arial" w:hAnsi="Arial"/>
                <w:sz w:val="16"/>
                <w:szCs w:val="16"/>
                <w:color w:val="FFFFFF"/>
              </w:rPr>
              <w:t>Base Pay:</w:t>
            </w:r>
          </w:p>
        </w:tc>
        <w:tc>
          <w:tcPr>
            <w:tcW w:w="84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500</w:t>
            </w:r>
          </w:p>
        </w:tc>
        <w:tc>
          <w:tcPr>
            <w:tcW w:w="0" w:type="dxa"/>
            <w:vAlign w:val="bottom"/>
          </w:tcPr>
          <w:p>
            <w:pPr>
              <w:spacing w:after="0"/>
              <w:rPr>
                <w:sz w:val="1"/>
                <w:szCs w:val="1"/>
                <w:color w:val="auto"/>
              </w:rPr>
            </w:pPr>
          </w:p>
        </w:tc>
      </w:tr>
      <w:tr>
        <w:trPr>
          <w:trHeight w:val="81"/>
        </w:trPr>
        <w:tc>
          <w:tcPr>
            <w:tcW w:w="2100" w:type="dxa"/>
            <w:vAlign w:val="bottom"/>
            <w:vMerge w:val="restart"/>
          </w:tcPr>
          <w:p>
            <w:pPr>
              <w:spacing w:after="0" w:line="182" w:lineRule="exact"/>
              <w:rPr>
                <w:sz w:val="20"/>
                <w:szCs w:val="20"/>
                <w:color w:val="auto"/>
              </w:rPr>
            </w:pPr>
            <w:r>
              <w:rPr>
                <w:rFonts w:ascii="Arial" w:cs="Arial" w:eastAsia="Arial" w:hAnsi="Arial"/>
                <w:sz w:val="16"/>
                <w:szCs w:val="16"/>
                <w:i w:val="1"/>
                <w:iCs w:val="1"/>
                <w:color w:val="FFFFFF"/>
              </w:rPr>
              <w:t>Executive Vice President-</w:t>
            </w:r>
          </w:p>
        </w:tc>
        <w:tc>
          <w:tcPr>
            <w:tcW w:w="35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100" w:type="dxa"/>
            <w:vAlign w:val="bottom"/>
            <w:vMerge w:val="continue"/>
          </w:tcPr>
          <w:p>
            <w:pPr>
              <w:spacing w:after="0"/>
              <w:rPr>
                <w:sz w:val="8"/>
                <w:szCs w:val="8"/>
                <w:color w:val="auto"/>
              </w:rPr>
            </w:pPr>
          </w:p>
        </w:tc>
        <w:tc>
          <w:tcPr>
            <w:tcW w:w="3520" w:type="dxa"/>
            <w:vAlign w:val="bottom"/>
            <w:vMerge w:val="restart"/>
          </w:tcPr>
          <w:p>
            <w:pPr>
              <w:ind w:left="280"/>
              <w:spacing w:after="0" w:line="182" w:lineRule="exact"/>
              <w:rPr>
                <w:sz w:val="20"/>
                <w:szCs w:val="20"/>
                <w:color w:val="auto"/>
              </w:rPr>
            </w:pPr>
            <w:r>
              <w:rPr>
                <w:rFonts w:ascii="Arial" w:cs="Arial" w:eastAsia="Arial" w:hAnsi="Arial"/>
                <w:sz w:val="16"/>
                <w:szCs w:val="16"/>
                <w:color w:val="FFFFFF"/>
              </w:rPr>
              <w:t>for all Company related financial activity</w:t>
            </w:r>
          </w:p>
        </w:tc>
        <w:tc>
          <w:tcPr>
            <w:tcW w:w="2940" w:type="dxa"/>
            <w:vAlign w:val="bottom"/>
            <w:vMerge w:val="restart"/>
          </w:tcPr>
          <w:p>
            <w:pPr>
              <w:ind w:left="60"/>
              <w:spacing w:after="0" w:line="182" w:lineRule="exact"/>
              <w:rPr>
                <w:sz w:val="20"/>
                <w:szCs w:val="20"/>
                <w:color w:val="auto"/>
              </w:rPr>
            </w:pPr>
            <w:r>
              <w:rPr>
                <w:rFonts w:ascii="Arial" w:cs="Arial" w:eastAsia="Arial" w:hAnsi="Arial"/>
                <w:sz w:val="16"/>
                <w:szCs w:val="16"/>
                <w:color w:val="FFFFFF"/>
              </w:rPr>
              <w:t>Annual Bonus:</w:t>
            </w:r>
          </w:p>
        </w:tc>
        <w:tc>
          <w:tcPr>
            <w:tcW w:w="84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469</w:t>
            </w:r>
          </w:p>
        </w:tc>
        <w:tc>
          <w:tcPr>
            <w:tcW w:w="0" w:type="dxa"/>
            <w:vAlign w:val="bottom"/>
          </w:tcPr>
          <w:p>
            <w:pPr>
              <w:spacing w:after="0"/>
              <w:rPr>
                <w:sz w:val="1"/>
                <w:szCs w:val="1"/>
                <w:color w:val="auto"/>
              </w:rPr>
            </w:pPr>
          </w:p>
        </w:tc>
      </w:tr>
      <w:tr>
        <w:trPr>
          <w:trHeight w:val="81"/>
        </w:trPr>
        <w:tc>
          <w:tcPr>
            <w:tcW w:w="2100" w:type="dxa"/>
            <w:vAlign w:val="bottom"/>
            <w:vMerge w:val="restart"/>
          </w:tcPr>
          <w:p>
            <w:pPr>
              <w:spacing w:after="0" w:line="182" w:lineRule="exact"/>
              <w:rPr>
                <w:sz w:val="20"/>
                <w:szCs w:val="20"/>
                <w:color w:val="auto"/>
              </w:rPr>
            </w:pPr>
            <w:r>
              <w:rPr>
                <w:rFonts w:ascii="Arial" w:cs="Arial" w:eastAsia="Arial" w:hAnsi="Arial"/>
                <w:sz w:val="16"/>
                <w:szCs w:val="16"/>
                <w:i w:val="1"/>
                <w:iCs w:val="1"/>
                <w:color w:val="FFFFFF"/>
              </w:rPr>
              <w:t>Chief Financial Officer and</w:t>
            </w:r>
          </w:p>
        </w:tc>
        <w:tc>
          <w:tcPr>
            <w:tcW w:w="35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100" w:type="dxa"/>
            <w:vAlign w:val="bottom"/>
            <w:vMerge w:val="continue"/>
          </w:tcPr>
          <w:p>
            <w:pPr>
              <w:spacing w:after="0"/>
              <w:rPr>
                <w:sz w:val="8"/>
                <w:szCs w:val="8"/>
                <w:color w:val="auto"/>
              </w:rPr>
            </w:pPr>
          </w:p>
        </w:tc>
        <w:tc>
          <w:tcPr>
            <w:tcW w:w="3520" w:type="dxa"/>
            <w:vAlign w:val="bottom"/>
            <w:vMerge w:val="restart"/>
          </w:tcPr>
          <w:p>
            <w:pPr>
              <w:ind w:left="280"/>
              <w:spacing w:after="0" w:line="182" w:lineRule="exact"/>
              <w:rPr>
                <w:sz w:val="20"/>
                <w:szCs w:val="20"/>
                <w:color w:val="auto"/>
              </w:rPr>
            </w:pPr>
            <w:r>
              <w:rPr>
                <w:rFonts w:ascii="Arial" w:cs="Arial" w:eastAsia="Arial" w:hAnsi="Arial"/>
                <w:sz w:val="16"/>
                <w:szCs w:val="16"/>
                <w:color w:val="FFFFFF"/>
              </w:rPr>
              <w:t>including forecasting, reporting and capital</w:t>
            </w:r>
          </w:p>
        </w:tc>
        <w:tc>
          <w:tcPr>
            <w:tcW w:w="2940" w:type="dxa"/>
            <w:vAlign w:val="bottom"/>
            <w:vMerge w:val="restart"/>
          </w:tcPr>
          <w:p>
            <w:pPr>
              <w:ind w:left="60"/>
              <w:spacing w:after="0" w:line="182" w:lineRule="exact"/>
              <w:rPr>
                <w:sz w:val="20"/>
                <w:szCs w:val="20"/>
                <w:color w:val="auto"/>
              </w:rPr>
            </w:pPr>
            <w:r>
              <w:rPr>
                <w:rFonts w:ascii="Arial" w:cs="Arial" w:eastAsia="Arial" w:hAnsi="Arial"/>
                <w:sz w:val="16"/>
                <w:szCs w:val="16"/>
                <w:color w:val="FFFFFF"/>
              </w:rPr>
              <w:t>Long-Term Equity:</w:t>
            </w:r>
          </w:p>
        </w:tc>
        <w:tc>
          <w:tcPr>
            <w:tcW w:w="84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891</w:t>
            </w:r>
          </w:p>
        </w:tc>
        <w:tc>
          <w:tcPr>
            <w:tcW w:w="0" w:type="dxa"/>
            <w:vAlign w:val="bottom"/>
          </w:tcPr>
          <w:p>
            <w:pPr>
              <w:spacing w:after="0"/>
              <w:rPr>
                <w:sz w:val="1"/>
                <w:szCs w:val="1"/>
                <w:color w:val="auto"/>
              </w:rPr>
            </w:pPr>
          </w:p>
        </w:tc>
      </w:tr>
      <w:tr>
        <w:trPr>
          <w:trHeight w:val="81"/>
        </w:trPr>
        <w:tc>
          <w:tcPr>
            <w:tcW w:w="2100" w:type="dxa"/>
            <w:vAlign w:val="bottom"/>
            <w:vMerge w:val="restart"/>
          </w:tcPr>
          <w:p>
            <w:pPr>
              <w:spacing w:after="0"/>
              <w:rPr>
                <w:sz w:val="20"/>
                <w:szCs w:val="20"/>
                <w:color w:val="auto"/>
              </w:rPr>
            </w:pPr>
            <w:r>
              <w:rPr>
                <w:rFonts w:ascii="Arial" w:cs="Arial" w:eastAsia="Arial" w:hAnsi="Arial"/>
                <w:sz w:val="16"/>
                <w:szCs w:val="16"/>
                <w:i w:val="1"/>
                <w:iCs w:val="1"/>
                <w:color w:val="FFFFFF"/>
              </w:rPr>
              <w:t>Treasurer</w:t>
            </w:r>
          </w:p>
        </w:tc>
        <w:tc>
          <w:tcPr>
            <w:tcW w:w="35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100" w:type="dxa"/>
            <w:vAlign w:val="bottom"/>
            <w:vMerge w:val="continue"/>
          </w:tcPr>
          <w:p>
            <w:pPr>
              <w:spacing w:after="0"/>
              <w:rPr>
                <w:sz w:val="10"/>
                <w:szCs w:val="10"/>
                <w:color w:val="auto"/>
              </w:rPr>
            </w:pPr>
          </w:p>
        </w:tc>
        <w:tc>
          <w:tcPr>
            <w:tcW w:w="3520" w:type="dxa"/>
            <w:vAlign w:val="bottom"/>
            <w:vMerge w:val="restart"/>
          </w:tcPr>
          <w:p>
            <w:pPr>
              <w:ind w:left="280"/>
              <w:spacing w:after="0" w:line="182" w:lineRule="exact"/>
              <w:rPr>
                <w:sz w:val="20"/>
                <w:szCs w:val="20"/>
                <w:color w:val="auto"/>
              </w:rPr>
            </w:pPr>
            <w:r>
              <w:rPr>
                <w:rFonts w:ascii="Arial" w:cs="Arial" w:eastAsia="Arial" w:hAnsi="Arial"/>
                <w:sz w:val="16"/>
                <w:szCs w:val="16"/>
                <w:color w:val="FFFFFF"/>
                <w:w w:val="99"/>
              </w:rPr>
              <w:t>allocation, in addition to investor relations and</w:t>
            </w:r>
          </w:p>
        </w:tc>
        <w:tc>
          <w:tcPr>
            <w:tcW w:w="2940" w:type="dxa"/>
            <w:vAlign w:val="bottom"/>
            <w:vMerge w:val="restart"/>
          </w:tcPr>
          <w:p>
            <w:pPr>
              <w:ind w:left="60"/>
              <w:spacing w:after="0" w:line="182" w:lineRule="exact"/>
              <w:rPr>
                <w:sz w:val="20"/>
                <w:szCs w:val="20"/>
                <w:color w:val="auto"/>
              </w:rPr>
            </w:pPr>
            <w:r>
              <w:rPr>
                <w:rFonts w:ascii="Arial" w:cs="Arial" w:eastAsia="Arial" w:hAnsi="Arial"/>
                <w:sz w:val="16"/>
                <w:szCs w:val="16"/>
                <w:color w:val="FFFFFF"/>
              </w:rPr>
              <w:t>Total:</w:t>
            </w:r>
          </w:p>
        </w:tc>
        <w:tc>
          <w:tcPr>
            <w:tcW w:w="84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vMerge w:val="restart"/>
          </w:tcPr>
          <w:p>
            <w:pPr>
              <w:jc w:val="right"/>
              <w:spacing w:after="0" w:line="182" w:lineRule="exact"/>
              <w:rPr>
                <w:sz w:val="20"/>
                <w:szCs w:val="20"/>
                <w:color w:val="auto"/>
              </w:rPr>
            </w:pPr>
            <w:r>
              <w:rPr>
                <w:rFonts w:ascii="Arial" w:cs="Arial" w:eastAsia="Arial" w:hAnsi="Arial"/>
                <w:sz w:val="16"/>
                <w:szCs w:val="16"/>
                <w:color w:val="FFFFFF"/>
                <w:w w:val="89"/>
              </w:rPr>
              <w:t>1,860</w:t>
            </w:r>
          </w:p>
        </w:tc>
        <w:tc>
          <w:tcPr>
            <w:tcW w:w="0" w:type="dxa"/>
            <w:vAlign w:val="bottom"/>
          </w:tcPr>
          <w:p>
            <w:pPr>
              <w:spacing w:after="0"/>
              <w:rPr>
                <w:sz w:val="1"/>
                <w:szCs w:val="1"/>
                <w:color w:val="auto"/>
              </w:rPr>
            </w:pPr>
          </w:p>
        </w:tc>
      </w:tr>
      <w:tr>
        <w:trPr>
          <w:trHeight w:val="60"/>
        </w:trPr>
        <w:tc>
          <w:tcPr>
            <w:tcW w:w="210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100" w:type="dxa"/>
            <w:vAlign w:val="bottom"/>
            <w:vMerge w:val="restart"/>
          </w:tcPr>
          <w:p>
            <w:pPr>
              <w:ind w:left="1140"/>
              <w:spacing w:after="0"/>
              <w:rPr>
                <w:sz w:val="20"/>
                <w:szCs w:val="20"/>
                <w:color w:val="auto"/>
              </w:rPr>
            </w:pPr>
            <w:r>
              <w:rPr>
                <w:rFonts w:ascii="Arial" w:cs="Arial" w:eastAsia="Arial" w:hAnsi="Arial"/>
                <w:sz w:val="16"/>
                <w:szCs w:val="16"/>
                <w:i w:val="1"/>
                <w:iCs w:val="1"/>
                <w:color w:val="FFFFFF"/>
              </w:rPr>
              <w:t>Age: 54</w:t>
            </w:r>
          </w:p>
        </w:tc>
        <w:tc>
          <w:tcPr>
            <w:tcW w:w="3520" w:type="dxa"/>
            <w:vAlign w:val="bottom"/>
          </w:tcPr>
          <w:p>
            <w:pPr>
              <w:ind w:left="280"/>
              <w:spacing w:after="0"/>
              <w:rPr>
                <w:sz w:val="20"/>
                <w:szCs w:val="20"/>
                <w:color w:val="auto"/>
              </w:rPr>
            </w:pPr>
            <w:r>
              <w:rPr>
                <w:rFonts w:ascii="Arial" w:cs="Arial" w:eastAsia="Arial" w:hAnsi="Arial"/>
                <w:sz w:val="16"/>
                <w:szCs w:val="16"/>
                <w:color w:val="FFFFFF"/>
              </w:rPr>
              <w:t>East Coast acquisitions</w:t>
            </w:r>
          </w:p>
        </w:tc>
        <w:tc>
          <w:tcPr>
            <w:tcW w:w="2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10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1478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310" cy="1478915"/>
                    </a:xfrm>
                    <a:prstGeom prst="rect">
                      <a:avLst/>
                    </a:prstGeom>
                    <a:noFill/>
                  </pic:spPr>
                </pic:pic>
              </a:graphicData>
            </a:graphic>
          </wp:anchor>
        </w:drawing>
      </w:r>
    </w:p>
    <w:tbl>
      <w:tblPr>
        <w:tblLayout w:type="fixed"/>
        <w:tblInd w:w="12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6"/>
                <w:szCs w:val="16"/>
                <w:i w:val="1"/>
                <w:iCs w:val="1"/>
                <w:color w:val="FFFFFF"/>
              </w:rPr>
              <w:t>Joined: 2016</w:t>
            </w:r>
          </w:p>
        </w:tc>
        <w:tc>
          <w:tcPr>
            <w:tcW w:w="3720" w:type="dxa"/>
            <w:vAlign w:val="bottom"/>
          </w:tcPr>
          <w:p>
            <w:pPr>
              <w:ind w:left="1820"/>
              <w:spacing w:after="0"/>
              <w:rPr>
                <w:sz w:val="20"/>
                <w:szCs w:val="20"/>
                <w:color w:val="auto"/>
              </w:rPr>
            </w:pPr>
            <w:r>
              <w:rPr>
                <w:rFonts w:ascii="Arial" w:cs="Arial" w:eastAsia="Arial" w:hAnsi="Arial"/>
                <w:sz w:val="16"/>
                <w:szCs w:val="16"/>
                <w:b w:val="1"/>
                <w:bCs w:val="1"/>
                <w:color w:val="FFFFFF"/>
              </w:rPr>
              <w:t>Other:</w:t>
            </w:r>
          </w:p>
        </w:tc>
      </w:tr>
      <w:tr>
        <w:trPr>
          <w:trHeight w:val="182"/>
        </w:trPr>
        <w:tc>
          <w:tcPr>
            <w:tcW w:w="2720" w:type="dxa"/>
            <w:vAlign w:val="bottom"/>
          </w:tcPr>
          <w:p>
            <w:pPr>
              <w:spacing w:after="0"/>
              <w:rPr>
                <w:sz w:val="15"/>
                <w:szCs w:val="15"/>
                <w:color w:val="auto"/>
              </w:rPr>
            </w:pPr>
          </w:p>
        </w:tc>
        <w:tc>
          <w:tcPr>
            <w:tcW w:w="3720" w:type="dxa"/>
            <w:vAlign w:val="bottom"/>
          </w:tcPr>
          <w:p>
            <w:pPr>
              <w:ind w:left="1820"/>
              <w:spacing w:after="0" w:line="182" w:lineRule="exact"/>
              <w:rPr>
                <w:sz w:val="20"/>
                <w:szCs w:val="20"/>
                <w:color w:val="auto"/>
              </w:rPr>
            </w:pPr>
            <w:r>
              <w:rPr>
                <w:rFonts w:ascii="Arial" w:cs="Arial" w:eastAsia="Arial" w:hAnsi="Arial"/>
                <w:sz w:val="16"/>
                <w:szCs w:val="16"/>
                <w:color w:val="FFFFFF"/>
                <w:w w:val="96"/>
              </w:rPr>
              <w:t>$1M restricted share award</w:t>
            </w:r>
          </w:p>
        </w:tc>
      </w:tr>
      <w:tr>
        <w:trPr>
          <w:trHeight w:val="187"/>
        </w:trPr>
        <w:tc>
          <w:tcPr>
            <w:tcW w:w="2720" w:type="dxa"/>
            <w:vAlign w:val="bottom"/>
          </w:tcPr>
          <w:p>
            <w:pPr>
              <w:spacing w:after="0"/>
              <w:rPr>
                <w:sz w:val="16"/>
                <w:szCs w:val="16"/>
                <w:color w:val="auto"/>
              </w:rPr>
            </w:pPr>
          </w:p>
        </w:tc>
        <w:tc>
          <w:tcPr>
            <w:tcW w:w="3720" w:type="dxa"/>
            <w:vAlign w:val="bottom"/>
          </w:tcPr>
          <w:p>
            <w:pPr>
              <w:ind w:left="1820"/>
              <w:spacing w:after="0"/>
              <w:rPr>
                <w:sz w:val="20"/>
                <w:szCs w:val="20"/>
                <w:color w:val="auto"/>
              </w:rPr>
            </w:pPr>
            <w:r>
              <w:rPr>
                <w:rFonts w:ascii="Arial" w:cs="Arial" w:eastAsia="Arial" w:hAnsi="Arial"/>
                <w:sz w:val="16"/>
                <w:szCs w:val="16"/>
                <w:color w:val="FFFFFF"/>
              </w:rPr>
              <w:t>$75,000 cash bonus</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Compensation Decisions and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674052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2021 marked completion of 5 full years of service by Mr. Guglielmone as the Company’s Chief Financial Officer. The Committee anticipated reviewing Mr. Guglielmone’s target compensation in 2021; however, given the continuing COVID-related business uncertainties, the Committee determined that consideration of market pay adjustments would be delayed until at least 2022. In August 2021, the Committee did award to Mr. Guglielmone a restricted share award having a value of $1 million that will vest equally over five years subject to his continued service at the Company. The Committee has not previously made off-cycle awards to its executive officers; however, after reviewing market compensation information for other chief financial officers provided by SBCG which showed that</w:t>
      </w:r>
    </w:p>
    <w:p>
      <w:pPr>
        <w:spacing w:after="0" w:line="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Mr. Guglielmone’s compensation at the target level and even at a maximum performance level was significantly below market compensation for chief financial officers at other retail REITs and other similarly sized REITs, the Committee believed it was important to start the process of bringing Mr. Guglielmone’s compensation closer to market levels. Few changes had been made to Mr. Guglielmone’s compensation package since he joined the Company in 2016 resulting in his target compensation growing less than 1% per year on average and his maximum compensation potential growing at approximately 2% per year on average as compared to inflation over that same 5-year period growing at approximately 2.5% per year and other similarly situated chief financial officers having annual compensation grow at more than 3% on average. Given the gap between Mr. Guglielmone’s compensation and market compensation levels, the Committee used this award as a first step to bridging the gap and the value of this award will be taken into account as part of the changes expected to be made to Mr. Guglielmone’s compensation package in 2022.</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Based on the Committee’s evaluation of Mr. Guglielmone’s performance in 2021, the Committee awarded Mr. Guglielmone his full bonus and full long-term equity award and, as part of a special bonus allocation that the Company awarded to every employee in the Company other than Mr. Wood, the Committee awarded Mr. Guglielmone a one-time cash bonus of $75,000 in recognition of the extraordinary efforts to manage the Company through the worst of the financial impacts from COVID.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Key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674052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58" w:lineRule="exact"/>
        <w:rPr>
          <w:sz w:val="20"/>
          <w:szCs w:val="20"/>
          <w:color w:val="auto"/>
        </w:rPr>
      </w:pPr>
    </w:p>
    <w:p>
      <w:pPr>
        <w:ind w:left="1420" w:right="780" w:hanging="353"/>
        <w:spacing w:after="0" w:line="247" w:lineRule="auto"/>
        <w:tabs>
          <w:tab w:leader="none" w:pos="1425"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Co-Led the Company’s investment efforts that resulted in acquisition of 5 new properties with a total value of $440 million</w:t>
      </w:r>
    </w:p>
    <w:p>
      <w:pPr>
        <w:ind w:left="1420" w:right="120" w:hanging="353"/>
        <w:spacing w:after="0" w:line="247" w:lineRule="auto"/>
        <w:tabs>
          <w:tab w:leader="none" w:pos="1425"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Led efforts to proactively manage our balance sheet resulting in improved year over year credit metrics and attractive overall cost of capital</w:t>
      </w:r>
    </w:p>
    <w:p>
      <w:pPr>
        <w:ind w:left="1420" w:right="320" w:hanging="353"/>
        <w:spacing w:after="0" w:line="247" w:lineRule="auto"/>
        <w:tabs>
          <w:tab w:leader="none" w:pos="1425"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Oversaw execution of strategically selected property sales to raise approximately $140 million of attractively priced capital</w:t>
      </w:r>
    </w:p>
    <w:p>
      <w:pPr>
        <w:ind w:left="1420" w:hanging="353"/>
        <w:spacing w:after="0"/>
        <w:tabs>
          <w:tab w:leader="none" w:pos="14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Led opportunistic equity raises through use of forward contracts under our at-the-market equity program</w:t>
      </w:r>
    </w:p>
    <w:p>
      <w:pPr>
        <w:spacing w:after="0" w:line="12" w:lineRule="exact"/>
        <w:rPr>
          <w:rFonts w:ascii="MS PGothic" w:cs="MS PGothic" w:eastAsia="MS PGothic" w:hAnsi="MS PGothic"/>
          <w:sz w:val="17"/>
          <w:szCs w:val="17"/>
          <w:color w:val="auto"/>
        </w:rPr>
      </w:pPr>
    </w:p>
    <w:p>
      <w:pPr>
        <w:ind w:left="1420" w:hanging="353"/>
        <w:spacing w:after="0"/>
        <w:tabs>
          <w:tab w:leader="none" w:pos="142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Led investor outreach and communications</w:t>
      </w:r>
    </w:p>
    <w:p>
      <w:pPr>
        <w:spacing w:after="0" w:line="12" w:lineRule="exact"/>
        <w:rPr>
          <w:rFonts w:ascii="MS PGothic" w:cs="MS PGothic" w:eastAsia="MS PGothic" w:hAnsi="MS PGothic"/>
          <w:sz w:val="17"/>
          <w:szCs w:val="17"/>
          <w:color w:val="auto"/>
        </w:rPr>
      </w:pPr>
    </w:p>
    <w:p>
      <w:pPr>
        <w:ind w:left="1420" w:right="120" w:hanging="353"/>
        <w:spacing w:after="0" w:line="272" w:lineRule="auto"/>
        <w:tabs>
          <w:tab w:leader="none" w:pos="1425"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Led financial efforts enabling the Company to increase our annual dividend rate to common shareholders for the 54th consecutive year, a record in the REIT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-1312545</wp:posOffset>
            </wp:positionV>
            <wp:extent cx="297180" cy="371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7180" cy="371475"/>
                    </a:xfrm>
                    <a:prstGeom prst="rect">
                      <a:avLst/>
                    </a:prstGeom>
                    <a:noFill/>
                  </pic:spPr>
                </pic:pic>
              </a:graphicData>
            </a:graphic>
          </wp:anchor>
        </w:drawing>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500"/>
          </w:cols>
          <w:pgMar w:left="740" w:top="345" w:right="659" w:bottom="1440" w:gutter="0" w:footer="0" w:header="0"/>
        </w:sectPr>
      </w:pPr>
    </w:p>
    <w:bookmarkStart w:id="34" w:name="page35"/>
    <w:bookmarkEnd w:id="34"/>
    <w:tbl>
      <w:tblPr>
        <w:tblLayout w:type="fixed"/>
        <w:tblInd w:w="100" w:type="dxa"/>
        <w:tblCellMar>
          <w:top w:w="0" w:type="dxa"/>
          <w:left w:w="0" w:type="dxa"/>
          <w:bottom w:w="0" w:type="dxa"/>
          <w:right w:w="0" w:type="dxa"/>
        </w:tblCellMar>
      </w:tblPr>
      <w:tr>
        <w:trPr>
          <w:trHeight w:val="200"/>
        </w:trPr>
        <w:tc>
          <w:tcPr>
            <w:tcW w:w="2280" w:type="dxa"/>
            <w:vAlign w:val="bottom"/>
          </w:tcPr>
          <w:p>
            <w:pPr>
              <w:spacing w:after="0"/>
              <w:rPr>
                <w:sz w:val="20"/>
                <w:szCs w:val="20"/>
                <w:color w:val="auto"/>
              </w:rPr>
            </w:pPr>
            <w:r>
              <w:rPr>
                <w:rFonts w:ascii="Arial" w:cs="Arial" w:eastAsia="Arial" w:hAnsi="Arial"/>
                <w:sz w:val="16"/>
                <w:szCs w:val="16"/>
                <w:b w:val="1"/>
                <w:bCs w:val="1"/>
                <w:color w:val="FFFFFF"/>
              </w:rPr>
              <w:t>Dawn M. Becker</w:t>
            </w:r>
          </w:p>
        </w:tc>
        <w:tc>
          <w:tcPr>
            <w:tcW w:w="3420" w:type="dxa"/>
            <w:vAlign w:val="bottom"/>
          </w:tcPr>
          <w:p>
            <w:pPr>
              <w:ind w:left="100"/>
              <w:spacing w:after="0"/>
              <w:rPr>
                <w:sz w:val="20"/>
                <w:szCs w:val="20"/>
                <w:color w:val="auto"/>
              </w:rPr>
            </w:pPr>
            <w:r>
              <w:rPr>
                <w:rFonts w:ascii="Arial" w:cs="Arial" w:eastAsia="Arial" w:hAnsi="Arial"/>
                <w:sz w:val="16"/>
                <w:szCs w:val="16"/>
                <w:b w:val="1"/>
                <w:bCs w:val="1"/>
                <w:color w:val="FFFFFF"/>
              </w:rPr>
              <w:t>Responsibilities</w:t>
            </w:r>
          </w:p>
        </w:tc>
        <w:tc>
          <w:tcPr>
            <w:tcW w:w="2980" w:type="dxa"/>
            <w:vAlign w:val="bottom"/>
          </w:tcPr>
          <w:p>
            <w:pPr>
              <w:ind w:left="80"/>
              <w:spacing w:after="0"/>
              <w:rPr>
                <w:sz w:val="20"/>
                <w:szCs w:val="20"/>
                <w:color w:val="auto"/>
              </w:rPr>
            </w:pPr>
            <w:r>
              <w:rPr>
                <w:rFonts w:ascii="Arial" w:cs="Arial" w:eastAsia="Arial" w:hAnsi="Arial"/>
                <w:sz w:val="16"/>
                <w:szCs w:val="16"/>
                <w:b w:val="1"/>
                <w:bCs w:val="1"/>
                <w:color w:val="FFFFFF"/>
              </w:rPr>
              <w:t xml:space="preserve">2021 Compensation </w:t>
            </w:r>
            <w:r>
              <w:rPr>
                <w:rFonts w:ascii="Arial" w:cs="Arial" w:eastAsia="Arial" w:hAnsi="Arial"/>
                <w:sz w:val="16"/>
                <w:szCs w:val="16"/>
                <w:color w:val="FFFFFF"/>
              </w:rPr>
              <w:t>(in 000s)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line="182" w:lineRule="exact"/>
              <w:rPr>
                <w:sz w:val="20"/>
                <w:szCs w:val="20"/>
                <w:color w:val="auto"/>
              </w:rPr>
            </w:pPr>
            <w:r>
              <w:rPr>
                <w:rFonts w:ascii="Arial" w:cs="Arial" w:eastAsia="Arial" w:hAnsi="Arial"/>
                <w:sz w:val="16"/>
                <w:szCs w:val="16"/>
                <w:i w:val="1"/>
                <w:iCs w:val="1"/>
                <w:color w:val="FFFFFF"/>
              </w:rPr>
              <w:t>Executive Vice President-</w:t>
            </w:r>
          </w:p>
        </w:tc>
        <w:tc>
          <w:tcPr>
            <w:tcW w:w="3420" w:type="dxa"/>
            <w:vAlign w:val="bottom"/>
          </w:tcPr>
          <w:p>
            <w:pPr>
              <w:ind w:left="100"/>
              <w:spacing w:after="0" w:line="182" w:lineRule="exact"/>
              <w:rPr>
                <w:sz w:val="20"/>
                <w:szCs w:val="20"/>
                <w:color w:val="auto"/>
              </w:rPr>
            </w:pPr>
            <w:r>
              <w:rPr>
                <w:rFonts w:ascii="Arial" w:cs="Arial" w:eastAsia="Arial" w:hAnsi="Arial"/>
                <w:sz w:val="16"/>
                <w:szCs w:val="16"/>
                <w:color w:val="FFFFFF"/>
              </w:rPr>
              <w:t>Ms. Becker has overall responsibility for all</w:t>
            </w:r>
          </w:p>
        </w:tc>
        <w:tc>
          <w:tcPr>
            <w:tcW w:w="2980" w:type="dxa"/>
            <w:vAlign w:val="bottom"/>
          </w:tcPr>
          <w:p>
            <w:pPr>
              <w:ind w:left="80"/>
              <w:spacing w:after="0" w:line="182" w:lineRule="exact"/>
              <w:rPr>
                <w:sz w:val="20"/>
                <w:szCs w:val="20"/>
                <w:color w:val="auto"/>
              </w:rPr>
            </w:pPr>
            <w:r>
              <w:rPr>
                <w:rFonts w:ascii="Arial" w:cs="Arial" w:eastAsia="Arial" w:hAnsi="Arial"/>
                <w:sz w:val="16"/>
                <w:szCs w:val="16"/>
                <w:color w:val="FFFFFF"/>
              </w:rPr>
              <w:t>Base Pay:</w:t>
            </w: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tcPr>
          <w:p>
            <w:pPr>
              <w:jc w:val="right"/>
              <w:spacing w:after="0" w:line="182" w:lineRule="exact"/>
              <w:rPr>
                <w:sz w:val="20"/>
                <w:szCs w:val="20"/>
                <w:color w:val="auto"/>
              </w:rPr>
            </w:pPr>
            <w:r>
              <w:rPr>
                <w:rFonts w:ascii="Arial" w:cs="Arial" w:eastAsia="Arial" w:hAnsi="Arial"/>
                <w:sz w:val="16"/>
                <w:szCs w:val="16"/>
                <w:color w:val="FFFFFF"/>
              </w:rPr>
              <w:t>475</w:t>
            </w:r>
          </w:p>
        </w:tc>
        <w:tc>
          <w:tcPr>
            <w:tcW w:w="0" w:type="dxa"/>
            <w:vAlign w:val="bottom"/>
          </w:tcPr>
          <w:p>
            <w:pPr>
              <w:spacing w:after="0"/>
              <w:rPr>
                <w:sz w:val="1"/>
                <w:szCs w:val="1"/>
                <w:color w:val="auto"/>
              </w:rPr>
            </w:pPr>
          </w:p>
        </w:tc>
      </w:tr>
      <w:tr>
        <w:trPr>
          <w:trHeight w:val="182"/>
        </w:trPr>
        <w:tc>
          <w:tcPr>
            <w:tcW w:w="2280" w:type="dxa"/>
            <w:vAlign w:val="bottom"/>
          </w:tcPr>
          <w:p>
            <w:pPr>
              <w:spacing w:after="0" w:line="182" w:lineRule="exact"/>
              <w:rPr>
                <w:sz w:val="20"/>
                <w:szCs w:val="20"/>
                <w:color w:val="auto"/>
              </w:rPr>
            </w:pPr>
            <w:r>
              <w:rPr>
                <w:rFonts w:ascii="Arial" w:cs="Arial" w:eastAsia="Arial" w:hAnsi="Arial"/>
                <w:sz w:val="16"/>
                <w:szCs w:val="16"/>
                <w:i w:val="1"/>
                <w:iCs w:val="1"/>
                <w:color w:val="FFFFFF"/>
              </w:rPr>
              <w:t>General Counsel and Secretary</w:t>
            </w:r>
          </w:p>
        </w:tc>
        <w:tc>
          <w:tcPr>
            <w:tcW w:w="3420" w:type="dxa"/>
            <w:vAlign w:val="bottom"/>
          </w:tcPr>
          <w:p>
            <w:pPr>
              <w:ind w:left="100"/>
              <w:spacing w:after="0" w:line="182" w:lineRule="exact"/>
              <w:rPr>
                <w:sz w:val="20"/>
                <w:szCs w:val="20"/>
                <w:color w:val="auto"/>
              </w:rPr>
            </w:pPr>
            <w:r>
              <w:rPr>
                <w:rFonts w:ascii="Arial" w:cs="Arial" w:eastAsia="Arial" w:hAnsi="Arial"/>
                <w:sz w:val="16"/>
                <w:szCs w:val="16"/>
                <w:color w:val="FFFFFF"/>
              </w:rPr>
              <w:t>legal functions within the Company and heads</w:t>
            </w:r>
          </w:p>
        </w:tc>
        <w:tc>
          <w:tcPr>
            <w:tcW w:w="2980" w:type="dxa"/>
            <w:vAlign w:val="bottom"/>
          </w:tcPr>
          <w:p>
            <w:pPr>
              <w:ind w:left="80"/>
              <w:spacing w:after="0" w:line="182" w:lineRule="exact"/>
              <w:rPr>
                <w:sz w:val="20"/>
                <w:szCs w:val="20"/>
                <w:color w:val="auto"/>
              </w:rPr>
            </w:pPr>
            <w:r>
              <w:rPr>
                <w:rFonts w:ascii="Arial" w:cs="Arial" w:eastAsia="Arial" w:hAnsi="Arial"/>
                <w:sz w:val="16"/>
                <w:szCs w:val="16"/>
                <w:color w:val="FFFFFF"/>
              </w:rPr>
              <w:t>Annual Bonus:</w:t>
            </w: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tcPr>
          <w:p>
            <w:pPr>
              <w:jc w:val="right"/>
              <w:spacing w:after="0" w:line="182" w:lineRule="exact"/>
              <w:rPr>
                <w:sz w:val="20"/>
                <w:szCs w:val="20"/>
                <w:color w:val="auto"/>
              </w:rPr>
            </w:pPr>
            <w:r>
              <w:rPr>
                <w:rFonts w:ascii="Arial" w:cs="Arial" w:eastAsia="Arial" w:hAnsi="Arial"/>
                <w:sz w:val="16"/>
                <w:szCs w:val="16"/>
                <w:color w:val="FFFFFF"/>
              </w:rPr>
              <w:t>445</w:t>
            </w:r>
          </w:p>
        </w:tc>
        <w:tc>
          <w:tcPr>
            <w:tcW w:w="0" w:type="dxa"/>
            <w:vAlign w:val="bottom"/>
          </w:tcPr>
          <w:p>
            <w:pPr>
              <w:spacing w:after="0"/>
              <w:rPr>
                <w:sz w:val="1"/>
                <w:szCs w:val="1"/>
                <w:color w:val="auto"/>
              </w:rPr>
            </w:pPr>
          </w:p>
        </w:tc>
      </w:tr>
      <w:tr>
        <w:trPr>
          <w:trHeight w:val="182"/>
        </w:trPr>
        <w:tc>
          <w:tcPr>
            <w:tcW w:w="2280" w:type="dxa"/>
            <w:vAlign w:val="bottom"/>
            <w:vMerge w:val="restart"/>
          </w:tcPr>
          <w:p>
            <w:pPr>
              <w:ind w:left="1140"/>
              <w:spacing w:after="0"/>
              <w:rPr>
                <w:sz w:val="20"/>
                <w:szCs w:val="20"/>
                <w:color w:val="auto"/>
              </w:rPr>
            </w:pPr>
            <w:r>
              <w:rPr>
                <w:rFonts w:ascii="Arial" w:cs="Arial" w:eastAsia="Arial" w:hAnsi="Arial"/>
                <w:sz w:val="16"/>
                <w:szCs w:val="16"/>
                <w:i w:val="1"/>
                <w:iCs w:val="1"/>
                <w:color w:val="FFFFFF"/>
              </w:rPr>
              <w:t>Age: 58</w:t>
            </w:r>
          </w:p>
        </w:tc>
        <w:tc>
          <w:tcPr>
            <w:tcW w:w="3420" w:type="dxa"/>
            <w:vAlign w:val="bottom"/>
          </w:tcPr>
          <w:p>
            <w:pPr>
              <w:ind w:left="100"/>
              <w:spacing w:after="0" w:line="182" w:lineRule="exact"/>
              <w:rPr>
                <w:sz w:val="20"/>
                <w:szCs w:val="20"/>
                <w:color w:val="auto"/>
              </w:rPr>
            </w:pPr>
            <w:r>
              <w:rPr>
                <w:rFonts w:ascii="Arial" w:cs="Arial" w:eastAsia="Arial" w:hAnsi="Arial"/>
                <w:sz w:val="16"/>
                <w:szCs w:val="16"/>
                <w:color w:val="FFFFFF"/>
              </w:rPr>
              <w:t>all of our ESG efforts in addition to overseeing</w:t>
            </w:r>
          </w:p>
        </w:tc>
        <w:tc>
          <w:tcPr>
            <w:tcW w:w="2980" w:type="dxa"/>
            <w:vAlign w:val="bottom"/>
          </w:tcPr>
          <w:p>
            <w:pPr>
              <w:ind w:left="80"/>
              <w:spacing w:after="0" w:line="182" w:lineRule="exact"/>
              <w:rPr>
                <w:sz w:val="20"/>
                <w:szCs w:val="20"/>
                <w:color w:val="auto"/>
              </w:rPr>
            </w:pPr>
            <w:r>
              <w:rPr>
                <w:rFonts w:ascii="Arial" w:cs="Arial" w:eastAsia="Arial" w:hAnsi="Arial"/>
                <w:sz w:val="16"/>
                <w:szCs w:val="16"/>
                <w:color w:val="FFFFFF"/>
              </w:rPr>
              <w:t>Long-Term Equity:</w:t>
            </w: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FFFFFF"/>
              </w:rPr>
              <w:t>$</w:t>
            </w:r>
          </w:p>
        </w:tc>
        <w:tc>
          <w:tcPr>
            <w:tcW w:w="380" w:type="dxa"/>
            <w:vAlign w:val="bottom"/>
          </w:tcPr>
          <w:p>
            <w:pPr>
              <w:jc w:val="right"/>
              <w:spacing w:after="0" w:line="182" w:lineRule="exact"/>
              <w:rPr>
                <w:sz w:val="20"/>
                <w:szCs w:val="20"/>
                <w:color w:val="auto"/>
              </w:rPr>
            </w:pPr>
            <w:r>
              <w:rPr>
                <w:rFonts w:ascii="Arial" w:cs="Arial" w:eastAsia="Arial" w:hAnsi="Arial"/>
                <w:sz w:val="16"/>
                <w:szCs w:val="16"/>
                <w:color w:val="FFFFFF"/>
              </w:rPr>
              <w:t>594</w:t>
            </w:r>
          </w:p>
        </w:tc>
        <w:tc>
          <w:tcPr>
            <w:tcW w:w="0" w:type="dxa"/>
            <w:vAlign w:val="bottom"/>
          </w:tcPr>
          <w:p>
            <w:pPr>
              <w:spacing w:after="0"/>
              <w:rPr>
                <w:sz w:val="1"/>
                <w:szCs w:val="1"/>
                <w:color w:val="auto"/>
              </w:rPr>
            </w:pPr>
          </w:p>
        </w:tc>
      </w:tr>
      <w:tr>
        <w:trPr>
          <w:trHeight w:val="180"/>
        </w:trPr>
        <w:tc>
          <w:tcPr>
            <w:tcW w:w="2280" w:type="dxa"/>
            <w:vAlign w:val="bottom"/>
            <w:vMerge w:val="continue"/>
          </w:tcPr>
          <w:p>
            <w:pPr>
              <w:spacing w:after="0"/>
              <w:rPr>
                <w:sz w:val="15"/>
                <w:szCs w:val="15"/>
                <w:color w:val="auto"/>
              </w:rPr>
            </w:pPr>
          </w:p>
        </w:tc>
        <w:tc>
          <w:tcPr>
            <w:tcW w:w="3420" w:type="dxa"/>
            <w:vAlign w:val="bottom"/>
          </w:tcPr>
          <w:p>
            <w:pPr>
              <w:ind w:left="100"/>
              <w:spacing w:after="0" w:line="181" w:lineRule="exact"/>
              <w:rPr>
                <w:sz w:val="20"/>
                <w:szCs w:val="20"/>
                <w:color w:val="auto"/>
              </w:rPr>
            </w:pPr>
            <w:r>
              <w:rPr>
                <w:rFonts w:ascii="Arial" w:cs="Arial" w:eastAsia="Arial" w:hAnsi="Arial"/>
                <w:sz w:val="16"/>
                <w:szCs w:val="16"/>
                <w:color w:val="FFFFFF"/>
                <w:w w:val="98"/>
              </w:rPr>
              <w:t>our Human Resources, Information Technology</w:t>
            </w:r>
          </w:p>
        </w:tc>
        <w:tc>
          <w:tcPr>
            <w:tcW w:w="2980" w:type="dxa"/>
            <w:vAlign w:val="bottom"/>
          </w:tcPr>
          <w:p>
            <w:pPr>
              <w:ind w:left="80"/>
              <w:spacing w:after="0" w:line="181" w:lineRule="exact"/>
              <w:rPr>
                <w:sz w:val="20"/>
                <w:szCs w:val="20"/>
                <w:color w:val="auto"/>
              </w:rPr>
            </w:pPr>
            <w:r>
              <w:rPr>
                <w:rFonts w:ascii="Arial" w:cs="Arial" w:eastAsia="Arial" w:hAnsi="Arial"/>
                <w:sz w:val="16"/>
                <w:szCs w:val="16"/>
                <w:color w:val="FFFFFF"/>
              </w:rPr>
              <w:t>Total:</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FFFFFF"/>
              </w:rPr>
              <w:t>$</w:t>
            </w:r>
          </w:p>
        </w:tc>
        <w:tc>
          <w:tcPr>
            <w:tcW w:w="380" w:type="dxa"/>
            <w:vAlign w:val="bottom"/>
          </w:tcPr>
          <w:p>
            <w:pPr>
              <w:jc w:val="right"/>
              <w:spacing w:after="0" w:line="181" w:lineRule="exact"/>
              <w:rPr>
                <w:sz w:val="20"/>
                <w:szCs w:val="20"/>
                <w:color w:val="auto"/>
              </w:rPr>
            </w:pPr>
            <w:r>
              <w:rPr>
                <w:rFonts w:ascii="Arial" w:cs="Arial" w:eastAsia="Arial" w:hAnsi="Arial"/>
                <w:sz w:val="16"/>
                <w:szCs w:val="16"/>
                <w:color w:val="FFFFFF"/>
                <w:w w:val="89"/>
              </w:rPr>
              <w:t>1,514</w:t>
            </w:r>
          </w:p>
        </w:tc>
        <w:tc>
          <w:tcPr>
            <w:tcW w:w="0" w:type="dxa"/>
            <w:vAlign w:val="bottom"/>
          </w:tcPr>
          <w:p>
            <w:pPr>
              <w:spacing w:after="0"/>
              <w:rPr>
                <w:sz w:val="1"/>
                <w:szCs w:val="1"/>
                <w:color w:val="auto"/>
              </w:rPr>
            </w:pPr>
          </w:p>
        </w:tc>
      </w:tr>
      <w:tr>
        <w:trPr>
          <w:trHeight w:val="203"/>
        </w:trPr>
        <w:tc>
          <w:tcPr>
            <w:tcW w:w="2280" w:type="dxa"/>
            <w:vAlign w:val="bottom"/>
          </w:tcPr>
          <w:p>
            <w:pPr>
              <w:ind w:left="1140"/>
              <w:spacing w:after="0"/>
              <w:rPr>
                <w:sz w:val="20"/>
                <w:szCs w:val="20"/>
                <w:color w:val="auto"/>
              </w:rPr>
            </w:pPr>
            <w:r>
              <w:rPr>
                <w:rFonts w:ascii="Arial" w:cs="Arial" w:eastAsia="Arial" w:hAnsi="Arial"/>
                <w:sz w:val="16"/>
                <w:szCs w:val="16"/>
                <w:i w:val="1"/>
                <w:iCs w:val="1"/>
                <w:color w:val="FFFFFF"/>
              </w:rPr>
              <w:t>Joined: 1997</w:t>
            </w:r>
          </w:p>
        </w:tc>
        <w:tc>
          <w:tcPr>
            <w:tcW w:w="3420" w:type="dxa"/>
            <w:vAlign w:val="bottom"/>
          </w:tcPr>
          <w:p>
            <w:pPr>
              <w:ind w:left="100"/>
              <w:spacing w:after="0"/>
              <w:rPr>
                <w:sz w:val="20"/>
                <w:szCs w:val="20"/>
                <w:color w:val="auto"/>
              </w:rPr>
            </w:pPr>
            <w:r>
              <w:rPr>
                <w:rFonts w:ascii="Arial" w:cs="Arial" w:eastAsia="Arial" w:hAnsi="Arial"/>
                <w:sz w:val="16"/>
                <w:szCs w:val="16"/>
                <w:color w:val="FFFFFF"/>
              </w:rPr>
              <w:t>and other administrative functions</w:t>
            </w:r>
          </w:p>
        </w:tc>
        <w:tc>
          <w:tcPr>
            <w:tcW w:w="2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-706755</wp:posOffset>
            </wp:positionV>
            <wp:extent cx="6740525" cy="11398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40525" cy="1139825"/>
                    </a:xfrm>
                    <a:prstGeom prst="rect">
                      <a:avLst/>
                    </a:prstGeom>
                    <a:noFill/>
                  </pic:spPr>
                </pic:pic>
              </a:graphicData>
            </a:graphic>
          </wp:anchor>
        </w:drawing>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EAEFED"/>
        </w:rPr>
        <w:t>Other:</w:t>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6"/>
          <w:szCs w:val="16"/>
          <w:color w:val="FFFFFF"/>
        </w:rPr>
        <w:t>$75,000 cash bonus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Compensation Decisions and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674052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3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No changes were made to Ms. Becker’s target compensation for 2021 given the continuing COVID-related business uncertainties. As part of the Committee’s final 2021 compensation decisions, the Committee awarded Ms. Becker her full bonus and full long-term equity award and, as part of a special bonus allocation that the Company awarded to every employee in the Company other than Mr. Wood, the Committee awarded Ms. Becker a one-time cash bonus of $75,000 in recognition of the extraordinary efforts to manage the Company through the worst of the financial impacts from COVID.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Key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674052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19" w:lineRule="exact"/>
        <w:rPr>
          <w:sz w:val="20"/>
          <w:szCs w:val="20"/>
          <w:color w:val="auto"/>
        </w:rPr>
      </w:pPr>
    </w:p>
    <w:p>
      <w:pPr>
        <w:ind w:left="1420" w:right="200" w:hanging="353"/>
        <w:spacing w:after="0" w:line="247" w:lineRule="auto"/>
        <w:tabs>
          <w:tab w:leader="none" w:pos="142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Led the Company’s environmental, social and governance efforts that included establishing energy and greenhouse gas reduction targets</w:t>
      </w:r>
    </w:p>
    <w:p>
      <w:pPr>
        <w:ind w:left="1420" w:right="180" w:hanging="353"/>
        <w:spacing w:after="0" w:line="247" w:lineRule="auto"/>
        <w:tabs>
          <w:tab w:leader="none" w:pos="142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Led the Company’s corporate sustainability reporting in line with the Global Reporting Initiative (GRI), Task Force on Climate-Related Financial Disclosures (TCFD) and Sustainability Accounting Standards Board (SASB) frameworks</w:t>
      </w:r>
    </w:p>
    <w:p>
      <w:pPr>
        <w:ind w:left="1420" w:right="400" w:hanging="353"/>
        <w:spacing w:after="0" w:line="247" w:lineRule="auto"/>
        <w:tabs>
          <w:tab w:leader="none" w:pos="142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Led the restructuring of the Company that resulted in us converting to an umbrella limited partnership structure to further enhance future acquisition opportunities</w:t>
      </w:r>
    </w:p>
    <w:p>
      <w:pPr>
        <w:ind w:left="1420" w:right="220" w:hanging="353"/>
        <w:spacing w:after="0" w:line="247" w:lineRule="auto"/>
        <w:tabs>
          <w:tab w:leader="none" w:pos="142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Oversaw our diversity, equity and inclusion initiatives that led to 64% of all new hires in 2021 being female and 47% being ethnic or racial minorities</w:t>
      </w:r>
    </w:p>
    <w:p>
      <w:pPr>
        <w:ind w:left="1420" w:right="180" w:hanging="353"/>
        <w:spacing w:after="0" w:line="272" w:lineRule="auto"/>
        <w:tabs>
          <w:tab w:leader="none" w:pos="142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Oversaw continued technology system improvements to drive Company-wide efficiency improvements and enhance overall cyber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-1304290</wp:posOffset>
            </wp:positionV>
            <wp:extent cx="297180" cy="371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7180" cy="37147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POLICIES AND PRACTICES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Compensation Risk Assessment</w:t>
      </w:r>
    </w:p>
    <w:p>
      <w:pPr>
        <w:spacing w:after="0" w:line="2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Based on its review completed in February 2022, the Committee does not believe that our compensation programs encourage unnecessary or excessive risk taking that is reasonably likely to have a material adverse effect on the Company. Incentive compensation for 94% of our employees is provided under our annual bonus plan and/or long-term equity program. The performance metrics under those programs have been established by the Committee and reflect important short-term and longer-term corporate objectives and the Board has in place sufficient controls to ensure that decisions which could have a material adverse impact on the Company cannot be made without Board approval. Our remaining employees earn some or all of their compensation determined by completing leasing transactions or closing acquisitions. Because these employees cannot complete any of those leasing or acquisition deals without first obtaining approvals from either the Board and/or one or more members of senior management whose incentive compensation is tied to corporate performance, this transactionally based compensation does not expose the Company to unnecessary or excessive risk taking. We also have in place the clawback policy described below that allows us to recoup compensation paid to our NEOs on the basis of inaccurate financial statements where that NEO engaged in fraud or grossly negligent misconduct.</w:t>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480"/>
          </w:cols>
          <w:pgMar w:left="740" w:top="266" w:right="6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Equity Ownership Requirements</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Committee believes that ownership in the Company aligns our executives with our shareholders and keeps their focus on achieving the long-term objectives of the Company. To facilitate that objective, we have adopted equity ownership guidelines that require all of our executive vice presidents and above to maintain a specified minimum level of common share ownership in the Company. Each individual has five years to achieve the required level of ownership after becoming subject to the ownership requirement. The minimum ownership requirements currently in place are 7 times base salary for our CEO, 2.5 times base salary plus annual bonus for each of our other NEOs and 2.0 times base salary plus annual bonus for our other executive vice presidents.</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Each of our NEOS and all of our other executive vice presidents were in compliance with our equity ownership requirements as of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Anti-Hedging/Pledging Policy</w:t>
      </w:r>
    </w:p>
    <w:p>
      <w:pPr>
        <w:spacing w:after="0" w:line="230"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All officers and non-employee Trustees are prohibited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Termination and Change-in-Control Arrangements</w:t>
      </w:r>
    </w:p>
    <w:p>
      <w:pPr>
        <w:spacing w:after="0" w:line="230"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We do not have employment agreements in place with a any of our NEOs or any other employee which provides the Committee with maximum flexibility to modify compensation as warranted based on market conditions and Company considerations. We do, however, have in place with each of our NEOs a severance 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NEOs.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Other Benefits</w:t>
      </w:r>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provide other health and welfare benefits to our NEOs on the same basis as we provide those benefits to all employees. These benefits are competitive with those offered by companies with whom we compete for talent and provide another tool that allows us to attract and retain talented executives.</w:t>
      </w:r>
    </w:p>
    <w:p>
      <w:pPr>
        <w:spacing w:after="0" w:line="190"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In addition to those benefits, we provide to Mr. Wood, his spouse and one of his dependents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dependents until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since 2005.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Timing of Equity Grants</w:t>
      </w:r>
    </w:p>
    <w:p>
      <w:pPr>
        <w:spacing w:after="0" w:line="23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Equity awards to our employees under our annual bonus plan and long-term incentive plan described above are made at the Compensation Committee’s meeting that occurs in February of each calendar year. Based on our meeting schedule the past several years, these awards are made before we release financial results for the prior fiscal year. We have no policy that times the granting of equity awards relative to the release of material non-public information. Equity awards to new hires are generally made on the first day on which the employee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20"/>
          </w:cols>
          <w:pgMar w:left="640" w:top="260" w:right="639" w:bottom="1440" w:gutter="0" w:footer="0" w:header="0"/>
        </w:sectPr>
      </w:pPr>
    </w:p>
    <w:bookmarkStart w:id="36" w:name="page37"/>
    <w:bookmarkEnd w:id="36"/>
    <w:p>
      <w:pPr>
        <w:jc w:val="both"/>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2021 were made at the Compensation Committee’s meeting on February 9, 2022 based on the closing price of our shares on the NYSE on that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Tax Deductibility of Executive Compensation</w:t>
      </w:r>
    </w:p>
    <w:p>
      <w:pPr>
        <w:spacing w:after="0" w:line="230"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Section 162(m) of the Internal Revenue Code generally limits deductibility of compensation paid to our NEOs to $1 million. An exception was previously made for qualified performance-based compensation, among other things. The Tax Cuts and Jobs Act of 2017 modified Section 162(m) to, among other things, modify who is subject to the $1 million deduction limit and to eliminate the exception for performance based pay from the $1 million deduction limit starting with tax years ending after December 31, 2017.</w:t>
      </w:r>
    </w:p>
    <w:p>
      <w:pPr>
        <w:spacing w:after="0" w:line="191"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Compensation Committee considered the impact of Section 162(m) in structuring compensation programs; however, the primary focus has always been on creating programs that addressed the needs and objectives of the Company regardless of the impact of Section 162(m). As a result, the Compensation Committee made awards and structured programs that were non-deductible under Section 162(m). Because our awards and compensation programs were not necessarily designed to comply with Section 162(m), the changes to Section 162(m) have not had a material impact on 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Clawback Policy</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Board has adopted a policy that allows us to recover from our NEOs performance based compensation paid to that NEO, including compensation paid under our annual bonus plan and our long-term equity program, in the event that:</w:t>
      </w:r>
    </w:p>
    <w:p>
      <w:pPr>
        <w:spacing w:after="0" w:line="1" w:lineRule="exact"/>
        <w:rPr>
          <w:sz w:val="20"/>
          <w:szCs w:val="20"/>
          <w:color w:val="auto"/>
        </w:rPr>
      </w:pPr>
    </w:p>
    <w:p>
      <w:pPr>
        <w:ind w:left="940" w:hanging="527"/>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issues a restatement of financial results to correct material non-compliance with reporting requirements;</w:t>
      </w:r>
    </w:p>
    <w:p>
      <w:pPr>
        <w:spacing w:after="0" w:line="12" w:lineRule="exact"/>
        <w:rPr>
          <w:rFonts w:ascii="Arial" w:cs="Arial" w:eastAsia="Arial" w:hAnsi="Arial"/>
          <w:sz w:val="17"/>
          <w:szCs w:val="17"/>
          <w:color w:val="auto"/>
        </w:rPr>
      </w:pPr>
    </w:p>
    <w:p>
      <w:pPr>
        <w:ind w:left="940" w:hanging="527"/>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NEO engaged in fraud or grossly negligent misconduct that contributed to the need for the financial restatement; and</w:t>
      </w:r>
    </w:p>
    <w:p>
      <w:pPr>
        <w:spacing w:after="0" w:line="12" w:lineRule="exact"/>
        <w:rPr>
          <w:rFonts w:ascii="Arial" w:cs="Arial" w:eastAsia="Arial" w:hAnsi="Arial"/>
          <w:sz w:val="17"/>
          <w:szCs w:val="17"/>
          <w:color w:val="auto"/>
        </w:rPr>
      </w:pPr>
    </w:p>
    <w:p>
      <w:pPr>
        <w:ind w:left="940" w:right="20" w:hanging="527"/>
        <w:spacing w:after="0" w:line="256"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some or all of the performance based compensation received prior to the restatement would not have been paid based on the restated financial result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FF160F"/>
        </w:rPr>
        <w:t>COMPENSATION COMMITTEE REPORT</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Elizabeth I. Holland, Chairperson</w:t>
      </w:r>
    </w:p>
    <w:p>
      <w:pPr>
        <w:spacing w:after="0"/>
        <w:rPr>
          <w:sz w:val="20"/>
          <w:szCs w:val="20"/>
          <w:color w:val="auto"/>
        </w:rPr>
      </w:pPr>
      <w:r>
        <w:rPr>
          <w:rFonts w:ascii="Arial" w:cs="Arial" w:eastAsia="Arial" w:hAnsi="Arial"/>
          <w:sz w:val="17"/>
          <w:szCs w:val="17"/>
          <w:color w:val="auto"/>
        </w:rPr>
        <w:t>Nicole Y. Lamb-Hale</w:t>
      </w:r>
    </w:p>
    <w:p>
      <w:pPr>
        <w:spacing w:after="0"/>
        <w:rPr>
          <w:sz w:val="20"/>
          <w:szCs w:val="20"/>
          <w:color w:val="auto"/>
        </w:rPr>
      </w:pPr>
      <w:r>
        <w:rPr>
          <w:rFonts w:ascii="Arial" w:cs="Arial" w:eastAsia="Arial" w:hAnsi="Arial"/>
          <w:sz w:val="17"/>
          <w:szCs w:val="17"/>
          <w:color w:val="auto"/>
        </w:rPr>
        <w:t>Mark S. Ordan</w:t>
      </w:r>
    </w:p>
    <w:p>
      <w:pPr>
        <w:spacing w:after="0"/>
        <w:rPr>
          <w:sz w:val="20"/>
          <w:szCs w:val="20"/>
          <w:color w:val="auto"/>
        </w:rPr>
      </w:pPr>
      <w:r>
        <w:rPr>
          <w:rFonts w:ascii="Arial" w:cs="Arial" w:eastAsia="Arial" w:hAnsi="Arial"/>
          <w:sz w:val="17"/>
          <w:szCs w:val="17"/>
          <w:color w:val="auto"/>
        </w:rPr>
        <w:t>Gail P. Steinel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20"/>
          </w:cols>
          <w:pgMar w:left="640" w:top="282" w:right="639" w:bottom="1440" w:gutter="0" w:footer="0" w:header="0"/>
        </w:sectPr>
      </w:pPr>
    </w:p>
    <w:bookmarkStart w:id="37" w:name="page38"/>
    <w:bookmarkEnd w:id="37"/>
    <w:p>
      <w:pPr>
        <w:ind w:left="10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212725</wp:posOffset>
            </wp:positionV>
            <wp:extent cx="674052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0525" cy="33020"/>
                    </a:xfrm>
                    <a:prstGeom prst="rect">
                      <a:avLst/>
                    </a:prstGeom>
                    <a:noFill/>
                  </pic:spPr>
                </pic:pic>
              </a:graphicData>
            </a:graphic>
          </wp:anchor>
        </w:drawing>
        <w:t>Executive Compensation</w:t>
      </w:r>
    </w:p>
    <w:p>
      <w:pPr>
        <w:spacing w:after="0" w:line="22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Summary Compensation Table</w:t>
      </w:r>
    </w:p>
    <w:p>
      <w:pPr>
        <w:spacing w:after="0" w:line="230" w:lineRule="exact"/>
        <w:rPr>
          <w:sz w:val="20"/>
          <w:szCs w:val="20"/>
          <w:color w:val="auto"/>
        </w:rPr>
      </w:pPr>
    </w:p>
    <w:p>
      <w:pPr>
        <w:ind w:left="4" w:right="20"/>
        <w:spacing w:after="0" w:line="256" w:lineRule="auto"/>
        <w:rPr>
          <w:sz w:val="20"/>
          <w:szCs w:val="20"/>
          <w:color w:val="auto"/>
        </w:rPr>
      </w:pPr>
      <w:r>
        <w:rPr>
          <w:rFonts w:ascii="Arial" w:cs="Arial" w:eastAsia="Arial" w:hAnsi="Arial"/>
          <w:sz w:val="17"/>
          <w:szCs w:val="17"/>
          <w:color w:val="auto"/>
        </w:rPr>
        <w:t>The table below summarizes the total compensation earned by or paid to the individuals who were NEOs for the fiscal years ended December 31, 2021, 2020 and 2019. All amounts are calculated in accordance with current SEC rules.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56"/>
        </w:trPr>
        <w:tc>
          <w:tcPr>
            <w:tcW w:w="3660" w:type="dxa"/>
            <w:vAlign w:val="bottom"/>
            <w:shd w:val="clear" w:color="auto" w:fill="000000"/>
          </w:tcPr>
          <w:p>
            <w:pPr>
              <w:spacing w:after="0"/>
              <w:rPr>
                <w:sz w:val="13"/>
                <w:szCs w:val="13"/>
                <w:color w:val="auto"/>
              </w:rPr>
            </w:pPr>
          </w:p>
        </w:tc>
        <w:tc>
          <w:tcPr>
            <w:tcW w:w="44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640" w:type="dxa"/>
            <w:vAlign w:val="bottom"/>
            <w:shd w:val="clear" w:color="auto" w:fill="000000"/>
          </w:tcPr>
          <w:p>
            <w:pPr>
              <w:spacing w:after="0"/>
              <w:rPr>
                <w:sz w:val="13"/>
                <w:szCs w:val="13"/>
                <w:color w:val="auto"/>
              </w:rPr>
            </w:pPr>
          </w:p>
        </w:tc>
        <w:tc>
          <w:tcPr>
            <w:tcW w:w="300" w:type="dxa"/>
            <w:vAlign w:val="bottom"/>
            <w:shd w:val="clear" w:color="auto" w:fill="000000"/>
          </w:tcPr>
          <w:p>
            <w:pPr>
              <w:spacing w:after="0"/>
              <w:rPr>
                <w:sz w:val="13"/>
                <w:szCs w:val="13"/>
                <w:color w:val="auto"/>
              </w:rPr>
            </w:pPr>
          </w:p>
        </w:tc>
        <w:tc>
          <w:tcPr>
            <w:tcW w:w="780" w:type="dxa"/>
            <w:vAlign w:val="bottom"/>
            <w:shd w:val="clear" w:color="auto" w:fill="000000"/>
          </w:tcPr>
          <w:p>
            <w:pPr>
              <w:spacing w:after="0"/>
              <w:rPr>
                <w:sz w:val="13"/>
                <w:szCs w:val="13"/>
                <w:color w:val="auto"/>
              </w:rPr>
            </w:pPr>
          </w:p>
        </w:tc>
        <w:tc>
          <w:tcPr>
            <w:tcW w:w="1400" w:type="dxa"/>
            <w:vAlign w:val="bottom"/>
            <w:gridSpan w:val="2"/>
            <w:shd w:val="clear" w:color="auto" w:fill="000000"/>
          </w:tcPr>
          <w:p>
            <w:pPr>
              <w:ind w:left="100"/>
              <w:spacing w:after="0"/>
              <w:rPr>
                <w:sz w:val="20"/>
                <w:szCs w:val="20"/>
                <w:color w:val="auto"/>
              </w:rPr>
            </w:pPr>
            <w:r>
              <w:rPr>
                <w:rFonts w:ascii="Arial" w:cs="Arial" w:eastAsia="Arial" w:hAnsi="Arial"/>
                <w:sz w:val="12"/>
                <w:szCs w:val="12"/>
                <w:b w:val="1"/>
                <w:bCs w:val="1"/>
                <w:color w:val="EAEFED"/>
              </w:rPr>
              <w:t>Non-Equity Incentive</w:t>
            </w:r>
          </w:p>
        </w:tc>
        <w:tc>
          <w:tcPr>
            <w:tcW w:w="340" w:type="dxa"/>
            <w:vAlign w:val="bottom"/>
            <w:shd w:val="clear" w:color="auto" w:fill="000000"/>
          </w:tcPr>
          <w:p>
            <w:pPr>
              <w:spacing w:after="0"/>
              <w:rPr>
                <w:sz w:val="13"/>
                <w:szCs w:val="13"/>
                <w:color w:val="auto"/>
              </w:rPr>
            </w:pPr>
          </w:p>
        </w:tc>
        <w:tc>
          <w:tcPr>
            <w:tcW w:w="780" w:type="dxa"/>
            <w:vAlign w:val="bottom"/>
            <w:shd w:val="clear" w:color="auto" w:fill="000000"/>
          </w:tcPr>
          <w:p>
            <w:pPr>
              <w:jc w:val="right"/>
              <w:ind w:right="19"/>
              <w:spacing w:after="0"/>
              <w:rPr>
                <w:sz w:val="20"/>
                <w:szCs w:val="20"/>
                <w:color w:val="auto"/>
              </w:rPr>
            </w:pPr>
            <w:r>
              <w:rPr>
                <w:rFonts w:ascii="Arial" w:cs="Arial" w:eastAsia="Arial" w:hAnsi="Arial"/>
                <w:sz w:val="12"/>
                <w:szCs w:val="12"/>
                <w:b w:val="1"/>
                <w:bCs w:val="1"/>
                <w:color w:val="EAEFED"/>
              </w:rPr>
              <w:t>All Other</w:t>
            </w:r>
          </w:p>
        </w:tc>
        <w:tc>
          <w:tcPr>
            <w:tcW w:w="240" w:type="dxa"/>
            <w:vAlign w:val="bottom"/>
            <w:shd w:val="clear" w:color="auto" w:fill="000000"/>
          </w:tcPr>
          <w:p>
            <w:pPr>
              <w:spacing w:after="0"/>
              <w:rPr>
                <w:sz w:val="13"/>
                <w:szCs w:val="13"/>
                <w:color w:val="auto"/>
              </w:rPr>
            </w:pPr>
          </w:p>
        </w:tc>
        <w:tc>
          <w:tcPr>
            <w:tcW w:w="840" w:type="dxa"/>
            <w:vAlign w:val="bottom"/>
            <w:shd w:val="clear" w:color="auto" w:fill="000000"/>
          </w:tcPr>
          <w:p>
            <w:pPr>
              <w:spacing w:after="0"/>
              <w:rPr>
                <w:sz w:val="13"/>
                <w:szCs w:val="13"/>
                <w:color w:val="auto"/>
              </w:rPr>
            </w:pPr>
          </w:p>
        </w:tc>
      </w:tr>
      <w:tr>
        <w:trPr>
          <w:trHeight w:val="188"/>
        </w:trPr>
        <w:tc>
          <w:tcPr>
            <w:tcW w:w="366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2"/>
                <w:szCs w:val="12"/>
                <w:b w:val="1"/>
                <w:bCs w:val="1"/>
                <w:color w:val="EAEFED"/>
              </w:rPr>
              <w:t>Name and Principal Position</w:t>
            </w:r>
          </w:p>
        </w:tc>
        <w:tc>
          <w:tcPr>
            <w:tcW w:w="440" w:type="dxa"/>
            <w:vAlign w:val="bottom"/>
            <w:tcBorders>
              <w:bottom w:val="single" w:sz="8" w:color="auto"/>
            </w:tcBorders>
            <w:shd w:val="clear" w:color="auto" w:fill="000000"/>
          </w:tcPr>
          <w:p>
            <w:pPr>
              <w:ind w:left="120"/>
              <w:spacing w:after="0"/>
              <w:rPr>
                <w:sz w:val="20"/>
                <w:szCs w:val="20"/>
                <w:color w:val="auto"/>
              </w:rPr>
            </w:pPr>
            <w:r>
              <w:rPr>
                <w:rFonts w:ascii="Arial" w:cs="Arial" w:eastAsia="Arial" w:hAnsi="Arial"/>
                <w:sz w:val="12"/>
                <w:szCs w:val="12"/>
                <w:b w:val="1"/>
                <w:bCs w:val="1"/>
                <w:color w:val="EAEFED"/>
              </w:rPr>
              <w:t>Year</w:t>
            </w:r>
          </w:p>
        </w:tc>
        <w:tc>
          <w:tcPr>
            <w:tcW w:w="220" w:type="dxa"/>
            <w:vAlign w:val="bottom"/>
            <w:tcBorders>
              <w:bottom w:val="single" w:sz="8" w:color="auto"/>
            </w:tcBorders>
            <w:shd w:val="clear" w:color="auto" w:fill="000000"/>
          </w:tcPr>
          <w:p>
            <w:pPr>
              <w:spacing w:after="0"/>
              <w:rPr>
                <w:sz w:val="16"/>
                <w:szCs w:val="16"/>
                <w:color w:val="auto"/>
              </w:rPr>
            </w:pPr>
          </w:p>
        </w:tc>
        <w:tc>
          <w:tcPr>
            <w:tcW w:w="760" w:type="dxa"/>
            <w:vAlign w:val="bottom"/>
            <w:tcBorders>
              <w:bottom w:val="single" w:sz="8" w:color="auto"/>
            </w:tcBorders>
            <w:shd w:val="clear" w:color="auto" w:fill="000000"/>
          </w:tcPr>
          <w:p>
            <w:pPr>
              <w:jc w:val="right"/>
              <w:ind w:right="159"/>
              <w:spacing w:after="0"/>
              <w:rPr>
                <w:sz w:val="20"/>
                <w:szCs w:val="20"/>
                <w:color w:val="auto"/>
              </w:rPr>
            </w:pPr>
            <w:r>
              <w:rPr>
                <w:rFonts w:ascii="Arial" w:cs="Arial" w:eastAsia="Arial" w:hAnsi="Arial"/>
                <w:sz w:val="12"/>
                <w:szCs w:val="12"/>
                <w:b w:val="1"/>
                <w:bCs w:val="1"/>
                <w:color w:val="EAEFED"/>
              </w:rPr>
              <w:t>Salary</w:t>
            </w:r>
            <w:r>
              <w:rPr>
                <w:rFonts w:ascii="Arial" w:cs="Arial" w:eastAsia="Arial" w:hAnsi="Arial"/>
                <w:sz w:val="10"/>
                <w:szCs w:val="10"/>
                <w:b w:val="1"/>
                <w:bCs w:val="1"/>
                <w:color w:val="EAEFED"/>
              </w:rPr>
              <w:t>(1)</w:t>
            </w:r>
          </w:p>
        </w:tc>
        <w:tc>
          <w:tcPr>
            <w:tcW w:w="220" w:type="dxa"/>
            <w:vAlign w:val="bottom"/>
            <w:tcBorders>
              <w:bottom w:val="single" w:sz="8" w:color="auto"/>
            </w:tcBorders>
            <w:shd w:val="clear" w:color="auto" w:fill="000000"/>
          </w:tcPr>
          <w:p>
            <w:pPr>
              <w:spacing w:after="0"/>
              <w:rPr>
                <w:sz w:val="16"/>
                <w:szCs w:val="16"/>
                <w:color w:val="auto"/>
              </w:rPr>
            </w:pPr>
          </w:p>
        </w:tc>
        <w:tc>
          <w:tcPr>
            <w:tcW w:w="6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2"/>
                <w:szCs w:val="12"/>
                <w:b w:val="1"/>
                <w:bCs w:val="1"/>
                <w:color w:val="EAEFED"/>
              </w:rPr>
              <w:t>Bonus</w:t>
            </w:r>
            <w:r>
              <w:rPr>
                <w:rFonts w:ascii="Arial" w:cs="Arial" w:eastAsia="Arial" w:hAnsi="Arial"/>
                <w:sz w:val="10"/>
                <w:szCs w:val="10"/>
                <w:b w:val="1"/>
                <w:bCs w:val="1"/>
                <w:color w:val="EAEFED"/>
              </w:rPr>
              <w:t>(2)</w:t>
            </w:r>
          </w:p>
        </w:tc>
        <w:tc>
          <w:tcPr>
            <w:tcW w:w="1080" w:type="dxa"/>
            <w:vAlign w:val="bottom"/>
            <w:tcBorders>
              <w:bottom w:val="single" w:sz="8" w:color="auto"/>
            </w:tcBorders>
            <w:gridSpan w:val="2"/>
            <w:shd w:val="clear" w:color="auto" w:fill="000000"/>
          </w:tcPr>
          <w:p>
            <w:pPr>
              <w:ind w:left="80"/>
              <w:spacing w:after="0"/>
              <w:rPr>
                <w:sz w:val="20"/>
                <w:szCs w:val="20"/>
                <w:color w:val="auto"/>
              </w:rPr>
            </w:pPr>
            <w:r>
              <w:rPr>
                <w:rFonts w:ascii="Arial" w:cs="Arial" w:eastAsia="Arial" w:hAnsi="Arial"/>
                <w:sz w:val="12"/>
                <w:szCs w:val="12"/>
                <w:b w:val="1"/>
                <w:bCs w:val="1"/>
                <w:color w:val="EAEFED"/>
              </w:rPr>
              <w:t>Stock Awards</w:t>
            </w:r>
            <w:r>
              <w:rPr>
                <w:rFonts w:ascii="Arial" w:cs="Arial" w:eastAsia="Arial" w:hAnsi="Arial"/>
                <w:sz w:val="10"/>
                <w:szCs w:val="10"/>
                <w:b w:val="1"/>
                <w:bCs w:val="1"/>
                <w:color w:val="EAEFED"/>
              </w:rPr>
              <w:t>(3)</w:t>
            </w:r>
          </w:p>
        </w:tc>
        <w:tc>
          <w:tcPr>
            <w:tcW w:w="1400" w:type="dxa"/>
            <w:vAlign w:val="bottom"/>
            <w:tcBorders>
              <w:bottom w:val="single" w:sz="8" w:color="auto"/>
            </w:tcBorders>
            <w:gridSpan w:val="2"/>
            <w:shd w:val="clear" w:color="auto" w:fill="000000"/>
          </w:tcPr>
          <w:p>
            <w:pPr>
              <w:ind w:left="60"/>
              <w:spacing w:after="0"/>
              <w:rPr>
                <w:sz w:val="20"/>
                <w:szCs w:val="20"/>
                <w:color w:val="auto"/>
              </w:rPr>
            </w:pPr>
            <w:r>
              <w:rPr>
                <w:rFonts w:ascii="Arial" w:cs="Arial" w:eastAsia="Arial" w:hAnsi="Arial"/>
                <w:sz w:val="12"/>
                <w:szCs w:val="12"/>
                <w:b w:val="1"/>
                <w:bCs w:val="1"/>
                <w:color w:val="EAEFED"/>
              </w:rPr>
              <w:t>Plan Compensation</w:t>
            </w:r>
            <w:r>
              <w:rPr>
                <w:rFonts w:ascii="Arial" w:cs="Arial" w:eastAsia="Arial" w:hAnsi="Arial"/>
                <w:sz w:val="10"/>
                <w:szCs w:val="10"/>
                <w:b w:val="1"/>
                <w:bCs w:val="1"/>
                <w:color w:val="EAEFED"/>
              </w:rPr>
              <w:t>(4)</w:t>
            </w:r>
          </w:p>
        </w:tc>
        <w:tc>
          <w:tcPr>
            <w:tcW w:w="1120" w:type="dxa"/>
            <w:vAlign w:val="bottom"/>
            <w:tcBorders>
              <w:bottom w:val="single" w:sz="8" w:color="auto"/>
            </w:tcBorders>
            <w:gridSpan w:val="2"/>
            <w:shd w:val="clear" w:color="auto" w:fill="000000"/>
          </w:tcPr>
          <w:p>
            <w:pPr>
              <w:ind w:left="80"/>
              <w:spacing w:after="0"/>
              <w:rPr>
                <w:sz w:val="20"/>
                <w:szCs w:val="20"/>
                <w:color w:val="auto"/>
              </w:rPr>
            </w:pPr>
            <w:r>
              <w:rPr>
                <w:rFonts w:ascii="Arial" w:cs="Arial" w:eastAsia="Arial" w:hAnsi="Arial"/>
                <w:sz w:val="12"/>
                <w:szCs w:val="12"/>
                <w:b w:val="1"/>
                <w:bCs w:val="1"/>
                <w:color w:val="EAEFED"/>
              </w:rPr>
              <w:t>Compensation</w:t>
            </w:r>
            <w:r>
              <w:rPr>
                <w:rFonts w:ascii="Arial" w:cs="Arial" w:eastAsia="Arial" w:hAnsi="Arial"/>
                <w:sz w:val="10"/>
                <w:szCs w:val="10"/>
                <w:b w:val="1"/>
                <w:bCs w:val="1"/>
                <w:color w:val="EAEFED"/>
              </w:rPr>
              <w:t>(5)</w:t>
            </w:r>
          </w:p>
        </w:tc>
        <w:tc>
          <w:tcPr>
            <w:tcW w:w="240" w:type="dxa"/>
            <w:vAlign w:val="bottom"/>
            <w:tcBorders>
              <w:bottom w:val="single" w:sz="8" w:color="auto"/>
            </w:tcBorders>
            <w:shd w:val="clear" w:color="auto" w:fill="000000"/>
          </w:tcPr>
          <w:p>
            <w:pPr>
              <w:spacing w:after="0"/>
              <w:rPr>
                <w:sz w:val="16"/>
                <w:szCs w:val="16"/>
                <w:color w:val="auto"/>
              </w:rPr>
            </w:pPr>
          </w:p>
        </w:tc>
        <w:tc>
          <w:tcPr>
            <w:tcW w:w="840" w:type="dxa"/>
            <w:vAlign w:val="bottom"/>
            <w:tcBorders>
              <w:bottom w:val="single" w:sz="8" w:color="auto"/>
            </w:tcBorders>
            <w:shd w:val="clear" w:color="auto" w:fill="000000"/>
          </w:tcPr>
          <w:p>
            <w:pPr>
              <w:jc w:val="right"/>
              <w:ind w:right="19"/>
              <w:spacing w:after="0"/>
              <w:rPr>
                <w:sz w:val="20"/>
                <w:szCs w:val="20"/>
                <w:color w:val="auto"/>
              </w:rPr>
            </w:pPr>
            <w:r>
              <w:rPr>
                <w:rFonts w:ascii="Arial" w:cs="Arial" w:eastAsia="Arial" w:hAnsi="Arial"/>
                <w:sz w:val="12"/>
                <w:szCs w:val="12"/>
                <w:b w:val="1"/>
                <w:bCs w:val="1"/>
                <w:color w:val="EAEFED"/>
              </w:rPr>
              <w:t>Total</w:t>
            </w:r>
          </w:p>
        </w:tc>
      </w:tr>
      <w:tr>
        <w:trPr>
          <w:trHeight w:val="166"/>
        </w:trPr>
        <w:tc>
          <w:tcPr>
            <w:tcW w:w="3660" w:type="dxa"/>
            <w:vAlign w:val="bottom"/>
            <w:shd w:val="clear" w:color="auto" w:fill="D8D8D8"/>
          </w:tcPr>
          <w:p>
            <w:pPr>
              <w:spacing w:after="0"/>
              <w:rPr>
                <w:sz w:val="20"/>
                <w:szCs w:val="20"/>
                <w:color w:val="auto"/>
              </w:rPr>
            </w:pPr>
            <w:r>
              <w:rPr>
                <w:rFonts w:ascii="Arial" w:cs="Arial" w:eastAsia="Arial" w:hAnsi="Arial"/>
                <w:sz w:val="12"/>
                <w:szCs w:val="12"/>
                <w:color w:val="auto"/>
              </w:rPr>
              <w:t>Donald C. Wood, Chief Executive Officer (PEO)</w:t>
            </w:r>
          </w:p>
        </w:tc>
        <w:tc>
          <w:tcPr>
            <w:tcW w:w="440" w:type="dxa"/>
            <w:vAlign w:val="bottom"/>
          </w:tcPr>
          <w:p>
            <w:pPr>
              <w:ind w:left="140"/>
              <w:spacing w:after="0"/>
              <w:rPr>
                <w:sz w:val="20"/>
                <w:szCs w:val="20"/>
                <w:color w:val="auto"/>
              </w:rPr>
            </w:pPr>
            <w:r>
              <w:rPr>
                <w:rFonts w:ascii="Arial" w:cs="Arial" w:eastAsia="Arial" w:hAnsi="Arial"/>
                <w:sz w:val="12"/>
                <w:szCs w:val="12"/>
                <w:color w:val="auto"/>
              </w:rPr>
              <w:t>2021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950,000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5,213,719</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1,335,938</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21,260</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7,520,917</w:t>
            </w:r>
          </w:p>
        </w:tc>
      </w:tr>
      <w:tr>
        <w:trPr>
          <w:trHeight w:val="195"/>
        </w:trPr>
        <w:tc>
          <w:tcPr>
            <w:tcW w:w="3660" w:type="dxa"/>
            <w:vAlign w:val="bottom"/>
            <w:shd w:val="clear" w:color="auto" w:fill="D8D8D8"/>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2"/>
                <w:szCs w:val="12"/>
                <w:color w:val="auto"/>
              </w:rPr>
              <w:t>2020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950,000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5,830,493</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534,375</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166,928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7,481,796</w:t>
            </w:r>
          </w:p>
        </w:tc>
      </w:tr>
      <w:tr>
        <w:trPr>
          <w:trHeight w:val="204"/>
        </w:trPr>
        <w:tc>
          <w:tcPr>
            <w:tcW w:w="3660" w:type="dxa"/>
            <w:vAlign w:val="bottom"/>
            <w:tcBorders>
              <w:bottom w:val="single" w:sz="8" w:color="auto"/>
            </w:tcBorders>
            <w:shd w:val="clear" w:color="auto" w:fill="D8D8D8"/>
          </w:tcPr>
          <w:p>
            <w:pPr>
              <w:spacing w:after="0"/>
              <w:rPr>
                <w:sz w:val="17"/>
                <w:szCs w:val="17"/>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2019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950,000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5,534,437</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1,128,125</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18,296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7,630,858</w:t>
            </w:r>
          </w:p>
        </w:tc>
      </w:tr>
      <w:tr>
        <w:trPr>
          <w:trHeight w:val="153"/>
        </w:trPr>
        <w:tc>
          <w:tcPr>
            <w:tcW w:w="3660" w:type="dxa"/>
            <w:vAlign w:val="bottom"/>
            <w:shd w:val="clear" w:color="auto" w:fill="D8D8D8"/>
          </w:tcPr>
          <w:p>
            <w:pPr>
              <w:spacing w:after="0"/>
              <w:rPr>
                <w:sz w:val="20"/>
                <w:szCs w:val="20"/>
                <w:color w:val="auto"/>
              </w:rPr>
            </w:pPr>
            <w:r>
              <w:rPr>
                <w:rFonts w:ascii="Arial" w:cs="Arial" w:eastAsia="Arial" w:hAnsi="Arial"/>
                <w:sz w:val="12"/>
                <w:szCs w:val="12"/>
                <w:color w:val="auto"/>
              </w:rPr>
              <w:t>Jeffrey S. Berkes, President and Chief Operating Officer</w:t>
            </w:r>
          </w:p>
        </w:tc>
        <w:tc>
          <w:tcPr>
            <w:tcW w:w="440" w:type="dxa"/>
            <w:vAlign w:val="bottom"/>
          </w:tcPr>
          <w:p>
            <w:pPr>
              <w:ind w:left="140"/>
              <w:spacing w:after="0"/>
              <w:rPr>
                <w:sz w:val="20"/>
                <w:szCs w:val="20"/>
                <w:color w:val="auto"/>
              </w:rPr>
            </w:pPr>
            <w:r>
              <w:rPr>
                <w:rFonts w:ascii="Arial" w:cs="Arial" w:eastAsia="Arial" w:hAnsi="Arial"/>
                <w:sz w:val="12"/>
                <w:szCs w:val="12"/>
                <w:color w:val="auto"/>
              </w:rPr>
              <w:t>2021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575,000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75,000</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3,131,027</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539,063</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14,486</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4,334,576</w:t>
            </w:r>
          </w:p>
        </w:tc>
      </w:tr>
      <w:tr>
        <w:trPr>
          <w:trHeight w:val="380"/>
        </w:trPr>
        <w:tc>
          <w:tcPr>
            <w:tcW w:w="3660" w:type="dxa"/>
            <w:vAlign w:val="bottom"/>
            <w:tcBorders>
              <w:bottom w:val="single" w:sz="8" w:color="auto"/>
            </w:tcBorders>
            <w:shd w:val="clear" w:color="auto" w:fill="D8D8D8"/>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30"/>
        </w:trPr>
        <w:tc>
          <w:tcPr>
            <w:tcW w:w="3660" w:type="dxa"/>
            <w:vAlign w:val="bottom"/>
            <w:shd w:val="clear" w:color="auto" w:fill="D8D8D8"/>
          </w:tcPr>
          <w:p>
            <w:pPr>
              <w:spacing w:after="0" w:line="130" w:lineRule="exact"/>
              <w:rPr>
                <w:sz w:val="20"/>
                <w:szCs w:val="20"/>
                <w:color w:val="auto"/>
              </w:rPr>
            </w:pPr>
            <w:r>
              <w:rPr>
                <w:rFonts w:ascii="Arial" w:cs="Arial" w:eastAsia="Arial" w:hAnsi="Arial"/>
                <w:sz w:val="12"/>
                <w:szCs w:val="12"/>
                <w:color w:val="auto"/>
              </w:rPr>
              <w:t>Daniel Guglielmone, Executive Vice President-Chief</w:t>
            </w:r>
          </w:p>
        </w:tc>
        <w:tc>
          <w:tcPr>
            <w:tcW w:w="440" w:type="dxa"/>
            <w:vAlign w:val="bottom"/>
          </w:tcPr>
          <w:p>
            <w:pPr>
              <w:ind w:left="140"/>
              <w:spacing w:after="0" w:line="130" w:lineRule="exact"/>
              <w:rPr>
                <w:sz w:val="20"/>
                <w:szCs w:val="20"/>
                <w:color w:val="auto"/>
              </w:rPr>
            </w:pPr>
            <w:r>
              <w:rPr>
                <w:rFonts w:ascii="Arial" w:cs="Arial" w:eastAsia="Arial" w:hAnsi="Arial"/>
                <w:sz w:val="12"/>
                <w:szCs w:val="12"/>
                <w:color w:val="auto"/>
              </w:rPr>
              <w:t>2021</w:t>
            </w:r>
          </w:p>
        </w:tc>
        <w:tc>
          <w:tcPr>
            <w:tcW w:w="2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line="130" w:lineRule="exact"/>
              <w:rPr>
                <w:sz w:val="20"/>
                <w:szCs w:val="20"/>
                <w:color w:val="auto"/>
              </w:rPr>
            </w:pPr>
            <w:r>
              <w:rPr>
                <w:rFonts w:ascii="Arial" w:cs="Arial" w:eastAsia="Arial" w:hAnsi="Arial"/>
                <w:sz w:val="12"/>
                <w:szCs w:val="12"/>
                <w:color w:val="auto"/>
              </w:rPr>
              <w:t>500,000</w:t>
            </w:r>
          </w:p>
        </w:tc>
        <w:tc>
          <w:tcPr>
            <w:tcW w:w="220" w:type="dxa"/>
            <w:vAlign w:val="bottom"/>
          </w:tcPr>
          <w:p>
            <w:pPr>
              <w:jc w:val="right"/>
              <w:ind w:right="19"/>
              <w:spacing w:after="0" w:line="130"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0" w:lineRule="exact"/>
              <w:rPr>
                <w:sz w:val="20"/>
                <w:szCs w:val="20"/>
                <w:color w:val="auto"/>
              </w:rPr>
            </w:pPr>
            <w:r>
              <w:rPr>
                <w:rFonts w:ascii="Arial" w:cs="Arial" w:eastAsia="Arial" w:hAnsi="Arial"/>
                <w:sz w:val="12"/>
                <w:szCs w:val="12"/>
                <w:color w:val="auto"/>
              </w:rPr>
              <w:t>75,000</w:t>
            </w:r>
          </w:p>
        </w:tc>
        <w:tc>
          <w:tcPr>
            <w:tcW w:w="300" w:type="dxa"/>
            <w:vAlign w:val="bottom"/>
          </w:tcPr>
          <w:p>
            <w:pPr>
              <w:ind w:left="80"/>
              <w:spacing w:after="0" w:line="130"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line="130" w:lineRule="exact"/>
              <w:rPr>
                <w:sz w:val="20"/>
                <w:szCs w:val="20"/>
                <w:color w:val="auto"/>
              </w:rPr>
            </w:pPr>
            <w:r>
              <w:rPr>
                <w:rFonts w:ascii="Arial" w:cs="Arial" w:eastAsia="Arial" w:hAnsi="Arial"/>
                <w:sz w:val="12"/>
                <w:szCs w:val="12"/>
                <w:color w:val="auto"/>
              </w:rPr>
              <w:t>1,900,046</w:t>
            </w:r>
          </w:p>
        </w:tc>
        <w:tc>
          <w:tcPr>
            <w:tcW w:w="460" w:type="dxa"/>
            <w:vAlign w:val="bottom"/>
          </w:tcPr>
          <w:p>
            <w:pPr>
              <w:ind w:left="60"/>
              <w:spacing w:after="0" w:line="130"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line="130" w:lineRule="exact"/>
              <w:rPr>
                <w:sz w:val="20"/>
                <w:szCs w:val="20"/>
                <w:color w:val="auto"/>
              </w:rPr>
            </w:pPr>
            <w:r>
              <w:rPr>
                <w:rFonts w:ascii="Arial" w:cs="Arial" w:eastAsia="Arial" w:hAnsi="Arial"/>
                <w:sz w:val="12"/>
                <w:szCs w:val="12"/>
                <w:color w:val="auto"/>
              </w:rPr>
              <w:t>468,750</w:t>
            </w:r>
          </w:p>
        </w:tc>
        <w:tc>
          <w:tcPr>
            <w:tcW w:w="340" w:type="dxa"/>
            <w:vAlign w:val="bottom"/>
          </w:tcPr>
          <w:p>
            <w:pPr>
              <w:ind w:left="80"/>
              <w:spacing w:after="0" w:line="130"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line="130" w:lineRule="exact"/>
              <w:rPr>
                <w:sz w:val="20"/>
                <w:szCs w:val="20"/>
                <w:color w:val="auto"/>
              </w:rPr>
            </w:pPr>
            <w:r>
              <w:rPr>
                <w:rFonts w:ascii="Arial" w:cs="Arial" w:eastAsia="Arial" w:hAnsi="Arial"/>
                <w:sz w:val="12"/>
                <w:szCs w:val="12"/>
                <w:color w:val="auto"/>
              </w:rPr>
              <w:t>11,427</w:t>
            </w:r>
          </w:p>
        </w:tc>
        <w:tc>
          <w:tcPr>
            <w:tcW w:w="240" w:type="dxa"/>
            <w:vAlign w:val="bottom"/>
          </w:tcPr>
          <w:p>
            <w:pPr>
              <w:jc w:val="right"/>
              <w:ind w:right="39"/>
              <w:spacing w:after="0" w:line="130"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line="130" w:lineRule="exact"/>
              <w:rPr>
                <w:sz w:val="20"/>
                <w:szCs w:val="20"/>
                <w:color w:val="auto"/>
              </w:rPr>
            </w:pPr>
            <w:r>
              <w:rPr>
                <w:rFonts w:ascii="Arial" w:cs="Arial" w:eastAsia="Arial" w:hAnsi="Arial"/>
                <w:sz w:val="12"/>
                <w:szCs w:val="12"/>
                <w:color w:val="auto"/>
              </w:rPr>
              <w:t>2,955,223</w:t>
            </w:r>
          </w:p>
        </w:tc>
      </w:tr>
      <w:tr>
        <w:trPr>
          <w:trHeight w:val="159"/>
        </w:trPr>
        <w:tc>
          <w:tcPr>
            <w:tcW w:w="3660" w:type="dxa"/>
            <w:vAlign w:val="bottom"/>
            <w:shd w:val="clear" w:color="auto" w:fill="D8D8D8"/>
          </w:tcPr>
          <w:p>
            <w:pPr>
              <w:spacing w:after="0"/>
              <w:rPr>
                <w:sz w:val="20"/>
                <w:szCs w:val="20"/>
                <w:color w:val="auto"/>
              </w:rPr>
            </w:pPr>
            <w:r>
              <w:rPr>
                <w:rFonts w:ascii="Arial" w:cs="Arial" w:eastAsia="Arial" w:hAnsi="Arial"/>
                <w:sz w:val="12"/>
                <w:szCs w:val="12"/>
                <w:color w:val="auto"/>
              </w:rPr>
              <w:t>Financial Officer and Treasurer (PFO)</w:t>
            </w:r>
          </w:p>
        </w:tc>
        <w:tc>
          <w:tcPr>
            <w:tcW w:w="440" w:type="dxa"/>
            <w:vAlign w:val="bottom"/>
          </w:tcPr>
          <w:p>
            <w:pPr>
              <w:ind w:left="140"/>
              <w:spacing w:after="0"/>
              <w:rPr>
                <w:sz w:val="20"/>
                <w:szCs w:val="20"/>
                <w:color w:val="auto"/>
              </w:rPr>
            </w:pPr>
            <w:r>
              <w:rPr>
                <w:rFonts w:ascii="Arial" w:cs="Arial" w:eastAsia="Arial" w:hAnsi="Arial"/>
                <w:sz w:val="12"/>
                <w:szCs w:val="12"/>
                <w:color w:val="auto"/>
              </w:rPr>
              <w:t>2020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500,000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968,270</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281,250</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236,818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1,986,338</w:t>
            </w:r>
          </w:p>
        </w:tc>
      </w:tr>
      <w:tr>
        <w:trPr>
          <w:trHeight w:val="204"/>
        </w:trPr>
        <w:tc>
          <w:tcPr>
            <w:tcW w:w="3660" w:type="dxa"/>
            <w:vAlign w:val="bottom"/>
            <w:tcBorders>
              <w:bottom w:val="single" w:sz="8" w:color="auto"/>
            </w:tcBorders>
            <w:shd w:val="clear" w:color="auto" w:fill="D8D8D8"/>
          </w:tcPr>
          <w:p>
            <w:pPr>
              <w:spacing w:after="0"/>
              <w:rPr>
                <w:sz w:val="17"/>
                <w:szCs w:val="17"/>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2019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500,000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900,012</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395,833</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9,728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1,805,573</w:t>
            </w:r>
          </w:p>
        </w:tc>
      </w:tr>
      <w:tr>
        <w:trPr>
          <w:trHeight w:val="137"/>
        </w:trPr>
        <w:tc>
          <w:tcPr>
            <w:tcW w:w="3660" w:type="dxa"/>
            <w:vAlign w:val="bottom"/>
            <w:shd w:val="clear" w:color="auto" w:fill="D8D8D8"/>
          </w:tcPr>
          <w:p>
            <w:pPr>
              <w:spacing w:after="0"/>
              <w:rPr>
                <w:sz w:val="20"/>
                <w:szCs w:val="20"/>
                <w:color w:val="auto"/>
              </w:rPr>
            </w:pPr>
            <w:r>
              <w:rPr>
                <w:rFonts w:ascii="Arial" w:cs="Arial" w:eastAsia="Arial" w:hAnsi="Arial"/>
                <w:sz w:val="12"/>
                <w:szCs w:val="12"/>
                <w:color w:val="auto"/>
              </w:rPr>
              <w:t>Dawn M. Becker, Executive Vice President-General</w:t>
            </w:r>
          </w:p>
        </w:tc>
        <w:tc>
          <w:tcPr>
            <w:tcW w:w="440" w:type="dxa"/>
            <w:vAlign w:val="bottom"/>
          </w:tcPr>
          <w:p>
            <w:pPr>
              <w:ind w:left="140"/>
              <w:spacing w:after="0"/>
              <w:rPr>
                <w:sz w:val="20"/>
                <w:szCs w:val="20"/>
                <w:color w:val="auto"/>
              </w:rPr>
            </w:pPr>
            <w:r>
              <w:rPr>
                <w:rFonts w:ascii="Arial" w:cs="Arial" w:eastAsia="Arial" w:hAnsi="Arial"/>
                <w:sz w:val="12"/>
                <w:szCs w:val="12"/>
                <w:color w:val="auto"/>
              </w:rPr>
              <w:t>2021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475,000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75,000</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680,159</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333,984</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13,638</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1,577,781</w:t>
            </w:r>
          </w:p>
        </w:tc>
      </w:tr>
      <w:tr>
        <w:trPr>
          <w:trHeight w:val="159"/>
        </w:trPr>
        <w:tc>
          <w:tcPr>
            <w:tcW w:w="3660" w:type="dxa"/>
            <w:vAlign w:val="bottom"/>
            <w:shd w:val="clear" w:color="auto" w:fill="D8D8D8"/>
          </w:tcPr>
          <w:p>
            <w:pPr>
              <w:spacing w:after="0"/>
              <w:rPr>
                <w:sz w:val="20"/>
                <w:szCs w:val="20"/>
                <w:color w:val="auto"/>
              </w:rPr>
            </w:pPr>
            <w:r>
              <w:rPr>
                <w:rFonts w:ascii="Arial" w:cs="Arial" w:eastAsia="Arial" w:hAnsi="Arial"/>
                <w:sz w:val="12"/>
                <w:szCs w:val="12"/>
                <w:color w:val="auto"/>
              </w:rPr>
              <w:t>Counsel and Secretary</w:t>
            </w:r>
          </w:p>
        </w:tc>
        <w:tc>
          <w:tcPr>
            <w:tcW w:w="440" w:type="dxa"/>
            <w:vAlign w:val="bottom"/>
          </w:tcPr>
          <w:p>
            <w:pPr>
              <w:ind w:left="140"/>
              <w:spacing w:after="0"/>
              <w:rPr>
                <w:sz w:val="20"/>
                <w:szCs w:val="20"/>
                <w:color w:val="auto"/>
              </w:rPr>
            </w:pPr>
            <w:r>
              <w:rPr>
                <w:rFonts w:ascii="Arial" w:cs="Arial" w:eastAsia="Arial" w:hAnsi="Arial"/>
                <w:sz w:val="12"/>
                <w:szCs w:val="12"/>
                <w:color w:val="auto"/>
              </w:rPr>
              <w:t>2020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475,000</w:t>
            </w:r>
          </w:p>
        </w:tc>
        <w:tc>
          <w:tcPr>
            <w:tcW w:w="2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758,275</w:t>
            </w:r>
          </w:p>
        </w:tc>
        <w:tc>
          <w:tcPr>
            <w:tcW w:w="46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9"/>
              <w:spacing w:after="0"/>
              <w:rPr>
                <w:sz w:val="20"/>
                <w:szCs w:val="20"/>
                <w:color w:val="auto"/>
              </w:rPr>
            </w:pPr>
            <w:r>
              <w:rPr>
                <w:rFonts w:ascii="Arial" w:cs="Arial" w:eastAsia="Arial" w:hAnsi="Arial"/>
                <w:sz w:val="12"/>
                <w:szCs w:val="12"/>
                <w:color w:val="auto"/>
              </w:rPr>
              <w:t>200,391</w:t>
            </w:r>
          </w:p>
        </w:tc>
        <w:tc>
          <w:tcPr>
            <w:tcW w:w="34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86,359</w:t>
            </w:r>
          </w:p>
        </w:tc>
        <w:tc>
          <w:tcPr>
            <w:tcW w:w="2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19"/>
              <w:spacing w:after="0"/>
              <w:rPr>
                <w:sz w:val="20"/>
                <w:szCs w:val="20"/>
                <w:color w:val="auto"/>
              </w:rPr>
            </w:pPr>
            <w:r>
              <w:rPr>
                <w:rFonts w:ascii="Arial" w:cs="Arial" w:eastAsia="Arial" w:hAnsi="Arial"/>
                <w:sz w:val="12"/>
                <w:szCs w:val="12"/>
                <w:color w:val="auto"/>
              </w:rPr>
              <w:t>1,520,025</w:t>
            </w:r>
          </w:p>
        </w:tc>
      </w:tr>
      <w:tr>
        <w:trPr>
          <w:trHeight w:val="204"/>
        </w:trPr>
        <w:tc>
          <w:tcPr>
            <w:tcW w:w="3660" w:type="dxa"/>
            <w:vAlign w:val="bottom"/>
            <w:tcBorders>
              <w:bottom w:val="single" w:sz="8" w:color="auto"/>
            </w:tcBorders>
            <w:shd w:val="clear" w:color="auto" w:fill="D8D8D8"/>
          </w:tcPr>
          <w:p>
            <w:pPr>
              <w:spacing w:after="0"/>
              <w:rPr>
                <w:sz w:val="17"/>
                <w:szCs w:val="17"/>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2019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475,000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726,587</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282,031</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13,265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1,496,883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8756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34"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6"/>
          <w:szCs w:val="26"/>
          <w:color w:val="auto"/>
          <w:vertAlign w:val="superscript"/>
        </w:rPr>
      </w:pPr>
      <w:r>
        <w:rPr>
          <w:rFonts w:ascii="Arial" w:cs="Arial" w:eastAsia="Arial" w:hAnsi="Arial"/>
          <w:sz w:val="15"/>
          <w:szCs w:val="15"/>
          <w:color w:val="auto"/>
        </w:rPr>
        <w:t>Amounts shown in the Salary column include all amounts deferred at the election of the NEOs into our non-qualified deferred compensation plan.</w:t>
      </w:r>
    </w:p>
    <w:p>
      <w:pPr>
        <w:ind w:left="424" w:hanging="424"/>
        <w:spacing w:after="0" w:line="181" w:lineRule="auto"/>
        <w:tabs>
          <w:tab w:leader="none" w:pos="424"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Amounts represent a one-time cash bonus described for each of these NEOs in more detail in the Compensation Discussion and Analysis.</w:t>
      </w:r>
    </w:p>
    <w:p>
      <w:pPr>
        <w:jc w:val="both"/>
        <w:ind w:left="424" w:right="20" w:hanging="424"/>
        <w:spacing w:after="0" w:line="225" w:lineRule="auto"/>
        <w:tabs>
          <w:tab w:leader="none" w:pos="424" w:val="left"/>
        </w:tabs>
        <w:numPr>
          <w:ilvl w:val="0"/>
          <w:numId w:val="15"/>
        </w:numPr>
        <w:rPr>
          <w:rFonts w:ascii="Arial" w:cs="Arial" w:eastAsia="Arial" w:hAnsi="Arial"/>
          <w:sz w:val="26"/>
          <w:szCs w:val="26"/>
          <w:color w:val="auto"/>
          <w:vertAlign w:val="superscript"/>
        </w:rPr>
      </w:pPr>
      <w:r>
        <w:rPr>
          <w:rFonts w:ascii="Arial" w:cs="Arial" w:eastAsia="Arial" w:hAnsi="Arial"/>
          <w:sz w:val="15"/>
          <w:szCs w:val="15"/>
          <w:color w:val="auto"/>
        </w:rPr>
        <w:t>Amounts shown in this column reflect the aggregate grant date fair value of the awards calculated in accordance with FASB ASC Topic 718 that were issued in the year shown. With the exception of the performance based restricted share units issued to Mr. Berkes in 2021, all other awards in this column were valued based on the closing price of our shares on the grant date. The performance-based restricted share units issued to Mr. Berkes in February 2021 are tied to our total shareholder return versus the total shareholder return for the Bloomberg REIT Shopping Center Index over the performance period. These restricted share units were valued based on our data and that of the index using a Monte Carlo simulation method. The key assumptions used in the valuation were: (a) stock price volatility of 38.0% for the Company and 38.8% for the index;</w:t>
      </w:r>
    </w:p>
    <w:p>
      <w:pPr>
        <w:spacing w:after="0" w:line="3" w:lineRule="exact"/>
        <w:rPr>
          <w:rFonts w:ascii="Arial" w:cs="Arial" w:eastAsia="Arial" w:hAnsi="Arial"/>
          <w:sz w:val="26"/>
          <w:szCs w:val="26"/>
          <w:color w:val="auto"/>
          <w:vertAlign w:val="superscript"/>
        </w:rPr>
      </w:pPr>
    </w:p>
    <w:p>
      <w:pPr>
        <w:ind w:left="424" w:right="20" w:hanging="7"/>
        <w:spacing w:after="0" w:line="237" w:lineRule="auto"/>
        <w:tabs>
          <w:tab w:leader="none" w:pos="6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risk-free interest rate of 0.31%; and (c) no dividend yield assumption given that the award includes dividend equivalent rights that are earned only if the underlying shares are earned. Based on the performance goals and these assumptions, the award was valued at $97.01 per share.</w:t>
      </w:r>
    </w:p>
    <w:p>
      <w:pPr>
        <w:ind w:left="424" w:right="20" w:hanging="424"/>
        <w:spacing w:after="0" w:line="185" w:lineRule="auto"/>
        <w:tabs>
          <w:tab w:leader="none" w:pos="424" w:val="left"/>
        </w:tabs>
        <w:numPr>
          <w:ilvl w:val="0"/>
          <w:numId w:val="15"/>
        </w:numPr>
        <w:rPr>
          <w:rFonts w:ascii="Arial" w:cs="Arial" w:eastAsia="Arial" w:hAnsi="Arial"/>
          <w:sz w:val="26"/>
          <w:szCs w:val="26"/>
          <w:color w:val="auto"/>
          <w:vertAlign w:val="superscript"/>
        </w:rPr>
      </w:pPr>
      <w:r>
        <w:rPr>
          <w:rFonts w:ascii="Arial" w:cs="Arial" w:eastAsia="Arial" w:hAnsi="Arial"/>
          <w:sz w:val="15"/>
          <w:szCs w:val="15"/>
          <w:color w:val="auto"/>
        </w:rPr>
        <w:t>Amounts shown in this column represent the cash amount paid under our annual bonus plan and include amounts deferred by our NEOs into our non-qualified deferred compensation plan.</w:t>
      </w:r>
    </w:p>
    <w:p>
      <w:pPr>
        <w:jc w:val="both"/>
        <w:ind w:left="424" w:hanging="424"/>
        <w:spacing w:after="0" w:line="195"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The amounts shown in this column for the most recent fiscal year include: (a) contributions to our 401(k) plan of $7,250 for each of our NEOs; (b) a 5-year cash service award of $300 for Mr. Guglielmone; and (c) payments for group term life insurance, long-term disability insurance and supplemental life insurance of $14,010 for Mr. Wood, $7,236 for Mr. Berkes, $3,877 for Mr. Guglielmone and $6,388 for Ms. Becker.</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624"/>
          </w:cols>
          <w:pgMar w:left="636" w:top="391" w:right="6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Grants of Plan Based Awards Table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equity awards were made in 2021 to our NEOs.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shd w:val="clear" w:color="auto" w:fill="000000"/>
          </w:tcPr>
          <w:p>
            <w:pPr>
              <w:spacing w:after="0"/>
              <w:rPr>
                <w:sz w:val="20"/>
                <w:szCs w:val="20"/>
                <w:color w:val="auto"/>
              </w:rPr>
            </w:pPr>
          </w:p>
        </w:tc>
        <w:tc>
          <w:tcPr>
            <w:tcW w:w="1480" w:type="dxa"/>
            <w:vAlign w:val="bottom"/>
            <w:shd w:val="clear" w:color="auto" w:fill="000000"/>
          </w:tcPr>
          <w:p>
            <w:pPr>
              <w:spacing w:after="0"/>
              <w:rPr>
                <w:sz w:val="20"/>
                <w:szCs w:val="20"/>
                <w:color w:val="auto"/>
              </w:rPr>
            </w:pPr>
          </w:p>
        </w:tc>
        <w:tc>
          <w:tcPr>
            <w:tcW w:w="3780" w:type="dxa"/>
            <w:vAlign w:val="bottom"/>
            <w:gridSpan w:val="3"/>
            <w:shd w:val="clear" w:color="auto" w:fill="000000"/>
          </w:tcPr>
          <w:p>
            <w:pPr>
              <w:jc w:val="center"/>
              <w:ind w:left="191"/>
              <w:spacing w:after="0"/>
              <w:rPr>
                <w:sz w:val="20"/>
                <w:szCs w:val="20"/>
                <w:color w:val="auto"/>
              </w:rPr>
            </w:pPr>
            <w:r>
              <w:rPr>
                <w:rFonts w:ascii="Arial" w:cs="Arial" w:eastAsia="Arial" w:hAnsi="Arial"/>
                <w:sz w:val="14"/>
                <w:szCs w:val="14"/>
                <w:b w:val="1"/>
                <w:bCs w:val="1"/>
                <w:color w:val="EAEFED"/>
                <w:w w:val="98"/>
              </w:rPr>
              <w:t>Estimated Future Payouts Under Equity</w:t>
            </w:r>
          </w:p>
        </w:tc>
        <w:tc>
          <w:tcPr>
            <w:tcW w:w="2120" w:type="dxa"/>
            <w:vAlign w:val="bottom"/>
            <w:shd w:val="clear" w:color="auto" w:fill="000000"/>
          </w:tcPr>
          <w:p>
            <w:pPr>
              <w:jc w:val="right"/>
              <w:ind w:right="91"/>
              <w:spacing w:after="0"/>
              <w:rPr>
                <w:sz w:val="20"/>
                <w:szCs w:val="20"/>
                <w:color w:val="auto"/>
              </w:rPr>
            </w:pPr>
            <w:r>
              <w:rPr>
                <w:rFonts w:ascii="Arial" w:cs="Arial" w:eastAsia="Arial" w:hAnsi="Arial"/>
                <w:sz w:val="14"/>
                <w:szCs w:val="14"/>
                <w:b w:val="1"/>
                <w:bCs w:val="1"/>
                <w:color w:val="EAEFED"/>
              </w:rPr>
              <w:t>All Other Stock Awards:</w:t>
            </w:r>
          </w:p>
        </w:tc>
        <w:tc>
          <w:tcPr>
            <w:tcW w:w="280" w:type="dxa"/>
            <w:vAlign w:val="bottom"/>
            <w:shd w:val="clear" w:color="auto" w:fill="000000"/>
          </w:tcPr>
          <w:p>
            <w:pPr>
              <w:spacing w:after="0"/>
              <w:rPr>
                <w:sz w:val="20"/>
                <w:szCs w:val="20"/>
                <w:color w:val="auto"/>
              </w:rPr>
            </w:pPr>
          </w:p>
        </w:tc>
        <w:tc>
          <w:tcPr>
            <w:tcW w:w="760" w:type="dxa"/>
            <w:vAlign w:val="bottom"/>
            <w:shd w:val="clear" w:color="auto" w:fill="000000"/>
          </w:tcPr>
          <w:p>
            <w:pPr>
              <w:spacing w:after="0"/>
              <w:rPr>
                <w:sz w:val="20"/>
                <w:szCs w:val="20"/>
                <w:color w:val="auto"/>
              </w:rPr>
            </w:pPr>
          </w:p>
        </w:tc>
      </w:tr>
      <w:tr>
        <w:trPr>
          <w:trHeight w:val="171"/>
        </w:trPr>
        <w:tc>
          <w:tcPr>
            <w:tcW w:w="2200" w:type="dxa"/>
            <w:vAlign w:val="bottom"/>
            <w:shd w:val="clear" w:color="auto" w:fill="000000"/>
          </w:tcPr>
          <w:p>
            <w:pPr>
              <w:spacing w:after="0"/>
              <w:rPr>
                <w:sz w:val="14"/>
                <w:szCs w:val="14"/>
                <w:color w:val="auto"/>
              </w:rPr>
            </w:pPr>
          </w:p>
        </w:tc>
        <w:tc>
          <w:tcPr>
            <w:tcW w:w="1480" w:type="dxa"/>
            <w:vAlign w:val="bottom"/>
            <w:shd w:val="clear" w:color="auto" w:fill="000000"/>
          </w:tcPr>
          <w:p>
            <w:pPr>
              <w:jc w:val="right"/>
              <w:ind w:right="598"/>
              <w:spacing w:after="0"/>
              <w:rPr>
                <w:sz w:val="20"/>
                <w:szCs w:val="20"/>
                <w:color w:val="auto"/>
              </w:rPr>
            </w:pPr>
            <w:r>
              <w:rPr>
                <w:rFonts w:ascii="Arial" w:cs="Arial" w:eastAsia="Arial" w:hAnsi="Arial"/>
                <w:sz w:val="14"/>
                <w:szCs w:val="14"/>
                <w:b w:val="1"/>
                <w:bCs w:val="1"/>
                <w:color w:val="EAEFED"/>
              </w:rPr>
              <w:t>Grant</w:t>
            </w:r>
          </w:p>
        </w:tc>
        <w:tc>
          <w:tcPr>
            <w:tcW w:w="2780" w:type="dxa"/>
            <w:vAlign w:val="bottom"/>
            <w:gridSpan w:val="2"/>
            <w:shd w:val="clear" w:color="auto" w:fill="000000"/>
          </w:tcPr>
          <w:p>
            <w:pPr>
              <w:jc w:val="center"/>
              <w:ind w:left="1191"/>
              <w:spacing w:after="0"/>
              <w:rPr>
                <w:sz w:val="20"/>
                <w:szCs w:val="20"/>
                <w:color w:val="auto"/>
              </w:rPr>
            </w:pPr>
            <w:r>
              <w:rPr>
                <w:rFonts w:ascii="Arial" w:cs="Arial" w:eastAsia="Arial" w:hAnsi="Arial"/>
                <w:sz w:val="14"/>
                <w:szCs w:val="14"/>
                <w:b w:val="1"/>
                <w:bCs w:val="1"/>
                <w:color w:val="EAEFED"/>
                <w:w w:val="99"/>
              </w:rPr>
              <w:t>Incentive Plan Awards</w:t>
            </w:r>
          </w:p>
        </w:tc>
        <w:tc>
          <w:tcPr>
            <w:tcW w:w="1000" w:type="dxa"/>
            <w:vAlign w:val="bottom"/>
            <w:shd w:val="clear" w:color="auto" w:fill="000000"/>
          </w:tcPr>
          <w:p>
            <w:pPr>
              <w:spacing w:after="0"/>
              <w:rPr>
                <w:sz w:val="14"/>
                <w:szCs w:val="14"/>
                <w:color w:val="auto"/>
              </w:rPr>
            </w:pPr>
          </w:p>
        </w:tc>
        <w:tc>
          <w:tcPr>
            <w:tcW w:w="2120" w:type="dxa"/>
            <w:vAlign w:val="bottom"/>
            <w:shd w:val="clear" w:color="auto" w:fill="000000"/>
          </w:tcPr>
          <w:p>
            <w:pPr>
              <w:jc w:val="right"/>
              <w:ind w:right="91"/>
              <w:spacing w:after="0"/>
              <w:rPr>
                <w:sz w:val="20"/>
                <w:szCs w:val="20"/>
                <w:color w:val="auto"/>
              </w:rPr>
            </w:pPr>
            <w:r>
              <w:rPr>
                <w:rFonts w:ascii="Arial" w:cs="Arial" w:eastAsia="Arial" w:hAnsi="Arial"/>
                <w:sz w:val="14"/>
                <w:szCs w:val="14"/>
                <w:b w:val="1"/>
                <w:bCs w:val="1"/>
                <w:color w:val="EAEFED"/>
              </w:rPr>
              <w:t>Number of Shares of</w:t>
            </w:r>
          </w:p>
        </w:tc>
        <w:tc>
          <w:tcPr>
            <w:tcW w:w="1040" w:type="dxa"/>
            <w:vAlign w:val="bottom"/>
            <w:gridSpan w:val="2"/>
            <w:shd w:val="clear" w:color="auto" w:fill="000000"/>
          </w:tcPr>
          <w:p>
            <w:pPr>
              <w:jc w:val="right"/>
              <w:ind w:right="11"/>
              <w:spacing w:after="0"/>
              <w:rPr>
                <w:sz w:val="20"/>
                <w:szCs w:val="20"/>
                <w:color w:val="auto"/>
              </w:rPr>
            </w:pPr>
            <w:r>
              <w:rPr>
                <w:rFonts w:ascii="Arial" w:cs="Arial" w:eastAsia="Arial" w:hAnsi="Arial"/>
                <w:sz w:val="14"/>
                <w:szCs w:val="14"/>
                <w:b w:val="1"/>
                <w:bCs w:val="1"/>
                <w:color w:val="EAEFED"/>
              </w:rPr>
              <w:t>Grant Date</w:t>
            </w:r>
          </w:p>
        </w:tc>
      </w:tr>
      <w:tr>
        <w:trPr>
          <w:trHeight w:val="213"/>
        </w:trPr>
        <w:tc>
          <w:tcPr>
            <w:tcW w:w="220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EAEFED"/>
              </w:rPr>
              <w:t>Name</w:t>
            </w:r>
          </w:p>
        </w:tc>
        <w:tc>
          <w:tcPr>
            <w:tcW w:w="1480" w:type="dxa"/>
            <w:vAlign w:val="bottom"/>
            <w:tcBorders>
              <w:bottom w:val="single" w:sz="8" w:color="auto"/>
            </w:tcBorders>
            <w:shd w:val="clear" w:color="auto" w:fill="000000"/>
          </w:tcPr>
          <w:p>
            <w:pPr>
              <w:jc w:val="right"/>
              <w:ind w:right="638"/>
              <w:spacing w:after="0"/>
              <w:rPr>
                <w:sz w:val="20"/>
                <w:szCs w:val="20"/>
                <w:color w:val="auto"/>
              </w:rPr>
            </w:pPr>
            <w:r>
              <w:rPr>
                <w:rFonts w:ascii="Arial" w:cs="Arial" w:eastAsia="Arial" w:hAnsi="Arial"/>
                <w:sz w:val="14"/>
                <w:szCs w:val="14"/>
                <w:b w:val="1"/>
                <w:bCs w:val="1"/>
                <w:color w:val="EAEFED"/>
              </w:rPr>
              <w:t>Date</w:t>
            </w:r>
          </w:p>
        </w:tc>
        <w:tc>
          <w:tcPr>
            <w:tcW w:w="1500" w:type="dxa"/>
            <w:vAlign w:val="bottom"/>
            <w:tcBorders>
              <w:bottom w:val="single" w:sz="8" w:color="auto"/>
            </w:tcBorders>
            <w:shd w:val="clear" w:color="auto" w:fill="000000"/>
          </w:tcPr>
          <w:p>
            <w:pPr>
              <w:jc w:val="right"/>
              <w:ind w:right="191"/>
              <w:spacing w:after="0"/>
              <w:rPr>
                <w:sz w:val="20"/>
                <w:szCs w:val="20"/>
                <w:color w:val="auto"/>
              </w:rPr>
            </w:pPr>
            <w:r>
              <w:rPr>
                <w:rFonts w:ascii="Arial" w:cs="Arial" w:eastAsia="Arial" w:hAnsi="Arial"/>
                <w:sz w:val="14"/>
                <w:szCs w:val="14"/>
                <w:b w:val="1"/>
                <w:bCs w:val="1"/>
                <w:color w:val="EAEFED"/>
              </w:rPr>
              <w:t>Threshold (#)</w:t>
            </w:r>
          </w:p>
        </w:tc>
        <w:tc>
          <w:tcPr>
            <w:tcW w:w="1280" w:type="dxa"/>
            <w:vAlign w:val="bottom"/>
            <w:tcBorders>
              <w:bottom w:val="single" w:sz="8" w:color="auto"/>
            </w:tcBorders>
            <w:shd w:val="clear" w:color="auto" w:fill="000000"/>
          </w:tcPr>
          <w:p>
            <w:pPr>
              <w:jc w:val="center"/>
              <w:ind w:right="191"/>
              <w:spacing w:after="0"/>
              <w:rPr>
                <w:sz w:val="20"/>
                <w:szCs w:val="20"/>
                <w:color w:val="auto"/>
              </w:rPr>
            </w:pPr>
            <w:r>
              <w:rPr>
                <w:rFonts w:ascii="Arial" w:cs="Arial" w:eastAsia="Arial" w:hAnsi="Arial"/>
                <w:sz w:val="14"/>
                <w:szCs w:val="14"/>
                <w:b w:val="1"/>
                <w:bCs w:val="1"/>
                <w:color w:val="EAEFED"/>
                <w:w w:val="97"/>
              </w:rPr>
              <w:t>Target (#)</w:t>
            </w:r>
          </w:p>
        </w:tc>
        <w:tc>
          <w:tcPr>
            <w:tcW w:w="1000" w:type="dxa"/>
            <w:vAlign w:val="bottom"/>
            <w:tcBorders>
              <w:bottom w:val="single" w:sz="8" w:color="auto"/>
            </w:tcBorders>
            <w:shd w:val="clear" w:color="auto" w:fill="000000"/>
          </w:tcPr>
          <w:p>
            <w:pPr>
              <w:jc w:val="right"/>
              <w:ind w:right="71"/>
              <w:spacing w:after="0"/>
              <w:rPr>
                <w:sz w:val="20"/>
                <w:szCs w:val="20"/>
                <w:color w:val="auto"/>
              </w:rPr>
            </w:pPr>
            <w:r>
              <w:rPr>
                <w:rFonts w:ascii="Arial" w:cs="Arial" w:eastAsia="Arial" w:hAnsi="Arial"/>
                <w:sz w:val="14"/>
                <w:szCs w:val="14"/>
                <w:b w:val="1"/>
                <w:bCs w:val="1"/>
                <w:color w:val="EAEFED"/>
                <w:w w:val="98"/>
              </w:rPr>
              <w:t>Maximum (#)</w:t>
            </w:r>
          </w:p>
        </w:tc>
        <w:tc>
          <w:tcPr>
            <w:tcW w:w="2120" w:type="dxa"/>
            <w:vAlign w:val="bottom"/>
            <w:tcBorders>
              <w:bottom w:val="single" w:sz="8" w:color="auto"/>
            </w:tcBorders>
            <w:shd w:val="clear" w:color="auto" w:fill="000000"/>
          </w:tcPr>
          <w:p>
            <w:pPr>
              <w:jc w:val="right"/>
              <w:ind w:right="91"/>
              <w:spacing w:after="0"/>
              <w:rPr>
                <w:sz w:val="20"/>
                <w:szCs w:val="20"/>
                <w:color w:val="auto"/>
              </w:rPr>
            </w:pPr>
            <w:r>
              <w:rPr>
                <w:rFonts w:ascii="Arial" w:cs="Arial" w:eastAsia="Arial" w:hAnsi="Arial"/>
                <w:sz w:val="14"/>
                <w:szCs w:val="14"/>
                <w:b w:val="1"/>
                <w:bCs w:val="1"/>
                <w:color w:val="EAEFED"/>
              </w:rPr>
              <w:t>Stock or Units</w:t>
            </w:r>
          </w:p>
        </w:tc>
        <w:tc>
          <w:tcPr>
            <w:tcW w:w="280" w:type="dxa"/>
            <w:vAlign w:val="bottom"/>
            <w:tcBorders>
              <w:bottom w:val="single" w:sz="8" w:color="auto"/>
            </w:tcBorders>
            <w:shd w:val="clear" w:color="auto" w:fill="000000"/>
          </w:tcPr>
          <w:p>
            <w:pPr>
              <w:spacing w:after="0"/>
              <w:rPr>
                <w:sz w:val="18"/>
                <w:szCs w:val="18"/>
                <w:color w:val="auto"/>
              </w:rPr>
            </w:pPr>
          </w:p>
        </w:tc>
        <w:tc>
          <w:tcPr>
            <w:tcW w:w="760" w:type="dxa"/>
            <w:vAlign w:val="bottom"/>
            <w:tcBorders>
              <w:bottom w:val="single" w:sz="8" w:color="auto"/>
            </w:tcBorders>
            <w:shd w:val="clear" w:color="auto" w:fill="000000"/>
          </w:tcPr>
          <w:p>
            <w:pPr>
              <w:jc w:val="right"/>
              <w:ind w:right="11"/>
              <w:spacing w:after="0"/>
              <w:rPr>
                <w:sz w:val="20"/>
                <w:szCs w:val="20"/>
                <w:color w:val="auto"/>
              </w:rPr>
            </w:pPr>
            <w:r>
              <w:rPr>
                <w:rFonts w:ascii="Arial" w:cs="Arial" w:eastAsia="Arial" w:hAnsi="Arial"/>
                <w:sz w:val="14"/>
                <w:szCs w:val="14"/>
                <w:b w:val="1"/>
                <w:bCs w:val="1"/>
                <w:color w:val="EAEFED"/>
                <w:w w:val="98"/>
              </w:rPr>
              <w:t>Fair Value</w:t>
            </w:r>
          </w:p>
        </w:tc>
      </w:tr>
      <w:tr>
        <w:trPr>
          <w:trHeight w:val="206"/>
        </w:trPr>
        <w:tc>
          <w:tcPr>
            <w:tcW w:w="2200" w:type="dxa"/>
            <w:vAlign w:val="bottom"/>
            <w:shd w:val="clear" w:color="auto" w:fill="D8D8D8"/>
          </w:tcPr>
          <w:p>
            <w:pPr>
              <w:ind w:left="40"/>
              <w:spacing w:after="0"/>
              <w:rPr>
                <w:sz w:val="20"/>
                <w:szCs w:val="20"/>
                <w:color w:val="auto"/>
              </w:rPr>
            </w:pPr>
            <w:r>
              <w:rPr>
                <w:rFonts w:ascii="Arial" w:cs="Arial" w:eastAsia="Arial" w:hAnsi="Arial"/>
                <w:sz w:val="14"/>
                <w:szCs w:val="14"/>
                <w:color w:val="auto"/>
              </w:rPr>
              <w:t>Donald C. Wood</w:t>
            </w:r>
          </w:p>
        </w:tc>
        <w:tc>
          <w:tcPr>
            <w:tcW w:w="1480" w:type="dxa"/>
            <w:vAlign w:val="bottom"/>
          </w:tcPr>
          <w:p>
            <w:pPr>
              <w:jc w:val="right"/>
              <w:spacing w:after="0" w:line="205" w:lineRule="exact"/>
              <w:rPr>
                <w:sz w:val="20"/>
                <w:szCs w:val="20"/>
                <w:color w:val="auto"/>
              </w:rPr>
            </w:pPr>
            <w:r>
              <w:rPr>
                <w:rFonts w:ascii="Arial" w:cs="Arial" w:eastAsia="Arial" w:hAnsi="Arial"/>
                <w:sz w:val="14"/>
                <w:szCs w:val="14"/>
                <w:color w:val="auto"/>
              </w:rPr>
              <w:t xml:space="preserve">2/10/2021 </w:t>
            </w:r>
            <w:r>
              <w:rPr>
                <w:rFonts w:ascii="Arial" w:cs="Arial" w:eastAsia="Arial" w:hAnsi="Arial"/>
                <w:sz w:val="23"/>
                <w:szCs w:val="23"/>
                <w:color w:val="auto"/>
                <w:vertAlign w:val="superscript"/>
              </w:rPr>
              <w:t>(1)(6)(7)</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2,232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213,759</w:t>
            </w:r>
          </w:p>
        </w:tc>
      </w:tr>
      <w:tr>
        <w:trPr>
          <w:trHeight w:val="159"/>
        </w:trPr>
        <w:tc>
          <w:tcPr>
            <w:tcW w:w="2200" w:type="dxa"/>
            <w:vAlign w:val="bottom"/>
            <w:tcBorders>
              <w:bottom w:val="single" w:sz="8" w:color="auto"/>
            </w:tcBorders>
            <w:shd w:val="clear" w:color="auto" w:fill="D8D8D8"/>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1"/>
                <w:szCs w:val="11"/>
                <w:color w:val="auto"/>
              </w:rPr>
              <w:t xml:space="preserve">2/10/2021 </w:t>
            </w:r>
            <w:r>
              <w:rPr>
                <w:rFonts w:ascii="Arial" w:cs="Arial" w:eastAsia="Arial" w:hAnsi="Arial"/>
                <w:sz w:val="18"/>
                <w:szCs w:val="18"/>
                <w:color w:val="auto"/>
                <w:vertAlign w:val="superscript"/>
              </w:rPr>
              <w:t>(2)(6)(7)</w:t>
            </w:r>
          </w:p>
        </w:tc>
        <w:tc>
          <w:tcPr>
            <w:tcW w:w="1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91"/>
              <w:spacing w:after="0" w:line="159" w:lineRule="exact"/>
              <w:rPr>
                <w:sz w:val="20"/>
                <w:szCs w:val="20"/>
                <w:color w:val="auto"/>
              </w:rPr>
            </w:pPr>
            <w:r>
              <w:rPr>
                <w:rFonts w:ascii="Arial" w:cs="Arial" w:eastAsia="Arial" w:hAnsi="Arial"/>
                <w:sz w:val="14"/>
                <w:szCs w:val="14"/>
                <w:color w:val="auto"/>
              </w:rPr>
              <w:t>52,208</w:t>
            </w: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4,999,960</w:t>
            </w:r>
          </w:p>
        </w:tc>
      </w:tr>
      <w:tr>
        <w:trPr>
          <w:trHeight w:val="186"/>
        </w:trPr>
        <w:tc>
          <w:tcPr>
            <w:tcW w:w="2200" w:type="dxa"/>
            <w:vAlign w:val="bottom"/>
            <w:shd w:val="clear" w:color="auto" w:fill="D8D8D8"/>
          </w:tcPr>
          <w:p>
            <w:pPr>
              <w:ind w:left="40"/>
              <w:spacing w:after="0"/>
              <w:rPr>
                <w:sz w:val="20"/>
                <w:szCs w:val="20"/>
                <w:color w:val="auto"/>
              </w:rPr>
            </w:pPr>
            <w:r>
              <w:rPr>
                <w:rFonts w:ascii="Arial" w:cs="Arial" w:eastAsia="Arial" w:hAnsi="Arial"/>
                <w:sz w:val="14"/>
                <w:szCs w:val="14"/>
                <w:color w:val="auto"/>
              </w:rPr>
              <w:t>Jeffrey S. Berkes</w:t>
            </w:r>
          </w:p>
        </w:tc>
        <w:tc>
          <w:tcPr>
            <w:tcW w:w="1480" w:type="dxa"/>
            <w:vAlign w:val="bottom"/>
          </w:tcPr>
          <w:p>
            <w:pPr>
              <w:jc w:val="right"/>
              <w:spacing w:after="0" w:line="186" w:lineRule="exact"/>
              <w:rPr>
                <w:sz w:val="20"/>
                <w:szCs w:val="20"/>
                <w:color w:val="auto"/>
              </w:rPr>
            </w:pPr>
            <w:r>
              <w:rPr>
                <w:rFonts w:ascii="Arial" w:cs="Arial" w:eastAsia="Arial" w:hAnsi="Arial"/>
                <w:sz w:val="13"/>
                <w:szCs w:val="13"/>
                <w:color w:val="auto"/>
              </w:rPr>
              <w:t xml:space="preserve">2/10/2021 </w:t>
            </w:r>
            <w:r>
              <w:rPr>
                <w:rFonts w:ascii="Arial" w:cs="Arial" w:eastAsia="Arial" w:hAnsi="Arial"/>
                <w:sz w:val="21"/>
                <w:szCs w:val="21"/>
                <w:color w:val="auto"/>
                <w:vertAlign w:val="superscript"/>
              </w:rPr>
              <w:t>(1)(6)(7)</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1,233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118,084</w:t>
            </w:r>
          </w:p>
        </w:tc>
      </w:tr>
      <w:tr>
        <w:trPr>
          <w:trHeight w:val="182"/>
        </w:trPr>
        <w:tc>
          <w:tcPr>
            <w:tcW w:w="2200" w:type="dxa"/>
            <w:vAlign w:val="bottom"/>
            <w:shd w:val="clear" w:color="auto" w:fill="D8D8D8"/>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3"/>
                <w:szCs w:val="13"/>
                <w:color w:val="auto"/>
              </w:rPr>
              <w:t xml:space="preserve">2/10/2021 </w:t>
            </w:r>
            <w:r>
              <w:rPr>
                <w:rFonts w:ascii="Arial" w:cs="Arial" w:eastAsia="Arial" w:hAnsi="Arial"/>
                <w:sz w:val="21"/>
                <w:szCs w:val="21"/>
                <w:color w:val="auto"/>
                <w:vertAlign w:val="superscript"/>
              </w:rPr>
              <w:t>(2)(6)(7)</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10,442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1,000,030</w:t>
            </w:r>
          </w:p>
        </w:tc>
      </w:tr>
      <w:tr>
        <w:trPr>
          <w:trHeight w:val="182"/>
        </w:trPr>
        <w:tc>
          <w:tcPr>
            <w:tcW w:w="2200" w:type="dxa"/>
            <w:vAlign w:val="bottom"/>
            <w:shd w:val="clear" w:color="auto" w:fill="D8D8D8"/>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3"/>
                <w:szCs w:val="13"/>
                <w:color w:val="auto"/>
              </w:rPr>
              <w:t xml:space="preserve">2/10/2021 </w:t>
            </w:r>
            <w:r>
              <w:rPr>
                <w:rFonts w:ascii="Arial" w:cs="Arial" w:eastAsia="Arial" w:hAnsi="Arial"/>
                <w:sz w:val="21"/>
                <w:szCs w:val="21"/>
                <w:color w:val="auto"/>
                <w:vertAlign w:val="superscript"/>
              </w:rPr>
              <w:t>(3)(6)(7)</w:t>
            </w: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10,442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1,000,030</w:t>
            </w:r>
          </w:p>
        </w:tc>
      </w:tr>
      <w:tr>
        <w:trPr>
          <w:trHeight w:val="159"/>
        </w:trPr>
        <w:tc>
          <w:tcPr>
            <w:tcW w:w="2200" w:type="dxa"/>
            <w:vAlign w:val="bottom"/>
            <w:tcBorders>
              <w:bottom w:val="single" w:sz="8" w:color="auto"/>
            </w:tcBorders>
            <w:shd w:val="clear" w:color="auto" w:fill="D8D8D8"/>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1"/>
                <w:szCs w:val="11"/>
                <w:color w:val="auto"/>
              </w:rPr>
              <w:t xml:space="preserve">2/10/2021 </w:t>
            </w:r>
            <w:r>
              <w:rPr>
                <w:rFonts w:ascii="Arial" w:cs="Arial" w:eastAsia="Arial" w:hAnsi="Arial"/>
                <w:sz w:val="18"/>
                <w:szCs w:val="18"/>
                <w:color w:val="auto"/>
                <w:vertAlign w:val="superscript"/>
              </w:rPr>
              <w:t>(4)(7)(8)</w:t>
            </w:r>
          </w:p>
        </w:tc>
        <w:tc>
          <w:tcPr>
            <w:tcW w:w="1500" w:type="dxa"/>
            <w:vAlign w:val="bottom"/>
            <w:tcBorders>
              <w:bottom w:val="single" w:sz="8" w:color="auto"/>
            </w:tcBorders>
          </w:tcPr>
          <w:p>
            <w:pPr>
              <w:jc w:val="right"/>
              <w:ind w:right="111"/>
              <w:spacing w:after="0" w:line="159" w:lineRule="exact"/>
              <w:rPr>
                <w:sz w:val="20"/>
                <w:szCs w:val="20"/>
                <w:color w:val="auto"/>
              </w:rPr>
            </w:pPr>
            <w:r>
              <w:rPr>
                <w:rFonts w:ascii="Arial" w:cs="Arial" w:eastAsia="Arial" w:hAnsi="Arial"/>
                <w:sz w:val="14"/>
                <w:szCs w:val="14"/>
                <w:color w:val="auto"/>
              </w:rPr>
              <w:t>5,220</w:t>
            </w:r>
          </w:p>
        </w:tc>
        <w:tc>
          <w:tcPr>
            <w:tcW w:w="1280" w:type="dxa"/>
            <w:vAlign w:val="bottom"/>
            <w:tcBorders>
              <w:bottom w:val="single" w:sz="8" w:color="auto"/>
            </w:tcBorders>
          </w:tcPr>
          <w:p>
            <w:pPr>
              <w:jc w:val="right"/>
              <w:ind w:right="351"/>
              <w:spacing w:after="0" w:line="159" w:lineRule="exact"/>
              <w:rPr>
                <w:sz w:val="20"/>
                <w:szCs w:val="20"/>
                <w:color w:val="auto"/>
              </w:rPr>
            </w:pPr>
            <w:r>
              <w:rPr>
                <w:rFonts w:ascii="Arial" w:cs="Arial" w:eastAsia="Arial" w:hAnsi="Arial"/>
                <w:sz w:val="14"/>
                <w:szCs w:val="14"/>
                <w:color w:val="auto"/>
              </w:rPr>
              <w:t>10,441</w:t>
            </w:r>
          </w:p>
        </w:tc>
        <w:tc>
          <w:tcPr>
            <w:tcW w:w="1000" w:type="dxa"/>
            <w:vAlign w:val="bottom"/>
            <w:tcBorders>
              <w:bottom w:val="single" w:sz="8" w:color="auto"/>
            </w:tcBorders>
          </w:tcPr>
          <w:p>
            <w:pPr>
              <w:jc w:val="right"/>
              <w:ind w:right="231"/>
              <w:spacing w:after="0" w:line="159" w:lineRule="exact"/>
              <w:rPr>
                <w:sz w:val="20"/>
                <w:szCs w:val="20"/>
                <w:color w:val="auto"/>
              </w:rPr>
            </w:pPr>
            <w:r>
              <w:rPr>
                <w:rFonts w:ascii="Arial" w:cs="Arial" w:eastAsia="Arial" w:hAnsi="Arial"/>
                <w:sz w:val="14"/>
                <w:szCs w:val="14"/>
                <w:color w:val="auto"/>
              </w:rPr>
              <w:t>20,882</w:t>
            </w:r>
          </w:p>
        </w:tc>
        <w:tc>
          <w:tcPr>
            <w:tcW w:w="2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1,012,881</w:t>
            </w:r>
          </w:p>
        </w:tc>
      </w:tr>
      <w:tr>
        <w:trPr>
          <w:trHeight w:val="186"/>
        </w:trPr>
        <w:tc>
          <w:tcPr>
            <w:tcW w:w="2200" w:type="dxa"/>
            <w:vAlign w:val="bottom"/>
            <w:shd w:val="clear" w:color="auto" w:fill="D8D8D8"/>
          </w:tcPr>
          <w:p>
            <w:pPr>
              <w:ind w:left="40"/>
              <w:spacing w:after="0"/>
              <w:rPr>
                <w:sz w:val="20"/>
                <w:szCs w:val="20"/>
                <w:color w:val="auto"/>
              </w:rPr>
            </w:pPr>
            <w:r>
              <w:rPr>
                <w:rFonts w:ascii="Arial" w:cs="Arial" w:eastAsia="Arial" w:hAnsi="Arial"/>
                <w:sz w:val="14"/>
                <w:szCs w:val="14"/>
                <w:color w:val="auto"/>
              </w:rPr>
              <w:t>Daniel Guglielmone</w:t>
            </w:r>
          </w:p>
        </w:tc>
        <w:tc>
          <w:tcPr>
            <w:tcW w:w="1480" w:type="dxa"/>
            <w:vAlign w:val="bottom"/>
          </w:tcPr>
          <w:p>
            <w:pPr>
              <w:jc w:val="right"/>
              <w:spacing w:after="0" w:line="186" w:lineRule="exact"/>
              <w:rPr>
                <w:sz w:val="20"/>
                <w:szCs w:val="20"/>
                <w:color w:val="auto"/>
              </w:rPr>
            </w:pPr>
            <w:r>
              <w:rPr>
                <w:rFonts w:ascii="Arial" w:cs="Arial" w:eastAsia="Arial" w:hAnsi="Arial"/>
                <w:sz w:val="13"/>
                <w:szCs w:val="13"/>
                <w:color w:val="auto"/>
              </w:rPr>
              <w:t xml:space="preserve">2/10/2021 </w:t>
            </w:r>
            <w:r>
              <w:rPr>
                <w:rFonts w:ascii="Arial" w:cs="Arial" w:eastAsia="Arial" w:hAnsi="Arial"/>
                <w:sz w:val="21"/>
                <w:szCs w:val="21"/>
                <w:color w:val="auto"/>
                <w:vertAlign w:val="superscript"/>
              </w:rPr>
              <w:t>(2)(6)(7)</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9,398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900,046</w:t>
            </w:r>
          </w:p>
        </w:tc>
      </w:tr>
      <w:tr>
        <w:trPr>
          <w:trHeight w:val="159"/>
        </w:trPr>
        <w:tc>
          <w:tcPr>
            <w:tcW w:w="2200" w:type="dxa"/>
            <w:vAlign w:val="bottom"/>
            <w:tcBorders>
              <w:bottom w:val="single" w:sz="8" w:color="auto"/>
            </w:tcBorders>
            <w:shd w:val="clear" w:color="auto" w:fill="D8D8D8"/>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8"/>
                <w:szCs w:val="18"/>
                <w:color w:val="auto"/>
                <w:vertAlign w:val="subscript"/>
              </w:rPr>
              <w:t>8/3/2021</w:t>
            </w:r>
            <w:r>
              <w:rPr>
                <w:rFonts w:ascii="Arial" w:cs="Arial" w:eastAsia="Arial" w:hAnsi="Arial"/>
                <w:sz w:val="9"/>
                <w:szCs w:val="9"/>
                <w:color w:val="auto"/>
              </w:rPr>
              <w:t xml:space="preserve"> (5)(6)(7)</w:t>
            </w:r>
          </w:p>
        </w:tc>
        <w:tc>
          <w:tcPr>
            <w:tcW w:w="1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91"/>
              <w:spacing w:after="0" w:line="159" w:lineRule="exact"/>
              <w:rPr>
                <w:sz w:val="20"/>
                <w:szCs w:val="20"/>
                <w:color w:val="auto"/>
              </w:rPr>
            </w:pPr>
            <w:r>
              <w:rPr>
                <w:rFonts w:ascii="Arial" w:cs="Arial" w:eastAsia="Arial" w:hAnsi="Arial"/>
                <w:sz w:val="14"/>
                <w:szCs w:val="14"/>
                <w:color w:val="auto"/>
              </w:rPr>
              <w:t>8,569</w:t>
            </w: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1,000,000</w:t>
            </w:r>
          </w:p>
        </w:tc>
      </w:tr>
      <w:tr>
        <w:trPr>
          <w:trHeight w:val="186"/>
        </w:trPr>
        <w:tc>
          <w:tcPr>
            <w:tcW w:w="2200" w:type="dxa"/>
            <w:vAlign w:val="bottom"/>
            <w:shd w:val="clear" w:color="auto" w:fill="D8D8D8"/>
          </w:tcPr>
          <w:p>
            <w:pPr>
              <w:ind w:left="40"/>
              <w:spacing w:after="0"/>
              <w:rPr>
                <w:sz w:val="20"/>
                <w:szCs w:val="20"/>
                <w:color w:val="auto"/>
              </w:rPr>
            </w:pPr>
            <w:r>
              <w:rPr>
                <w:rFonts w:ascii="Arial" w:cs="Arial" w:eastAsia="Arial" w:hAnsi="Arial"/>
                <w:sz w:val="14"/>
                <w:szCs w:val="14"/>
                <w:color w:val="auto"/>
              </w:rPr>
              <w:t>Dawn M. Becker</w:t>
            </w:r>
          </w:p>
        </w:tc>
        <w:tc>
          <w:tcPr>
            <w:tcW w:w="1480" w:type="dxa"/>
            <w:vAlign w:val="bottom"/>
          </w:tcPr>
          <w:p>
            <w:pPr>
              <w:jc w:val="right"/>
              <w:spacing w:after="0" w:line="186" w:lineRule="exact"/>
              <w:rPr>
                <w:sz w:val="20"/>
                <w:szCs w:val="20"/>
                <w:color w:val="auto"/>
              </w:rPr>
            </w:pPr>
            <w:r>
              <w:rPr>
                <w:rFonts w:ascii="Arial" w:cs="Arial" w:eastAsia="Arial" w:hAnsi="Arial"/>
                <w:sz w:val="13"/>
                <w:szCs w:val="13"/>
                <w:color w:val="auto"/>
              </w:rPr>
              <w:t xml:space="preserve">2/10/2021 </w:t>
            </w:r>
            <w:r>
              <w:rPr>
                <w:rFonts w:ascii="Arial" w:cs="Arial" w:eastAsia="Arial" w:hAnsi="Arial"/>
                <w:sz w:val="21"/>
                <w:szCs w:val="21"/>
                <w:color w:val="auto"/>
                <w:vertAlign w:val="superscript"/>
              </w:rPr>
              <w:t>(1)(6)(7)</w:t>
            </w:r>
          </w:p>
        </w:tc>
        <w:tc>
          <w:tcPr>
            <w:tcW w:w="1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tcPr>
          <w:p>
            <w:pPr>
              <w:jc w:val="right"/>
              <w:ind w:right="91"/>
              <w:spacing w:after="0"/>
              <w:rPr>
                <w:sz w:val="20"/>
                <w:szCs w:val="20"/>
                <w:color w:val="auto"/>
              </w:rPr>
            </w:pPr>
            <w:r>
              <w:rPr>
                <w:rFonts w:ascii="Arial" w:cs="Arial" w:eastAsia="Arial" w:hAnsi="Arial"/>
                <w:sz w:val="14"/>
                <w:szCs w:val="14"/>
                <w:color w:val="auto"/>
              </w:rPr>
              <w:t>837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80,159</w:t>
            </w:r>
          </w:p>
        </w:tc>
      </w:tr>
      <w:tr>
        <w:trPr>
          <w:trHeight w:val="159"/>
        </w:trPr>
        <w:tc>
          <w:tcPr>
            <w:tcW w:w="2200" w:type="dxa"/>
            <w:vAlign w:val="bottom"/>
            <w:tcBorders>
              <w:bottom w:val="single" w:sz="8" w:color="auto"/>
            </w:tcBorders>
            <w:shd w:val="clear" w:color="auto" w:fill="D8D8D8"/>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1"/>
                <w:szCs w:val="11"/>
                <w:color w:val="auto"/>
              </w:rPr>
              <w:t xml:space="preserve">2/10/2021 </w:t>
            </w:r>
            <w:r>
              <w:rPr>
                <w:rFonts w:ascii="Arial" w:cs="Arial" w:eastAsia="Arial" w:hAnsi="Arial"/>
                <w:sz w:val="18"/>
                <w:szCs w:val="18"/>
                <w:color w:val="auto"/>
                <w:vertAlign w:val="superscript"/>
              </w:rPr>
              <w:t>(2)(6)(7)</w:t>
            </w:r>
          </w:p>
        </w:tc>
        <w:tc>
          <w:tcPr>
            <w:tcW w:w="15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91"/>
              <w:spacing w:after="0" w:line="159" w:lineRule="exact"/>
              <w:rPr>
                <w:sz w:val="20"/>
                <w:szCs w:val="20"/>
                <w:color w:val="auto"/>
              </w:rPr>
            </w:pPr>
            <w:r>
              <w:rPr>
                <w:rFonts w:ascii="Arial" w:cs="Arial" w:eastAsia="Arial" w:hAnsi="Arial"/>
                <w:sz w:val="14"/>
                <w:szCs w:val="14"/>
                <w:color w:val="auto"/>
              </w:rPr>
              <w:t>6,265</w:t>
            </w: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line="159" w:lineRule="exact"/>
              <w:rPr>
                <w:sz w:val="20"/>
                <w:szCs w:val="20"/>
                <w:color w:val="auto"/>
              </w:rPr>
            </w:pPr>
            <w:r>
              <w:rPr>
                <w:rFonts w:ascii="Arial" w:cs="Arial" w:eastAsia="Arial" w:hAnsi="Arial"/>
                <w:sz w:val="14"/>
                <w:szCs w:val="14"/>
                <w:color w:val="auto"/>
              </w:rPr>
              <w:t>599,999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8756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36" w:lineRule="exact"/>
        <w:rPr>
          <w:sz w:val="20"/>
          <w:szCs w:val="20"/>
          <w:color w:val="auto"/>
        </w:rPr>
      </w:pPr>
    </w:p>
    <w:p>
      <w:pPr>
        <w:ind w:left="520" w:hanging="420"/>
        <w:spacing w:after="0"/>
        <w:tabs>
          <w:tab w:leader="none" w:pos="52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Issued under our annual bonus plan for the 1-year performance period ending December 31, 2020. These shares vest equally over 3 years.</w:t>
      </w:r>
    </w:p>
    <w:p>
      <w:pPr>
        <w:ind w:left="520" w:right="20" w:hanging="420"/>
        <w:spacing w:after="0"/>
        <w:tabs>
          <w:tab w:leader="none" w:pos="520" w:val="left"/>
        </w:tabs>
        <w:numPr>
          <w:ilvl w:val="0"/>
          <w:numId w:val="16"/>
        </w:numPr>
        <w:rPr>
          <w:rFonts w:ascii="Arial" w:cs="Arial" w:eastAsia="Arial" w:hAnsi="Arial"/>
          <w:sz w:val="26"/>
          <w:szCs w:val="26"/>
          <w:color w:val="auto"/>
          <w:vertAlign w:val="superscript"/>
        </w:rPr>
      </w:pPr>
      <w:r>
        <w:rPr>
          <w:rFonts w:ascii="Arial" w:cs="Arial" w:eastAsia="Arial" w:hAnsi="Arial"/>
          <w:sz w:val="15"/>
          <w:szCs w:val="15"/>
          <w:color w:val="auto"/>
        </w:rPr>
        <w:t>Issued under our long-term incentive program for the 3-year performance period ending December 31, 2020. These shares vest equally over 3 years.</w:t>
      </w:r>
    </w:p>
    <w:p>
      <w:pPr>
        <w:spacing w:after="0" w:line="65" w:lineRule="exact"/>
        <w:rPr>
          <w:rFonts w:ascii="Arial" w:cs="Arial" w:eastAsia="Arial" w:hAnsi="Arial"/>
          <w:sz w:val="26"/>
          <w:szCs w:val="26"/>
          <w:color w:val="auto"/>
          <w:vertAlign w:val="superscript"/>
        </w:rPr>
      </w:pPr>
    </w:p>
    <w:p>
      <w:pPr>
        <w:ind w:left="520" w:hanging="420"/>
        <w:spacing w:after="0" w:line="181" w:lineRule="auto"/>
        <w:tabs>
          <w:tab w:leader="none" w:pos="5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Issued in connection with Mr. Berkes’ promotion to President and Chief Operating Officer. The shares vest equally over 5 years.</w:t>
      </w:r>
    </w:p>
    <w:p>
      <w:pPr>
        <w:jc w:val="both"/>
        <w:ind w:left="520" w:right="20" w:hanging="420"/>
        <w:spacing w:after="0" w:line="213" w:lineRule="auto"/>
        <w:tabs>
          <w:tab w:leader="none" w:pos="52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The amounts shown represent the range of shares that may be earned under this award for the time period from 2021 through 2024 for performance based on the relative total shareholder return of the Company compared to the relative total shareholder return of the BBRESHOP. The number of units shown were calculated based the grant date closing price of our shares of $95.77. The actual number of units earned will be determined at the end of the performance period subject to linear interpolation if performance falls between the specified levels of performance. Any earned award, together with dividend equivalents on the earned awards, will vest after December 31, 2024 with any earned award being paid in shares and any earned dividend equivalents on the earned awards being paid in cash.</w:t>
      </w:r>
    </w:p>
    <w:p>
      <w:pPr>
        <w:ind w:left="520" w:hanging="420"/>
        <w:spacing w:after="0" w:line="181" w:lineRule="auto"/>
        <w:tabs>
          <w:tab w:leader="none" w:pos="5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These shares will vest equally over 5 years.</w:t>
      </w:r>
    </w:p>
    <w:p>
      <w:pPr>
        <w:ind w:left="520" w:right="20" w:hanging="420"/>
        <w:spacing w:after="0" w:line="185" w:lineRule="auto"/>
        <w:tabs>
          <w:tab w:leader="none" w:pos="520" w:val="left"/>
        </w:tabs>
        <w:numPr>
          <w:ilvl w:val="0"/>
          <w:numId w:val="16"/>
        </w:numPr>
        <w:rPr>
          <w:rFonts w:ascii="Arial" w:cs="Arial" w:eastAsia="Arial" w:hAnsi="Arial"/>
          <w:sz w:val="26"/>
          <w:szCs w:val="26"/>
          <w:color w:val="auto"/>
          <w:vertAlign w:val="superscript"/>
        </w:rPr>
      </w:pPr>
      <w:r>
        <w:rPr>
          <w:rFonts w:ascii="Arial" w:cs="Arial" w:eastAsia="Arial" w:hAnsi="Arial"/>
          <w:sz w:val="15"/>
          <w:szCs w:val="15"/>
          <w:color w:val="auto"/>
        </w:rPr>
        <w:t>Dividends are paid on these shares issued at the same rate and time as paid to all other holders of our shares as declared by our Board from time to time.</w:t>
      </w:r>
    </w:p>
    <w:p>
      <w:pPr>
        <w:ind w:left="520" w:hanging="420"/>
        <w:spacing w:after="0" w:line="181" w:lineRule="auto"/>
        <w:tabs>
          <w:tab w:leader="none" w:pos="5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Represents the grant date fair value of share awards as computed in accordance with FASB ASC Topic 718.</w:t>
      </w:r>
    </w:p>
    <w:p>
      <w:pPr>
        <w:jc w:val="both"/>
        <w:ind w:left="520" w:right="20" w:hanging="420"/>
        <w:spacing w:after="0" w:line="185" w:lineRule="auto"/>
        <w:tabs>
          <w:tab w:leader="none" w:pos="520" w:val="left"/>
        </w:tabs>
        <w:numPr>
          <w:ilvl w:val="0"/>
          <w:numId w:val="16"/>
        </w:numPr>
        <w:rPr>
          <w:rFonts w:ascii="Arial" w:cs="Arial" w:eastAsia="Arial" w:hAnsi="Arial"/>
          <w:sz w:val="26"/>
          <w:szCs w:val="26"/>
          <w:color w:val="auto"/>
          <w:vertAlign w:val="superscript"/>
        </w:rPr>
      </w:pPr>
      <w:r>
        <w:rPr>
          <w:rFonts w:ascii="Arial" w:cs="Arial" w:eastAsia="Arial" w:hAnsi="Arial"/>
          <w:sz w:val="15"/>
          <w:szCs w:val="15"/>
          <w:color w:val="auto"/>
        </w:rPr>
        <w:t>These restricted stock units were valued based on our data and that of the index using a Monte Carlo simulation method. The key assumptions used in the valuation were: (a) stock price volatility of 38.0% for the Company and 38.8% for the index; (b) risk-free interest rate of 0.31%; and</w:t>
      </w:r>
    </w:p>
    <w:p>
      <w:pPr>
        <w:jc w:val="both"/>
        <w:ind w:left="520" w:right="20"/>
        <w:spacing w:after="0" w:line="239" w:lineRule="auto"/>
        <w:rPr>
          <w:rFonts w:ascii="Arial" w:cs="Arial" w:eastAsia="Arial" w:hAnsi="Arial"/>
          <w:sz w:val="26"/>
          <w:szCs w:val="26"/>
          <w:color w:val="auto"/>
          <w:vertAlign w:val="superscript"/>
        </w:rPr>
      </w:pPr>
      <w:r>
        <w:rPr>
          <w:rFonts w:ascii="Arial" w:cs="Arial" w:eastAsia="Arial" w:hAnsi="Arial"/>
          <w:sz w:val="16"/>
          <w:szCs w:val="16"/>
          <w:color w:val="auto"/>
        </w:rPr>
        <w:t>(c) no dividend yield assumption given that the award includes dividend equivalent rights that are earned only if the underlying shares are earned. Based on the performance goals and these assumptions, the award was valued at $97.01 The fair value reflected is based on a target level payout.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20"/>
          </w:cols>
          <w:pgMar w:left="640" w:top="260" w:right="639" w:bottom="1440" w:gutter="0" w:footer="0" w:header="0"/>
        </w:sectPr>
      </w:pPr>
    </w:p>
    <w:bookmarkStart w:id="39" w:name="page40"/>
    <w:bookmarkEnd w:id="39"/>
    <w:p>
      <w:pPr>
        <w:ind w:left="4"/>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Outstanding Equity Awards at Fiscal Year-End Table</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sets forth information about outstanding equity awards held by our NEOs as of December 31, 2021: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1700" w:type="dxa"/>
            <w:vAlign w:val="bottom"/>
            <w:shd w:val="clear" w:color="auto" w:fill="000000"/>
          </w:tcPr>
          <w:p>
            <w:pPr>
              <w:spacing w:after="0"/>
              <w:rPr>
                <w:sz w:val="20"/>
                <w:szCs w:val="20"/>
                <w:color w:val="auto"/>
              </w:rPr>
            </w:pPr>
          </w:p>
        </w:tc>
        <w:tc>
          <w:tcPr>
            <w:tcW w:w="800" w:type="dxa"/>
            <w:vAlign w:val="bottom"/>
            <w:shd w:val="clear" w:color="auto" w:fill="000000"/>
          </w:tcPr>
          <w:p>
            <w:pPr>
              <w:spacing w:after="0"/>
              <w:rPr>
                <w:sz w:val="20"/>
                <w:szCs w:val="20"/>
                <w:color w:val="auto"/>
              </w:rPr>
            </w:pPr>
          </w:p>
        </w:tc>
        <w:tc>
          <w:tcPr>
            <w:tcW w:w="1500" w:type="dxa"/>
            <w:vAlign w:val="bottom"/>
            <w:shd w:val="clear" w:color="auto" w:fill="000000"/>
          </w:tcPr>
          <w:p>
            <w:pPr>
              <w:spacing w:after="0"/>
              <w:rPr>
                <w:sz w:val="20"/>
                <w:szCs w:val="20"/>
                <w:color w:val="auto"/>
              </w:rPr>
            </w:pPr>
          </w:p>
        </w:tc>
        <w:tc>
          <w:tcPr>
            <w:tcW w:w="360" w:type="dxa"/>
            <w:vAlign w:val="bottom"/>
            <w:shd w:val="clear" w:color="auto" w:fill="000000"/>
          </w:tcPr>
          <w:p>
            <w:pPr>
              <w:spacing w:after="0"/>
              <w:rPr>
                <w:sz w:val="20"/>
                <w:szCs w:val="20"/>
                <w:color w:val="auto"/>
              </w:rPr>
            </w:pPr>
          </w:p>
        </w:tc>
        <w:tc>
          <w:tcPr>
            <w:tcW w:w="320" w:type="dxa"/>
            <w:vAlign w:val="bottom"/>
            <w:shd w:val="clear" w:color="auto" w:fill="000000"/>
          </w:tcPr>
          <w:p>
            <w:pPr>
              <w:spacing w:after="0"/>
              <w:rPr>
                <w:sz w:val="20"/>
                <w:szCs w:val="20"/>
                <w:color w:val="auto"/>
              </w:rPr>
            </w:pPr>
          </w:p>
        </w:tc>
        <w:tc>
          <w:tcPr>
            <w:tcW w:w="1720" w:type="dxa"/>
            <w:vAlign w:val="bottom"/>
            <w:shd w:val="clear" w:color="auto" w:fill="000000"/>
          </w:tcPr>
          <w:p>
            <w:pPr>
              <w:jc w:val="right"/>
              <w:ind w:right="671"/>
              <w:spacing w:after="0"/>
              <w:rPr>
                <w:sz w:val="20"/>
                <w:szCs w:val="20"/>
                <w:color w:val="auto"/>
              </w:rPr>
            </w:pPr>
            <w:r>
              <w:rPr>
                <w:rFonts w:ascii="Arial" w:cs="Arial" w:eastAsia="Arial" w:hAnsi="Arial"/>
                <w:sz w:val="14"/>
                <w:szCs w:val="14"/>
                <w:b w:val="1"/>
                <w:bCs w:val="1"/>
                <w:color w:val="EAEFED"/>
              </w:rPr>
              <w:t>Stock Awards</w:t>
            </w:r>
          </w:p>
        </w:tc>
        <w:tc>
          <w:tcPr>
            <w:tcW w:w="2200" w:type="dxa"/>
            <w:vAlign w:val="bottom"/>
            <w:shd w:val="clear" w:color="auto" w:fill="000000"/>
          </w:tcPr>
          <w:p>
            <w:pPr>
              <w:spacing w:after="0"/>
              <w:rPr>
                <w:sz w:val="20"/>
                <w:szCs w:val="20"/>
                <w:color w:val="auto"/>
              </w:rPr>
            </w:pPr>
          </w:p>
        </w:tc>
        <w:tc>
          <w:tcPr>
            <w:tcW w:w="220" w:type="dxa"/>
            <w:vAlign w:val="bottom"/>
            <w:shd w:val="clear" w:color="auto" w:fill="000000"/>
          </w:tcPr>
          <w:p>
            <w:pPr>
              <w:spacing w:after="0"/>
              <w:rPr>
                <w:sz w:val="20"/>
                <w:szCs w:val="20"/>
                <w:color w:val="auto"/>
              </w:rPr>
            </w:pPr>
          </w:p>
        </w:tc>
        <w:tc>
          <w:tcPr>
            <w:tcW w:w="180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00" w:type="dxa"/>
            <w:vAlign w:val="bottom"/>
            <w:shd w:val="clear" w:color="auto" w:fill="000000"/>
          </w:tcPr>
          <w:p>
            <w:pPr>
              <w:spacing w:after="0"/>
              <w:rPr>
                <w:sz w:val="21"/>
                <w:szCs w:val="21"/>
                <w:color w:val="auto"/>
              </w:rPr>
            </w:pPr>
          </w:p>
        </w:tc>
        <w:tc>
          <w:tcPr>
            <w:tcW w:w="800" w:type="dxa"/>
            <w:vAlign w:val="bottom"/>
            <w:shd w:val="clear" w:color="auto" w:fill="000000"/>
          </w:tcPr>
          <w:p>
            <w:pPr>
              <w:spacing w:after="0"/>
              <w:rPr>
                <w:sz w:val="21"/>
                <w:szCs w:val="21"/>
                <w:color w:val="auto"/>
              </w:rPr>
            </w:pPr>
          </w:p>
        </w:tc>
        <w:tc>
          <w:tcPr>
            <w:tcW w:w="1500" w:type="dxa"/>
            <w:vAlign w:val="bottom"/>
            <w:shd w:val="clear" w:color="auto" w:fill="000000"/>
          </w:tcPr>
          <w:p>
            <w:pPr>
              <w:spacing w:after="0"/>
              <w:rPr>
                <w:sz w:val="21"/>
                <w:szCs w:val="21"/>
                <w:color w:val="auto"/>
              </w:rPr>
            </w:pPr>
          </w:p>
        </w:tc>
        <w:tc>
          <w:tcPr>
            <w:tcW w:w="360" w:type="dxa"/>
            <w:vAlign w:val="bottom"/>
            <w:shd w:val="clear" w:color="auto" w:fill="000000"/>
          </w:tcPr>
          <w:p>
            <w:pPr>
              <w:spacing w:after="0"/>
              <w:rPr>
                <w:sz w:val="21"/>
                <w:szCs w:val="21"/>
                <w:color w:val="auto"/>
              </w:rPr>
            </w:pPr>
          </w:p>
        </w:tc>
        <w:tc>
          <w:tcPr>
            <w:tcW w:w="320" w:type="dxa"/>
            <w:vAlign w:val="bottom"/>
            <w:shd w:val="clear" w:color="auto" w:fill="000000"/>
          </w:tcPr>
          <w:p>
            <w:pPr>
              <w:spacing w:after="0"/>
              <w:rPr>
                <w:sz w:val="21"/>
                <w:szCs w:val="21"/>
                <w:color w:val="auto"/>
              </w:rPr>
            </w:pPr>
          </w:p>
        </w:tc>
        <w:tc>
          <w:tcPr>
            <w:tcW w:w="1720" w:type="dxa"/>
            <w:vAlign w:val="bottom"/>
            <w:shd w:val="clear" w:color="auto" w:fill="000000"/>
          </w:tcPr>
          <w:p>
            <w:pPr>
              <w:spacing w:after="0"/>
              <w:rPr>
                <w:sz w:val="21"/>
                <w:szCs w:val="21"/>
                <w:color w:val="auto"/>
              </w:rPr>
            </w:pPr>
          </w:p>
        </w:tc>
        <w:tc>
          <w:tcPr>
            <w:tcW w:w="2200" w:type="dxa"/>
            <w:vAlign w:val="bottom"/>
            <w:shd w:val="clear" w:color="auto" w:fill="000000"/>
          </w:tcPr>
          <w:p>
            <w:pPr>
              <w:spacing w:after="0"/>
              <w:rPr>
                <w:sz w:val="21"/>
                <w:szCs w:val="21"/>
                <w:color w:val="auto"/>
              </w:rPr>
            </w:pPr>
          </w:p>
        </w:tc>
        <w:tc>
          <w:tcPr>
            <w:tcW w:w="220" w:type="dxa"/>
            <w:vAlign w:val="bottom"/>
            <w:shd w:val="clear" w:color="auto" w:fill="000000"/>
          </w:tcPr>
          <w:p>
            <w:pPr>
              <w:spacing w:after="0"/>
              <w:rPr>
                <w:sz w:val="21"/>
                <w:szCs w:val="21"/>
                <w:color w:val="auto"/>
              </w:rPr>
            </w:pPr>
          </w:p>
        </w:tc>
        <w:tc>
          <w:tcPr>
            <w:tcW w:w="1800" w:type="dxa"/>
            <w:vAlign w:val="bottom"/>
            <w:shd w:val="clear" w:color="auto" w:fill="000000"/>
          </w:tcPr>
          <w:p>
            <w:pPr>
              <w:jc w:val="center"/>
              <w:ind w:right="251"/>
              <w:spacing w:after="0"/>
              <w:rPr>
                <w:sz w:val="20"/>
                <w:szCs w:val="20"/>
                <w:color w:val="auto"/>
              </w:rPr>
            </w:pPr>
            <w:r>
              <w:rPr>
                <w:rFonts w:ascii="Arial" w:cs="Arial" w:eastAsia="Arial" w:hAnsi="Arial"/>
                <w:sz w:val="14"/>
                <w:szCs w:val="14"/>
                <w:b w:val="1"/>
                <w:bCs w:val="1"/>
                <w:color w:val="EAEFED"/>
                <w:w w:val="99"/>
              </w:rPr>
              <w:t>Equity incentive plan</w:t>
            </w:r>
          </w:p>
        </w:tc>
        <w:tc>
          <w:tcPr>
            <w:tcW w:w="0" w:type="dxa"/>
            <w:vAlign w:val="bottom"/>
          </w:tcPr>
          <w:p>
            <w:pPr>
              <w:spacing w:after="0"/>
              <w:rPr>
                <w:sz w:val="1"/>
                <w:szCs w:val="1"/>
                <w:color w:val="auto"/>
              </w:rPr>
            </w:pPr>
          </w:p>
        </w:tc>
      </w:tr>
      <w:tr>
        <w:trPr>
          <w:trHeight w:val="156"/>
        </w:trPr>
        <w:tc>
          <w:tcPr>
            <w:tcW w:w="170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1500" w:type="dxa"/>
            <w:vAlign w:val="bottom"/>
            <w:shd w:val="clear" w:color="auto" w:fill="000000"/>
          </w:tcPr>
          <w:p>
            <w:pPr>
              <w:spacing w:after="0"/>
              <w:rPr>
                <w:sz w:val="13"/>
                <w:szCs w:val="13"/>
                <w:color w:val="auto"/>
              </w:rPr>
            </w:pPr>
          </w:p>
        </w:tc>
        <w:tc>
          <w:tcPr>
            <w:tcW w:w="360" w:type="dxa"/>
            <w:vAlign w:val="bottom"/>
            <w:shd w:val="clear" w:color="auto" w:fill="000000"/>
          </w:tcPr>
          <w:p>
            <w:pPr>
              <w:spacing w:after="0"/>
              <w:rPr>
                <w:sz w:val="13"/>
                <w:szCs w:val="13"/>
                <w:color w:val="auto"/>
              </w:rPr>
            </w:pPr>
          </w:p>
        </w:tc>
        <w:tc>
          <w:tcPr>
            <w:tcW w:w="320" w:type="dxa"/>
            <w:vAlign w:val="bottom"/>
            <w:shd w:val="clear" w:color="auto" w:fill="000000"/>
          </w:tcPr>
          <w:p>
            <w:pPr>
              <w:spacing w:after="0"/>
              <w:rPr>
                <w:sz w:val="13"/>
                <w:szCs w:val="13"/>
                <w:color w:val="auto"/>
              </w:rPr>
            </w:pPr>
          </w:p>
        </w:tc>
        <w:tc>
          <w:tcPr>
            <w:tcW w:w="1720" w:type="dxa"/>
            <w:vAlign w:val="bottom"/>
            <w:shd w:val="clear" w:color="auto" w:fill="000000"/>
          </w:tcPr>
          <w:p>
            <w:pPr>
              <w:spacing w:after="0"/>
              <w:rPr>
                <w:sz w:val="13"/>
                <w:szCs w:val="13"/>
                <w:color w:val="auto"/>
              </w:rPr>
            </w:pPr>
          </w:p>
        </w:tc>
        <w:tc>
          <w:tcPr>
            <w:tcW w:w="2200" w:type="dxa"/>
            <w:vAlign w:val="bottom"/>
            <w:shd w:val="clear" w:color="auto" w:fill="000000"/>
          </w:tcPr>
          <w:p>
            <w:pPr>
              <w:jc w:val="center"/>
              <w:ind w:left="11"/>
              <w:spacing w:after="0" w:line="156" w:lineRule="exact"/>
              <w:rPr>
                <w:sz w:val="20"/>
                <w:szCs w:val="20"/>
                <w:color w:val="auto"/>
              </w:rPr>
            </w:pPr>
            <w:r>
              <w:rPr>
                <w:rFonts w:ascii="Arial" w:cs="Arial" w:eastAsia="Arial" w:hAnsi="Arial"/>
                <w:sz w:val="14"/>
                <w:szCs w:val="14"/>
                <w:b w:val="1"/>
                <w:bCs w:val="1"/>
                <w:color w:val="EAEFED"/>
                <w:w w:val="99"/>
              </w:rPr>
              <w:t>Equity incentive plan awards:</w:t>
            </w:r>
          </w:p>
        </w:tc>
        <w:tc>
          <w:tcPr>
            <w:tcW w:w="2020" w:type="dxa"/>
            <w:vAlign w:val="bottom"/>
            <w:gridSpan w:val="2"/>
            <w:shd w:val="clear" w:color="auto" w:fill="000000"/>
          </w:tcPr>
          <w:p>
            <w:pPr>
              <w:jc w:val="center"/>
              <w:ind w:right="31"/>
              <w:spacing w:after="0" w:line="156" w:lineRule="exact"/>
              <w:rPr>
                <w:sz w:val="20"/>
                <w:szCs w:val="20"/>
                <w:color w:val="auto"/>
              </w:rPr>
            </w:pPr>
            <w:r>
              <w:rPr>
                <w:rFonts w:ascii="Arial" w:cs="Arial" w:eastAsia="Arial" w:hAnsi="Arial"/>
                <w:sz w:val="14"/>
                <w:szCs w:val="14"/>
                <w:b w:val="1"/>
                <w:bCs w:val="1"/>
                <w:color w:val="EAEFED"/>
                <w:w w:val="98"/>
              </w:rPr>
              <w:t>awards: market or payout</w:t>
            </w:r>
          </w:p>
        </w:tc>
        <w:tc>
          <w:tcPr>
            <w:tcW w:w="0" w:type="dxa"/>
            <w:vAlign w:val="bottom"/>
          </w:tcPr>
          <w:p>
            <w:pPr>
              <w:spacing w:after="0"/>
              <w:rPr>
                <w:sz w:val="1"/>
                <w:szCs w:val="1"/>
                <w:color w:val="auto"/>
              </w:rPr>
            </w:pPr>
          </w:p>
        </w:tc>
      </w:tr>
      <w:tr>
        <w:trPr>
          <w:trHeight w:val="156"/>
        </w:trPr>
        <w:tc>
          <w:tcPr>
            <w:tcW w:w="170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1860" w:type="dxa"/>
            <w:vAlign w:val="bottom"/>
            <w:gridSpan w:val="2"/>
            <w:shd w:val="clear" w:color="auto" w:fill="000000"/>
          </w:tcPr>
          <w:p>
            <w:pPr>
              <w:jc w:val="right"/>
              <w:ind w:right="121"/>
              <w:spacing w:after="0" w:line="156" w:lineRule="exact"/>
              <w:rPr>
                <w:sz w:val="20"/>
                <w:szCs w:val="20"/>
                <w:color w:val="auto"/>
              </w:rPr>
            </w:pPr>
            <w:r>
              <w:rPr>
                <w:rFonts w:ascii="Arial" w:cs="Arial" w:eastAsia="Arial" w:hAnsi="Arial"/>
                <w:sz w:val="14"/>
                <w:szCs w:val="14"/>
                <w:b w:val="1"/>
                <w:bCs w:val="1"/>
                <w:color w:val="EAEFED"/>
              </w:rPr>
              <w:t>Number of Shares or</w:t>
            </w:r>
          </w:p>
        </w:tc>
        <w:tc>
          <w:tcPr>
            <w:tcW w:w="2040" w:type="dxa"/>
            <w:vAlign w:val="bottom"/>
            <w:gridSpan w:val="2"/>
            <w:shd w:val="clear" w:color="auto" w:fill="000000"/>
          </w:tcPr>
          <w:p>
            <w:pPr>
              <w:ind w:left="180"/>
              <w:spacing w:after="0" w:line="156" w:lineRule="exact"/>
              <w:rPr>
                <w:sz w:val="20"/>
                <w:szCs w:val="20"/>
                <w:color w:val="auto"/>
              </w:rPr>
            </w:pPr>
            <w:r>
              <w:rPr>
                <w:rFonts w:ascii="Arial" w:cs="Arial" w:eastAsia="Arial" w:hAnsi="Arial"/>
                <w:sz w:val="14"/>
                <w:szCs w:val="14"/>
                <w:b w:val="1"/>
                <w:bCs w:val="1"/>
                <w:color w:val="EAEFED"/>
              </w:rPr>
              <w:t>Market Value of Shares or</w:t>
            </w:r>
          </w:p>
        </w:tc>
        <w:tc>
          <w:tcPr>
            <w:tcW w:w="2200" w:type="dxa"/>
            <w:vAlign w:val="bottom"/>
            <w:shd w:val="clear" w:color="auto" w:fill="000000"/>
          </w:tcPr>
          <w:p>
            <w:pPr>
              <w:jc w:val="center"/>
              <w:ind w:left="11"/>
              <w:spacing w:after="0" w:line="156" w:lineRule="exact"/>
              <w:rPr>
                <w:sz w:val="20"/>
                <w:szCs w:val="20"/>
                <w:color w:val="auto"/>
              </w:rPr>
            </w:pPr>
            <w:r>
              <w:rPr>
                <w:rFonts w:ascii="Arial" w:cs="Arial" w:eastAsia="Arial" w:hAnsi="Arial"/>
                <w:sz w:val="14"/>
                <w:szCs w:val="14"/>
                <w:b w:val="1"/>
                <w:bCs w:val="1"/>
                <w:color w:val="EAEFED"/>
                <w:w w:val="99"/>
              </w:rPr>
              <w:t>number of unearned shares,</w:t>
            </w:r>
          </w:p>
        </w:tc>
        <w:tc>
          <w:tcPr>
            <w:tcW w:w="2020" w:type="dxa"/>
            <w:vAlign w:val="bottom"/>
            <w:gridSpan w:val="2"/>
            <w:shd w:val="clear" w:color="auto" w:fill="000000"/>
          </w:tcPr>
          <w:p>
            <w:pPr>
              <w:jc w:val="center"/>
              <w:ind w:right="31"/>
              <w:spacing w:after="0" w:line="156" w:lineRule="exact"/>
              <w:rPr>
                <w:sz w:val="20"/>
                <w:szCs w:val="20"/>
                <w:color w:val="auto"/>
              </w:rPr>
            </w:pPr>
            <w:r>
              <w:rPr>
                <w:rFonts w:ascii="Arial" w:cs="Arial" w:eastAsia="Arial" w:hAnsi="Arial"/>
                <w:sz w:val="14"/>
                <w:szCs w:val="14"/>
                <w:b w:val="1"/>
                <w:bCs w:val="1"/>
                <w:color w:val="EAEFED"/>
                <w:w w:val="99"/>
              </w:rPr>
              <w:t>value of unearned shares,</w:t>
            </w:r>
          </w:p>
        </w:tc>
        <w:tc>
          <w:tcPr>
            <w:tcW w:w="0" w:type="dxa"/>
            <w:vAlign w:val="bottom"/>
          </w:tcPr>
          <w:p>
            <w:pPr>
              <w:spacing w:after="0"/>
              <w:rPr>
                <w:sz w:val="1"/>
                <w:szCs w:val="1"/>
                <w:color w:val="auto"/>
              </w:rPr>
            </w:pPr>
          </w:p>
        </w:tc>
      </w:tr>
      <w:tr>
        <w:trPr>
          <w:trHeight w:val="151"/>
        </w:trPr>
        <w:tc>
          <w:tcPr>
            <w:tcW w:w="170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1860" w:type="dxa"/>
            <w:vAlign w:val="bottom"/>
            <w:gridSpan w:val="2"/>
            <w:shd w:val="clear" w:color="auto" w:fill="000000"/>
          </w:tcPr>
          <w:p>
            <w:pPr>
              <w:jc w:val="right"/>
              <w:ind w:right="121"/>
              <w:spacing w:after="0" w:line="151" w:lineRule="exact"/>
              <w:rPr>
                <w:sz w:val="20"/>
                <w:szCs w:val="20"/>
                <w:color w:val="auto"/>
              </w:rPr>
            </w:pPr>
            <w:r>
              <w:rPr>
                <w:rFonts w:ascii="Arial" w:cs="Arial" w:eastAsia="Arial" w:hAnsi="Arial"/>
                <w:sz w:val="14"/>
                <w:szCs w:val="14"/>
                <w:b w:val="1"/>
                <w:bCs w:val="1"/>
                <w:color w:val="EAEFED"/>
              </w:rPr>
              <w:t>Units of Stock That</w:t>
            </w:r>
          </w:p>
        </w:tc>
        <w:tc>
          <w:tcPr>
            <w:tcW w:w="2040" w:type="dxa"/>
            <w:vAlign w:val="bottom"/>
            <w:gridSpan w:val="2"/>
            <w:shd w:val="clear" w:color="auto" w:fill="000000"/>
          </w:tcPr>
          <w:p>
            <w:pPr>
              <w:jc w:val="right"/>
              <w:ind w:right="111"/>
              <w:spacing w:after="0" w:line="151" w:lineRule="exact"/>
              <w:rPr>
                <w:sz w:val="20"/>
                <w:szCs w:val="20"/>
                <w:color w:val="auto"/>
              </w:rPr>
            </w:pPr>
            <w:r>
              <w:rPr>
                <w:rFonts w:ascii="Arial" w:cs="Arial" w:eastAsia="Arial" w:hAnsi="Arial"/>
                <w:sz w:val="14"/>
                <w:szCs w:val="14"/>
                <w:b w:val="1"/>
                <w:bCs w:val="1"/>
                <w:color w:val="EAEFED"/>
              </w:rPr>
              <w:t>Units of Stock That Have</w:t>
            </w:r>
          </w:p>
        </w:tc>
        <w:tc>
          <w:tcPr>
            <w:tcW w:w="2200" w:type="dxa"/>
            <w:vAlign w:val="bottom"/>
            <w:shd w:val="clear" w:color="auto" w:fill="000000"/>
          </w:tcPr>
          <w:p>
            <w:pPr>
              <w:jc w:val="center"/>
              <w:ind w:left="11"/>
              <w:spacing w:after="0" w:line="151" w:lineRule="exact"/>
              <w:rPr>
                <w:sz w:val="20"/>
                <w:szCs w:val="20"/>
                <w:color w:val="auto"/>
              </w:rPr>
            </w:pPr>
            <w:r>
              <w:rPr>
                <w:rFonts w:ascii="Arial" w:cs="Arial" w:eastAsia="Arial" w:hAnsi="Arial"/>
                <w:sz w:val="14"/>
                <w:szCs w:val="14"/>
                <w:b w:val="1"/>
                <w:bCs w:val="1"/>
                <w:color w:val="EAEFED"/>
                <w:w w:val="98"/>
              </w:rPr>
              <w:t>units or other rights that</w:t>
            </w:r>
          </w:p>
        </w:tc>
        <w:tc>
          <w:tcPr>
            <w:tcW w:w="2020" w:type="dxa"/>
            <w:vAlign w:val="bottom"/>
            <w:gridSpan w:val="2"/>
            <w:shd w:val="clear" w:color="auto" w:fill="000000"/>
          </w:tcPr>
          <w:p>
            <w:pPr>
              <w:jc w:val="center"/>
              <w:ind w:right="31"/>
              <w:spacing w:after="0" w:line="151" w:lineRule="exact"/>
              <w:rPr>
                <w:sz w:val="20"/>
                <w:szCs w:val="20"/>
                <w:color w:val="auto"/>
              </w:rPr>
            </w:pPr>
            <w:r>
              <w:rPr>
                <w:rFonts w:ascii="Arial" w:cs="Arial" w:eastAsia="Arial" w:hAnsi="Arial"/>
                <w:sz w:val="14"/>
                <w:szCs w:val="14"/>
                <w:b w:val="1"/>
                <w:bCs w:val="1"/>
                <w:color w:val="EAEFED"/>
                <w:w w:val="98"/>
              </w:rPr>
              <w:t>units or other rights that</w:t>
            </w:r>
          </w:p>
        </w:tc>
        <w:tc>
          <w:tcPr>
            <w:tcW w:w="0" w:type="dxa"/>
            <w:vAlign w:val="bottom"/>
          </w:tcPr>
          <w:p>
            <w:pPr>
              <w:spacing w:after="0"/>
              <w:rPr>
                <w:sz w:val="1"/>
                <w:szCs w:val="1"/>
                <w:color w:val="auto"/>
              </w:rPr>
            </w:pPr>
          </w:p>
        </w:tc>
      </w:tr>
      <w:tr>
        <w:trPr>
          <w:trHeight w:val="238"/>
        </w:trPr>
        <w:tc>
          <w:tcPr>
            <w:tcW w:w="2500" w:type="dxa"/>
            <w:vAlign w:val="bottom"/>
            <w:gridSpan w:val="2"/>
            <w:shd w:val="clear" w:color="auto" w:fill="000000"/>
          </w:tcPr>
          <w:p>
            <w:pPr>
              <w:ind w:left="40"/>
              <w:spacing w:after="0"/>
              <w:rPr>
                <w:sz w:val="20"/>
                <w:szCs w:val="20"/>
                <w:color w:val="auto"/>
              </w:rPr>
            </w:pPr>
            <w:r>
              <w:rPr>
                <w:rFonts w:ascii="Arial" w:cs="Arial" w:eastAsia="Arial" w:hAnsi="Arial"/>
                <w:sz w:val="14"/>
                <w:szCs w:val="14"/>
                <w:b w:val="1"/>
                <w:bCs w:val="1"/>
                <w:color w:val="EAEFED"/>
              </w:rPr>
              <w:t>Name</w:t>
            </w:r>
          </w:p>
        </w:tc>
        <w:tc>
          <w:tcPr>
            <w:tcW w:w="1860" w:type="dxa"/>
            <w:vAlign w:val="bottom"/>
            <w:gridSpan w:val="2"/>
            <w:shd w:val="clear" w:color="auto" w:fill="000000"/>
          </w:tcPr>
          <w:p>
            <w:pPr>
              <w:jc w:val="right"/>
              <w:ind w:right="121"/>
              <w:spacing w:after="0"/>
              <w:rPr>
                <w:sz w:val="20"/>
                <w:szCs w:val="20"/>
                <w:color w:val="auto"/>
              </w:rPr>
            </w:pPr>
            <w:r>
              <w:rPr>
                <w:rFonts w:ascii="Arial" w:cs="Arial" w:eastAsia="Arial" w:hAnsi="Arial"/>
                <w:sz w:val="14"/>
                <w:szCs w:val="14"/>
                <w:b w:val="1"/>
                <w:bCs w:val="1"/>
                <w:color w:val="EAEFED"/>
              </w:rPr>
              <w:t>Have Not Vested</w:t>
            </w:r>
          </w:p>
        </w:tc>
        <w:tc>
          <w:tcPr>
            <w:tcW w:w="320" w:type="dxa"/>
            <w:vAlign w:val="bottom"/>
            <w:shd w:val="clear" w:color="auto" w:fill="000000"/>
          </w:tcPr>
          <w:p>
            <w:pPr>
              <w:spacing w:after="0"/>
              <w:rPr>
                <w:sz w:val="20"/>
                <w:szCs w:val="20"/>
                <w:color w:val="auto"/>
              </w:rPr>
            </w:pPr>
          </w:p>
        </w:tc>
        <w:tc>
          <w:tcPr>
            <w:tcW w:w="1720" w:type="dxa"/>
            <w:vAlign w:val="bottom"/>
            <w:shd w:val="clear" w:color="auto" w:fill="000000"/>
          </w:tcPr>
          <w:p>
            <w:pPr>
              <w:jc w:val="right"/>
              <w:ind w:right="111"/>
              <w:spacing w:after="0" w:line="237" w:lineRule="exact"/>
              <w:rPr>
                <w:sz w:val="20"/>
                <w:szCs w:val="20"/>
                <w:color w:val="auto"/>
              </w:rPr>
            </w:pPr>
            <w:r>
              <w:rPr>
                <w:rFonts w:ascii="Arial" w:cs="Arial" w:eastAsia="Arial" w:hAnsi="Arial"/>
                <w:sz w:val="14"/>
                <w:szCs w:val="14"/>
                <w:b w:val="1"/>
                <w:bCs w:val="1"/>
                <w:color w:val="EAEFED"/>
              </w:rPr>
              <w:t>Not Vested</w:t>
            </w:r>
            <w:r>
              <w:rPr>
                <w:rFonts w:ascii="Arial" w:cs="Arial" w:eastAsia="Arial" w:hAnsi="Arial"/>
                <w:sz w:val="23"/>
                <w:szCs w:val="23"/>
                <w:b w:val="1"/>
                <w:bCs w:val="1"/>
                <w:color w:val="EAEFED"/>
                <w:vertAlign w:val="superscript"/>
              </w:rPr>
              <w:t>(9)</w:t>
            </w:r>
          </w:p>
        </w:tc>
        <w:tc>
          <w:tcPr>
            <w:tcW w:w="2200" w:type="dxa"/>
            <w:vAlign w:val="bottom"/>
            <w:shd w:val="clear" w:color="auto" w:fill="000000"/>
          </w:tcPr>
          <w:p>
            <w:pPr>
              <w:jc w:val="center"/>
              <w:ind w:left="11"/>
              <w:spacing w:after="0"/>
              <w:rPr>
                <w:sz w:val="20"/>
                <w:szCs w:val="20"/>
                <w:color w:val="auto"/>
              </w:rPr>
            </w:pPr>
            <w:r>
              <w:rPr>
                <w:rFonts w:ascii="Arial" w:cs="Arial" w:eastAsia="Arial" w:hAnsi="Arial"/>
                <w:sz w:val="14"/>
                <w:szCs w:val="14"/>
                <w:b w:val="1"/>
                <w:bCs w:val="1"/>
                <w:color w:val="EAEFED"/>
                <w:w w:val="98"/>
              </w:rPr>
              <w:t>have not vested</w:t>
            </w:r>
          </w:p>
        </w:tc>
        <w:tc>
          <w:tcPr>
            <w:tcW w:w="220" w:type="dxa"/>
            <w:vAlign w:val="bottom"/>
            <w:shd w:val="clear" w:color="auto" w:fill="000000"/>
          </w:tcPr>
          <w:p>
            <w:pPr>
              <w:spacing w:after="0"/>
              <w:rPr>
                <w:sz w:val="20"/>
                <w:szCs w:val="20"/>
                <w:color w:val="auto"/>
              </w:rPr>
            </w:pPr>
          </w:p>
        </w:tc>
        <w:tc>
          <w:tcPr>
            <w:tcW w:w="1800" w:type="dxa"/>
            <w:vAlign w:val="bottom"/>
            <w:shd w:val="clear" w:color="auto" w:fill="000000"/>
          </w:tcPr>
          <w:p>
            <w:pPr>
              <w:jc w:val="center"/>
              <w:ind w:right="251"/>
              <w:spacing w:after="0" w:line="237" w:lineRule="exact"/>
              <w:rPr>
                <w:sz w:val="20"/>
                <w:szCs w:val="20"/>
                <w:color w:val="auto"/>
              </w:rPr>
            </w:pPr>
            <w:r>
              <w:rPr>
                <w:rFonts w:ascii="Arial" w:cs="Arial" w:eastAsia="Arial" w:hAnsi="Arial"/>
                <w:sz w:val="14"/>
                <w:szCs w:val="14"/>
                <w:b w:val="1"/>
                <w:bCs w:val="1"/>
                <w:color w:val="EAEFED"/>
                <w:w w:val="96"/>
              </w:rPr>
              <w:t>have not vested</w:t>
            </w:r>
            <w:r>
              <w:rPr>
                <w:rFonts w:ascii="Arial" w:cs="Arial" w:eastAsia="Arial" w:hAnsi="Arial"/>
                <w:sz w:val="23"/>
                <w:szCs w:val="23"/>
                <w:b w:val="1"/>
                <w:bCs w:val="1"/>
                <w:color w:val="EAEFED"/>
                <w:w w:val="96"/>
                <w:vertAlign w:val="superscript"/>
              </w:rPr>
              <w:t>(9)</w:t>
            </w:r>
          </w:p>
        </w:tc>
        <w:tc>
          <w:tcPr>
            <w:tcW w:w="0" w:type="dxa"/>
            <w:vAlign w:val="bottom"/>
          </w:tcPr>
          <w:p>
            <w:pPr>
              <w:spacing w:after="0"/>
              <w:rPr>
                <w:sz w:val="1"/>
                <w:szCs w:val="1"/>
                <w:color w:val="auto"/>
              </w:rPr>
            </w:pPr>
          </w:p>
        </w:tc>
      </w:tr>
      <w:tr>
        <w:trPr>
          <w:trHeight w:val="180"/>
        </w:trPr>
        <w:tc>
          <w:tcPr>
            <w:tcW w:w="2500" w:type="dxa"/>
            <w:vAlign w:val="bottom"/>
            <w:gridSpan w:val="2"/>
            <w:shd w:val="clear" w:color="auto" w:fill="D8D8D8"/>
          </w:tcPr>
          <w:p>
            <w:pPr>
              <w:ind w:left="40"/>
              <w:spacing w:after="0"/>
              <w:rPr>
                <w:sz w:val="20"/>
                <w:szCs w:val="20"/>
                <w:color w:val="auto"/>
              </w:rPr>
            </w:pPr>
            <w:r>
              <w:rPr>
                <w:rFonts w:ascii="Arial" w:cs="Arial" w:eastAsia="Arial" w:hAnsi="Arial"/>
                <w:sz w:val="14"/>
                <w:szCs w:val="14"/>
                <w:color w:val="auto"/>
              </w:rPr>
              <w:t>Donald C. Wood</w:t>
            </w:r>
          </w:p>
        </w:tc>
        <w:tc>
          <w:tcPr>
            <w:tcW w:w="1860" w:type="dxa"/>
            <w:vAlign w:val="bottom"/>
            <w:gridSpan w:val="2"/>
          </w:tcPr>
          <w:p>
            <w:pPr>
              <w:jc w:val="right"/>
              <w:ind w:right="121"/>
              <w:spacing w:after="0" w:line="180" w:lineRule="exact"/>
              <w:rPr>
                <w:sz w:val="20"/>
                <w:szCs w:val="20"/>
                <w:color w:val="auto"/>
              </w:rPr>
            </w:pPr>
            <w:r>
              <w:rPr>
                <w:rFonts w:ascii="Arial" w:cs="Arial" w:eastAsia="Arial" w:hAnsi="Arial"/>
                <w:sz w:val="12"/>
                <w:szCs w:val="12"/>
                <w:color w:val="auto"/>
              </w:rPr>
              <w:t xml:space="preserve">2,232 </w:t>
            </w:r>
            <w:r>
              <w:rPr>
                <w:rFonts w:ascii="Arial" w:cs="Arial" w:eastAsia="Arial" w:hAnsi="Arial"/>
                <w:sz w:val="20"/>
                <w:szCs w:val="20"/>
                <w:color w:val="auto"/>
                <w:vertAlign w:val="superscript"/>
              </w:rPr>
              <w:t>(1)</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rPr>
                <w:sz w:val="20"/>
                <w:szCs w:val="20"/>
                <w:color w:val="auto"/>
              </w:rPr>
            </w:pPr>
            <w:r>
              <w:rPr>
                <w:rFonts w:ascii="Arial" w:cs="Arial" w:eastAsia="Arial" w:hAnsi="Arial"/>
                <w:sz w:val="14"/>
                <w:szCs w:val="14"/>
                <w:color w:val="auto"/>
              </w:rPr>
              <w:t>304,266</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52,208</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(1)</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7,116,995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2,364</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322,260</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28,177</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3,841,089</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1,327</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180,897</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tcBorders>
              <w:bottom w:val="single" w:sz="8" w:color="D8D8D8"/>
            </w:tcBorders>
            <w:shd w:val="clear" w:color="auto" w:fill="D8D8D8"/>
          </w:tcPr>
          <w:p>
            <w:pPr>
              <w:spacing w:after="0"/>
              <w:rPr>
                <w:sz w:val="18"/>
                <w:szCs w:val="18"/>
                <w:color w:val="auto"/>
              </w:rPr>
            </w:pPr>
          </w:p>
        </w:tc>
        <w:tc>
          <w:tcPr>
            <w:tcW w:w="800" w:type="dxa"/>
            <w:vAlign w:val="bottom"/>
            <w:tcBorders>
              <w:bottom w:val="single" w:sz="8" w:color="D8D8D8"/>
            </w:tcBorders>
            <w:shd w:val="clear" w:color="auto" w:fill="D8D8D8"/>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12,417</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rPr>
                <w:sz w:val="20"/>
                <w:szCs w:val="20"/>
                <w:color w:val="auto"/>
              </w:rPr>
            </w:pPr>
            <w:r>
              <w:rPr>
                <w:rFonts w:ascii="Arial" w:cs="Arial" w:eastAsia="Arial" w:hAnsi="Arial"/>
                <w:sz w:val="14"/>
                <w:szCs w:val="14"/>
                <w:color w:val="auto"/>
              </w:rPr>
              <w:t>1,692,685</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00" w:type="dxa"/>
            <w:vAlign w:val="bottom"/>
            <w:tcBorders>
              <w:top w:val="single" w:sz="8" w:color="auto"/>
            </w:tcBorders>
            <w:gridSpan w:val="2"/>
            <w:shd w:val="clear" w:color="auto" w:fill="D8D8D8"/>
          </w:tcPr>
          <w:p>
            <w:pPr>
              <w:ind w:left="40"/>
              <w:spacing w:after="0" w:line="159" w:lineRule="exact"/>
              <w:rPr>
                <w:sz w:val="20"/>
                <w:szCs w:val="20"/>
                <w:color w:val="auto"/>
              </w:rPr>
            </w:pPr>
            <w:r>
              <w:rPr>
                <w:rFonts w:ascii="Arial" w:cs="Arial" w:eastAsia="Arial" w:hAnsi="Arial"/>
                <w:sz w:val="14"/>
                <w:szCs w:val="14"/>
                <w:color w:val="auto"/>
              </w:rPr>
              <w:t>Jeffrey S. Berkes</w:t>
            </w:r>
          </w:p>
        </w:tc>
        <w:tc>
          <w:tcPr>
            <w:tcW w:w="15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1,233</w:t>
            </w: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12"/>
                <w:szCs w:val="12"/>
                <w:color w:val="auto"/>
              </w:rPr>
              <w:t>(1)</w:t>
            </w:r>
          </w:p>
        </w:tc>
        <w:tc>
          <w:tcPr>
            <w:tcW w:w="320" w:type="dxa"/>
            <w:vAlign w:val="bottom"/>
            <w:tcBorders>
              <w:top w:val="single" w:sz="8" w:color="auto"/>
            </w:tcBorders>
          </w:tcPr>
          <w:p>
            <w:pPr>
              <w:ind w:left="160"/>
              <w:spacing w:after="0" w:line="159" w:lineRule="exact"/>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tcPr>
          <w:p>
            <w:pPr>
              <w:jc w:val="right"/>
              <w:ind w:right="111"/>
              <w:spacing w:after="0" w:line="159" w:lineRule="exact"/>
              <w:rPr>
                <w:sz w:val="20"/>
                <w:szCs w:val="20"/>
                <w:color w:val="auto"/>
              </w:rPr>
            </w:pPr>
            <w:r>
              <w:rPr>
                <w:rFonts w:ascii="Arial" w:cs="Arial" w:eastAsia="Arial" w:hAnsi="Arial"/>
                <w:sz w:val="14"/>
                <w:szCs w:val="14"/>
                <w:color w:val="auto"/>
              </w:rPr>
              <w:t>168,083</w:t>
            </w:r>
          </w:p>
        </w:tc>
        <w:tc>
          <w:tcPr>
            <w:tcW w:w="2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10,442</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(1)</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1,423,453</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871</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118,735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5,635</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768,163</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332</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45,258</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1,987</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270,868</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11,175</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(4)</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1,523,376</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10,442</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(5)</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rPr>
                <w:sz w:val="20"/>
                <w:szCs w:val="20"/>
                <w:color w:val="auto"/>
              </w:rPr>
            </w:pPr>
            <w:r>
              <w:rPr>
                <w:rFonts w:ascii="Arial" w:cs="Arial" w:eastAsia="Arial" w:hAnsi="Arial"/>
                <w:sz w:val="14"/>
                <w:szCs w:val="14"/>
                <w:color w:val="auto"/>
              </w:rPr>
              <w:t>1,423,453</w:t>
            </w:r>
          </w:p>
        </w:tc>
        <w:tc>
          <w:tcPr>
            <w:tcW w:w="2200" w:type="dxa"/>
            <w:vAlign w:val="bottom"/>
            <w:vMerge w:val="restart"/>
          </w:tcPr>
          <w:p>
            <w:pPr>
              <w:jc w:val="right"/>
              <w:ind w:right="11"/>
              <w:spacing w:after="0"/>
              <w:rPr>
                <w:sz w:val="20"/>
                <w:szCs w:val="20"/>
                <w:color w:val="auto"/>
              </w:rPr>
            </w:pPr>
            <w:r>
              <w:rPr>
                <w:rFonts w:ascii="Arial" w:cs="Arial" w:eastAsia="Arial" w:hAnsi="Arial"/>
                <w:sz w:val="14"/>
                <w:szCs w:val="14"/>
                <w:color w:val="auto"/>
              </w:rPr>
              <w:t xml:space="preserve">5,221 </w:t>
            </w:r>
            <w:r>
              <w:rPr>
                <w:rFonts w:ascii="Arial" w:cs="Arial" w:eastAsia="Arial" w:hAnsi="Arial"/>
                <w:sz w:val="23"/>
                <w:szCs w:val="23"/>
                <w:color w:val="auto"/>
                <w:vertAlign w:val="superscript"/>
              </w:rPr>
              <w:t>(6)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0" w:type="dxa"/>
            <w:vAlign w:val="bottom"/>
            <w:vMerge w:val="restart"/>
          </w:tcPr>
          <w:p>
            <w:pPr>
              <w:jc w:val="right"/>
              <w:ind w:right="131"/>
              <w:spacing w:after="0"/>
              <w:rPr>
                <w:sz w:val="20"/>
                <w:szCs w:val="20"/>
                <w:color w:val="auto"/>
              </w:rPr>
            </w:pPr>
            <w:r>
              <w:rPr>
                <w:rFonts w:ascii="Arial" w:cs="Arial" w:eastAsia="Arial" w:hAnsi="Arial"/>
                <w:sz w:val="14"/>
                <w:szCs w:val="14"/>
                <w:color w:val="auto"/>
              </w:rPr>
              <w:t>711,727</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shd w:val="clear" w:color="auto" w:fill="D8D8D8"/>
          </w:tcPr>
          <w:p>
            <w:pPr>
              <w:spacing w:after="0"/>
              <w:rPr>
                <w:sz w:val="16"/>
                <w:szCs w:val="16"/>
                <w:color w:val="auto"/>
              </w:rPr>
            </w:pPr>
          </w:p>
        </w:tc>
        <w:tc>
          <w:tcPr>
            <w:tcW w:w="800" w:type="dxa"/>
            <w:vAlign w:val="bottom"/>
            <w:tcBorders>
              <w:bottom w:val="single" w:sz="8" w:color="auto"/>
            </w:tcBorders>
            <w:shd w:val="clear" w:color="auto" w:fill="D8D8D8"/>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00" w:type="dxa"/>
            <w:vAlign w:val="bottom"/>
            <w:gridSpan w:val="2"/>
            <w:shd w:val="clear" w:color="auto" w:fill="D8D8D8"/>
          </w:tcPr>
          <w:p>
            <w:pPr>
              <w:ind w:left="40"/>
              <w:spacing w:after="0" w:line="159" w:lineRule="exact"/>
              <w:rPr>
                <w:sz w:val="20"/>
                <w:szCs w:val="20"/>
                <w:color w:val="auto"/>
              </w:rPr>
            </w:pPr>
            <w:r>
              <w:rPr>
                <w:rFonts w:ascii="Arial" w:cs="Arial" w:eastAsia="Arial" w:hAnsi="Arial"/>
                <w:sz w:val="14"/>
                <w:szCs w:val="14"/>
                <w:color w:val="auto"/>
              </w:rPr>
              <w:t>Daniel Guglielmone</w:t>
            </w:r>
          </w:p>
        </w:tc>
        <w:tc>
          <w:tcPr>
            <w:tcW w:w="1500" w:type="dxa"/>
            <w:vAlign w:val="bottom"/>
          </w:tcPr>
          <w:p>
            <w:pPr>
              <w:jc w:val="right"/>
              <w:spacing w:after="0" w:line="159" w:lineRule="exact"/>
              <w:rPr>
                <w:sz w:val="20"/>
                <w:szCs w:val="20"/>
                <w:color w:val="auto"/>
              </w:rPr>
            </w:pPr>
            <w:r>
              <w:rPr>
                <w:rFonts w:ascii="Arial" w:cs="Arial" w:eastAsia="Arial" w:hAnsi="Arial"/>
                <w:sz w:val="14"/>
                <w:szCs w:val="14"/>
                <w:color w:val="auto"/>
              </w:rPr>
              <w:t>9,398</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(1)</w:t>
            </w:r>
          </w:p>
        </w:tc>
        <w:tc>
          <w:tcPr>
            <w:tcW w:w="32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9" w:lineRule="exact"/>
              <w:rPr>
                <w:sz w:val="20"/>
                <w:szCs w:val="20"/>
                <w:color w:val="auto"/>
              </w:rPr>
            </w:pPr>
            <w:r>
              <w:rPr>
                <w:rFonts w:ascii="Arial" w:cs="Arial" w:eastAsia="Arial" w:hAnsi="Arial"/>
                <w:sz w:val="14"/>
                <w:szCs w:val="14"/>
                <w:color w:val="auto"/>
              </w:rPr>
              <w:t>1,281,135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5,072</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691,415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2,235</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304,675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1,790</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(7)</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244,013</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tcBorders>
              <w:bottom w:val="single" w:sz="8" w:color="D8D8D8"/>
            </w:tcBorders>
            <w:shd w:val="clear" w:color="auto" w:fill="D8D8D8"/>
          </w:tcPr>
          <w:p>
            <w:pPr>
              <w:spacing w:after="0"/>
              <w:rPr>
                <w:sz w:val="18"/>
                <w:szCs w:val="18"/>
                <w:color w:val="auto"/>
              </w:rPr>
            </w:pPr>
          </w:p>
        </w:tc>
        <w:tc>
          <w:tcPr>
            <w:tcW w:w="800" w:type="dxa"/>
            <w:vAlign w:val="bottom"/>
            <w:tcBorders>
              <w:bottom w:val="single" w:sz="8" w:color="D8D8D8"/>
            </w:tcBorders>
            <w:shd w:val="clear" w:color="auto" w:fill="D8D8D8"/>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8,569</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(8)</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rPr>
                <w:sz w:val="20"/>
                <w:szCs w:val="20"/>
                <w:color w:val="auto"/>
              </w:rPr>
            </w:pPr>
            <w:r>
              <w:rPr>
                <w:rFonts w:ascii="Arial" w:cs="Arial" w:eastAsia="Arial" w:hAnsi="Arial"/>
                <w:sz w:val="14"/>
                <w:szCs w:val="14"/>
                <w:color w:val="auto"/>
              </w:rPr>
              <w:t>1,168,126</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00" w:type="dxa"/>
            <w:vAlign w:val="bottom"/>
            <w:tcBorders>
              <w:top w:val="single" w:sz="8" w:color="auto"/>
            </w:tcBorders>
            <w:gridSpan w:val="2"/>
            <w:shd w:val="clear" w:color="auto" w:fill="D8D8D8"/>
          </w:tcPr>
          <w:p>
            <w:pPr>
              <w:ind w:left="40"/>
              <w:spacing w:after="0" w:line="159" w:lineRule="exact"/>
              <w:rPr>
                <w:sz w:val="20"/>
                <w:szCs w:val="20"/>
                <w:color w:val="auto"/>
              </w:rPr>
            </w:pPr>
            <w:r>
              <w:rPr>
                <w:rFonts w:ascii="Arial" w:cs="Arial" w:eastAsia="Arial" w:hAnsi="Arial"/>
                <w:sz w:val="14"/>
                <w:szCs w:val="14"/>
                <w:color w:val="auto"/>
              </w:rPr>
              <w:t>Dawn M. Becker</w:t>
            </w:r>
          </w:p>
        </w:tc>
        <w:tc>
          <w:tcPr>
            <w:tcW w:w="1860" w:type="dxa"/>
            <w:vAlign w:val="bottom"/>
            <w:tcBorders>
              <w:top w:val="single" w:sz="8" w:color="auto"/>
            </w:tcBorders>
            <w:gridSpan w:val="2"/>
          </w:tcPr>
          <w:p>
            <w:pPr>
              <w:jc w:val="right"/>
              <w:ind w:right="121"/>
              <w:spacing w:after="0" w:line="159" w:lineRule="exact"/>
              <w:rPr>
                <w:sz w:val="20"/>
                <w:szCs w:val="20"/>
                <w:color w:val="auto"/>
              </w:rPr>
            </w:pPr>
            <w:r>
              <w:rPr>
                <w:rFonts w:ascii="Arial" w:cs="Arial" w:eastAsia="Arial" w:hAnsi="Arial"/>
                <w:sz w:val="11"/>
                <w:szCs w:val="11"/>
                <w:color w:val="auto"/>
              </w:rPr>
              <w:t xml:space="preserve">837 </w:t>
            </w:r>
            <w:r>
              <w:rPr>
                <w:rFonts w:ascii="Arial" w:cs="Arial" w:eastAsia="Arial" w:hAnsi="Arial"/>
                <w:sz w:val="18"/>
                <w:szCs w:val="18"/>
                <w:color w:val="auto"/>
                <w:vertAlign w:val="superscript"/>
              </w:rPr>
              <w:t>(1)</w:t>
            </w:r>
          </w:p>
        </w:tc>
        <w:tc>
          <w:tcPr>
            <w:tcW w:w="320" w:type="dxa"/>
            <w:vAlign w:val="bottom"/>
            <w:tcBorders>
              <w:top w:val="single" w:sz="8" w:color="auto"/>
            </w:tcBorders>
          </w:tcPr>
          <w:p>
            <w:pPr>
              <w:ind w:left="160"/>
              <w:spacing w:after="0" w:line="159" w:lineRule="exact"/>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tcPr>
          <w:p>
            <w:pPr>
              <w:jc w:val="right"/>
              <w:ind w:right="111"/>
              <w:spacing w:after="0" w:line="159" w:lineRule="exact"/>
              <w:rPr>
                <w:sz w:val="20"/>
                <w:szCs w:val="20"/>
                <w:color w:val="auto"/>
              </w:rPr>
            </w:pPr>
            <w:r>
              <w:rPr>
                <w:rFonts w:ascii="Arial" w:cs="Arial" w:eastAsia="Arial" w:hAnsi="Arial"/>
                <w:sz w:val="14"/>
                <w:szCs w:val="14"/>
                <w:color w:val="auto"/>
              </w:rPr>
              <w:t>114,100</w:t>
            </w:r>
          </w:p>
        </w:tc>
        <w:tc>
          <w:tcPr>
            <w:tcW w:w="2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6,265</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(1)</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854,045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591</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80,565</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3,381</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(2)</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460,898</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500" w:type="dxa"/>
            <w:vAlign w:val="bottom"/>
          </w:tcPr>
          <w:p>
            <w:pPr>
              <w:jc w:val="right"/>
              <w:spacing w:after="0" w:line="156" w:lineRule="exact"/>
              <w:rPr>
                <w:sz w:val="20"/>
                <w:szCs w:val="20"/>
                <w:color w:val="auto"/>
              </w:rPr>
            </w:pPr>
            <w:r>
              <w:rPr>
                <w:rFonts w:ascii="Arial" w:cs="Arial" w:eastAsia="Arial" w:hAnsi="Arial"/>
                <w:sz w:val="14"/>
                <w:szCs w:val="14"/>
                <w:color w:val="auto"/>
              </w:rPr>
              <w:t>314</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line="156"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42,804</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tcBorders>
              <w:bottom w:val="single" w:sz="8" w:color="D8D8D8"/>
            </w:tcBorders>
            <w:shd w:val="clear" w:color="auto" w:fill="D8D8D8"/>
          </w:tcPr>
          <w:p>
            <w:pPr>
              <w:spacing w:after="0"/>
              <w:rPr>
                <w:sz w:val="18"/>
                <w:szCs w:val="18"/>
                <w:color w:val="auto"/>
              </w:rPr>
            </w:pPr>
          </w:p>
        </w:tc>
        <w:tc>
          <w:tcPr>
            <w:tcW w:w="800" w:type="dxa"/>
            <w:vAlign w:val="bottom"/>
            <w:tcBorders>
              <w:bottom w:val="single" w:sz="8" w:color="D8D8D8"/>
            </w:tcBorders>
            <w:shd w:val="clear" w:color="auto" w:fill="D8D8D8"/>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1,490</w:t>
            </w:r>
          </w:p>
        </w:tc>
        <w:tc>
          <w:tcPr>
            <w:tcW w:w="360" w:type="dxa"/>
            <w:vAlign w:val="bottom"/>
          </w:tcPr>
          <w:p>
            <w:pPr>
              <w:jc w:val="right"/>
              <w:ind w:right="121"/>
              <w:spacing w:after="0"/>
              <w:rPr>
                <w:sz w:val="20"/>
                <w:szCs w:val="20"/>
                <w:color w:val="auto"/>
              </w:rPr>
            </w:pPr>
            <w:r>
              <w:rPr>
                <w:rFonts w:ascii="Arial" w:cs="Arial" w:eastAsia="Arial" w:hAnsi="Arial"/>
                <w:sz w:val="12"/>
                <w:szCs w:val="12"/>
                <w:color w:val="auto"/>
              </w:rPr>
              <w:t>(3)</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11"/>
              <w:spacing w:after="0"/>
              <w:rPr>
                <w:sz w:val="20"/>
                <w:szCs w:val="20"/>
                <w:color w:val="auto"/>
              </w:rPr>
            </w:pPr>
            <w:r>
              <w:rPr>
                <w:rFonts w:ascii="Arial" w:cs="Arial" w:eastAsia="Arial" w:hAnsi="Arial"/>
                <w:sz w:val="14"/>
                <w:szCs w:val="14"/>
                <w:color w:val="auto"/>
              </w:rPr>
              <w:t>203,117</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7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ind w:left="424" w:hanging="424"/>
        <w:spacing w:after="0" w:line="193" w:lineRule="auto"/>
        <w:tabs>
          <w:tab w:leader="none" w:pos="424"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One-third of these shares vested on February 12, 2022 and the remaining shares will vest equally on February 12 of each of 2023 and 2024.</w:t>
      </w:r>
    </w:p>
    <w:p>
      <w:pPr>
        <w:spacing w:after="0" w:line="1" w:lineRule="exact"/>
        <w:rPr>
          <w:rFonts w:ascii="Arial" w:cs="Arial" w:eastAsia="Arial" w:hAnsi="Arial"/>
          <w:sz w:val="24"/>
          <w:szCs w:val="24"/>
          <w:color w:val="auto"/>
          <w:vertAlign w:val="superscript"/>
        </w:rPr>
      </w:pP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One-half of these shares vested on February 12, 2022 and the remaining shares will vest on February 12, 2023.</w:t>
      </w: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These shares vested on February 12, 2022.</w:t>
      </w: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One-third of these shares vested on February 12, 2022. The remaining shares will vest equally on February 12 of each of 2023 and 2024.</w:t>
      </w: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One-fifth of these shares vested on February 12, 2022. The remaining shares will vest equally on February 12 of each of 2023 through 2026.</w:t>
      </w:r>
    </w:p>
    <w:p>
      <w:pPr>
        <w:ind w:left="424" w:right="20" w:hanging="424"/>
        <w:spacing w:after="0" w:line="185" w:lineRule="auto"/>
        <w:tabs>
          <w:tab w:leader="none" w:pos="424" w:val="left"/>
        </w:tabs>
        <w:numPr>
          <w:ilvl w:val="0"/>
          <w:numId w:val="17"/>
        </w:numPr>
        <w:rPr>
          <w:rFonts w:ascii="Arial" w:cs="Arial" w:eastAsia="Arial" w:hAnsi="Arial"/>
          <w:sz w:val="26"/>
          <w:szCs w:val="26"/>
          <w:color w:val="auto"/>
          <w:vertAlign w:val="superscript"/>
        </w:rPr>
      </w:pPr>
      <w:r>
        <w:rPr>
          <w:rFonts w:ascii="Arial" w:cs="Arial" w:eastAsia="Arial" w:hAnsi="Arial"/>
          <w:sz w:val="15"/>
          <w:szCs w:val="15"/>
          <w:color w:val="auto"/>
        </w:rPr>
        <w:t>The number of shares represent the threshold payout level. The final number of shares earned cannot be determined until after December 31, 2024, the end of the performance period.</w:t>
      </w: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These shares will vest equally on August 15 of each of 2022 and 2023.</w:t>
      </w:r>
    </w:p>
    <w:p>
      <w:pPr>
        <w:ind w:left="424" w:hanging="424"/>
        <w:spacing w:after="0" w:line="181"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These shares will vest equally on August 3 of each of 2022 through 2026.</w:t>
      </w:r>
    </w:p>
    <w:p>
      <w:pPr>
        <w:ind w:left="424" w:hanging="424"/>
        <w:spacing w:after="0" w:line="186" w:lineRule="auto"/>
        <w:tabs>
          <w:tab w:leader="none" w:pos="424"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The value of shares is calculated based on $136.32, the closing price of our shares on the NYSE on December 31, 2021.</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24"/>
          </w:cols>
          <w:pgMar w:left="636" w:top="260" w:right="639" w:bottom="1440" w:gutter="0" w:footer="0" w:header="0"/>
        </w:sectPr>
      </w:pPr>
    </w:p>
    <w:bookmarkStart w:id="40" w:name="page41"/>
    <w:bookmarkEnd w:id="40"/>
    <w:p>
      <w:pPr>
        <w:ind w:left="4"/>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Options Exercised and Stock Vested in 2021</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includes information with respect to shares held by our NEOs that vested in 2021.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2240" w:type="dxa"/>
            <w:vAlign w:val="bottom"/>
            <w:shd w:val="clear" w:color="auto" w:fill="000000"/>
          </w:tcPr>
          <w:p>
            <w:pPr>
              <w:spacing w:after="0"/>
              <w:rPr>
                <w:sz w:val="20"/>
                <w:szCs w:val="20"/>
                <w:color w:val="auto"/>
              </w:rPr>
            </w:pPr>
          </w:p>
        </w:tc>
        <w:tc>
          <w:tcPr>
            <w:tcW w:w="4460" w:type="dxa"/>
            <w:vAlign w:val="bottom"/>
            <w:shd w:val="clear" w:color="auto" w:fill="000000"/>
          </w:tcPr>
          <w:p>
            <w:pPr>
              <w:jc w:val="right"/>
              <w:ind w:right="11"/>
              <w:spacing w:after="0"/>
              <w:rPr>
                <w:sz w:val="20"/>
                <w:szCs w:val="20"/>
                <w:color w:val="auto"/>
              </w:rPr>
            </w:pPr>
            <w:r>
              <w:rPr>
                <w:rFonts w:ascii="Arial" w:cs="Arial" w:eastAsia="Arial" w:hAnsi="Arial"/>
                <w:sz w:val="14"/>
                <w:szCs w:val="14"/>
                <w:b w:val="1"/>
                <w:bCs w:val="1"/>
                <w:color w:val="EAEFED"/>
              </w:rPr>
              <w:t>Stock Awards</w:t>
            </w:r>
          </w:p>
        </w:tc>
        <w:tc>
          <w:tcPr>
            <w:tcW w:w="180" w:type="dxa"/>
            <w:vAlign w:val="bottom"/>
            <w:shd w:val="clear" w:color="auto" w:fill="000000"/>
          </w:tcPr>
          <w:p>
            <w:pPr>
              <w:spacing w:after="0"/>
              <w:rPr>
                <w:sz w:val="20"/>
                <w:szCs w:val="20"/>
                <w:color w:val="auto"/>
              </w:rPr>
            </w:pPr>
          </w:p>
        </w:tc>
        <w:tc>
          <w:tcPr>
            <w:tcW w:w="1080" w:type="dxa"/>
            <w:vAlign w:val="bottom"/>
            <w:shd w:val="clear" w:color="auto" w:fill="000000"/>
          </w:tcPr>
          <w:p>
            <w:pPr>
              <w:spacing w:after="0"/>
              <w:rPr>
                <w:sz w:val="20"/>
                <w:szCs w:val="20"/>
                <w:color w:val="auto"/>
              </w:rPr>
            </w:pPr>
          </w:p>
        </w:tc>
      </w:tr>
      <w:tr>
        <w:trPr>
          <w:trHeight w:val="273"/>
        </w:trPr>
        <w:tc>
          <w:tcPr>
            <w:tcW w:w="2240" w:type="dxa"/>
            <w:vAlign w:val="bottom"/>
            <w:shd w:val="clear" w:color="auto" w:fill="000000"/>
          </w:tcPr>
          <w:p>
            <w:pPr>
              <w:spacing w:after="0"/>
              <w:rPr>
                <w:sz w:val="23"/>
                <w:szCs w:val="23"/>
                <w:color w:val="auto"/>
              </w:rPr>
            </w:pPr>
          </w:p>
        </w:tc>
        <w:tc>
          <w:tcPr>
            <w:tcW w:w="4460" w:type="dxa"/>
            <w:vAlign w:val="bottom"/>
            <w:shd w:val="clear" w:color="auto" w:fill="000000"/>
          </w:tcPr>
          <w:p>
            <w:pPr>
              <w:jc w:val="right"/>
              <w:ind w:right="711"/>
              <w:spacing w:after="0"/>
              <w:rPr>
                <w:sz w:val="20"/>
                <w:szCs w:val="20"/>
                <w:color w:val="auto"/>
              </w:rPr>
            </w:pPr>
            <w:r>
              <w:rPr>
                <w:rFonts w:ascii="Arial" w:cs="Arial" w:eastAsia="Arial" w:hAnsi="Arial"/>
                <w:sz w:val="14"/>
                <w:szCs w:val="14"/>
                <w:b w:val="1"/>
                <w:bCs w:val="1"/>
                <w:color w:val="EAEFED"/>
              </w:rPr>
              <w:t>Number of Shares</w:t>
            </w:r>
          </w:p>
        </w:tc>
        <w:tc>
          <w:tcPr>
            <w:tcW w:w="1260" w:type="dxa"/>
            <w:vAlign w:val="bottom"/>
            <w:gridSpan w:val="2"/>
            <w:shd w:val="clear" w:color="auto" w:fill="000000"/>
          </w:tcPr>
          <w:p>
            <w:pPr>
              <w:ind w:left="80"/>
              <w:spacing w:after="0"/>
              <w:rPr>
                <w:sz w:val="20"/>
                <w:szCs w:val="20"/>
                <w:color w:val="auto"/>
              </w:rPr>
            </w:pPr>
            <w:r>
              <w:rPr>
                <w:rFonts w:ascii="Arial" w:cs="Arial" w:eastAsia="Arial" w:hAnsi="Arial"/>
                <w:sz w:val="14"/>
                <w:szCs w:val="14"/>
                <w:b w:val="1"/>
                <w:bCs w:val="1"/>
                <w:color w:val="EAEFED"/>
              </w:rPr>
              <w:t>Value Realized</w:t>
            </w:r>
          </w:p>
        </w:tc>
      </w:tr>
      <w:tr>
        <w:trPr>
          <w:trHeight w:val="246"/>
        </w:trPr>
        <w:tc>
          <w:tcPr>
            <w:tcW w:w="224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EAEFED"/>
              </w:rPr>
              <w:t>Name</w:t>
            </w:r>
          </w:p>
        </w:tc>
        <w:tc>
          <w:tcPr>
            <w:tcW w:w="4460" w:type="dxa"/>
            <w:vAlign w:val="bottom"/>
            <w:shd w:val="clear" w:color="auto" w:fill="000000"/>
          </w:tcPr>
          <w:p>
            <w:pPr>
              <w:jc w:val="right"/>
              <w:ind w:right="711"/>
              <w:spacing w:after="0"/>
              <w:rPr>
                <w:sz w:val="20"/>
                <w:szCs w:val="20"/>
                <w:color w:val="auto"/>
              </w:rPr>
            </w:pPr>
            <w:r>
              <w:rPr>
                <w:rFonts w:ascii="Arial" w:cs="Arial" w:eastAsia="Arial" w:hAnsi="Arial"/>
                <w:sz w:val="14"/>
                <w:szCs w:val="14"/>
                <w:b w:val="1"/>
                <w:bCs w:val="1"/>
                <w:color w:val="EAEFED"/>
              </w:rPr>
              <w:t>Acquired on Vesting</w:t>
            </w:r>
          </w:p>
        </w:tc>
        <w:tc>
          <w:tcPr>
            <w:tcW w:w="180" w:type="dxa"/>
            <w:vAlign w:val="bottom"/>
            <w:shd w:val="clear" w:color="auto" w:fill="000000"/>
          </w:tcPr>
          <w:p>
            <w:pPr>
              <w:spacing w:after="0"/>
              <w:rPr>
                <w:sz w:val="21"/>
                <w:szCs w:val="21"/>
                <w:color w:val="auto"/>
              </w:rPr>
            </w:pPr>
          </w:p>
        </w:tc>
        <w:tc>
          <w:tcPr>
            <w:tcW w:w="1080" w:type="dxa"/>
            <w:vAlign w:val="bottom"/>
            <w:shd w:val="clear" w:color="auto" w:fill="000000"/>
          </w:tcPr>
          <w:p>
            <w:pPr>
              <w:jc w:val="right"/>
              <w:ind w:right="151"/>
              <w:spacing w:after="0" w:line="246" w:lineRule="exact"/>
              <w:rPr>
                <w:sz w:val="20"/>
                <w:szCs w:val="20"/>
                <w:color w:val="auto"/>
              </w:rPr>
            </w:pPr>
            <w:r>
              <w:rPr>
                <w:rFonts w:ascii="Arial" w:cs="Arial" w:eastAsia="Arial" w:hAnsi="Arial"/>
                <w:sz w:val="14"/>
                <w:szCs w:val="14"/>
                <w:b w:val="1"/>
                <w:bCs w:val="1"/>
                <w:color w:val="EAEFED"/>
                <w:w w:val="92"/>
              </w:rPr>
              <w:t>on Vesting</w:t>
            </w:r>
            <w:r>
              <w:rPr>
                <w:rFonts w:ascii="Arial" w:cs="Arial" w:eastAsia="Arial" w:hAnsi="Arial"/>
                <w:sz w:val="23"/>
                <w:szCs w:val="23"/>
                <w:b w:val="1"/>
                <w:bCs w:val="1"/>
                <w:color w:val="EAEFED"/>
                <w:w w:val="92"/>
                <w:vertAlign w:val="superscript"/>
              </w:rPr>
              <w:t>(1)</w:t>
            </w:r>
          </w:p>
        </w:tc>
      </w:tr>
      <w:tr>
        <w:trPr>
          <w:trHeight w:val="161"/>
        </w:trPr>
        <w:tc>
          <w:tcPr>
            <w:tcW w:w="2240" w:type="dxa"/>
            <w:vAlign w:val="bottom"/>
            <w:shd w:val="clear" w:color="auto" w:fill="D8D8D8"/>
          </w:tcPr>
          <w:p>
            <w:pPr>
              <w:ind w:left="40"/>
              <w:spacing w:after="0"/>
              <w:rPr>
                <w:sz w:val="20"/>
                <w:szCs w:val="20"/>
                <w:color w:val="auto"/>
              </w:rPr>
            </w:pPr>
            <w:r>
              <w:rPr>
                <w:rFonts w:ascii="Arial" w:cs="Arial" w:eastAsia="Arial" w:hAnsi="Arial"/>
                <w:sz w:val="14"/>
                <w:szCs w:val="14"/>
                <w:color w:val="auto"/>
              </w:rPr>
              <w:t>Donald C. Wood</w:t>
            </w:r>
          </w:p>
        </w:tc>
        <w:tc>
          <w:tcPr>
            <w:tcW w:w="4460" w:type="dxa"/>
            <w:vAlign w:val="bottom"/>
          </w:tcPr>
          <w:p>
            <w:pPr>
              <w:jc w:val="right"/>
              <w:ind w:right="711"/>
              <w:spacing w:after="0"/>
              <w:rPr>
                <w:sz w:val="20"/>
                <w:szCs w:val="20"/>
                <w:color w:val="auto"/>
              </w:rPr>
            </w:pPr>
            <w:r>
              <w:rPr>
                <w:rFonts w:ascii="Arial" w:cs="Arial" w:eastAsia="Arial" w:hAnsi="Arial"/>
                <w:sz w:val="14"/>
                <w:szCs w:val="14"/>
                <w:color w:val="auto"/>
              </w:rPr>
              <w:t>44,465</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4,550,103.45</w:t>
            </w:r>
          </w:p>
        </w:tc>
      </w:tr>
      <w:tr>
        <w:trPr>
          <w:trHeight w:val="156"/>
        </w:trPr>
        <w:tc>
          <w:tcPr>
            <w:tcW w:w="2240" w:type="dxa"/>
            <w:vAlign w:val="bottom"/>
            <w:shd w:val="clear" w:color="auto" w:fill="D8D8D8"/>
          </w:tcPr>
          <w:p>
            <w:pPr>
              <w:ind w:left="40"/>
              <w:spacing w:after="0" w:line="156" w:lineRule="exact"/>
              <w:rPr>
                <w:sz w:val="20"/>
                <w:szCs w:val="20"/>
                <w:color w:val="auto"/>
              </w:rPr>
            </w:pPr>
            <w:r>
              <w:rPr>
                <w:rFonts w:ascii="Arial" w:cs="Arial" w:eastAsia="Arial" w:hAnsi="Arial"/>
                <w:sz w:val="14"/>
                <w:szCs w:val="14"/>
                <w:color w:val="auto"/>
              </w:rPr>
              <w:t>Jeffrey S. Berkes</w:t>
            </w:r>
          </w:p>
        </w:tc>
        <w:tc>
          <w:tcPr>
            <w:tcW w:w="4460" w:type="dxa"/>
            <w:vAlign w:val="bottom"/>
          </w:tcPr>
          <w:p>
            <w:pPr>
              <w:jc w:val="right"/>
              <w:ind w:right="711"/>
              <w:spacing w:after="0" w:line="156" w:lineRule="exact"/>
              <w:rPr>
                <w:sz w:val="20"/>
                <w:szCs w:val="20"/>
                <w:color w:val="auto"/>
              </w:rPr>
            </w:pPr>
            <w:r>
              <w:rPr>
                <w:rFonts w:ascii="Arial" w:cs="Arial" w:eastAsia="Arial" w:hAnsi="Arial"/>
                <w:sz w:val="14"/>
                <w:szCs w:val="14"/>
                <w:color w:val="auto"/>
              </w:rPr>
              <w:t>11,670</w:t>
            </w:r>
          </w:p>
        </w:tc>
        <w:tc>
          <w:tcPr>
            <w:tcW w:w="180" w:type="dxa"/>
            <w:vAlign w:val="bottom"/>
          </w:tcPr>
          <w:p>
            <w:pPr>
              <w:ind w:left="80"/>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line="156" w:lineRule="exact"/>
              <w:rPr>
                <w:sz w:val="20"/>
                <w:szCs w:val="20"/>
                <w:color w:val="auto"/>
              </w:rPr>
            </w:pPr>
            <w:r>
              <w:rPr>
                <w:rFonts w:ascii="Arial" w:cs="Arial" w:eastAsia="Arial" w:hAnsi="Arial"/>
                <w:sz w:val="14"/>
                <w:szCs w:val="14"/>
                <w:color w:val="auto"/>
              </w:rPr>
              <w:t>1,194,191</w:t>
            </w:r>
          </w:p>
        </w:tc>
      </w:tr>
      <w:tr>
        <w:trPr>
          <w:trHeight w:val="156"/>
        </w:trPr>
        <w:tc>
          <w:tcPr>
            <w:tcW w:w="2240" w:type="dxa"/>
            <w:vAlign w:val="bottom"/>
            <w:shd w:val="clear" w:color="auto" w:fill="D8D8D8"/>
          </w:tcPr>
          <w:p>
            <w:pPr>
              <w:ind w:left="40"/>
              <w:spacing w:after="0" w:line="156" w:lineRule="exact"/>
              <w:rPr>
                <w:sz w:val="20"/>
                <w:szCs w:val="20"/>
                <w:color w:val="auto"/>
              </w:rPr>
            </w:pPr>
            <w:r>
              <w:rPr>
                <w:rFonts w:ascii="Arial" w:cs="Arial" w:eastAsia="Arial" w:hAnsi="Arial"/>
                <w:sz w:val="14"/>
                <w:szCs w:val="14"/>
                <w:color w:val="auto"/>
              </w:rPr>
              <w:t>Daniel Guglielmone</w:t>
            </w:r>
          </w:p>
        </w:tc>
        <w:tc>
          <w:tcPr>
            <w:tcW w:w="4460" w:type="dxa"/>
            <w:vAlign w:val="bottom"/>
          </w:tcPr>
          <w:p>
            <w:pPr>
              <w:jc w:val="right"/>
              <w:ind w:right="711"/>
              <w:spacing w:after="0" w:line="156" w:lineRule="exact"/>
              <w:rPr>
                <w:sz w:val="20"/>
                <w:szCs w:val="20"/>
                <w:color w:val="auto"/>
              </w:rPr>
            </w:pPr>
            <w:r>
              <w:rPr>
                <w:rFonts w:ascii="Arial" w:cs="Arial" w:eastAsia="Arial" w:hAnsi="Arial"/>
                <w:sz w:val="14"/>
                <w:szCs w:val="14"/>
                <w:color w:val="auto"/>
              </w:rPr>
              <w:t>8,024</w:t>
            </w:r>
          </w:p>
        </w:tc>
        <w:tc>
          <w:tcPr>
            <w:tcW w:w="180" w:type="dxa"/>
            <w:vAlign w:val="bottom"/>
          </w:tcPr>
          <w:p>
            <w:pPr>
              <w:ind w:left="80"/>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line="156" w:lineRule="exact"/>
              <w:rPr>
                <w:sz w:val="20"/>
                <w:szCs w:val="20"/>
                <w:color w:val="auto"/>
              </w:rPr>
            </w:pPr>
            <w:r>
              <w:rPr>
                <w:rFonts w:ascii="Arial" w:cs="Arial" w:eastAsia="Arial" w:hAnsi="Arial"/>
                <w:sz w:val="14"/>
                <w:szCs w:val="14"/>
                <w:color w:val="auto"/>
              </w:rPr>
              <w:t>836,911</w:t>
            </w:r>
          </w:p>
        </w:tc>
      </w:tr>
      <w:tr>
        <w:trPr>
          <w:trHeight w:val="166"/>
        </w:trPr>
        <w:tc>
          <w:tcPr>
            <w:tcW w:w="2240" w:type="dxa"/>
            <w:vAlign w:val="bottom"/>
            <w:shd w:val="clear" w:color="auto" w:fill="D8D8D8"/>
          </w:tcPr>
          <w:p>
            <w:pPr>
              <w:ind w:left="40"/>
              <w:spacing w:after="0"/>
              <w:rPr>
                <w:sz w:val="20"/>
                <w:szCs w:val="20"/>
                <w:color w:val="auto"/>
              </w:rPr>
            </w:pPr>
            <w:r>
              <w:rPr>
                <w:rFonts w:ascii="Arial" w:cs="Arial" w:eastAsia="Arial" w:hAnsi="Arial"/>
                <w:sz w:val="14"/>
                <w:szCs w:val="14"/>
                <w:color w:val="auto"/>
              </w:rPr>
              <w:t>Dawn M. Becker</w:t>
            </w:r>
          </w:p>
        </w:tc>
        <w:tc>
          <w:tcPr>
            <w:tcW w:w="4460" w:type="dxa"/>
            <w:vAlign w:val="bottom"/>
          </w:tcPr>
          <w:p>
            <w:pPr>
              <w:jc w:val="right"/>
              <w:ind w:right="711"/>
              <w:spacing w:after="0"/>
              <w:rPr>
                <w:sz w:val="20"/>
                <w:szCs w:val="20"/>
                <w:color w:val="auto"/>
              </w:rPr>
            </w:pPr>
            <w:r>
              <w:rPr>
                <w:rFonts w:ascii="Arial" w:cs="Arial" w:eastAsia="Arial" w:hAnsi="Arial"/>
                <w:sz w:val="14"/>
                <w:szCs w:val="14"/>
                <w:color w:val="auto"/>
              </w:rPr>
              <w:t>5,475</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560,257</w:t>
            </w:r>
          </w:p>
        </w:tc>
      </w:tr>
      <w:tr>
        <w:trPr>
          <w:trHeight w:val="38"/>
        </w:trPr>
        <w:tc>
          <w:tcPr>
            <w:tcW w:w="2240" w:type="dxa"/>
            <w:vAlign w:val="bottom"/>
            <w:shd w:val="clear" w:color="auto" w:fill="D8D8D8"/>
          </w:tcPr>
          <w:p>
            <w:pPr>
              <w:spacing w:after="0"/>
              <w:rPr>
                <w:sz w:val="3"/>
                <w:szCs w:val="3"/>
                <w:color w:val="auto"/>
              </w:rPr>
            </w:pPr>
          </w:p>
        </w:tc>
        <w:tc>
          <w:tcPr>
            <w:tcW w:w="4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bl>
    <w:p>
      <w:pPr>
        <w:spacing w:after="0" w:line="113"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The amounts in this column have been calculated using the closing price of a share on the date the shares vested.</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Non-Qualified Deferred Compensation</w:t>
      </w:r>
    </w:p>
    <w:p>
      <w:pPr>
        <w:spacing w:after="0" w:line="191"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We maintain a non-qualified deferred compensation plan that is open to participation by 44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All of our NEOs other than Mr. Guglielmone participate in our deferred compensation plan. 2021 activity for the participants in our plan is described below.</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2160" w:type="dxa"/>
            <w:vAlign w:val="bottom"/>
            <w:shd w:val="clear" w:color="auto" w:fill="000000"/>
          </w:tcPr>
          <w:p>
            <w:pPr>
              <w:spacing w:after="0"/>
              <w:rPr>
                <w:sz w:val="16"/>
                <w:szCs w:val="16"/>
                <w:color w:val="auto"/>
              </w:rPr>
            </w:pPr>
          </w:p>
        </w:tc>
        <w:tc>
          <w:tcPr>
            <w:tcW w:w="300" w:type="dxa"/>
            <w:vAlign w:val="bottom"/>
            <w:shd w:val="clear" w:color="auto" w:fill="000000"/>
          </w:tcPr>
          <w:p>
            <w:pPr>
              <w:spacing w:after="0"/>
              <w:rPr>
                <w:sz w:val="16"/>
                <w:szCs w:val="16"/>
                <w:color w:val="auto"/>
              </w:rPr>
            </w:pPr>
          </w:p>
        </w:tc>
        <w:tc>
          <w:tcPr>
            <w:tcW w:w="154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Executive</w:t>
            </w:r>
          </w:p>
        </w:tc>
        <w:tc>
          <w:tcPr>
            <w:tcW w:w="480" w:type="dxa"/>
            <w:vAlign w:val="bottom"/>
            <w:shd w:val="clear" w:color="auto" w:fill="000000"/>
          </w:tcPr>
          <w:p>
            <w:pPr>
              <w:spacing w:after="0"/>
              <w:rPr>
                <w:sz w:val="16"/>
                <w:szCs w:val="16"/>
                <w:color w:val="auto"/>
              </w:rPr>
            </w:pPr>
          </w:p>
        </w:tc>
        <w:tc>
          <w:tcPr>
            <w:tcW w:w="124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Registrant</w:t>
            </w:r>
          </w:p>
        </w:tc>
        <w:tc>
          <w:tcPr>
            <w:tcW w:w="420" w:type="dxa"/>
            <w:vAlign w:val="bottom"/>
            <w:shd w:val="clear" w:color="auto" w:fill="000000"/>
          </w:tcPr>
          <w:p>
            <w:pPr>
              <w:spacing w:after="0"/>
              <w:rPr>
                <w:sz w:val="16"/>
                <w:szCs w:val="16"/>
                <w:color w:val="auto"/>
              </w:rPr>
            </w:pPr>
          </w:p>
        </w:tc>
        <w:tc>
          <w:tcPr>
            <w:tcW w:w="1280" w:type="dxa"/>
            <w:vAlign w:val="bottom"/>
            <w:shd w:val="clear" w:color="auto" w:fill="000000"/>
          </w:tcPr>
          <w:p>
            <w:pPr>
              <w:jc w:val="right"/>
              <w:ind w:right="113"/>
              <w:spacing w:after="0"/>
              <w:rPr>
                <w:sz w:val="20"/>
                <w:szCs w:val="20"/>
                <w:color w:val="auto"/>
              </w:rPr>
            </w:pPr>
            <w:r>
              <w:rPr>
                <w:rFonts w:ascii="Arial" w:cs="Arial" w:eastAsia="Arial" w:hAnsi="Arial"/>
                <w:sz w:val="17"/>
                <w:szCs w:val="17"/>
                <w:b w:val="1"/>
                <w:bCs w:val="1"/>
                <w:color w:val="FFFFFF"/>
              </w:rPr>
              <w:t>Aggregate</w:t>
            </w:r>
          </w:p>
        </w:tc>
        <w:tc>
          <w:tcPr>
            <w:tcW w:w="340" w:type="dxa"/>
            <w:vAlign w:val="bottom"/>
            <w:shd w:val="clear" w:color="auto" w:fill="000000"/>
          </w:tcPr>
          <w:p>
            <w:pPr>
              <w:spacing w:after="0"/>
              <w:rPr>
                <w:sz w:val="16"/>
                <w:szCs w:val="16"/>
                <w:color w:val="auto"/>
              </w:rPr>
            </w:pPr>
          </w:p>
        </w:tc>
        <w:tc>
          <w:tcPr>
            <w:tcW w:w="1120" w:type="dxa"/>
            <w:vAlign w:val="bottom"/>
            <w:shd w:val="clear" w:color="auto" w:fill="000000"/>
          </w:tcPr>
          <w:p>
            <w:pPr>
              <w:jc w:val="right"/>
              <w:ind w:right="113"/>
              <w:spacing w:after="0"/>
              <w:rPr>
                <w:sz w:val="20"/>
                <w:szCs w:val="20"/>
                <w:color w:val="auto"/>
              </w:rPr>
            </w:pPr>
            <w:r>
              <w:rPr>
                <w:rFonts w:ascii="Arial" w:cs="Arial" w:eastAsia="Arial" w:hAnsi="Arial"/>
                <w:sz w:val="17"/>
                <w:szCs w:val="17"/>
                <w:b w:val="1"/>
                <w:bCs w:val="1"/>
                <w:color w:val="FFFFFF"/>
              </w:rPr>
              <w:t>Aggregate</w:t>
            </w:r>
          </w:p>
        </w:tc>
        <w:tc>
          <w:tcPr>
            <w:tcW w:w="460" w:type="dxa"/>
            <w:vAlign w:val="bottom"/>
            <w:shd w:val="clear" w:color="auto" w:fill="000000"/>
          </w:tcPr>
          <w:p>
            <w:pPr>
              <w:spacing w:after="0"/>
              <w:rPr>
                <w:sz w:val="16"/>
                <w:szCs w:val="16"/>
                <w:color w:val="auto"/>
              </w:rPr>
            </w:pPr>
          </w:p>
        </w:tc>
        <w:tc>
          <w:tcPr>
            <w:tcW w:w="1280" w:type="dxa"/>
            <w:vAlign w:val="bottom"/>
            <w:shd w:val="clear" w:color="auto" w:fill="000000"/>
          </w:tcPr>
          <w:p>
            <w:pPr>
              <w:jc w:val="right"/>
              <w:ind w:right="133"/>
              <w:spacing w:after="0"/>
              <w:rPr>
                <w:sz w:val="20"/>
                <w:szCs w:val="20"/>
                <w:color w:val="auto"/>
              </w:rPr>
            </w:pPr>
            <w:r>
              <w:rPr>
                <w:rFonts w:ascii="Arial" w:cs="Arial" w:eastAsia="Arial" w:hAnsi="Arial"/>
                <w:sz w:val="17"/>
                <w:szCs w:val="17"/>
                <w:b w:val="1"/>
                <w:bCs w:val="1"/>
                <w:color w:val="FFFFFF"/>
              </w:rPr>
              <w:t>Aggregate</w:t>
            </w:r>
          </w:p>
        </w:tc>
      </w:tr>
      <w:tr>
        <w:trPr>
          <w:trHeight w:val="195"/>
        </w:trPr>
        <w:tc>
          <w:tcPr>
            <w:tcW w:w="2160" w:type="dxa"/>
            <w:vAlign w:val="bottom"/>
            <w:shd w:val="clear" w:color="auto" w:fill="000000"/>
          </w:tcPr>
          <w:p>
            <w:pPr>
              <w:spacing w:after="0"/>
              <w:rPr>
                <w:sz w:val="16"/>
                <w:szCs w:val="16"/>
                <w:color w:val="auto"/>
              </w:rPr>
            </w:pPr>
          </w:p>
        </w:tc>
        <w:tc>
          <w:tcPr>
            <w:tcW w:w="300" w:type="dxa"/>
            <w:vAlign w:val="bottom"/>
            <w:shd w:val="clear" w:color="auto" w:fill="000000"/>
          </w:tcPr>
          <w:p>
            <w:pPr>
              <w:spacing w:after="0"/>
              <w:rPr>
                <w:sz w:val="16"/>
                <w:szCs w:val="16"/>
                <w:color w:val="auto"/>
              </w:rPr>
            </w:pPr>
          </w:p>
        </w:tc>
        <w:tc>
          <w:tcPr>
            <w:tcW w:w="154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Contributions in</w:t>
            </w:r>
          </w:p>
        </w:tc>
        <w:tc>
          <w:tcPr>
            <w:tcW w:w="1720" w:type="dxa"/>
            <w:vAlign w:val="bottom"/>
            <w:gridSpan w:val="2"/>
            <w:shd w:val="clear" w:color="auto" w:fill="000000"/>
          </w:tcPr>
          <w:p>
            <w:pPr>
              <w:ind w:left="200"/>
              <w:spacing w:after="0"/>
              <w:rPr>
                <w:sz w:val="20"/>
                <w:szCs w:val="20"/>
                <w:color w:val="auto"/>
              </w:rPr>
            </w:pPr>
            <w:r>
              <w:rPr>
                <w:rFonts w:ascii="Arial" w:cs="Arial" w:eastAsia="Arial" w:hAnsi="Arial"/>
                <w:sz w:val="17"/>
                <w:szCs w:val="17"/>
                <w:b w:val="1"/>
                <w:bCs w:val="1"/>
                <w:color w:val="FFFFFF"/>
              </w:rPr>
              <w:t>Contributions in</w:t>
            </w:r>
          </w:p>
        </w:tc>
        <w:tc>
          <w:tcPr>
            <w:tcW w:w="420" w:type="dxa"/>
            <w:vAlign w:val="bottom"/>
            <w:shd w:val="clear" w:color="auto" w:fill="000000"/>
          </w:tcPr>
          <w:p>
            <w:pPr>
              <w:spacing w:after="0"/>
              <w:rPr>
                <w:sz w:val="16"/>
                <w:szCs w:val="16"/>
                <w:color w:val="auto"/>
              </w:rPr>
            </w:pPr>
          </w:p>
        </w:tc>
        <w:tc>
          <w:tcPr>
            <w:tcW w:w="1280" w:type="dxa"/>
            <w:vAlign w:val="bottom"/>
            <w:shd w:val="clear" w:color="auto" w:fill="000000"/>
          </w:tcPr>
          <w:p>
            <w:pPr>
              <w:jc w:val="right"/>
              <w:ind w:right="113"/>
              <w:spacing w:after="0"/>
              <w:rPr>
                <w:sz w:val="20"/>
                <w:szCs w:val="20"/>
                <w:color w:val="auto"/>
              </w:rPr>
            </w:pPr>
            <w:r>
              <w:rPr>
                <w:rFonts w:ascii="Arial" w:cs="Arial" w:eastAsia="Arial" w:hAnsi="Arial"/>
                <w:sz w:val="17"/>
                <w:szCs w:val="17"/>
                <w:b w:val="1"/>
                <w:bCs w:val="1"/>
                <w:color w:val="FFFFFF"/>
              </w:rPr>
              <w:t>Earnings in</w:t>
            </w:r>
          </w:p>
        </w:tc>
        <w:tc>
          <w:tcPr>
            <w:tcW w:w="1460" w:type="dxa"/>
            <w:vAlign w:val="bottom"/>
            <w:gridSpan w:val="2"/>
            <w:shd w:val="clear" w:color="auto" w:fill="000000"/>
          </w:tcPr>
          <w:p>
            <w:pPr>
              <w:ind w:left="200"/>
              <w:spacing w:after="0"/>
              <w:rPr>
                <w:sz w:val="20"/>
                <w:szCs w:val="20"/>
                <w:color w:val="auto"/>
              </w:rPr>
            </w:pPr>
            <w:r>
              <w:rPr>
                <w:rFonts w:ascii="Arial" w:cs="Arial" w:eastAsia="Arial" w:hAnsi="Arial"/>
                <w:sz w:val="17"/>
                <w:szCs w:val="17"/>
                <w:b w:val="1"/>
                <w:bCs w:val="1"/>
                <w:color w:val="FFFFFF"/>
              </w:rPr>
              <w:t>Withdrawals/</w:t>
            </w:r>
          </w:p>
        </w:tc>
        <w:tc>
          <w:tcPr>
            <w:tcW w:w="1740" w:type="dxa"/>
            <w:vAlign w:val="bottom"/>
            <w:gridSpan w:val="2"/>
            <w:shd w:val="clear" w:color="auto" w:fill="000000"/>
          </w:tcPr>
          <w:p>
            <w:pPr>
              <w:jc w:val="right"/>
              <w:ind w:right="133"/>
              <w:spacing w:after="0"/>
              <w:rPr>
                <w:sz w:val="20"/>
                <w:szCs w:val="20"/>
                <w:color w:val="auto"/>
              </w:rPr>
            </w:pPr>
            <w:r>
              <w:rPr>
                <w:rFonts w:ascii="Arial" w:cs="Arial" w:eastAsia="Arial" w:hAnsi="Arial"/>
                <w:sz w:val="17"/>
                <w:szCs w:val="17"/>
                <w:b w:val="1"/>
                <w:bCs w:val="1"/>
                <w:color w:val="FFFFFF"/>
              </w:rPr>
              <w:t>Balance at Last</w:t>
            </w:r>
          </w:p>
        </w:tc>
      </w:tr>
      <w:tr>
        <w:trPr>
          <w:trHeight w:val="231"/>
        </w:trPr>
        <w:tc>
          <w:tcPr>
            <w:tcW w:w="2160" w:type="dxa"/>
            <w:vAlign w:val="bottom"/>
            <w:shd w:val="clear" w:color="auto" w:fill="000000"/>
          </w:tcPr>
          <w:p>
            <w:pPr>
              <w:spacing w:after="0"/>
              <w:rPr>
                <w:sz w:val="20"/>
                <w:szCs w:val="20"/>
                <w:color w:val="auto"/>
              </w:rPr>
            </w:pPr>
            <w:r>
              <w:rPr>
                <w:rFonts w:ascii="Arial" w:cs="Arial" w:eastAsia="Arial" w:hAnsi="Arial"/>
                <w:sz w:val="17"/>
                <w:szCs w:val="17"/>
                <w:b w:val="1"/>
                <w:bCs w:val="1"/>
                <w:color w:val="EAEFED"/>
              </w:rPr>
              <w:t>Name</w:t>
            </w:r>
          </w:p>
        </w:tc>
        <w:tc>
          <w:tcPr>
            <w:tcW w:w="1840" w:type="dxa"/>
            <w:vAlign w:val="bottom"/>
            <w:gridSpan w:val="2"/>
            <w:shd w:val="clear" w:color="auto" w:fill="000000"/>
          </w:tcPr>
          <w:p>
            <w:pPr>
              <w:ind w:left="180"/>
              <w:spacing w:after="0"/>
              <w:rPr>
                <w:sz w:val="20"/>
                <w:szCs w:val="20"/>
                <w:color w:val="auto"/>
              </w:rPr>
            </w:pPr>
            <w:r>
              <w:rPr>
                <w:rFonts w:ascii="Arial" w:cs="Arial" w:eastAsia="Arial" w:hAnsi="Arial"/>
                <w:sz w:val="17"/>
                <w:szCs w:val="17"/>
                <w:b w:val="1"/>
                <w:bCs w:val="1"/>
                <w:color w:val="FFFFFF"/>
              </w:rPr>
              <w:t>Last Fiscal Year</w:t>
            </w:r>
            <w:r>
              <w:rPr>
                <w:rFonts w:ascii="Arial" w:cs="Arial" w:eastAsia="Arial" w:hAnsi="Arial"/>
                <w:sz w:val="14"/>
                <w:szCs w:val="14"/>
                <w:b w:val="1"/>
                <w:bCs w:val="1"/>
                <w:color w:val="FFFFFF"/>
              </w:rPr>
              <w:t>(1)</w:t>
            </w:r>
          </w:p>
        </w:tc>
        <w:tc>
          <w:tcPr>
            <w:tcW w:w="1720" w:type="dxa"/>
            <w:vAlign w:val="bottom"/>
            <w:gridSpan w:val="2"/>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Last Fiscal Year</w:t>
            </w:r>
          </w:p>
        </w:tc>
        <w:tc>
          <w:tcPr>
            <w:tcW w:w="1700" w:type="dxa"/>
            <w:vAlign w:val="bottom"/>
            <w:gridSpan w:val="2"/>
            <w:shd w:val="clear" w:color="auto" w:fill="000000"/>
          </w:tcPr>
          <w:p>
            <w:pPr>
              <w:ind w:left="200"/>
              <w:spacing w:after="0"/>
              <w:rPr>
                <w:sz w:val="20"/>
                <w:szCs w:val="20"/>
                <w:color w:val="auto"/>
              </w:rPr>
            </w:pPr>
            <w:r>
              <w:rPr>
                <w:rFonts w:ascii="Arial" w:cs="Arial" w:eastAsia="Arial" w:hAnsi="Arial"/>
                <w:sz w:val="17"/>
                <w:szCs w:val="17"/>
                <w:b w:val="1"/>
                <w:bCs w:val="1"/>
                <w:color w:val="FFFFFF"/>
              </w:rPr>
              <w:t>Last Fiscal Year</w:t>
            </w:r>
          </w:p>
        </w:tc>
        <w:tc>
          <w:tcPr>
            <w:tcW w:w="1460" w:type="dxa"/>
            <w:vAlign w:val="bottom"/>
            <w:gridSpan w:val="2"/>
            <w:shd w:val="clear" w:color="auto" w:fill="000000"/>
          </w:tcPr>
          <w:p>
            <w:pPr>
              <w:ind w:left="200"/>
              <w:spacing w:after="0"/>
              <w:rPr>
                <w:sz w:val="20"/>
                <w:szCs w:val="20"/>
                <w:color w:val="auto"/>
              </w:rPr>
            </w:pPr>
            <w:r>
              <w:rPr>
                <w:rFonts w:ascii="Arial" w:cs="Arial" w:eastAsia="Arial" w:hAnsi="Arial"/>
                <w:sz w:val="17"/>
                <w:szCs w:val="17"/>
                <w:b w:val="1"/>
                <w:bCs w:val="1"/>
                <w:color w:val="FFFFFF"/>
              </w:rPr>
              <w:t>Distributions</w:t>
            </w:r>
          </w:p>
        </w:tc>
        <w:tc>
          <w:tcPr>
            <w:tcW w:w="1740" w:type="dxa"/>
            <w:vAlign w:val="bottom"/>
            <w:gridSpan w:val="2"/>
            <w:shd w:val="clear" w:color="auto" w:fill="000000"/>
          </w:tcPr>
          <w:p>
            <w:pPr>
              <w:ind w:left="180"/>
              <w:spacing w:after="0"/>
              <w:rPr>
                <w:sz w:val="20"/>
                <w:szCs w:val="20"/>
                <w:color w:val="auto"/>
              </w:rPr>
            </w:pPr>
            <w:r>
              <w:rPr>
                <w:rFonts w:ascii="Arial" w:cs="Arial" w:eastAsia="Arial" w:hAnsi="Arial"/>
                <w:sz w:val="17"/>
                <w:szCs w:val="17"/>
                <w:b w:val="1"/>
                <w:bCs w:val="1"/>
                <w:color w:val="FFFFFF"/>
              </w:rPr>
              <w:t>Fiscal Year-End</w:t>
            </w:r>
          </w:p>
        </w:tc>
      </w:tr>
      <w:tr>
        <w:trPr>
          <w:trHeight w:val="194"/>
        </w:trPr>
        <w:tc>
          <w:tcPr>
            <w:tcW w:w="2160" w:type="dxa"/>
            <w:vAlign w:val="bottom"/>
            <w:shd w:val="clear" w:color="auto" w:fill="D8D8D8"/>
          </w:tcPr>
          <w:p>
            <w:pPr>
              <w:spacing w:after="0" w:line="194" w:lineRule="exact"/>
              <w:rPr>
                <w:sz w:val="20"/>
                <w:szCs w:val="20"/>
                <w:color w:val="auto"/>
              </w:rPr>
            </w:pPr>
            <w:r>
              <w:rPr>
                <w:rFonts w:ascii="Arial" w:cs="Arial" w:eastAsia="Arial" w:hAnsi="Arial"/>
                <w:sz w:val="17"/>
                <w:szCs w:val="17"/>
                <w:color w:val="auto"/>
              </w:rPr>
              <w:t>Donald C. Wood</w:t>
            </w:r>
          </w:p>
        </w:tc>
        <w:tc>
          <w:tcPr>
            <w:tcW w:w="300" w:type="dxa"/>
            <w:vAlign w:val="bottom"/>
          </w:tcPr>
          <w:p>
            <w:pPr>
              <w:ind w:left="160"/>
              <w:spacing w:after="0" w:line="194" w:lineRule="exact"/>
              <w:rPr>
                <w:sz w:val="20"/>
                <w:szCs w:val="20"/>
                <w:color w:val="auto"/>
              </w:rPr>
            </w:pPr>
            <w:r>
              <w:rPr>
                <w:rFonts w:ascii="Arial" w:cs="Arial" w:eastAsia="Arial" w:hAnsi="Arial"/>
                <w:sz w:val="17"/>
                <w:szCs w:val="17"/>
                <w:color w:val="auto"/>
              </w:rPr>
              <w:t>$</w:t>
            </w:r>
          </w:p>
        </w:tc>
        <w:tc>
          <w:tcPr>
            <w:tcW w:w="1540" w:type="dxa"/>
            <w:vAlign w:val="bottom"/>
          </w:tcPr>
          <w:p>
            <w:pPr>
              <w:jc w:val="right"/>
              <w:ind w:right="93"/>
              <w:spacing w:after="0" w:line="194" w:lineRule="exact"/>
              <w:rPr>
                <w:sz w:val="20"/>
                <w:szCs w:val="20"/>
                <w:color w:val="auto"/>
              </w:rPr>
            </w:pPr>
            <w:r>
              <w:rPr>
                <w:rFonts w:ascii="Arial" w:cs="Arial" w:eastAsia="Arial" w:hAnsi="Arial"/>
                <w:sz w:val="17"/>
                <w:szCs w:val="17"/>
                <w:color w:val="auto"/>
              </w:rPr>
              <w:t>250,000</w:t>
            </w:r>
          </w:p>
        </w:tc>
        <w:tc>
          <w:tcPr>
            <w:tcW w:w="480" w:type="dxa"/>
            <w:vAlign w:val="bottom"/>
          </w:tcPr>
          <w:p>
            <w:pPr>
              <w:ind w:left="200"/>
              <w:spacing w:after="0" w:line="194" w:lineRule="exact"/>
              <w:rPr>
                <w:sz w:val="20"/>
                <w:szCs w:val="20"/>
                <w:color w:val="auto"/>
              </w:rPr>
            </w:pPr>
            <w:r>
              <w:rPr>
                <w:rFonts w:ascii="Arial" w:cs="Arial" w:eastAsia="Arial" w:hAnsi="Arial"/>
                <w:sz w:val="17"/>
                <w:szCs w:val="17"/>
                <w:color w:val="auto"/>
              </w:rPr>
              <w:t>$</w:t>
            </w:r>
          </w:p>
        </w:tc>
        <w:tc>
          <w:tcPr>
            <w:tcW w:w="1240" w:type="dxa"/>
            <w:vAlign w:val="bottom"/>
          </w:tcPr>
          <w:p>
            <w:pPr>
              <w:jc w:val="right"/>
              <w:ind w:right="93"/>
              <w:spacing w:after="0" w:line="194" w:lineRule="exact"/>
              <w:rPr>
                <w:sz w:val="20"/>
                <w:szCs w:val="20"/>
                <w:color w:val="auto"/>
              </w:rPr>
            </w:pPr>
            <w:r>
              <w:rPr>
                <w:rFonts w:ascii="Arial" w:cs="Arial" w:eastAsia="Arial" w:hAnsi="Arial"/>
                <w:sz w:val="17"/>
                <w:szCs w:val="17"/>
                <w:color w:val="auto"/>
              </w:rPr>
              <w:t>-</w:t>
            </w:r>
          </w:p>
        </w:tc>
        <w:tc>
          <w:tcPr>
            <w:tcW w:w="420" w:type="dxa"/>
            <w:vAlign w:val="bottom"/>
          </w:tcPr>
          <w:p>
            <w:pPr>
              <w:ind w:left="200"/>
              <w:spacing w:after="0" w:line="194"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13"/>
              <w:spacing w:after="0" w:line="194" w:lineRule="exact"/>
              <w:rPr>
                <w:sz w:val="20"/>
                <w:szCs w:val="20"/>
                <w:color w:val="auto"/>
              </w:rPr>
            </w:pPr>
            <w:r>
              <w:rPr>
                <w:rFonts w:ascii="Arial" w:cs="Arial" w:eastAsia="Arial" w:hAnsi="Arial"/>
                <w:sz w:val="17"/>
                <w:szCs w:val="17"/>
                <w:color w:val="auto"/>
              </w:rPr>
              <w:t>1,446,933</w:t>
            </w:r>
          </w:p>
        </w:tc>
        <w:tc>
          <w:tcPr>
            <w:tcW w:w="340" w:type="dxa"/>
            <w:vAlign w:val="bottom"/>
          </w:tcPr>
          <w:p>
            <w:pPr>
              <w:ind w:left="180"/>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13"/>
              <w:spacing w:after="0" w:line="194" w:lineRule="exact"/>
              <w:rPr>
                <w:sz w:val="20"/>
                <w:szCs w:val="20"/>
                <w:color w:val="auto"/>
              </w:rPr>
            </w:pPr>
            <w:r>
              <w:rPr>
                <w:rFonts w:ascii="Arial" w:cs="Arial" w:eastAsia="Arial" w:hAnsi="Arial"/>
                <w:sz w:val="17"/>
                <w:szCs w:val="17"/>
                <w:color w:val="auto"/>
              </w:rPr>
              <w:t>-</w:t>
            </w:r>
          </w:p>
        </w:tc>
        <w:tc>
          <w:tcPr>
            <w:tcW w:w="460" w:type="dxa"/>
            <w:vAlign w:val="bottom"/>
          </w:tcPr>
          <w:p>
            <w:pPr>
              <w:ind w:left="180"/>
              <w:spacing w:after="0" w:line="194"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33"/>
              <w:spacing w:after="0" w:line="194" w:lineRule="exact"/>
              <w:rPr>
                <w:sz w:val="20"/>
                <w:szCs w:val="20"/>
                <w:color w:val="auto"/>
              </w:rPr>
            </w:pPr>
            <w:r>
              <w:rPr>
                <w:rFonts w:ascii="Arial" w:cs="Arial" w:eastAsia="Arial" w:hAnsi="Arial"/>
                <w:sz w:val="17"/>
                <w:szCs w:val="17"/>
                <w:color w:val="auto"/>
              </w:rPr>
              <w:t>10,826,150</w:t>
            </w:r>
          </w:p>
        </w:tc>
      </w:tr>
      <w:tr>
        <w:trPr>
          <w:trHeight w:val="195"/>
        </w:trPr>
        <w:tc>
          <w:tcPr>
            <w:tcW w:w="2160" w:type="dxa"/>
            <w:vAlign w:val="bottom"/>
            <w:shd w:val="clear" w:color="auto" w:fill="D8D8D8"/>
          </w:tcPr>
          <w:p>
            <w:pPr>
              <w:spacing w:after="0"/>
              <w:rPr>
                <w:sz w:val="20"/>
                <w:szCs w:val="20"/>
                <w:color w:val="auto"/>
              </w:rPr>
            </w:pPr>
            <w:r>
              <w:rPr>
                <w:rFonts w:ascii="Arial" w:cs="Arial" w:eastAsia="Arial" w:hAnsi="Arial"/>
                <w:sz w:val="17"/>
                <w:szCs w:val="17"/>
                <w:color w:val="auto"/>
              </w:rPr>
              <w:t>Jeffrey S. Berkes</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93"/>
              <w:spacing w:after="0"/>
              <w:rPr>
                <w:sz w:val="20"/>
                <w:szCs w:val="20"/>
                <w:color w:val="auto"/>
              </w:rPr>
            </w:pPr>
            <w:r>
              <w:rPr>
                <w:rFonts w:ascii="Arial" w:cs="Arial" w:eastAsia="Arial" w:hAnsi="Arial"/>
                <w:sz w:val="17"/>
                <w:szCs w:val="17"/>
                <w:color w:val="auto"/>
              </w:rPr>
              <w:t>147,656</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3"/>
              <w:spacing w:after="0"/>
              <w:rPr>
                <w:sz w:val="20"/>
                <w:szCs w:val="20"/>
                <w:color w:val="auto"/>
              </w:rPr>
            </w:pPr>
            <w:r>
              <w:rPr>
                <w:rFonts w:ascii="Arial" w:cs="Arial" w:eastAsia="Arial" w:hAnsi="Arial"/>
                <w:sz w:val="17"/>
                <w:szCs w:val="17"/>
                <w:color w:val="auto"/>
              </w:rPr>
              <w:t>17,537</w:t>
            </w:r>
          </w:p>
        </w:tc>
        <w:tc>
          <w:tcPr>
            <w:tcW w:w="340" w:type="dxa"/>
            <w:vAlign w:val="bottom"/>
          </w:tcPr>
          <w:p>
            <w:pPr>
              <w:ind w:lef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460" w:type="dxa"/>
            <w:vAlign w:val="bottom"/>
          </w:tcPr>
          <w:p>
            <w:pPr>
              <w:ind w:left="1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165,193</w:t>
            </w:r>
          </w:p>
        </w:tc>
      </w:tr>
      <w:tr>
        <w:trPr>
          <w:trHeight w:val="196"/>
        </w:trPr>
        <w:tc>
          <w:tcPr>
            <w:tcW w:w="2160" w:type="dxa"/>
            <w:vAlign w:val="bottom"/>
            <w:shd w:val="clear" w:color="auto" w:fill="D8D8D8"/>
          </w:tcPr>
          <w:p>
            <w:pPr>
              <w:spacing w:after="0"/>
              <w:rPr>
                <w:sz w:val="20"/>
                <w:szCs w:val="20"/>
                <w:color w:val="auto"/>
              </w:rPr>
            </w:pPr>
            <w:r>
              <w:rPr>
                <w:rFonts w:ascii="Arial" w:cs="Arial" w:eastAsia="Arial" w:hAnsi="Arial"/>
                <w:sz w:val="17"/>
                <w:szCs w:val="17"/>
                <w:color w:val="auto"/>
              </w:rPr>
              <w:t>Dawn M. Becker</w:t>
            </w:r>
          </w:p>
        </w:tc>
        <w:tc>
          <w:tcPr>
            <w:tcW w:w="300" w:type="dxa"/>
            <w:vAlign w:val="bottom"/>
          </w:tcPr>
          <w:p>
            <w:pPr>
              <w:ind w:left="160"/>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93"/>
              <w:spacing w:after="0"/>
              <w:rPr>
                <w:sz w:val="20"/>
                <w:szCs w:val="20"/>
                <w:color w:val="auto"/>
              </w:rPr>
            </w:pPr>
            <w:r>
              <w:rPr>
                <w:rFonts w:ascii="Arial" w:cs="Arial" w:eastAsia="Arial" w:hAnsi="Arial"/>
                <w:sz w:val="17"/>
                <w:szCs w:val="17"/>
                <w:color w:val="auto"/>
              </w:rPr>
              <w:t>47,500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3"/>
              <w:spacing w:after="0"/>
              <w:rPr>
                <w:sz w:val="20"/>
                <w:szCs w:val="20"/>
                <w:color w:val="auto"/>
              </w:rPr>
            </w:pPr>
            <w:r>
              <w:rPr>
                <w:rFonts w:ascii="Arial" w:cs="Arial" w:eastAsia="Arial" w:hAnsi="Arial"/>
                <w:sz w:val="17"/>
                <w:szCs w:val="17"/>
                <w:color w:val="auto"/>
              </w:rPr>
              <w:t>233,206</w:t>
            </w:r>
          </w:p>
        </w:tc>
        <w:tc>
          <w:tcPr>
            <w:tcW w:w="340" w:type="dxa"/>
            <w:vAlign w:val="bottom"/>
          </w:tcPr>
          <w:p>
            <w:pPr>
              <w:ind w:lef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460" w:type="dxa"/>
            <w:vAlign w:val="bottom"/>
          </w:tcPr>
          <w:p>
            <w:pPr>
              <w:ind w:left="1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3"/>
              <w:spacing w:after="0"/>
              <w:rPr>
                <w:sz w:val="20"/>
                <w:szCs w:val="20"/>
                <w:color w:val="auto"/>
              </w:rPr>
            </w:pPr>
            <w:r>
              <w:rPr>
                <w:rFonts w:ascii="Arial" w:cs="Arial" w:eastAsia="Arial" w:hAnsi="Arial"/>
                <w:sz w:val="17"/>
                <w:szCs w:val="17"/>
                <w:color w:val="auto"/>
              </w:rPr>
              <w:t>2,459,569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082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64" w:lineRule="exact"/>
        <w:rPr>
          <w:sz w:val="20"/>
          <w:szCs w:val="20"/>
          <w:color w:val="auto"/>
        </w:rPr>
      </w:pPr>
    </w:p>
    <w:p>
      <w:pPr>
        <w:ind w:left="524" w:right="20" w:hanging="420"/>
        <w:spacing w:after="0" w:line="188" w:lineRule="auto"/>
        <w:tabs>
          <w:tab w:leader="none" w:pos="524" w:val="left"/>
        </w:tabs>
        <w:numPr>
          <w:ilvl w:val="0"/>
          <w:numId w:val="19"/>
        </w:numPr>
        <w:rPr>
          <w:rFonts w:ascii="Arial" w:cs="Arial" w:eastAsia="Arial" w:hAnsi="Arial"/>
          <w:sz w:val="26"/>
          <w:szCs w:val="26"/>
          <w:color w:val="auto"/>
          <w:vertAlign w:val="superscript"/>
        </w:rPr>
      </w:pPr>
      <w:r>
        <w:rPr>
          <w:rFonts w:ascii="Arial" w:cs="Arial" w:eastAsia="Arial" w:hAnsi="Arial"/>
          <w:sz w:val="15"/>
          <w:szCs w:val="15"/>
          <w:color w:val="auto"/>
        </w:rPr>
        <w:t>All amounts in this column are included in either the “Salary” or “Non-Equity Incentive Plan Compensation” column of the Summary Compensation Table for 2021.</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FF160F"/>
        </w:rPr>
        <w:t>Potential Payments on Termination of Employment and Change-in-Control</w:t>
      </w:r>
    </w:p>
    <w:p>
      <w:pPr>
        <w:spacing w:after="0" w:line="230"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24"/>
          </w:cols>
          <w:pgMar w:left="636" w:top="260" w:right="639" w:bottom="1440" w:gutter="0" w:footer="0" w:header="0"/>
        </w:sectPr>
      </w:pPr>
    </w:p>
    <w:bookmarkStart w:id="41" w:name="page42"/>
    <w:bookmarkEnd w:id="41"/>
    <w:p>
      <w:pPr>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The amount of compensation payable to each of our NEOs under various termination scenarios is reflected below assuming that the separation of service was effective on December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shd w:val="clear" w:color="auto" w:fill="000000"/>
          </w:tcPr>
          <w:p>
            <w:pPr>
              <w:spacing w:after="0"/>
              <w:rPr>
                <w:sz w:val="19"/>
                <w:szCs w:val="19"/>
                <w:color w:val="auto"/>
              </w:rPr>
            </w:pPr>
          </w:p>
        </w:tc>
        <w:tc>
          <w:tcPr>
            <w:tcW w:w="1250" w:type="dxa"/>
            <w:vAlign w:val="bottom"/>
            <w:shd w:val="clear" w:color="auto" w:fill="000000"/>
          </w:tcPr>
          <w:p>
            <w:pPr>
              <w:spacing w:after="0"/>
              <w:rPr>
                <w:sz w:val="19"/>
                <w:szCs w:val="19"/>
                <w:color w:val="auto"/>
              </w:rPr>
            </w:pPr>
          </w:p>
        </w:tc>
        <w:tc>
          <w:tcPr>
            <w:tcW w:w="1110" w:type="dxa"/>
            <w:vAlign w:val="bottom"/>
            <w:shd w:val="clear" w:color="auto" w:fill="000000"/>
          </w:tcPr>
          <w:p>
            <w:pPr>
              <w:jc w:val="right"/>
              <w:ind w:right="73"/>
              <w:spacing w:after="0"/>
              <w:rPr>
                <w:sz w:val="20"/>
                <w:szCs w:val="20"/>
                <w:color w:val="auto"/>
              </w:rPr>
            </w:pPr>
            <w:r>
              <w:rPr>
                <w:rFonts w:ascii="Arial" w:cs="Arial" w:eastAsia="Arial" w:hAnsi="Arial"/>
                <w:sz w:val="17"/>
                <w:szCs w:val="17"/>
                <w:color w:val="FFFFFF"/>
              </w:rPr>
              <w:t>Salary and</w:t>
            </w:r>
          </w:p>
        </w:tc>
        <w:tc>
          <w:tcPr>
            <w:tcW w:w="220" w:type="dxa"/>
            <w:vAlign w:val="bottom"/>
            <w:shd w:val="clear" w:color="auto" w:fill="000000"/>
          </w:tcPr>
          <w:p>
            <w:pPr>
              <w:spacing w:after="0"/>
              <w:rPr>
                <w:sz w:val="19"/>
                <w:szCs w:val="19"/>
                <w:color w:val="auto"/>
              </w:rPr>
            </w:pPr>
          </w:p>
        </w:tc>
        <w:tc>
          <w:tcPr>
            <w:tcW w:w="880" w:type="dxa"/>
            <w:vAlign w:val="bottom"/>
            <w:shd w:val="clear" w:color="auto" w:fill="000000"/>
          </w:tcPr>
          <w:p>
            <w:pPr>
              <w:spacing w:after="0"/>
              <w:rPr>
                <w:sz w:val="19"/>
                <w:szCs w:val="19"/>
                <w:color w:val="auto"/>
              </w:rPr>
            </w:pPr>
          </w:p>
        </w:tc>
        <w:tc>
          <w:tcPr>
            <w:tcW w:w="220" w:type="dxa"/>
            <w:vAlign w:val="bottom"/>
            <w:shd w:val="clear" w:color="auto" w:fill="000000"/>
          </w:tcPr>
          <w:p>
            <w:pPr>
              <w:spacing w:after="0"/>
              <w:rPr>
                <w:sz w:val="19"/>
                <w:szCs w:val="19"/>
                <w:color w:val="auto"/>
              </w:rPr>
            </w:pPr>
          </w:p>
        </w:tc>
        <w:tc>
          <w:tcPr>
            <w:tcW w:w="880" w:type="dxa"/>
            <w:vAlign w:val="bottom"/>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020" w:type="dxa"/>
            <w:vAlign w:val="bottom"/>
            <w:shd w:val="clear" w:color="auto" w:fill="000000"/>
          </w:tcPr>
          <w:p>
            <w:pPr>
              <w:spacing w:after="0"/>
              <w:rPr>
                <w:sz w:val="19"/>
                <w:szCs w:val="19"/>
                <w:color w:val="auto"/>
              </w:rPr>
            </w:pPr>
          </w:p>
        </w:tc>
        <w:tc>
          <w:tcPr>
            <w:tcW w:w="220" w:type="dxa"/>
            <w:vAlign w:val="bottom"/>
            <w:shd w:val="clear" w:color="auto" w:fill="000000"/>
          </w:tcPr>
          <w:p>
            <w:pPr>
              <w:spacing w:after="0"/>
              <w:rPr>
                <w:sz w:val="19"/>
                <w:szCs w:val="19"/>
                <w:color w:val="auto"/>
              </w:rPr>
            </w:pPr>
          </w:p>
        </w:tc>
        <w:tc>
          <w:tcPr>
            <w:tcW w:w="740" w:type="dxa"/>
            <w:vAlign w:val="bottom"/>
            <w:shd w:val="clear" w:color="auto" w:fill="000000"/>
          </w:tcPr>
          <w:p>
            <w:pPr>
              <w:spacing w:after="0"/>
              <w:rPr>
                <w:sz w:val="19"/>
                <w:szCs w:val="19"/>
                <w:color w:val="auto"/>
              </w:rPr>
            </w:pPr>
          </w:p>
        </w:tc>
        <w:tc>
          <w:tcPr>
            <w:tcW w:w="420" w:type="dxa"/>
            <w:vAlign w:val="bottom"/>
            <w:shd w:val="clear" w:color="auto" w:fill="000000"/>
          </w:tcPr>
          <w:p>
            <w:pPr>
              <w:spacing w:after="0"/>
              <w:rPr>
                <w:sz w:val="19"/>
                <w:szCs w:val="19"/>
                <w:color w:val="auto"/>
              </w:rPr>
            </w:pPr>
          </w:p>
        </w:tc>
        <w:tc>
          <w:tcPr>
            <w:tcW w:w="560" w:type="dxa"/>
            <w:vAlign w:val="bottom"/>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000" w:type="dxa"/>
            <w:vAlign w:val="bottom"/>
            <w:shd w:val="clear" w:color="auto" w:fill="000000"/>
          </w:tcPr>
          <w:p>
            <w:pPr>
              <w:spacing w:after="0"/>
              <w:rPr>
                <w:sz w:val="19"/>
                <w:szCs w:val="19"/>
                <w:color w:val="auto"/>
              </w:rPr>
            </w:pPr>
          </w:p>
        </w:tc>
      </w:tr>
      <w:tr>
        <w:trPr>
          <w:trHeight w:val="195"/>
        </w:trPr>
        <w:tc>
          <w:tcPr>
            <w:tcW w:w="1700" w:type="dxa"/>
            <w:vAlign w:val="bottom"/>
            <w:shd w:val="clear" w:color="auto" w:fill="000000"/>
          </w:tcPr>
          <w:p>
            <w:pPr>
              <w:spacing w:after="0"/>
              <w:rPr>
                <w:sz w:val="16"/>
                <w:szCs w:val="16"/>
                <w:color w:val="auto"/>
              </w:rPr>
            </w:pPr>
          </w:p>
        </w:tc>
        <w:tc>
          <w:tcPr>
            <w:tcW w:w="1250" w:type="dxa"/>
            <w:vAlign w:val="bottom"/>
            <w:shd w:val="clear" w:color="auto" w:fill="000000"/>
          </w:tcPr>
          <w:p>
            <w:pPr>
              <w:spacing w:after="0"/>
              <w:rPr>
                <w:sz w:val="16"/>
                <w:szCs w:val="16"/>
                <w:color w:val="auto"/>
              </w:rPr>
            </w:pPr>
          </w:p>
        </w:tc>
        <w:tc>
          <w:tcPr>
            <w:tcW w:w="1110" w:type="dxa"/>
            <w:vAlign w:val="bottom"/>
            <w:shd w:val="clear" w:color="auto" w:fill="000000"/>
          </w:tcPr>
          <w:p>
            <w:pPr>
              <w:jc w:val="right"/>
              <w:ind w:right="13"/>
              <w:spacing w:after="0"/>
              <w:rPr>
                <w:sz w:val="20"/>
                <w:szCs w:val="20"/>
                <w:color w:val="auto"/>
              </w:rPr>
            </w:pPr>
            <w:r>
              <w:rPr>
                <w:rFonts w:ascii="Arial" w:cs="Arial" w:eastAsia="Arial" w:hAnsi="Arial"/>
                <w:sz w:val="17"/>
                <w:szCs w:val="17"/>
                <w:color w:val="FFFFFF"/>
              </w:rPr>
              <w:t>Cash Bonus</w:t>
            </w:r>
          </w:p>
        </w:tc>
        <w:tc>
          <w:tcPr>
            <w:tcW w:w="220" w:type="dxa"/>
            <w:vAlign w:val="bottom"/>
            <w:shd w:val="clear" w:color="auto" w:fill="000000"/>
          </w:tcPr>
          <w:p>
            <w:pPr>
              <w:spacing w:after="0"/>
              <w:rPr>
                <w:sz w:val="16"/>
                <w:szCs w:val="16"/>
                <w:color w:val="auto"/>
              </w:rPr>
            </w:pPr>
          </w:p>
        </w:tc>
        <w:tc>
          <w:tcPr>
            <w:tcW w:w="880" w:type="dxa"/>
            <w:vAlign w:val="bottom"/>
            <w:shd w:val="clear" w:color="auto" w:fill="000000"/>
          </w:tcPr>
          <w:p>
            <w:pPr>
              <w:jc w:val="right"/>
              <w:ind w:right="253"/>
              <w:spacing w:after="0"/>
              <w:rPr>
                <w:sz w:val="20"/>
                <w:szCs w:val="20"/>
                <w:color w:val="auto"/>
              </w:rPr>
            </w:pPr>
            <w:r>
              <w:rPr>
                <w:rFonts w:ascii="Arial" w:cs="Arial" w:eastAsia="Arial" w:hAnsi="Arial"/>
                <w:sz w:val="17"/>
                <w:szCs w:val="17"/>
                <w:color w:val="FFFFFF"/>
              </w:rPr>
              <w:t>Cash</w:t>
            </w:r>
          </w:p>
        </w:tc>
        <w:tc>
          <w:tcPr>
            <w:tcW w:w="220" w:type="dxa"/>
            <w:vAlign w:val="bottom"/>
            <w:shd w:val="clear" w:color="auto" w:fill="000000"/>
          </w:tcPr>
          <w:p>
            <w:pPr>
              <w:spacing w:after="0"/>
              <w:rPr>
                <w:sz w:val="16"/>
                <w:szCs w:val="16"/>
                <w:color w:val="auto"/>
              </w:rPr>
            </w:pPr>
          </w:p>
        </w:tc>
        <w:tc>
          <w:tcPr>
            <w:tcW w:w="880" w:type="dxa"/>
            <w:vAlign w:val="bottom"/>
            <w:shd w:val="clear" w:color="auto" w:fill="000000"/>
          </w:tcPr>
          <w:p>
            <w:pPr>
              <w:jc w:val="right"/>
              <w:ind w:right="153"/>
              <w:spacing w:after="0"/>
              <w:rPr>
                <w:sz w:val="20"/>
                <w:szCs w:val="20"/>
                <w:color w:val="auto"/>
              </w:rPr>
            </w:pPr>
            <w:r>
              <w:rPr>
                <w:rFonts w:ascii="Arial" w:cs="Arial" w:eastAsia="Arial" w:hAnsi="Arial"/>
                <w:sz w:val="17"/>
                <w:szCs w:val="17"/>
                <w:color w:val="FFFFFF"/>
              </w:rPr>
              <w:t>Medical</w:t>
            </w:r>
          </w:p>
        </w:tc>
        <w:tc>
          <w:tcPr>
            <w:tcW w:w="200" w:type="dxa"/>
            <w:vAlign w:val="bottom"/>
            <w:shd w:val="clear" w:color="auto" w:fill="000000"/>
          </w:tcPr>
          <w:p>
            <w:pPr>
              <w:spacing w:after="0"/>
              <w:rPr>
                <w:sz w:val="16"/>
                <w:szCs w:val="16"/>
                <w:color w:val="auto"/>
              </w:rPr>
            </w:pPr>
          </w:p>
        </w:tc>
        <w:tc>
          <w:tcPr>
            <w:tcW w:w="1020" w:type="dxa"/>
            <w:vAlign w:val="bottom"/>
            <w:shd w:val="clear" w:color="auto" w:fill="000000"/>
          </w:tcPr>
          <w:p>
            <w:pPr>
              <w:jc w:val="right"/>
              <w:ind w:right="113"/>
              <w:spacing w:after="0"/>
              <w:rPr>
                <w:sz w:val="20"/>
                <w:szCs w:val="20"/>
                <w:color w:val="auto"/>
              </w:rPr>
            </w:pPr>
            <w:r>
              <w:rPr>
                <w:rFonts w:ascii="Arial" w:cs="Arial" w:eastAsia="Arial" w:hAnsi="Arial"/>
                <w:sz w:val="17"/>
                <w:szCs w:val="17"/>
                <w:color w:val="FFFFFF"/>
                <w:w w:val="99"/>
              </w:rPr>
              <w:t>Acclerated</w:t>
            </w:r>
          </w:p>
        </w:tc>
        <w:tc>
          <w:tcPr>
            <w:tcW w:w="220" w:type="dxa"/>
            <w:vAlign w:val="bottom"/>
            <w:shd w:val="clear" w:color="auto" w:fill="000000"/>
          </w:tcPr>
          <w:p>
            <w:pPr>
              <w:spacing w:after="0"/>
              <w:rPr>
                <w:sz w:val="16"/>
                <w:szCs w:val="16"/>
                <w:color w:val="auto"/>
              </w:rPr>
            </w:pPr>
          </w:p>
        </w:tc>
        <w:tc>
          <w:tcPr>
            <w:tcW w:w="740" w:type="dxa"/>
            <w:vAlign w:val="bottom"/>
            <w:shd w:val="clear" w:color="auto" w:fill="000000"/>
          </w:tcPr>
          <w:p>
            <w:pPr>
              <w:jc w:val="right"/>
              <w:ind w:right="173"/>
              <w:spacing w:after="0"/>
              <w:rPr>
                <w:sz w:val="20"/>
                <w:szCs w:val="20"/>
                <w:color w:val="auto"/>
              </w:rPr>
            </w:pPr>
            <w:r>
              <w:rPr>
                <w:rFonts w:ascii="Arial" w:cs="Arial" w:eastAsia="Arial" w:hAnsi="Arial"/>
                <w:sz w:val="17"/>
                <w:szCs w:val="17"/>
                <w:color w:val="FFFFFF"/>
              </w:rPr>
              <w:t>Other</w:t>
            </w:r>
          </w:p>
        </w:tc>
        <w:tc>
          <w:tcPr>
            <w:tcW w:w="980" w:type="dxa"/>
            <w:vAlign w:val="bottom"/>
            <w:gridSpan w:val="2"/>
            <w:shd w:val="clear" w:color="auto" w:fill="000000"/>
          </w:tcPr>
          <w:p>
            <w:pPr>
              <w:ind w:left="100"/>
              <w:spacing w:after="0"/>
              <w:rPr>
                <w:sz w:val="20"/>
                <w:szCs w:val="20"/>
                <w:color w:val="auto"/>
              </w:rPr>
            </w:pPr>
            <w:r>
              <w:rPr>
                <w:rFonts w:ascii="Arial" w:cs="Arial" w:eastAsia="Arial" w:hAnsi="Arial"/>
                <w:sz w:val="17"/>
                <w:szCs w:val="17"/>
                <w:color w:val="FFFFFF"/>
              </w:rPr>
              <w:t>Excise Tax</w:t>
            </w:r>
          </w:p>
        </w:tc>
        <w:tc>
          <w:tcPr>
            <w:tcW w:w="200" w:type="dxa"/>
            <w:vAlign w:val="bottom"/>
            <w:shd w:val="clear" w:color="auto" w:fill="000000"/>
          </w:tcPr>
          <w:p>
            <w:pPr>
              <w:spacing w:after="0"/>
              <w:rPr>
                <w:sz w:val="16"/>
                <w:szCs w:val="16"/>
                <w:color w:val="auto"/>
              </w:rPr>
            </w:pPr>
          </w:p>
        </w:tc>
        <w:tc>
          <w:tcPr>
            <w:tcW w:w="1000" w:type="dxa"/>
            <w:vAlign w:val="bottom"/>
            <w:shd w:val="clear" w:color="auto" w:fill="000000"/>
          </w:tcPr>
          <w:p>
            <w:pPr>
              <w:spacing w:after="0"/>
              <w:rPr>
                <w:sz w:val="16"/>
                <w:szCs w:val="16"/>
                <w:color w:val="auto"/>
              </w:rPr>
            </w:pPr>
          </w:p>
        </w:tc>
      </w:tr>
      <w:tr>
        <w:trPr>
          <w:trHeight w:val="196"/>
        </w:trPr>
        <w:tc>
          <w:tcPr>
            <w:tcW w:w="1700" w:type="dxa"/>
            <w:vAlign w:val="bottom"/>
            <w:shd w:val="clear" w:color="auto" w:fill="000000"/>
          </w:tcPr>
          <w:p>
            <w:pPr>
              <w:spacing w:after="0"/>
              <w:rPr>
                <w:sz w:val="17"/>
                <w:szCs w:val="17"/>
                <w:color w:val="auto"/>
              </w:rPr>
            </w:pPr>
          </w:p>
        </w:tc>
        <w:tc>
          <w:tcPr>
            <w:tcW w:w="1250" w:type="dxa"/>
            <w:vAlign w:val="bottom"/>
            <w:shd w:val="clear" w:color="auto" w:fill="000000"/>
          </w:tcPr>
          <w:p>
            <w:pPr>
              <w:spacing w:after="0"/>
              <w:rPr>
                <w:sz w:val="17"/>
                <w:szCs w:val="17"/>
                <w:color w:val="auto"/>
              </w:rPr>
            </w:pPr>
          </w:p>
        </w:tc>
        <w:tc>
          <w:tcPr>
            <w:tcW w:w="1110" w:type="dxa"/>
            <w:vAlign w:val="bottom"/>
            <w:shd w:val="clear" w:color="auto" w:fill="000000"/>
          </w:tcPr>
          <w:p>
            <w:pPr>
              <w:jc w:val="right"/>
              <w:ind w:right="133"/>
              <w:spacing w:after="0"/>
              <w:rPr>
                <w:sz w:val="20"/>
                <w:szCs w:val="20"/>
                <w:color w:val="auto"/>
              </w:rPr>
            </w:pPr>
            <w:r>
              <w:rPr>
                <w:rFonts w:ascii="Arial" w:cs="Arial" w:eastAsia="Arial" w:hAnsi="Arial"/>
                <w:sz w:val="17"/>
                <w:szCs w:val="17"/>
                <w:color w:val="FFFFFF"/>
              </w:rPr>
              <w:t>(Multiple)</w:t>
            </w:r>
          </w:p>
        </w:tc>
        <w:tc>
          <w:tcPr>
            <w:tcW w:w="1100" w:type="dxa"/>
            <w:vAlign w:val="bottom"/>
            <w:gridSpan w:val="2"/>
            <w:shd w:val="clear" w:color="auto" w:fill="000000"/>
          </w:tcPr>
          <w:p>
            <w:pPr>
              <w:jc w:val="right"/>
              <w:ind w:right="73"/>
              <w:spacing w:after="0"/>
              <w:rPr>
                <w:sz w:val="20"/>
                <w:szCs w:val="20"/>
                <w:color w:val="auto"/>
              </w:rPr>
            </w:pPr>
            <w:r>
              <w:rPr>
                <w:rFonts w:ascii="Arial" w:cs="Arial" w:eastAsia="Arial" w:hAnsi="Arial"/>
                <w:sz w:val="17"/>
                <w:szCs w:val="17"/>
                <w:color w:val="FFFFFF"/>
              </w:rPr>
              <w:t>Payment</w:t>
            </w:r>
            <w:r>
              <w:rPr>
                <w:rFonts w:ascii="Arial" w:cs="Arial" w:eastAsia="Arial" w:hAnsi="Arial"/>
                <w:sz w:val="9"/>
                <w:szCs w:val="9"/>
                <w:color w:val="FFFFFF"/>
              </w:rPr>
              <w:t>(1)</w:t>
            </w:r>
          </w:p>
        </w:tc>
        <w:tc>
          <w:tcPr>
            <w:tcW w:w="1100" w:type="dxa"/>
            <w:vAlign w:val="bottom"/>
            <w:gridSpan w:val="2"/>
            <w:shd w:val="clear" w:color="auto" w:fill="000000"/>
          </w:tcPr>
          <w:p>
            <w:pPr>
              <w:jc w:val="right"/>
              <w:ind w:right="93"/>
              <w:spacing w:after="0"/>
              <w:rPr>
                <w:sz w:val="20"/>
                <w:szCs w:val="20"/>
                <w:color w:val="auto"/>
              </w:rPr>
            </w:pPr>
            <w:r>
              <w:rPr>
                <w:rFonts w:ascii="Arial" w:cs="Arial" w:eastAsia="Arial" w:hAnsi="Arial"/>
                <w:sz w:val="17"/>
                <w:szCs w:val="17"/>
                <w:color w:val="FFFFFF"/>
              </w:rPr>
              <w:t>Benefits</w:t>
            </w:r>
            <w:r>
              <w:rPr>
                <w:rFonts w:ascii="Arial" w:cs="Arial" w:eastAsia="Arial" w:hAnsi="Arial"/>
                <w:sz w:val="9"/>
                <w:szCs w:val="9"/>
                <w:color w:val="FFFFFF"/>
              </w:rPr>
              <w:t>(2)</w:t>
            </w:r>
          </w:p>
        </w:tc>
        <w:tc>
          <w:tcPr>
            <w:tcW w:w="200" w:type="dxa"/>
            <w:vAlign w:val="bottom"/>
            <w:shd w:val="clear" w:color="auto" w:fill="000000"/>
          </w:tcPr>
          <w:p>
            <w:pPr>
              <w:spacing w:after="0"/>
              <w:rPr>
                <w:sz w:val="17"/>
                <w:szCs w:val="17"/>
                <w:color w:val="auto"/>
              </w:rPr>
            </w:pPr>
          </w:p>
        </w:tc>
        <w:tc>
          <w:tcPr>
            <w:tcW w:w="1020" w:type="dxa"/>
            <w:vAlign w:val="bottom"/>
            <w:shd w:val="clear" w:color="auto" w:fill="000000"/>
          </w:tcPr>
          <w:p>
            <w:pPr>
              <w:jc w:val="right"/>
              <w:ind w:right="213"/>
              <w:spacing w:after="0"/>
              <w:rPr>
                <w:sz w:val="20"/>
                <w:szCs w:val="20"/>
                <w:color w:val="auto"/>
              </w:rPr>
            </w:pPr>
            <w:r>
              <w:rPr>
                <w:rFonts w:ascii="Arial" w:cs="Arial" w:eastAsia="Arial" w:hAnsi="Arial"/>
                <w:sz w:val="17"/>
                <w:szCs w:val="17"/>
                <w:color w:val="FFFFFF"/>
              </w:rPr>
              <w:t>Equity</w:t>
            </w:r>
            <w:r>
              <w:rPr>
                <w:rFonts w:ascii="Arial" w:cs="Arial" w:eastAsia="Arial" w:hAnsi="Arial"/>
                <w:sz w:val="9"/>
                <w:szCs w:val="9"/>
                <w:color w:val="FFFFFF"/>
              </w:rPr>
              <w:t>(3)</w:t>
            </w:r>
          </w:p>
        </w:tc>
        <w:tc>
          <w:tcPr>
            <w:tcW w:w="960" w:type="dxa"/>
            <w:vAlign w:val="bottom"/>
            <w:gridSpan w:val="2"/>
            <w:shd w:val="clear" w:color="auto" w:fill="000000"/>
          </w:tcPr>
          <w:p>
            <w:pPr>
              <w:ind w:left="100"/>
              <w:spacing w:after="0"/>
              <w:rPr>
                <w:sz w:val="20"/>
                <w:szCs w:val="20"/>
                <w:color w:val="auto"/>
              </w:rPr>
            </w:pPr>
            <w:r>
              <w:rPr>
                <w:rFonts w:ascii="Arial" w:cs="Arial" w:eastAsia="Arial" w:hAnsi="Arial"/>
                <w:sz w:val="17"/>
                <w:szCs w:val="17"/>
                <w:color w:val="FFFFFF"/>
              </w:rPr>
              <w:t>Benefits</w:t>
            </w:r>
            <w:r>
              <w:rPr>
                <w:rFonts w:ascii="Arial" w:cs="Arial" w:eastAsia="Arial" w:hAnsi="Arial"/>
                <w:sz w:val="9"/>
                <w:szCs w:val="9"/>
                <w:color w:val="FFFFFF"/>
              </w:rPr>
              <w:t>(4)</w:t>
            </w:r>
          </w:p>
        </w:tc>
        <w:tc>
          <w:tcPr>
            <w:tcW w:w="980" w:type="dxa"/>
            <w:vAlign w:val="bottom"/>
            <w:gridSpan w:val="2"/>
            <w:shd w:val="clear" w:color="auto" w:fill="000000"/>
          </w:tcPr>
          <w:p>
            <w:pPr>
              <w:ind w:left="140"/>
              <w:spacing w:after="0"/>
              <w:rPr>
                <w:sz w:val="20"/>
                <w:szCs w:val="20"/>
                <w:color w:val="auto"/>
              </w:rPr>
            </w:pPr>
            <w:r>
              <w:rPr>
                <w:rFonts w:ascii="Arial" w:cs="Arial" w:eastAsia="Arial" w:hAnsi="Arial"/>
                <w:sz w:val="17"/>
                <w:szCs w:val="17"/>
                <w:color w:val="FFFFFF"/>
              </w:rPr>
              <w:t>Gross-Up</w:t>
            </w:r>
          </w:p>
        </w:tc>
        <w:tc>
          <w:tcPr>
            <w:tcW w:w="200" w:type="dxa"/>
            <w:vAlign w:val="bottom"/>
            <w:shd w:val="clear" w:color="auto" w:fill="000000"/>
          </w:tcPr>
          <w:p>
            <w:pPr>
              <w:spacing w:after="0"/>
              <w:rPr>
                <w:sz w:val="17"/>
                <w:szCs w:val="17"/>
                <w:color w:val="auto"/>
              </w:rPr>
            </w:pPr>
          </w:p>
        </w:tc>
        <w:tc>
          <w:tcPr>
            <w:tcW w:w="1000" w:type="dxa"/>
            <w:vAlign w:val="bottom"/>
            <w:shd w:val="clear" w:color="auto" w:fill="000000"/>
          </w:tcPr>
          <w:p>
            <w:pPr>
              <w:jc w:val="right"/>
              <w:ind w:right="353"/>
              <w:spacing w:after="0"/>
              <w:rPr>
                <w:sz w:val="20"/>
                <w:szCs w:val="20"/>
                <w:color w:val="auto"/>
              </w:rPr>
            </w:pPr>
            <w:r>
              <w:rPr>
                <w:rFonts w:ascii="Arial" w:cs="Arial" w:eastAsia="Arial" w:hAnsi="Arial"/>
                <w:sz w:val="17"/>
                <w:szCs w:val="17"/>
                <w:color w:val="FFFFFF"/>
              </w:rPr>
              <w:t>Total</w:t>
            </w:r>
          </w:p>
        </w:tc>
      </w:tr>
      <w:tr>
        <w:trPr>
          <w:trHeight w:val="172"/>
        </w:trPr>
        <w:tc>
          <w:tcPr>
            <w:tcW w:w="2950" w:type="dxa"/>
            <w:vAlign w:val="bottom"/>
            <w:gridSpan w:val="2"/>
            <w:shd w:val="clear" w:color="auto" w:fill="D8D8D8"/>
          </w:tcPr>
          <w:p>
            <w:pPr>
              <w:spacing w:after="0" w:line="172" w:lineRule="exact"/>
              <w:rPr>
                <w:sz w:val="20"/>
                <w:szCs w:val="20"/>
                <w:color w:val="auto"/>
              </w:rPr>
            </w:pPr>
            <w:r>
              <w:rPr>
                <w:rFonts w:ascii="Arial" w:cs="Arial" w:eastAsia="Arial" w:hAnsi="Arial"/>
                <w:sz w:val="17"/>
                <w:szCs w:val="17"/>
                <w:b w:val="1"/>
                <w:bCs w:val="1"/>
                <w:color w:val="auto"/>
              </w:rPr>
              <w:t>Termination without Cause or</w:t>
            </w:r>
          </w:p>
        </w:tc>
        <w:tc>
          <w:tcPr>
            <w:tcW w:w="111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88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22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56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1000" w:type="dxa"/>
            <w:vAlign w:val="bottom"/>
            <w:shd w:val="clear" w:color="auto" w:fill="D8D8D8"/>
          </w:tcPr>
          <w:p>
            <w:pPr>
              <w:spacing w:after="0"/>
              <w:rPr>
                <w:sz w:val="14"/>
                <w:szCs w:val="14"/>
                <w:color w:val="auto"/>
              </w:rPr>
            </w:pPr>
          </w:p>
        </w:tc>
      </w:tr>
      <w:tr>
        <w:trPr>
          <w:trHeight w:val="218"/>
        </w:trPr>
        <w:tc>
          <w:tcPr>
            <w:tcW w:w="2950" w:type="dxa"/>
            <w:vAlign w:val="bottom"/>
            <w:gridSpan w:val="2"/>
            <w:shd w:val="clear" w:color="auto" w:fill="D8D8D8"/>
          </w:tcPr>
          <w:p>
            <w:pPr>
              <w:spacing w:after="0"/>
              <w:rPr>
                <w:sz w:val="20"/>
                <w:szCs w:val="20"/>
                <w:color w:val="auto"/>
              </w:rPr>
            </w:pPr>
            <w:r>
              <w:rPr>
                <w:rFonts w:ascii="Arial" w:cs="Arial" w:eastAsia="Arial" w:hAnsi="Arial"/>
                <w:sz w:val="17"/>
                <w:szCs w:val="17"/>
                <w:b w:val="1"/>
                <w:bCs w:val="1"/>
                <w:color w:val="auto"/>
              </w:rPr>
              <w:t>For Good Reason</w:t>
            </w:r>
          </w:p>
        </w:tc>
        <w:tc>
          <w:tcPr>
            <w:tcW w:w="111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56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r>
      <w:tr>
        <w:trPr>
          <w:trHeight w:val="195"/>
        </w:trPr>
        <w:tc>
          <w:tcPr>
            <w:tcW w:w="295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Donald C. Wood</w:t>
            </w:r>
          </w:p>
        </w:tc>
        <w:tc>
          <w:tcPr>
            <w:tcW w:w="111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1.5x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4,096,875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2,385,861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13,458,192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60,250</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20,001,178</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Jeffrey S. Berkes</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1.0x</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1,129,167</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23,957</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6,192,983</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7,346,107</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Daniel Guglielmone</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Dawn M. Becker</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1.0x</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896,875</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11,386</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1,755,529</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60,250</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2,724,040</w:t>
            </w:r>
          </w:p>
        </w:tc>
      </w:tr>
      <w:tr>
        <w:trPr>
          <w:trHeight w:val="188"/>
        </w:trPr>
        <w:tc>
          <w:tcPr>
            <w:tcW w:w="295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b w:val="1"/>
                <w:bCs w:val="1"/>
                <w:color w:val="auto"/>
              </w:rPr>
              <w:t>Change in Control</w:t>
            </w:r>
            <w:r>
              <w:rPr>
                <w:rFonts w:ascii="Arial" w:cs="Arial" w:eastAsia="Arial" w:hAnsi="Arial"/>
                <w:sz w:val="14"/>
                <w:szCs w:val="14"/>
                <w:b w:val="1"/>
                <w:bCs w:val="1"/>
                <w:color w:val="auto"/>
              </w:rPr>
              <w:t>(5)</w:t>
            </w:r>
          </w:p>
        </w:tc>
        <w:tc>
          <w:tcPr>
            <w:tcW w:w="111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r>
      <w:tr>
        <w:trPr>
          <w:trHeight w:val="195"/>
        </w:trPr>
        <w:tc>
          <w:tcPr>
            <w:tcW w:w="295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Donald C. Wood</w:t>
            </w:r>
          </w:p>
        </w:tc>
        <w:tc>
          <w:tcPr>
            <w:tcW w:w="111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3.0x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8,193,750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2,457,446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13,458,192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167,165</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24,276,553</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Jeffrey S. Berkes</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2.0x</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2,258,333</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47,914</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6,192,983</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6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8,499,230</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Daniel Guglielmone</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2.0x</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1,890,625</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71,146</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90,375</w:t>
            </w:r>
          </w:p>
        </w:tc>
        <w:tc>
          <w:tcPr>
            <w:tcW w:w="42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6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5,741,510</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Dawn M. Becker</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2.0x</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1,793,750</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30,361</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1,755,529</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90,375</w:t>
            </w:r>
          </w:p>
        </w:tc>
        <w:tc>
          <w:tcPr>
            <w:tcW w:w="42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ind w:left="26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3,670,015</w:t>
            </w:r>
          </w:p>
        </w:tc>
      </w:tr>
      <w:tr>
        <w:trPr>
          <w:trHeight w:val="188"/>
        </w:trPr>
        <w:tc>
          <w:tcPr>
            <w:tcW w:w="295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b w:val="1"/>
                <w:bCs w:val="1"/>
                <w:color w:val="auto"/>
              </w:rPr>
              <w:t>Termination for Cause</w:t>
            </w:r>
          </w:p>
        </w:tc>
        <w:tc>
          <w:tcPr>
            <w:tcW w:w="111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r>
      <w:tr>
        <w:trPr>
          <w:trHeight w:val="195"/>
        </w:trPr>
        <w:tc>
          <w:tcPr>
            <w:tcW w:w="295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Donald C. Wood</w:t>
            </w:r>
          </w:p>
        </w:tc>
        <w:tc>
          <w:tcPr>
            <w:tcW w:w="111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490,908</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Jeffrey S. Berkes</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213"/>
              <w:spacing w:after="0" w:line="189" w:lineRule="exact"/>
              <w:rPr>
                <w:sz w:val="20"/>
                <w:szCs w:val="20"/>
                <w:color w:val="auto"/>
              </w:rPr>
            </w:pPr>
            <w:r>
              <w:rPr>
                <w:rFonts w:ascii="Arial" w:cs="Arial" w:eastAsia="Arial" w:hAnsi="Arial"/>
                <w:sz w:val="17"/>
                <w:szCs w:val="17"/>
                <w:color w:val="auto"/>
              </w:rPr>
              <w:t>-</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Daniel Guglielmone</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213"/>
              <w:spacing w:after="0" w:line="189" w:lineRule="exact"/>
              <w:rPr>
                <w:sz w:val="20"/>
                <w:szCs w:val="20"/>
                <w:color w:val="auto"/>
              </w:rPr>
            </w:pPr>
            <w:r>
              <w:rPr>
                <w:rFonts w:ascii="Arial" w:cs="Arial" w:eastAsia="Arial" w:hAnsi="Arial"/>
                <w:sz w:val="17"/>
                <w:szCs w:val="17"/>
                <w:color w:val="auto"/>
              </w:rPr>
              <w:t>-</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Dawn M. Becker</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237,500</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7,590</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245,090</w:t>
            </w:r>
          </w:p>
        </w:tc>
      </w:tr>
      <w:tr>
        <w:trPr>
          <w:trHeight w:val="188"/>
        </w:trPr>
        <w:tc>
          <w:tcPr>
            <w:tcW w:w="295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b w:val="1"/>
                <w:bCs w:val="1"/>
                <w:color w:val="auto"/>
              </w:rPr>
              <w:t>Death</w:t>
            </w:r>
          </w:p>
        </w:tc>
        <w:tc>
          <w:tcPr>
            <w:tcW w:w="111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r>
      <w:tr>
        <w:trPr>
          <w:trHeight w:val="195"/>
        </w:trPr>
        <w:tc>
          <w:tcPr>
            <w:tcW w:w="295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Donald C. Wood</w:t>
            </w:r>
          </w:p>
        </w:tc>
        <w:tc>
          <w:tcPr>
            <w:tcW w:w="111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2,028,000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13,458,192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15,486,192</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Jeffrey S. Berkes</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718,750</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6,192,983</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6,911,733</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Daniel Guglielmone</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Dawn M. Becker</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1,755,529</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1,755,529</w:t>
            </w:r>
          </w:p>
        </w:tc>
      </w:tr>
      <w:tr>
        <w:trPr>
          <w:trHeight w:val="188"/>
        </w:trPr>
        <w:tc>
          <w:tcPr>
            <w:tcW w:w="295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b w:val="1"/>
                <w:bCs w:val="1"/>
                <w:color w:val="auto"/>
              </w:rPr>
              <w:t>Disability</w:t>
            </w:r>
          </w:p>
        </w:tc>
        <w:tc>
          <w:tcPr>
            <w:tcW w:w="111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r>
      <w:tr>
        <w:trPr>
          <w:trHeight w:val="195"/>
        </w:trPr>
        <w:tc>
          <w:tcPr>
            <w:tcW w:w="295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Donald C. Wood</w:t>
            </w:r>
          </w:p>
        </w:tc>
        <w:tc>
          <w:tcPr>
            <w:tcW w:w="111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2,371,815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13,458,192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17,116,532</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Jeffrey S. Berkes</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718,750</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23,957</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6,192,983</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6,935,690</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Daniel Guglielmone</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430,080</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35,573</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3,689,364</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4,155,017</w:t>
            </w:r>
          </w:p>
        </w:tc>
      </w:tr>
      <w:tr>
        <w:trPr>
          <w:trHeight w:val="188"/>
        </w:trPr>
        <w:tc>
          <w:tcPr>
            <w:tcW w:w="2950" w:type="dxa"/>
            <w:vAlign w:val="bottom"/>
            <w:tcBorders>
              <w:bottom w:val="single" w:sz="8" w:color="auto"/>
            </w:tcBorders>
            <w:gridSpan w:val="2"/>
          </w:tcPr>
          <w:p>
            <w:pPr>
              <w:ind w:left="480"/>
              <w:spacing w:after="0" w:line="189" w:lineRule="exact"/>
              <w:rPr>
                <w:sz w:val="20"/>
                <w:szCs w:val="20"/>
                <w:color w:val="auto"/>
              </w:rPr>
            </w:pPr>
            <w:r>
              <w:rPr>
                <w:rFonts w:ascii="Arial" w:cs="Arial" w:eastAsia="Arial" w:hAnsi="Arial"/>
                <w:sz w:val="17"/>
                <w:szCs w:val="17"/>
                <w:color w:val="auto"/>
              </w:rPr>
              <w:t>Dawn M. Becker</w:t>
            </w:r>
          </w:p>
        </w:tc>
        <w:tc>
          <w:tcPr>
            <w:tcW w:w="111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N/A</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361,777</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15,181</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1,755,529</w:t>
            </w:r>
          </w:p>
        </w:tc>
        <w:tc>
          <w:tcPr>
            <w:tcW w:w="2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93"/>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N/A</w:t>
            </w: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
              <w:spacing w:after="0" w:line="189" w:lineRule="exact"/>
              <w:rPr>
                <w:sz w:val="20"/>
                <w:szCs w:val="20"/>
                <w:color w:val="auto"/>
              </w:rPr>
            </w:pPr>
            <w:r>
              <w:rPr>
                <w:rFonts w:ascii="Arial" w:cs="Arial" w:eastAsia="Arial" w:hAnsi="Arial"/>
                <w:sz w:val="17"/>
                <w:szCs w:val="17"/>
                <w:color w:val="auto"/>
              </w:rPr>
              <w:t>2,132,487</w:t>
            </w:r>
          </w:p>
        </w:tc>
      </w:tr>
      <w:tr>
        <w:trPr>
          <w:trHeight w:val="162"/>
        </w:trPr>
        <w:tc>
          <w:tcPr>
            <w:tcW w:w="1700" w:type="dxa"/>
            <w:vAlign w:val="bottom"/>
            <w:tcBorders>
              <w:bottom w:val="single" w:sz="8" w:color="auto"/>
            </w:tcBorders>
          </w:tcPr>
          <w:p>
            <w:pPr>
              <w:spacing w:after="0"/>
              <w:rPr>
                <w:sz w:val="14"/>
                <w:szCs w:val="14"/>
                <w:color w:val="auto"/>
              </w:rPr>
            </w:pPr>
          </w:p>
        </w:tc>
        <w:tc>
          <w:tcPr>
            <w:tcW w:w="1250" w:type="dxa"/>
            <w:vAlign w:val="bottom"/>
          </w:tcPr>
          <w:p>
            <w:pPr>
              <w:spacing w:after="0"/>
              <w:rPr>
                <w:sz w:val="14"/>
                <w:szCs w:val="14"/>
                <w:color w:val="auto"/>
              </w:rPr>
            </w:pPr>
          </w:p>
        </w:tc>
        <w:tc>
          <w:tcPr>
            <w:tcW w:w="111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06" w:lineRule="exact"/>
        <w:rPr>
          <w:sz w:val="20"/>
          <w:szCs w:val="20"/>
          <w:color w:val="auto"/>
        </w:rPr>
      </w:pPr>
    </w:p>
    <w:p>
      <w:pPr>
        <w:jc w:val="both"/>
        <w:ind w:left="420" w:right="20" w:hanging="320"/>
        <w:spacing w:after="0" w:line="237"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Bonus years used in the calculation for termination without cause and change-in-control are 2020, 2019 and 2018, the last three completed fiscal years. The cash payments on termination with cause are 6 months of base pay only. The cash payment on death and disability for Mr. Berkes is a pro-rated bonus for the year in which the event occurs. The cash payments on disability for Mr. Wood, Mr. Guglielmone and Ms. Becker represent 1 year of base salary less amounts received from disability insurance maintained by the Company, grossed up for taxes on non-tax exempt payments.</w:t>
      </w:r>
    </w:p>
    <w:p>
      <w:pPr>
        <w:spacing w:after="0" w:line="2" w:lineRule="exact"/>
        <w:rPr>
          <w:rFonts w:ascii="Arial" w:cs="Arial" w:eastAsia="Arial" w:hAnsi="Arial"/>
          <w:sz w:val="16"/>
          <w:szCs w:val="16"/>
          <w:color w:val="auto"/>
        </w:rPr>
      </w:pPr>
    </w:p>
    <w:p>
      <w:pPr>
        <w:jc w:val="both"/>
        <w:ind w:left="420" w:right="20" w:hanging="320"/>
        <w:spacing w:after="0" w:line="237"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rates for health care benefits and current life and long-term disability premiums for Mr. Wood, Mr. Guglielmone and Ms. Becker. The period of time for which these benefits are provided varies as follows: (a) termination without cause – 9 months for Mr. Wood and Ms. Becker; 1 year for Mr. Berkes; (b) change-in-control – 3 years for Mr. Wood and 2 years for each other NEO; (c) termination for cause – 6 months; and (d) disability – 1 year. The amounts paid to Mr. Berkes are reduced by the amounts he pays for these benefits at the time of the event. All amounts shown in this column for Mr. Wood also include the estimated costs (calculated in accordance with GAAP) of satisfying the obligations under his Health Continuation Coverage Agreement.</w:t>
      </w:r>
    </w:p>
    <w:p>
      <w:pPr>
        <w:spacing w:after="0" w:line="2" w:lineRule="exact"/>
        <w:rPr>
          <w:rFonts w:ascii="Arial" w:cs="Arial" w:eastAsia="Arial" w:hAnsi="Arial"/>
          <w:sz w:val="16"/>
          <w:szCs w:val="16"/>
          <w:color w:val="auto"/>
        </w:rPr>
      </w:pPr>
    </w:p>
    <w:p>
      <w:pPr>
        <w:jc w:val="both"/>
        <w:ind w:left="420" w:hanging="320"/>
        <w:spacing w:after="0" w:line="239"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unvested shares held by our NEOs will vest in the event of termination without cause, change-in-control, death or disability. Values were calculated by multiplying the number of unvested shares that vest under each termination event using the closing price of the Company’s shares on December 31, 2021. For Mr. Berkes, the amount includes the value 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20"/>
          </w:cols>
          <w:pgMar w:left="640" w:top="282" w:right="639" w:bottom="1440" w:gutter="0" w:footer="0" w:header="0"/>
        </w:sectPr>
      </w:pPr>
    </w:p>
    <w:bookmarkStart w:id="42" w:name="page43"/>
    <w:bookmarkEnd w:id="42"/>
    <w:p>
      <w:pPr>
        <w:ind w:left="420" w:right="20"/>
        <w:spacing w:after="0" w:line="23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the number of shares that would have been earned based on performance through the date of termination, prorated for the portion of the performance period that had lapsed, plus dividend equivalent rights on those shares.</w:t>
      </w:r>
    </w:p>
    <w:p>
      <w:pPr>
        <w:spacing w:after="0" w:line="1" w:lineRule="exact"/>
        <w:rPr>
          <w:sz w:val="20"/>
          <w:szCs w:val="20"/>
          <w:color w:val="auto"/>
        </w:rPr>
      </w:pPr>
    </w:p>
    <w:p>
      <w:pPr>
        <w:jc w:val="both"/>
        <w:ind w:left="420" w:right="20" w:hanging="320"/>
        <w:spacing w:after="0" w:line="237"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in this column are estimated costs for an administrative assistant and outplacement assistance for a period of 6 months in the event of a termination without cause and for a period of 12 months for Mr. Wood and 9 months for Mr. Guglielmone and Ms. Becker in the event of a change-in-control. The amount also includes the cost of providing a company vehicle to Mr. Wood for three years in the event of a change-in-control should he choose to use that benefit.</w:t>
      </w:r>
    </w:p>
    <w:p>
      <w:pPr>
        <w:spacing w:after="0" w:line="1" w:lineRule="exact"/>
        <w:rPr>
          <w:rFonts w:ascii="Arial" w:cs="Arial" w:eastAsia="Arial" w:hAnsi="Arial"/>
          <w:sz w:val="16"/>
          <w:szCs w:val="16"/>
          <w:color w:val="auto"/>
        </w:rPr>
      </w:pPr>
    </w:p>
    <w:p>
      <w:pPr>
        <w:jc w:val="both"/>
        <w:ind w:left="420" w:right="20" w:hanging="320"/>
        <w:spacing w:after="0" w:line="279"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(b) Mr. Wood or Ms. Becker voluntarily leaves employment within the 30-day window following the 1-year anniversary of the change-in-control; or (c) Mr. Berkes is terminated from employment by the Company (other than for cause) or he leaves the Company as a result of a constructive termination within the 6-month period prior to or within 2 years after the change-in-control.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CEO Pay Ratio</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2021, excluding our CEO, which included 309 full -time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45 employees who started with us in 2021. No other adjustments were made.</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actual total annual compensation of our Chief Executive Officer and median paid employee for 2021 was calculated in accordance with the requirements of the Summary Compensation Table included in this proxy statement. Based on this methodology, we have determined that the total annual compensation paid to our Chief Executive Officer in 2021 was $7,520,917 and the total annual compensation paid to our median paid employee in 2021 was $125,770 resulting in a ratio of 60:1.</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20"/>
          </w:cols>
          <w:pgMar w:left="640" w:top="285" w:right="6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FF160F"/>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Equity Compensation Plan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on our only active equity compensation plan as of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shd w:val="clear" w:color="auto" w:fill="000000"/>
          </w:tcPr>
          <w:p>
            <w:pPr>
              <w:spacing w:after="0"/>
              <w:rPr>
                <w:sz w:val="19"/>
                <w:szCs w:val="19"/>
                <w:color w:val="auto"/>
              </w:rPr>
            </w:pPr>
          </w:p>
        </w:tc>
        <w:tc>
          <w:tcPr>
            <w:tcW w:w="3000" w:type="dxa"/>
            <w:vAlign w:val="bottom"/>
            <w:gridSpan w:val="2"/>
            <w:shd w:val="clear" w:color="auto" w:fill="000000"/>
          </w:tcPr>
          <w:p>
            <w:pPr>
              <w:jc w:val="center"/>
              <w:ind w:left="533"/>
              <w:spacing w:after="0"/>
              <w:rPr>
                <w:sz w:val="20"/>
                <w:szCs w:val="20"/>
                <w:color w:val="auto"/>
              </w:rPr>
            </w:pPr>
            <w:r>
              <w:rPr>
                <w:rFonts w:ascii="Arial" w:cs="Arial" w:eastAsia="Arial" w:hAnsi="Arial"/>
                <w:sz w:val="17"/>
                <w:szCs w:val="17"/>
                <w:color w:val="FFFFFF"/>
              </w:rPr>
              <w:t>Number of securities to be</w:t>
            </w:r>
          </w:p>
        </w:tc>
        <w:tc>
          <w:tcPr>
            <w:tcW w:w="900" w:type="dxa"/>
            <w:vAlign w:val="bottom"/>
            <w:shd w:val="clear" w:color="auto" w:fill="000000"/>
          </w:tcPr>
          <w:p>
            <w:pPr>
              <w:spacing w:after="0"/>
              <w:rPr>
                <w:sz w:val="19"/>
                <w:szCs w:val="19"/>
                <w:color w:val="auto"/>
              </w:rPr>
            </w:pPr>
          </w:p>
        </w:tc>
        <w:tc>
          <w:tcPr>
            <w:tcW w:w="2140" w:type="dxa"/>
            <w:vAlign w:val="bottom"/>
            <w:shd w:val="clear" w:color="auto" w:fill="000000"/>
          </w:tcPr>
          <w:p>
            <w:pPr>
              <w:spacing w:after="0"/>
              <w:rPr>
                <w:sz w:val="19"/>
                <w:szCs w:val="19"/>
                <w:color w:val="auto"/>
              </w:rPr>
            </w:pPr>
          </w:p>
        </w:tc>
        <w:tc>
          <w:tcPr>
            <w:tcW w:w="3060" w:type="dxa"/>
            <w:vAlign w:val="bottom"/>
            <w:shd w:val="clear" w:color="auto" w:fill="000000"/>
          </w:tcPr>
          <w:p>
            <w:pPr>
              <w:jc w:val="center"/>
              <w:ind w:right="93"/>
              <w:spacing w:after="0"/>
              <w:rPr>
                <w:sz w:val="20"/>
                <w:szCs w:val="20"/>
                <w:color w:val="auto"/>
              </w:rPr>
            </w:pPr>
            <w:r>
              <w:rPr>
                <w:rFonts w:ascii="Arial" w:cs="Arial" w:eastAsia="Arial" w:hAnsi="Arial"/>
                <w:sz w:val="17"/>
                <w:szCs w:val="17"/>
                <w:color w:val="FFFFFF"/>
              </w:rPr>
              <w:t>Number of securities remaining</w:t>
            </w:r>
          </w:p>
        </w:tc>
        <w:tc>
          <w:tcPr>
            <w:tcW w:w="0" w:type="dxa"/>
            <w:vAlign w:val="bottom"/>
          </w:tcPr>
          <w:p>
            <w:pPr>
              <w:spacing w:after="0"/>
              <w:rPr>
                <w:sz w:val="1"/>
                <w:szCs w:val="1"/>
                <w:color w:val="auto"/>
              </w:rPr>
            </w:pPr>
          </w:p>
        </w:tc>
      </w:tr>
      <w:tr>
        <w:trPr>
          <w:trHeight w:val="195"/>
        </w:trPr>
        <w:tc>
          <w:tcPr>
            <w:tcW w:w="1520" w:type="dxa"/>
            <w:vAlign w:val="bottom"/>
            <w:shd w:val="clear" w:color="auto" w:fill="000000"/>
          </w:tcPr>
          <w:p>
            <w:pPr>
              <w:spacing w:after="0"/>
              <w:rPr>
                <w:sz w:val="16"/>
                <w:szCs w:val="16"/>
                <w:color w:val="auto"/>
              </w:rPr>
            </w:pPr>
          </w:p>
        </w:tc>
        <w:tc>
          <w:tcPr>
            <w:tcW w:w="2960" w:type="dxa"/>
            <w:vAlign w:val="bottom"/>
            <w:shd w:val="clear" w:color="auto" w:fill="000000"/>
          </w:tcPr>
          <w:p>
            <w:pPr>
              <w:jc w:val="center"/>
              <w:ind w:left="573"/>
              <w:spacing w:after="0"/>
              <w:rPr>
                <w:sz w:val="20"/>
                <w:szCs w:val="20"/>
                <w:color w:val="auto"/>
              </w:rPr>
            </w:pPr>
            <w:r>
              <w:rPr>
                <w:rFonts w:ascii="Arial" w:cs="Arial" w:eastAsia="Arial" w:hAnsi="Arial"/>
                <w:sz w:val="17"/>
                <w:szCs w:val="17"/>
                <w:color w:val="FFFFFF"/>
              </w:rPr>
              <w:t>issued upon exercise of</w:t>
            </w:r>
          </w:p>
        </w:tc>
        <w:tc>
          <w:tcPr>
            <w:tcW w:w="40" w:type="dxa"/>
            <w:vAlign w:val="bottom"/>
            <w:shd w:val="clear" w:color="auto" w:fill="000000"/>
          </w:tcPr>
          <w:p>
            <w:pPr>
              <w:spacing w:after="0"/>
              <w:rPr>
                <w:sz w:val="16"/>
                <w:szCs w:val="16"/>
                <w:color w:val="auto"/>
              </w:rPr>
            </w:pPr>
          </w:p>
        </w:tc>
        <w:tc>
          <w:tcPr>
            <w:tcW w:w="3040" w:type="dxa"/>
            <w:vAlign w:val="bottom"/>
            <w:gridSpan w:val="2"/>
            <w:shd w:val="clear" w:color="auto" w:fill="000000"/>
          </w:tcPr>
          <w:p>
            <w:pPr>
              <w:jc w:val="right"/>
              <w:ind w:right="133"/>
              <w:spacing w:after="0"/>
              <w:rPr>
                <w:sz w:val="20"/>
                <w:szCs w:val="20"/>
                <w:color w:val="auto"/>
              </w:rPr>
            </w:pPr>
            <w:r>
              <w:rPr>
                <w:rFonts w:ascii="Arial" w:cs="Arial" w:eastAsia="Arial" w:hAnsi="Arial"/>
                <w:sz w:val="17"/>
                <w:szCs w:val="17"/>
                <w:color w:val="FFFFFF"/>
              </w:rPr>
              <w:t>Weighted average exercise</w:t>
            </w:r>
          </w:p>
        </w:tc>
        <w:tc>
          <w:tcPr>
            <w:tcW w:w="3060" w:type="dxa"/>
            <w:vAlign w:val="bottom"/>
            <w:shd w:val="clear" w:color="auto" w:fill="000000"/>
          </w:tcPr>
          <w:p>
            <w:pPr>
              <w:jc w:val="center"/>
              <w:ind w:right="93"/>
              <w:spacing w:after="0"/>
              <w:rPr>
                <w:sz w:val="20"/>
                <w:szCs w:val="20"/>
                <w:color w:val="auto"/>
              </w:rPr>
            </w:pPr>
            <w:r>
              <w:rPr>
                <w:rFonts w:ascii="Arial" w:cs="Arial" w:eastAsia="Arial" w:hAnsi="Arial"/>
                <w:sz w:val="17"/>
                <w:szCs w:val="17"/>
                <w:color w:val="FFFFFF"/>
              </w:rPr>
              <w:t>available for future issuance</w:t>
            </w:r>
          </w:p>
        </w:tc>
        <w:tc>
          <w:tcPr>
            <w:tcW w:w="0" w:type="dxa"/>
            <w:vAlign w:val="bottom"/>
          </w:tcPr>
          <w:p>
            <w:pPr>
              <w:spacing w:after="0"/>
              <w:rPr>
                <w:sz w:val="1"/>
                <w:szCs w:val="1"/>
                <w:color w:val="auto"/>
              </w:rPr>
            </w:pPr>
          </w:p>
        </w:tc>
      </w:tr>
      <w:tr>
        <w:trPr>
          <w:trHeight w:val="195"/>
        </w:trPr>
        <w:tc>
          <w:tcPr>
            <w:tcW w:w="1520" w:type="dxa"/>
            <w:vAlign w:val="bottom"/>
            <w:vMerge w:val="restart"/>
            <w:shd w:val="clear" w:color="auto" w:fill="000000"/>
          </w:tcPr>
          <w:p>
            <w:pPr>
              <w:spacing w:after="0"/>
              <w:rPr>
                <w:sz w:val="20"/>
                <w:szCs w:val="20"/>
                <w:color w:val="auto"/>
              </w:rPr>
            </w:pPr>
            <w:r>
              <w:rPr>
                <w:rFonts w:ascii="Arial" w:cs="Arial" w:eastAsia="Arial" w:hAnsi="Arial"/>
                <w:sz w:val="17"/>
                <w:szCs w:val="17"/>
                <w:b w:val="1"/>
                <w:bCs w:val="1"/>
                <w:color w:val="FFFFFF"/>
              </w:rPr>
              <w:t>Plan Category</w:t>
            </w:r>
          </w:p>
        </w:tc>
        <w:tc>
          <w:tcPr>
            <w:tcW w:w="2960" w:type="dxa"/>
            <w:vAlign w:val="bottom"/>
            <w:shd w:val="clear" w:color="auto" w:fill="000000"/>
          </w:tcPr>
          <w:p>
            <w:pPr>
              <w:jc w:val="center"/>
              <w:ind w:left="573"/>
              <w:spacing w:after="0"/>
              <w:rPr>
                <w:sz w:val="20"/>
                <w:szCs w:val="20"/>
                <w:color w:val="auto"/>
              </w:rPr>
            </w:pPr>
            <w:r>
              <w:rPr>
                <w:rFonts w:ascii="Arial" w:cs="Arial" w:eastAsia="Arial" w:hAnsi="Arial"/>
                <w:sz w:val="17"/>
                <w:szCs w:val="17"/>
                <w:color w:val="FFFFFF"/>
              </w:rPr>
              <w:t>outstanding options, warrants</w:t>
            </w:r>
          </w:p>
        </w:tc>
        <w:tc>
          <w:tcPr>
            <w:tcW w:w="40" w:type="dxa"/>
            <w:vAlign w:val="bottom"/>
            <w:shd w:val="clear" w:color="auto" w:fill="000000"/>
          </w:tcPr>
          <w:p>
            <w:pPr>
              <w:spacing w:after="0"/>
              <w:rPr>
                <w:sz w:val="16"/>
                <w:szCs w:val="16"/>
                <w:color w:val="auto"/>
              </w:rPr>
            </w:pPr>
          </w:p>
        </w:tc>
        <w:tc>
          <w:tcPr>
            <w:tcW w:w="3040" w:type="dxa"/>
            <w:vAlign w:val="bottom"/>
            <w:gridSpan w:val="2"/>
            <w:shd w:val="clear" w:color="auto" w:fill="000000"/>
          </w:tcPr>
          <w:p>
            <w:pPr>
              <w:ind w:left="680"/>
              <w:spacing w:after="0"/>
              <w:rPr>
                <w:sz w:val="20"/>
                <w:szCs w:val="20"/>
                <w:color w:val="auto"/>
              </w:rPr>
            </w:pPr>
            <w:r>
              <w:rPr>
                <w:rFonts w:ascii="Arial" w:cs="Arial" w:eastAsia="Arial" w:hAnsi="Arial"/>
                <w:sz w:val="17"/>
                <w:szCs w:val="17"/>
                <w:color w:val="FFFFFF"/>
              </w:rPr>
              <w:t>price of outstanding options,</w:t>
            </w:r>
          </w:p>
        </w:tc>
        <w:tc>
          <w:tcPr>
            <w:tcW w:w="3060" w:type="dxa"/>
            <w:vAlign w:val="bottom"/>
            <w:shd w:val="clear" w:color="auto" w:fill="000000"/>
          </w:tcPr>
          <w:p>
            <w:pPr>
              <w:jc w:val="center"/>
              <w:ind w:right="93"/>
              <w:spacing w:after="0"/>
              <w:rPr>
                <w:sz w:val="20"/>
                <w:szCs w:val="20"/>
                <w:color w:val="auto"/>
              </w:rPr>
            </w:pPr>
            <w:r>
              <w:rPr>
                <w:rFonts w:ascii="Arial" w:cs="Arial" w:eastAsia="Arial" w:hAnsi="Arial"/>
                <w:sz w:val="17"/>
                <w:szCs w:val="17"/>
                <w:color w:val="FFFFFF"/>
              </w:rPr>
              <w:t>(excluding securities reflected in</w:t>
            </w:r>
          </w:p>
        </w:tc>
        <w:tc>
          <w:tcPr>
            <w:tcW w:w="0" w:type="dxa"/>
            <w:vAlign w:val="bottom"/>
          </w:tcPr>
          <w:p>
            <w:pPr>
              <w:spacing w:after="0"/>
              <w:rPr>
                <w:sz w:val="1"/>
                <w:szCs w:val="1"/>
                <w:color w:val="auto"/>
              </w:rPr>
            </w:pPr>
          </w:p>
        </w:tc>
      </w:tr>
      <w:tr>
        <w:trPr>
          <w:trHeight w:val="196"/>
        </w:trPr>
        <w:tc>
          <w:tcPr>
            <w:tcW w:w="1520" w:type="dxa"/>
            <w:vAlign w:val="bottom"/>
            <w:vMerge w:val="continue"/>
            <w:shd w:val="clear" w:color="auto" w:fill="000000"/>
          </w:tcPr>
          <w:p>
            <w:pPr>
              <w:spacing w:after="0"/>
              <w:rPr>
                <w:sz w:val="17"/>
                <w:szCs w:val="17"/>
                <w:color w:val="auto"/>
              </w:rPr>
            </w:pPr>
          </w:p>
        </w:tc>
        <w:tc>
          <w:tcPr>
            <w:tcW w:w="2960" w:type="dxa"/>
            <w:vAlign w:val="bottom"/>
            <w:shd w:val="clear" w:color="auto" w:fill="000000"/>
          </w:tcPr>
          <w:p>
            <w:pPr>
              <w:jc w:val="center"/>
              <w:ind w:left="593"/>
              <w:spacing w:after="0"/>
              <w:rPr>
                <w:sz w:val="20"/>
                <w:szCs w:val="20"/>
                <w:color w:val="auto"/>
              </w:rPr>
            </w:pPr>
            <w:r>
              <w:rPr>
                <w:rFonts w:ascii="Arial" w:cs="Arial" w:eastAsia="Arial" w:hAnsi="Arial"/>
                <w:sz w:val="17"/>
                <w:szCs w:val="17"/>
                <w:color w:val="FFFFFF"/>
              </w:rPr>
              <w:t>and rights (Column A)</w:t>
            </w:r>
          </w:p>
        </w:tc>
        <w:tc>
          <w:tcPr>
            <w:tcW w:w="40" w:type="dxa"/>
            <w:vAlign w:val="bottom"/>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2140" w:type="dxa"/>
            <w:vAlign w:val="bottom"/>
            <w:shd w:val="clear" w:color="auto" w:fill="000000"/>
          </w:tcPr>
          <w:p>
            <w:pPr>
              <w:jc w:val="right"/>
              <w:ind w:right="453"/>
              <w:spacing w:after="0"/>
              <w:rPr>
                <w:sz w:val="20"/>
                <w:szCs w:val="20"/>
                <w:color w:val="auto"/>
              </w:rPr>
            </w:pPr>
            <w:r>
              <w:rPr>
                <w:rFonts w:ascii="Arial" w:cs="Arial" w:eastAsia="Arial" w:hAnsi="Arial"/>
                <w:sz w:val="17"/>
                <w:szCs w:val="17"/>
                <w:color w:val="FFFFFF"/>
              </w:rPr>
              <w:t>warrants and rights</w:t>
            </w:r>
          </w:p>
        </w:tc>
        <w:tc>
          <w:tcPr>
            <w:tcW w:w="3060" w:type="dxa"/>
            <w:vAlign w:val="bottom"/>
            <w:shd w:val="clear" w:color="auto" w:fill="000000"/>
          </w:tcPr>
          <w:p>
            <w:pPr>
              <w:jc w:val="center"/>
              <w:ind w:right="113"/>
              <w:spacing w:after="0"/>
              <w:rPr>
                <w:sz w:val="20"/>
                <w:szCs w:val="20"/>
                <w:color w:val="auto"/>
              </w:rPr>
            </w:pPr>
            <w:r>
              <w:rPr>
                <w:rFonts w:ascii="Arial" w:cs="Arial" w:eastAsia="Arial" w:hAnsi="Arial"/>
                <w:sz w:val="17"/>
                <w:szCs w:val="17"/>
                <w:color w:val="FFFFFF"/>
              </w:rPr>
              <w:t>Column A)</w:t>
            </w:r>
          </w:p>
        </w:tc>
        <w:tc>
          <w:tcPr>
            <w:tcW w:w="0" w:type="dxa"/>
            <w:vAlign w:val="bottom"/>
          </w:tcPr>
          <w:p>
            <w:pPr>
              <w:spacing w:after="0"/>
              <w:rPr>
                <w:sz w:val="1"/>
                <w:szCs w:val="1"/>
                <w:color w:val="auto"/>
              </w:rPr>
            </w:pPr>
          </w:p>
        </w:tc>
      </w:tr>
      <w:tr>
        <w:trPr>
          <w:trHeight w:val="194"/>
        </w:trPr>
        <w:tc>
          <w:tcPr>
            <w:tcW w:w="1520" w:type="dxa"/>
            <w:vAlign w:val="bottom"/>
            <w:shd w:val="clear" w:color="auto" w:fill="D8D8D8"/>
          </w:tcPr>
          <w:p>
            <w:pPr>
              <w:spacing w:after="0" w:line="194" w:lineRule="exact"/>
              <w:rPr>
                <w:sz w:val="20"/>
                <w:szCs w:val="20"/>
                <w:color w:val="auto"/>
              </w:rPr>
            </w:pPr>
            <w:r>
              <w:rPr>
                <w:rFonts w:ascii="Arial" w:cs="Arial" w:eastAsia="Arial" w:hAnsi="Arial"/>
                <w:sz w:val="17"/>
                <w:szCs w:val="17"/>
                <w:color w:val="auto"/>
              </w:rPr>
              <w:t>Equity</w:t>
            </w: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shd w:val="clear" w:color="auto" w:fill="D8D8D8"/>
          </w:tcPr>
          <w:p>
            <w:pPr>
              <w:spacing w:after="0"/>
              <w:rPr>
                <w:sz w:val="20"/>
                <w:szCs w:val="20"/>
                <w:color w:val="auto"/>
              </w:rPr>
            </w:pPr>
            <w:r>
              <w:rPr>
                <w:rFonts w:ascii="Arial" w:cs="Arial" w:eastAsia="Arial" w:hAnsi="Arial"/>
                <w:sz w:val="17"/>
                <w:szCs w:val="17"/>
                <w:color w:val="auto"/>
              </w:rPr>
              <w:t>compensation</w:t>
            </w:r>
          </w:p>
        </w:tc>
        <w:tc>
          <w:tcPr>
            <w:tcW w:w="30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3,658</w:t>
            </w:r>
          </w:p>
        </w:tc>
        <w:tc>
          <w:tcPr>
            <w:tcW w:w="900" w:type="dxa"/>
            <w:vAlign w:val="bottom"/>
            <w:vMerge w:val="restart"/>
          </w:tcPr>
          <w:p>
            <w:pPr>
              <w:ind w:left="680"/>
              <w:spacing w:after="0"/>
              <w:rPr>
                <w:sz w:val="20"/>
                <w:szCs w:val="20"/>
                <w:color w:val="auto"/>
              </w:rPr>
            </w:pPr>
            <w:r>
              <w:rPr>
                <w:rFonts w:ascii="Arial" w:cs="Arial" w:eastAsia="Arial" w:hAnsi="Arial"/>
                <w:sz w:val="17"/>
                <w:szCs w:val="17"/>
                <w:color w:val="auto"/>
              </w:rPr>
              <w:t>$</w:t>
            </w:r>
          </w:p>
        </w:tc>
        <w:tc>
          <w:tcPr>
            <w:tcW w:w="2140" w:type="dxa"/>
            <w:vAlign w:val="bottom"/>
            <w:vMerge w:val="restart"/>
          </w:tcPr>
          <w:p>
            <w:pPr>
              <w:jc w:val="right"/>
              <w:ind w:right="93"/>
              <w:spacing w:after="0"/>
              <w:rPr>
                <w:sz w:val="20"/>
                <w:szCs w:val="20"/>
                <w:color w:val="auto"/>
              </w:rPr>
            </w:pPr>
            <w:r>
              <w:rPr>
                <w:rFonts w:ascii="Arial" w:cs="Arial" w:eastAsia="Arial" w:hAnsi="Arial"/>
                <w:sz w:val="17"/>
                <w:szCs w:val="17"/>
                <w:color w:val="auto"/>
              </w:rPr>
              <w:t>95.77</w:t>
            </w:r>
          </w:p>
        </w:tc>
        <w:tc>
          <w:tcPr>
            <w:tcW w:w="3060" w:type="dxa"/>
            <w:vAlign w:val="bottom"/>
            <w:vMerge w:val="restart"/>
          </w:tcPr>
          <w:p>
            <w:pPr>
              <w:jc w:val="right"/>
              <w:ind w:right="293"/>
              <w:spacing w:after="0"/>
              <w:rPr>
                <w:sz w:val="20"/>
                <w:szCs w:val="20"/>
                <w:color w:val="auto"/>
              </w:rPr>
            </w:pPr>
            <w:r>
              <w:rPr>
                <w:rFonts w:ascii="Arial" w:cs="Arial" w:eastAsia="Arial" w:hAnsi="Arial"/>
                <w:sz w:val="17"/>
                <w:szCs w:val="17"/>
                <w:color w:val="auto"/>
              </w:rPr>
              <w:t>1,571,295</w:t>
            </w:r>
          </w:p>
        </w:tc>
        <w:tc>
          <w:tcPr>
            <w:tcW w:w="0" w:type="dxa"/>
            <w:vAlign w:val="bottom"/>
          </w:tcPr>
          <w:p>
            <w:pPr>
              <w:spacing w:after="0"/>
              <w:rPr>
                <w:sz w:val="1"/>
                <w:szCs w:val="1"/>
                <w:color w:val="auto"/>
              </w:rPr>
            </w:pPr>
          </w:p>
        </w:tc>
      </w:tr>
      <w:tr>
        <w:trPr>
          <w:trHeight w:val="105"/>
        </w:trPr>
        <w:tc>
          <w:tcPr>
            <w:tcW w:w="1520" w:type="dxa"/>
            <w:vAlign w:val="bottom"/>
            <w:vMerge w:val="restart"/>
            <w:shd w:val="clear" w:color="auto" w:fill="D8D8D8"/>
          </w:tcPr>
          <w:p>
            <w:pPr>
              <w:spacing w:after="0"/>
              <w:rPr>
                <w:sz w:val="20"/>
                <w:szCs w:val="20"/>
                <w:color w:val="auto"/>
              </w:rPr>
            </w:pPr>
            <w:r>
              <w:rPr>
                <w:rFonts w:ascii="Arial" w:cs="Arial" w:eastAsia="Arial" w:hAnsi="Arial"/>
                <w:sz w:val="17"/>
                <w:szCs w:val="17"/>
                <w:color w:val="auto"/>
              </w:rPr>
              <w:t>plans approved by</w:t>
            </w:r>
          </w:p>
        </w:tc>
        <w:tc>
          <w:tcPr>
            <w:tcW w:w="30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20" w:type="dxa"/>
            <w:vAlign w:val="bottom"/>
            <w:vMerge w:val="continue"/>
            <w:shd w:val="clear" w:color="auto" w:fill="D8D8D8"/>
          </w:tcPr>
          <w:p>
            <w:pPr>
              <w:spacing w:after="0"/>
              <w:rPr>
                <w:sz w:val="7"/>
                <w:szCs w:val="7"/>
                <w:color w:val="auto"/>
              </w:rPr>
            </w:pPr>
          </w:p>
        </w:tc>
        <w:tc>
          <w:tcPr>
            <w:tcW w:w="29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shd w:val="clear" w:color="auto" w:fill="D8D8D8"/>
          </w:tcPr>
          <w:p>
            <w:pPr>
              <w:spacing w:after="0"/>
              <w:rPr>
                <w:sz w:val="20"/>
                <w:szCs w:val="20"/>
                <w:color w:val="auto"/>
              </w:rPr>
            </w:pPr>
            <w:r>
              <w:rPr>
                <w:rFonts w:ascii="Arial" w:cs="Arial" w:eastAsia="Arial" w:hAnsi="Arial"/>
                <w:sz w:val="17"/>
                <w:szCs w:val="17"/>
                <w:color w:val="auto"/>
              </w:rPr>
              <w:t>security holders</w:t>
            </w: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shd w:val="clear" w:color="auto" w:fill="D8D8D8"/>
          </w:tcPr>
          <w:p>
            <w:pPr>
              <w:spacing w:after="0"/>
              <w:rPr>
                <w:sz w:val="20"/>
                <w:szCs w:val="20"/>
                <w:color w:val="auto"/>
              </w:rPr>
            </w:pPr>
            <w:r>
              <w:rPr>
                <w:rFonts w:ascii="Arial" w:cs="Arial" w:eastAsia="Arial" w:hAnsi="Arial"/>
                <w:sz w:val="17"/>
                <w:szCs w:val="17"/>
                <w:color w:val="auto"/>
              </w:rPr>
              <w:t>Equity</w:t>
            </w: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shd w:val="clear" w:color="auto" w:fill="D8D8D8"/>
          </w:tcPr>
          <w:p>
            <w:pPr>
              <w:spacing w:after="0"/>
              <w:rPr>
                <w:sz w:val="20"/>
                <w:szCs w:val="20"/>
                <w:color w:val="auto"/>
              </w:rPr>
            </w:pPr>
            <w:r>
              <w:rPr>
                <w:rFonts w:ascii="Arial" w:cs="Arial" w:eastAsia="Arial" w:hAnsi="Arial"/>
                <w:sz w:val="17"/>
                <w:szCs w:val="17"/>
                <w:color w:val="auto"/>
              </w:rPr>
              <w:t>compensation</w:t>
            </w:r>
          </w:p>
        </w:tc>
        <w:tc>
          <w:tcPr>
            <w:tcW w:w="2960" w:type="dxa"/>
            <w:vAlign w:val="bottom"/>
            <w:vMerge w:val="restart"/>
          </w:tcPr>
          <w:p>
            <w:pPr>
              <w:jc w:val="right"/>
              <w:ind w:right="91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vMerge w:val="restart"/>
          </w:tcPr>
          <w:p>
            <w:pPr>
              <w:jc w:val="right"/>
              <w:ind w:right="953"/>
              <w:spacing w:after="0"/>
              <w:rPr>
                <w:sz w:val="20"/>
                <w:szCs w:val="20"/>
                <w:color w:val="auto"/>
              </w:rPr>
            </w:pPr>
            <w:r>
              <w:rPr>
                <w:rFonts w:ascii="Arial" w:cs="Arial" w:eastAsia="Arial" w:hAnsi="Arial"/>
                <w:sz w:val="17"/>
                <w:szCs w:val="17"/>
                <w:color w:val="auto"/>
              </w:rPr>
              <w:t>-</w:t>
            </w:r>
          </w:p>
        </w:tc>
        <w:tc>
          <w:tcPr>
            <w:tcW w:w="3060" w:type="dxa"/>
            <w:vAlign w:val="bottom"/>
            <w:vMerge w:val="restart"/>
          </w:tcPr>
          <w:p>
            <w:pPr>
              <w:jc w:val="right"/>
              <w:ind w:right="14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1520" w:type="dxa"/>
            <w:vAlign w:val="bottom"/>
            <w:vMerge w:val="restart"/>
            <w:shd w:val="clear" w:color="auto" w:fill="D8D8D8"/>
          </w:tcPr>
          <w:p>
            <w:pPr>
              <w:spacing w:after="0"/>
              <w:rPr>
                <w:sz w:val="20"/>
                <w:szCs w:val="20"/>
                <w:color w:val="auto"/>
              </w:rPr>
            </w:pPr>
            <w:r>
              <w:rPr>
                <w:rFonts w:ascii="Arial" w:cs="Arial" w:eastAsia="Arial" w:hAnsi="Arial"/>
                <w:sz w:val="17"/>
                <w:szCs w:val="17"/>
                <w:color w:val="auto"/>
              </w:rPr>
              <w:t>plans not approved</w:t>
            </w:r>
          </w:p>
        </w:tc>
        <w:tc>
          <w:tcPr>
            <w:tcW w:w="2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20" w:type="dxa"/>
            <w:vAlign w:val="bottom"/>
            <w:vMerge w:val="continue"/>
            <w:shd w:val="clear" w:color="auto" w:fill="D8D8D8"/>
          </w:tcPr>
          <w:p>
            <w:pPr>
              <w:spacing w:after="0"/>
              <w:rPr>
                <w:sz w:val="7"/>
                <w:szCs w:val="7"/>
                <w:color w:val="auto"/>
              </w:rPr>
            </w:pPr>
          </w:p>
        </w:tc>
        <w:tc>
          <w:tcPr>
            <w:tcW w:w="29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by security holders</w:t>
            </w:r>
          </w:p>
        </w:tc>
        <w:tc>
          <w:tcPr>
            <w:tcW w:w="2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2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3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3,658</w:t>
            </w:r>
          </w:p>
        </w:tc>
        <w:tc>
          <w:tcPr>
            <w:tcW w:w="900" w:type="dxa"/>
            <w:vAlign w:val="bottom"/>
          </w:tcPr>
          <w:p>
            <w:pPr>
              <w:ind w:left="680"/>
              <w:spacing w:after="0"/>
              <w:rPr>
                <w:sz w:val="20"/>
                <w:szCs w:val="20"/>
                <w:color w:val="auto"/>
              </w:rPr>
            </w:pPr>
            <w:r>
              <w:rPr>
                <w:rFonts w:ascii="Arial" w:cs="Arial" w:eastAsia="Arial" w:hAnsi="Arial"/>
                <w:sz w:val="17"/>
                <w:szCs w:val="17"/>
                <w:b w:val="1"/>
                <w:bCs w:val="1"/>
                <w:color w:val="auto"/>
              </w:rPr>
              <w:t>$</w:t>
            </w:r>
          </w:p>
        </w:tc>
        <w:tc>
          <w:tcPr>
            <w:tcW w:w="2140" w:type="dxa"/>
            <w:vAlign w:val="bottom"/>
          </w:tcPr>
          <w:p>
            <w:pPr>
              <w:jc w:val="right"/>
              <w:ind w:right="93"/>
              <w:spacing w:after="0"/>
              <w:rPr>
                <w:sz w:val="20"/>
                <w:szCs w:val="20"/>
                <w:color w:val="auto"/>
              </w:rPr>
            </w:pPr>
            <w:r>
              <w:rPr>
                <w:rFonts w:ascii="Arial" w:cs="Arial" w:eastAsia="Arial" w:hAnsi="Arial"/>
                <w:sz w:val="17"/>
                <w:szCs w:val="17"/>
                <w:b w:val="1"/>
                <w:bCs w:val="1"/>
                <w:color w:val="auto"/>
              </w:rPr>
              <w:t>95.77</w:t>
            </w:r>
          </w:p>
        </w:tc>
        <w:tc>
          <w:tcPr>
            <w:tcW w:w="3060" w:type="dxa"/>
            <w:vAlign w:val="bottom"/>
          </w:tcPr>
          <w:p>
            <w:pPr>
              <w:jc w:val="right"/>
              <w:ind w:right="293"/>
              <w:spacing w:after="0"/>
              <w:rPr>
                <w:sz w:val="20"/>
                <w:szCs w:val="20"/>
                <w:color w:val="auto"/>
              </w:rPr>
            </w:pPr>
            <w:r>
              <w:rPr>
                <w:rFonts w:ascii="Arial" w:cs="Arial" w:eastAsia="Arial" w:hAnsi="Arial"/>
                <w:sz w:val="17"/>
                <w:szCs w:val="17"/>
                <w:b w:val="1"/>
                <w:bCs w:val="1"/>
                <w:color w:val="auto"/>
              </w:rPr>
              <w:t>1,571,295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74052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0525" cy="33020"/>
                    </a:xfrm>
                    <a:prstGeom prst="rect">
                      <a:avLst/>
                    </a:prstGeom>
                    <a:noFill/>
                  </pic:spPr>
                </pic:pic>
              </a:graphicData>
            </a:graphic>
          </wp:anchor>
        </w:drawing>
      </w:r>
    </w:p>
    <w:p>
      <w:pPr>
        <w:spacing w:after="0" w:line="313" w:lineRule="exact"/>
        <w:rPr>
          <w:sz w:val="20"/>
          <w:szCs w:val="20"/>
          <w:color w:val="auto"/>
        </w:rPr>
      </w:pPr>
    </w:p>
    <w:p>
      <w:pPr>
        <w:jc w:val="both"/>
        <w:ind w:right="20" w:firstLine="110"/>
        <w:spacing w:after="0" w:line="284" w:lineRule="auto"/>
        <w:rPr>
          <w:sz w:val="20"/>
          <w:szCs w:val="20"/>
          <w:color w:val="auto"/>
        </w:rPr>
      </w:pPr>
      <w:r>
        <w:rPr>
          <w:rFonts w:ascii="Arial" w:cs="Arial" w:eastAsia="Arial" w:hAnsi="Arial"/>
          <w:sz w:val="31"/>
          <w:szCs w:val="31"/>
          <w:b w:val="1"/>
          <w:bCs w:val="1"/>
          <w:color w:val="auto"/>
        </w:rPr>
        <w:t>Proposal 3: Ratification of Independent Registered Public Accounting Firm</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Shareholders are being asked to ratify in a non-binding vote the selection of Grant Thornton, LLP (“GT”) as our independent registered public accounting firm for the fiscal year ending December 31, 2022. Although shareholder ratification of GT is not required by our governance documents, the Board is submitting the selection of GT to shareholders to solicit shareholder views on our selection of GT as our independent registered public accounting firm.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fees for services rendered by GT for the years ended December 31, 2021 and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980" w:type="dxa"/>
            <w:vAlign w:val="bottom"/>
            <w:shd w:val="clear" w:color="auto" w:fill="000000"/>
          </w:tcPr>
          <w:p>
            <w:pPr>
              <w:jc w:val="right"/>
              <w:ind w:right="13"/>
              <w:spacing w:after="0"/>
              <w:rPr>
                <w:sz w:val="20"/>
                <w:szCs w:val="20"/>
                <w:color w:val="auto"/>
              </w:rPr>
            </w:pPr>
            <w:r>
              <w:rPr>
                <w:rFonts w:ascii="Arial" w:cs="Arial" w:eastAsia="Arial" w:hAnsi="Arial"/>
                <w:sz w:val="17"/>
                <w:szCs w:val="17"/>
                <w:b w:val="1"/>
                <w:bCs w:val="1"/>
                <w:color w:val="FFFFFF"/>
              </w:rPr>
              <w:t>2021</w:t>
            </w:r>
          </w:p>
        </w:tc>
        <w:tc>
          <w:tcPr>
            <w:tcW w:w="320" w:type="dxa"/>
            <w:vAlign w:val="bottom"/>
            <w:shd w:val="clear" w:color="auto" w:fill="000000"/>
          </w:tcPr>
          <w:p>
            <w:pPr>
              <w:spacing w:after="0"/>
              <w:rPr>
                <w:sz w:val="17"/>
                <w:szCs w:val="17"/>
                <w:color w:val="auto"/>
              </w:rPr>
            </w:pPr>
          </w:p>
        </w:tc>
        <w:tc>
          <w:tcPr>
            <w:tcW w:w="96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2020</w:t>
            </w:r>
          </w:p>
        </w:tc>
      </w:tr>
      <w:tr>
        <w:trPr>
          <w:trHeight w:val="192"/>
        </w:trPr>
        <w:tc>
          <w:tcPr>
            <w:tcW w:w="63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460" w:type="dxa"/>
            <w:vAlign w:val="bottom"/>
          </w:tcPr>
          <w:p>
            <w:pPr>
              <w:jc w:val="right"/>
              <w:ind w:right="33"/>
              <w:spacing w:after="0" w:line="192"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line="192" w:lineRule="exact"/>
              <w:rPr>
                <w:sz w:val="20"/>
                <w:szCs w:val="20"/>
                <w:color w:val="auto"/>
              </w:rPr>
            </w:pPr>
            <w:r>
              <w:rPr>
                <w:rFonts w:ascii="Arial" w:cs="Arial" w:eastAsia="Arial" w:hAnsi="Arial"/>
                <w:sz w:val="17"/>
                <w:szCs w:val="17"/>
                <w:color w:val="auto"/>
              </w:rPr>
              <w:t>974,141</w:t>
            </w:r>
          </w:p>
        </w:tc>
        <w:tc>
          <w:tcPr>
            <w:tcW w:w="320" w:type="dxa"/>
            <w:vAlign w:val="bottom"/>
          </w:tcPr>
          <w:p>
            <w:pPr>
              <w:jc w:val="right"/>
              <w:ind w:right="13"/>
              <w:spacing w:after="0" w:line="192"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7"/>
                <w:szCs w:val="17"/>
                <w:color w:val="auto"/>
              </w:rPr>
              <w:t>821,862</w:t>
            </w:r>
          </w:p>
        </w:tc>
      </w:tr>
      <w:tr>
        <w:trPr>
          <w:trHeight w:val="195"/>
        </w:trPr>
        <w:tc>
          <w:tcPr>
            <w:tcW w:w="6300" w:type="dxa"/>
            <w:vAlign w:val="bottom"/>
            <w:shd w:val="clear" w:color="auto" w:fill="D8D8D8"/>
          </w:tcPr>
          <w:p>
            <w:pPr>
              <w:spacing w:after="0"/>
              <w:rPr>
                <w:sz w:val="20"/>
                <w:szCs w:val="20"/>
                <w:color w:val="auto"/>
              </w:rPr>
            </w:pPr>
            <w:r>
              <w:rPr>
                <w:rFonts w:ascii="Arial" w:cs="Arial" w:eastAsia="Arial" w:hAnsi="Arial"/>
                <w:sz w:val="17"/>
                <w:szCs w:val="17"/>
                <w:color w:val="auto"/>
              </w:rPr>
              <w:t>Audit-Related Fees</w:t>
            </w:r>
            <w:r>
              <w:rPr>
                <w:rFonts w:ascii="Arial" w:cs="Arial" w:eastAsia="Arial" w:hAnsi="Arial"/>
                <w:sz w:val="14"/>
                <w:szCs w:val="14"/>
                <w:color w:val="auto"/>
              </w:rPr>
              <w:t>(2)</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64,050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48,825</w:t>
            </w:r>
          </w:p>
        </w:tc>
      </w:tr>
      <w:tr>
        <w:trPr>
          <w:trHeight w:val="198"/>
        </w:trPr>
        <w:tc>
          <w:tcPr>
            <w:tcW w:w="6300" w:type="dxa"/>
            <w:vAlign w:val="bottom"/>
            <w:shd w:val="clear" w:color="auto" w:fill="D8D8D8"/>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(3)</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248,005</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300,120</w:t>
            </w:r>
          </w:p>
        </w:tc>
      </w:tr>
      <w:tr>
        <w:trPr>
          <w:trHeight w:val="196"/>
        </w:trPr>
        <w:tc>
          <w:tcPr>
            <w:tcW w:w="63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All Other Fees</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r>
      <w:tr>
        <w:trPr>
          <w:trHeight w:val="224"/>
        </w:trPr>
        <w:tc>
          <w:tcPr>
            <w:tcW w:w="6300" w:type="dxa"/>
            <w:vAlign w:val="bottom"/>
          </w:tcPr>
          <w:p>
            <w:pPr>
              <w:spacing w:after="0"/>
              <w:rPr>
                <w:sz w:val="20"/>
                <w:szCs w:val="20"/>
                <w:color w:val="auto"/>
              </w:rPr>
            </w:pPr>
            <w:r>
              <w:rPr>
                <w:rFonts w:ascii="Arial" w:cs="Arial" w:eastAsia="Arial" w:hAnsi="Arial"/>
                <w:sz w:val="17"/>
                <w:szCs w:val="17"/>
                <w:b w:val="1"/>
                <w:bCs w:val="1"/>
                <w:color w:val="auto"/>
              </w:rPr>
              <w:t>Total Fees</w:t>
            </w:r>
          </w:p>
        </w:tc>
        <w:tc>
          <w:tcPr>
            <w:tcW w:w="460" w:type="dxa"/>
            <w:vAlign w:val="bottom"/>
          </w:tcPr>
          <w:p>
            <w:pPr>
              <w:jc w:val="right"/>
              <w:ind w:right="33"/>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b w:val="1"/>
                <w:bCs w:val="1"/>
                <w:color w:val="auto"/>
              </w:rPr>
              <w:t>1,286,196</w:t>
            </w:r>
          </w:p>
        </w:tc>
        <w:tc>
          <w:tcPr>
            <w:tcW w:w="320" w:type="dxa"/>
            <w:vAlign w:val="bottom"/>
          </w:tcPr>
          <w:p>
            <w:pPr>
              <w:jc w:val="right"/>
              <w:ind w:right="13"/>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1,170,807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1082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54" w:lineRule="exact"/>
        <w:rPr>
          <w:sz w:val="20"/>
          <w:szCs w:val="20"/>
          <w:color w:val="auto"/>
        </w:rPr>
      </w:pPr>
    </w:p>
    <w:p>
      <w:pPr>
        <w:jc w:val="both"/>
        <w:ind w:left="520" w:right="20" w:hanging="420"/>
        <w:spacing w:after="0" w:line="195" w:lineRule="auto"/>
        <w:tabs>
          <w:tab w:leader="none" w:pos="520"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20"/>
          </w:cols>
          <w:pgMar w:left="640" w:top="260" w:right="639" w:bottom="1440" w:gutter="0" w:footer="0" w:header="0"/>
        </w:sectPr>
      </w:pPr>
    </w:p>
    <w:bookmarkStart w:id="44" w:name="page45"/>
    <w:bookmarkEnd w:id="44"/>
    <w:p>
      <w:pPr>
        <w:ind w:left="520" w:hanging="420"/>
        <w:spacing w:after="0" w:line="185" w:lineRule="auto"/>
        <w:tabs>
          <w:tab w:leader="none" w:pos="520" w:val="left"/>
        </w:tabs>
        <w:numPr>
          <w:ilvl w:val="0"/>
          <w:numId w:val="23"/>
        </w:numPr>
        <w:rPr>
          <w:rFonts w:ascii="Arial" w:cs="Arial" w:eastAsia="Arial" w:hAnsi="Arial"/>
          <w:sz w:val="26"/>
          <w:szCs w:val="26"/>
          <w:color w:val="auto"/>
          <w:vertAlign w:val="superscript"/>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Audit-related fees primarily include the audit of our employee benefit plan, which are paid by the plan and not the Company, and certain property level audits.</w:t>
      </w:r>
    </w:p>
    <w:p>
      <w:pPr>
        <w:ind w:left="520" w:right="20" w:hanging="420"/>
        <w:spacing w:after="0" w:line="188" w:lineRule="auto"/>
        <w:tabs>
          <w:tab w:leader="none" w:pos="520" w:val="left"/>
        </w:tabs>
        <w:numPr>
          <w:ilvl w:val="0"/>
          <w:numId w:val="23"/>
        </w:numPr>
        <w:rPr>
          <w:rFonts w:ascii="Arial" w:cs="Arial" w:eastAsia="Arial" w:hAnsi="Arial"/>
          <w:sz w:val="26"/>
          <w:szCs w:val="26"/>
          <w:color w:val="auto"/>
          <w:vertAlign w:val="superscript"/>
        </w:rPr>
      </w:pPr>
      <w:r>
        <w:rPr>
          <w:rFonts w:ascii="Arial" w:cs="Arial" w:eastAsia="Arial" w:hAnsi="Arial"/>
          <w:sz w:val="15"/>
          <w:szCs w:val="15"/>
          <w:color w:val="auto"/>
        </w:rPr>
        <w:t>All of the amount shown for 2021 and $264,600 of the amount shown for 2020 relate solely to tax compliance and preparation, including the preparation of original and amended tax returns and refund claims and tax payment planning.</w:t>
      </w:r>
    </w:p>
    <w:p>
      <w:pPr>
        <w:spacing w:after="0" w:line="20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748780" cy="5537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48780" cy="553720"/>
                    </a:xfrm>
                    <a:prstGeom prst="rect">
                      <a:avLst/>
                    </a:prstGeom>
                    <a:noFill/>
                  </pic:spPr>
                </pic:pic>
              </a:graphicData>
            </a:graphic>
          </wp:anchor>
        </w:drawing>
      </w:r>
    </w:p>
    <w:p>
      <w:pPr>
        <w:spacing w:after="0" w:line="316" w:lineRule="exact"/>
        <w:rPr>
          <w:sz w:val="20"/>
          <w:szCs w:val="20"/>
          <w:color w:val="auto"/>
        </w:rPr>
      </w:pPr>
    </w:p>
    <w:p>
      <w:pPr>
        <w:ind w:left="940" w:right="140"/>
        <w:spacing w:after="0" w:line="288" w:lineRule="auto"/>
        <w:rPr>
          <w:sz w:val="20"/>
          <w:szCs w:val="20"/>
          <w:color w:val="auto"/>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the ratification of the appointment of GT as our independent registered public accounting firm for fiscal year 2022</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Audit Committee Report</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The Audit Committee is made up entirely of trustees who meet all independence requirements under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7"/>
          <w:szCs w:val="17"/>
          <w:i w:val="1"/>
          <w:iCs w:val="1"/>
          <w:u w:val="single" w:color="auto"/>
          <w:color w:val="auto"/>
        </w:rPr>
        <w:t>www.federalrealty.com</w:t>
      </w:r>
      <w:r>
        <w:rPr>
          <w:rFonts w:ascii="Arial" w:cs="Arial" w:eastAsia="Arial" w:hAnsi="Arial"/>
          <w:sz w:val="17"/>
          <w:szCs w:val="17"/>
          <w:color w:val="auto"/>
        </w:rPr>
        <w:t>. In 2021, the Audit Committee met five times and each of the four quarterly meetings included an executive session with our independent registered public accounting firm and no members of management present.</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Audit Committee is directly responsible for the appointment, retention and oversight of GT, the independent registered public accounting firm retained to audit our financial statements, and also oversees management, including the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and one meeting included an executive session with PwC with no members of GT or management present. GT is responsible for auditing the consolidated financial statements of the Company and expressing an opinion on the financial statements and the effectiveness of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During 2021, as part of its oversight function, the Audit Committee:</w:t>
      </w:r>
    </w:p>
    <w:p>
      <w:pPr>
        <w:spacing w:after="0" w:line="234" w:lineRule="exact"/>
        <w:rPr>
          <w:sz w:val="20"/>
          <w:szCs w:val="20"/>
          <w:color w:val="auto"/>
        </w:rPr>
      </w:pPr>
    </w:p>
    <w:p>
      <w:pPr>
        <w:ind w:left="1260" w:hanging="418"/>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Met with management and GT and discussed the Company’s December 31, 2021 audited financial statements;</w:t>
      </w:r>
    </w:p>
    <w:p>
      <w:pPr>
        <w:spacing w:after="0" w:line="233" w:lineRule="exact"/>
        <w:rPr>
          <w:rFonts w:ascii="Arial" w:cs="Arial" w:eastAsia="Arial" w:hAnsi="Arial"/>
          <w:sz w:val="17"/>
          <w:szCs w:val="17"/>
          <w:color w:val="auto"/>
        </w:rPr>
      </w:pPr>
    </w:p>
    <w:p>
      <w:pPr>
        <w:ind w:left="1260" w:right="20" w:hanging="418"/>
        <w:spacing w:after="0" w:line="256"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Discussed with GT the matters required to be discussed by the applicable requirements of the Public Company Accounting Oversight Board (“PCAOB”) and the SEC;</w:t>
      </w:r>
    </w:p>
    <w:p>
      <w:pPr>
        <w:spacing w:after="0" w:line="207" w:lineRule="exact"/>
        <w:rPr>
          <w:rFonts w:ascii="Arial" w:cs="Arial" w:eastAsia="Arial" w:hAnsi="Arial"/>
          <w:sz w:val="17"/>
          <w:szCs w:val="17"/>
          <w:color w:val="auto"/>
        </w:rPr>
      </w:pPr>
    </w:p>
    <w:p>
      <w:pPr>
        <w:ind w:left="1260" w:right="20" w:hanging="418"/>
        <w:spacing w:after="0" w:line="256"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Reviewed and discussed with management and GT, individually and collectively, all annual and quarterly financial statements and operating results prior to their issuance;</w:t>
      </w:r>
    </w:p>
    <w:p>
      <w:pPr>
        <w:spacing w:after="0" w:line="207" w:lineRule="exact"/>
        <w:rPr>
          <w:rFonts w:ascii="Arial" w:cs="Arial" w:eastAsia="Arial" w:hAnsi="Arial"/>
          <w:sz w:val="17"/>
          <w:szCs w:val="17"/>
          <w:color w:val="auto"/>
        </w:rPr>
      </w:pPr>
    </w:p>
    <w:p>
      <w:pPr>
        <w:jc w:val="both"/>
        <w:ind w:left="1260" w:right="20" w:hanging="418"/>
        <w:spacing w:after="0" w:line="247"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GT required by applicable requirements of the PCAOB regarding GT’s communications with the audit committee concerning independence, and has discussed with GT regarding its independence;</w:t>
      </w:r>
    </w:p>
    <w:p>
      <w:pPr>
        <w:spacing w:after="0" w:line="216" w:lineRule="exact"/>
        <w:rPr>
          <w:rFonts w:ascii="Arial" w:cs="Arial" w:eastAsia="Arial" w:hAnsi="Arial"/>
          <w:sz w:val="17"/>
          <w:szCs w:val="17"/>
          <w:color w:val="auto"/>
        </w:rPr>
      </w:pPr>
    </w:p>
    <w:p>
      <w:pPr>
        <w:ind w:left="1260" w:right="20" w:hanging="418"/>
        <w:spacing w:after="0" w:line="256"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Discussed with GT matters required to be discussed pursuant to applicable audit standards, including the reasonableness of judgments and the clarity and completeness of financial disclosures;</w:t>
      </w:r>
    </w:p>
    <w:p>
      <w:pPr>
        <w:spacing w:after="0" w:line="207" w:lineRule="exact"/>
        <w:rPr>
          <w:rFonts w:ascii="Arial" w:cs="Arial" w:eastAsia="Arial" w:hAnsi="Arial"/>
          <w:sz w:val="17"/>
          <w:szCs w:val="17"/>
          <w:color w:val="auto"/>
        </w:rPr>
      </w:pPr>
    </w:p>
    <w:p>
      <w:pPr>
        <w:ind w:left="1260" w:right="20" w:hanging="418"/>
        <w:spacing w:after="0" w:line="256"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Monitored the non-audit services provided by GT to ensure that performance of such services did not adversely impact GT’s independence;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20"/>
          </w:cols>
          <w:pgMar w:left="640" w:top="284" w:right="639" w:bottom="1440" w:gutter="0" w:footer="0" w:header="0"/>
        </w:sectPr>
      </w:pPr>
    </w:p>
    <w:bookmarkStart w:id="45" w:name="page46"/>
    <w:bookmarkEnd w:id="45"/>
    <w:p>
      <w:pPr>
        <w:jc w:val="both"/>
        <w:ind w:left="1260" w:right="20" w:hanging="418"/>
        <w:spacing w:after="0" w:line="245"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As part of the Committee’s quarterly review of internal controls, the Committee discussed with management cybersecurity threats, cybersecurity training and ongoing areas of focus of management in protecting against cyber breaches. During those quarterly reviews in 2021, the Committee was advised that there were no breaches and that cybersecurity insurance had been procured.</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2021 for filing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Submitted by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Gail P. Steinel, Chairperson</w:t>
      </w:r>
    </w:p>
    <w:p>
      <w:pPr>
        <w:spacing w:after="0"/>
        <w:rPr>
          <w:sz w:val="20"/>
          <w:szCs w:val="20"/>
          <w:color w:val="auto"/>
        </w:rPr>
      </w:pPr>
      <w:r>
        <w:rPr>
          <w:rFonts w:ascii="Arial" w:cs="Arial" w:eastAsia="Arial" w:hAnsi="Arial"/>
          <w:sz w:val="17"/>
          <w:szCs w:val="17"/>
          <w:color w:val="auto"/>
        </w:rPr>
        <w:t>David W. Faeder</w:t>
      </w:r>
    </w:p>
    <w:p>
      <w:pPr>
        <w:spacing w:after="0"/>
        <w:rPr>
          <w:sz w:val="20"/>
          <w:szCs w:val="20"/>
          <w:color w:val="auto"/>
        </w:rPr>
      </w:pPr>
      <w:r>
        <w:rPr>
          <w:rFonts w:ascii="Arial" w:cs="Arial" w:eastAsia="Arial" w:hAnsi="Arial"/>
          <w:sz w:val="17"/>
          <w:szCs w:val="17"/>
          <w:color w:val="auto"/>
        </w:rPr>
        <w:t>Elizabeth I. Holland (joined August 3, 2021)</w:t>
      </w:r>
    </w:p>
    <w:p>
      <w:pPr>
        <w:spacing w:after="0"/>
        <w:rPr>
          <w:sz w:val="20"/>
          <w:szCs w:val="20"/>
          <w:color w:val="auto"/>
        </w:rPr>
      </w:pPr>
      <w:r>
        <w:rPr>
          <w:rFonts w:ascii="Arial" w:cs="Arial" w:eastAsia="Arial" w:hAnsi="Arial"/>
          <w:sz w:val="17"/>
          <w:szCs w:val="17"/>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74052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0525" cy="33020"/>
                    </a:xfrm>
                    <a:prstGeom prst="rect">
                      <a:avLst/>
                    </a:prstGeom>
                    <a:noFill/>
                  </pic:spPr>
                </pic:pic>
              </a:graphicData>
            </a:graphic>
          </wp:anchor>
        </w:drawing>
      </w:r>
    </w:p>
    <w:p>
      <w:pPr>
        <w:spacing w:after="0" w:line="349"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Beneficial Ownership</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Ownership of Principal Shareholders</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Based on our records and the information reported in filings with the SEC, the following were beneficial owners of more than 5% of our common shares of beneficial interest as of March 14,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20" w:type="dxa"/>
            <w:vAlign w:val="bottom"/>
            <w:shd w:val="clear" w:color="auto" w:fill="000000"/>
          </w:tcPr>
          <w:p>
            <w:pPr>
              <w:spacing w:after="0"/>
              <w:rPr>
                <w:sz w:val="17"/>
                <w:szCs w:val="17"/>
                <w:color w:val="auto"/>
              </w:rPr>
            </w:pPr>
          </w:p>
        </w:tc>
        <w:tc>
          <w:tcPr>
            <w:tcW w:w="3180" w:type="dxa"/>
            <w:vAlign w:val="bottom"/>
            <w:shd w:val="clear" w:color="auto" w:fill="000000"/>
          </w:tcPr>
          <w:p>
            <w:pPr>
              <w:jc w:val="right"/>
              <w:ind w:right="213"/>
              <w:spacing w:after="0"/>
              <w:rPr>
                <w:sz w:val="20"/>
                <w:szCs w:val="20"/>
                <w:color w:val="auto"/>
              </w:rPr>
            </w:pPr>
            <w:r>
              <w:rPr>
                <w:rFonts w:ascii="Arial" w:cs="Arial" w:eastAsia="Arial" w:hAnsi="Arial"/>
                <w:sz w:val="17"/>
                <w:szCs w:val="17"/>
                <w:b w:val="1"/>
                <w:bCs w:val="1"/>
                <w:color w:val="FFFFFF"/>
              </w:rPr>
              <w:t>Amount and Nature of</w:t>
            </w:r>
          </w:p>
        </w:tc>
        <w:tc>
          <w:tcPr>
            <w:tcW w:w="2720" w:type="dxa"/>
            <w:vAlign w:val="bottom"/>
            <w:shd w:val="clear" w:color="auto" w:fill="000000"/>
          </w:tcPr>
          <w:p>
            <w:pPr>
              <w:jc w:val="right"/>
              <w:ind w:right="673"/>
              <w:spacing w:after="0"/>
              <w:rPr>
                <w:sz w:val="20"/>
                <w:szCs w:val="20"/>
                <w:color w:val="auto"/>
              </w:rPr>
            </w:pPr>
            <w:r>
              <w:rPr>
                <w:rFonts w:ascii="Arial" w:cs="Arial" w:eastAsia="Arial" w:hAnsi="Arial"/>
                <w:sz w:val="17"/>
                <w:szCs w:val="17"/>
                <w:b w:val="1"/>
                <w:bCs w:val="1"/>
                <w:color w:val="FFFFFF"/>
              </w:rPr>
              <w:t>Percentage of Our</w:t>
            </w:r>
          </w:p>
        </w:tc>
      </w:tr>
      <w:tr>
        <w:trPr>
          <w:trHeight w:val="218"/>
        </w:trPr>
        <w:tc>
          <w:tcPr>
            <w:tcW w:w="4720" w:type="dxa"/>
            <w:vAlign w:val="bottom"/>
            <w:shd w:val="clear" w:color="auto" w:fill="000000"/>
          </w:tcPr>
          <w:p>
            <w:pPr>
              <w:spacing w:after="0"/>
              <w:rPr>
                <w:sz w:val="20"/>
                <w:szCs w:val="20"/>
                <w:color w:val="auto"/>
              </w:rPr>
            </w:pPr>
            <w:r>
              <w:rPr>
                <w:rFonts w:ascii="Arial" w:cs="Arial" w:eastAsia="Arial" w:hAnsi="Arial"/>
                <w:sz w:val="17"/>
                <w:szCs w:val="17"/>
                <w:b w:val="1"/>
                <w:bCs w:val="1"/>
                <w:color w:val="FFFFFF"/>
              </w:rPr>
              <w:t>Name and Address of Beneficial Owner</w:t>
            </w:r>
          </w:p>
        </w:tc>
        <w:tc>
          <w:tcPr>
            <w:tcW w:w="3180" w:type="dxa"/>
            <w:vAlign w:val="bottom"/>
            <w:shd w:val="clear" w:color="auto" w:fill="000000"/>
          </w:tcPr>
          <w:p>
            <w:pPr>
              <w:jc w:val="right"/>
              <w:ind w:right="253"/>
              <w:spacing w:after="0"/>
              <w:rPr>
                <w:sz w:val="20"/>
                <w:szCs w:val="20"/>
                <w:color w:val="auto"/>
              </w:rPr>
            </w:pPr>
            <w:r>
              <w:rPr>
                <w:rFonts w:ascii="Arial" w:cs="Arial" w:eastAsia="Arial" w:hAnsi="Arial"/>
                <w:sz w:val="17"/>
                <w:szCs w:val="17"/>
                <w:b w:val="1"/>
                <w:bCs w:val="1"/>
                <w:color w:val="FFFFFF"/>
              </w:rPr>
              <w:t>Beneficial Ownership</w:t>
            </w:r>
          </w:p>
        </w:tc>
        <w:tc>
          <w:tcPr>
            <w:tcW w:w="2720" w:type="dxa"/>
            <w:vAlign w:val="bottom"/>
            <w:shd w:val="clear" w:color="auto" w:fill="000000"/>
          </w:tcPr>
          <w:p>
            <w:pPr>
              <w:jc w:val="right"/>
              <w:ind w:right="513"/>
              <w:spacing w:after="0"/>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14"/>
                <w:szCs w:val="14"/>
                <w:b w:val="1"/>
                <w:bCs w:val="1"/>
                <w:color w:val="FFFFFF"/>
              </w:rPr>
              <w:t>(1)</w:t>
            </w:r>
          </w:p>
        </w:tc>
      </w:tr>
      <w:tr>
        <w:trPr>
          <w:trHeight w:val="194"/>
        </w:trPr>
        <w:tc>
          <w:tcPr>
            <w:tcW w:w="4720" w:type="dxa"/>
            <w:vAlign w:val="bottom"/>
            <w:shd w:val="clear" w:color="auto" w:fill="D8D8D8"/>
          </w:tcPr>
          <w:p>
            <w:pPr>
              <w:spacing w:after="0" w:line="194"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14"/>
                <w:szCs w:val="14"/>
                <w:color w:val="auto"/>
              </w:rPr>
              <w:t>(2)</w:t>
            </w:r>
          </w:p>
        </w:tc>
        <w:tc>
          <w:tcPr>
            <w:tcW w:w="3180" w:type="dxa"/>
            <w:vAlign w:val="bottom"/>
          </w:tcPr>
          <w:p>
            <w:pPr>
              <w:jc w:val="right"/>
              <w:ind w:right="213"/>
              <w:spacing w:after="0" w:line="194" w:lineRule="exact"/>
              <w:rPr>
                <w:sz w:val="20"/>
                <w:szCs w:val="20"/>
                <w:color w:val="auto"/>
              </w:rPr>
            </w:pPr>
            <w:r>
              <w:rPr>
                <w:rFonts w:ascii="Arial" w:cs="Arial" w:eastAsia="Arial" w:hAnsi="Arial"/>
                <w:sz w:val="17"/>
                <w:szCs w:val="17"/>
                <w:color w:val="auto"/>
              </w:rPr>
              <w:t>11,900,087</w:t>
            </w:r>
          </w:p>
        </w:tc>
        <w:tc>
          <w:tcPr>
            <w:tcW w:w="2720" w:type="dxa"/>
            <w:vAlign w:val="bottom"/>
          </w:tcPr>
          <w:p>
            <w:pPr>
              <w:jc w:val="right"/>
              <w:ind w:right="353"/>
              <w:spacing w:after="0" w:line="194" w:lineRule="exact"/>
              <w:rPr>
                <w:sz w:val="20"/>
                <w:szCs w:val="20"/>
                <w:color w:val="auto"/>
              </w:rPr>
            </w:pPr>
            <w:r>
              <w:rPr>
                <w:rFonts w:ascii="Arial" w:cs="Arial" w:eastAsia="Arial" w:hAnsi="Arial"/>
                <w:sz w:val="17"/>
                <w:szCs w:val="17"/>
                <w:color w:val="auto"/>
              </w:rPr>
              <w:t>15.1%</w:t>
            </w:r>
          </w:p>
        </w:tc>
      </w:tr>
      <w:tr>
        <w:trPr>
          <w:trHeight w:val="195"/>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100 Vanguard Blvd.</w:t>
            </w:r>
          </w:p>
        </w:tc>
        <w:tc>
          <w:tcPr>
            <w:tcW w:w="31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Malvern, PA 19355</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r>
        <w:trPr>
          <w:trHeight w:val="185"/>
        </w:trPr>
        <w:tc>
          <w:tcPr>
            <w:tcW w:w="4720" w:type="dxa"/>
            <w:vAlign w:val="bottom"/>
            <w:shd w:val="clear" w:color="auto" w:fill="D8D8D8"/>
          </w:tcPr>
          <w:p>
            <w:pPr>
              <w:spacing w:after="0" w:line="185" w:lineRule="exact"/>
              <w:rPr>
                <w:sz w:val="20"/>
                <w:szCs w:val="20"/>
                <w:color w:val="auto"/>
              </w:rPr>
            </w:pPr>
            <w:r>
              <w:rPr>
                <w:rFonts w:ascii="Arial" w:cs="Arial" w:eastAsia="Arial" w:hAnsi="Arial"/>
                <w:sz w:val="17"/>
                <w:szCs w:val="17"/>
                <w:color w:val="auto"/>
              </w:rPr>
              <w:t>BlackRock, Inc.</w:t>
            </w:r>
            <w:r>
              <w:rPr>
                <w:rFonts w:ascii="Arial" w:cs="Arial" w:eastAsia="Arial" w:hAnsi="Arial"/>
                <w:sz w:val="14"/>
                <w:szCs w:val="14"/>
                <w:color w:val="auto"/>
              </w:rPr>
              <w:t>(3)</w:t>
            </w:r>
          </w:p>
        </w:tc>
        <w:tc>
          <w:tcPr>
            <w:tcW w:w="3180" w:type="dxa"/>
            <w:vAlign w:val="bottom"/>
          </w:tcPr>
          <w:p>
            <w:pPr>
              <w:jc w:val="right"/>
              <w:ind w:right="213"/>
              <w:spacing w:after="0" w:line="185" w:lineRule="exact"/>
              <w:rPr>
                <w:sz w:val="20"/>
                <w:szCs w:val="20"/>
                <w:color w:val="auto"/>
              </w:rPr>
            </w:pPr>
            <w:r>
              <w:rPr>
                <w:rFonts w:ascii="Arial" w:cs="Arial" w:eastAsia="Arial" w:hAnsi="Arial"/>
                <w:sz w:val="17"/>
                <w:szCs w:val="17"/>
                <w:color w:val="auto"/>
              </w:rPr>
              <w:t>7,559,988</w:t>
            </w:r>
          </w:p>
        </w:tc>
        <w:tc>
          <w:tcPr>
            <w:tcW w:w="2720" w:type="dxa"/>
            <w:vAlign w:val="bottom"/>
          </w:tcPr>
          <w:p>
            <w:pPr>
              <w:jc w:val="right"/>
              <w:ind w:right="353"/>
              <w:spacing w:after="0" w:line="185" w:lineRule="exact"/>
              <w:rPr>
                <w:sz w:val="20"/>
                <w:szCs w:val="20"/>
                <w:color w:val="auto"/>
              </w:rPr>
            </w:pPr>
            <w:r>
              <w:rPr>
                <w:rFonts w:ascii="Arial" w:cs="Arial" w:eastAsia="Arial" w:hAnsi="Arial"/>
                <w:sz w:val="17"/>
                <w:szCs w:val="17"/>
                <w:color w:val="auto"/>
              </w:rPr>
              <w:t>9.6%</w:t>
            </w:r>
          </w:p>
        </w:tc>
      </w:tr>
      <w:tr>
        <w:trPr>
          <w:trHeight w:val="198"/>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55 East 52</w:t>
            </w:r>
            <w:r>
              <w:rPr>
                <w:rFonts w:ascii="Arial" w:cs="Arial" w:eastAsia="Arial" w:hAnsi="Arial"/>
                <w:sz w:val="14"/>
                <w:szCs w:val="14"/>
                <w:color w:val="auto"/>
              </w:rPr>
              <w:t>nd</w:t>
            </w:r>
            <w:r>
              <w:rPr>
                <w:rFonts w:ascii="Arial" w:cs="Arial" w:eastAsia="Arial" w:hAnsi="Arial"/>
                <w:sz w:val="17"/>
                <w:szCs w:val="17"/>
                <w:color w:val="auto"/>
              </w:rPr>
              <w:t xml:space="preserve"> Street</w:t>
            </w:r>
          </w:p>
        </w:tc>
        <w:tc>
          <w:tcPr>
            <w:tcW w:w="3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New York, NY 10055</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r>
        <w:trPr>
          <w:trHeight w:val="187"/>
        </w:trPr>
        <w:tc>
          <w:tcPr>
            <w:tcW w:w="4720" w:type="dxa"/>
            <w:vAlign w:val="bottom"/>
            <w:shd w:val="clear" w:color="auto" w:fill="D8D8D8"/>
          </w:tcPr>
          <w:p>
            <w:pPr>
              <w:spacing w:after="0" w:line="187" w:lineRule="exact"/>
              <w:rPr>
                <w:sz w:val="20"/>
                <w:szCs w:val="20"/>
                <w:color w:val="auto"/>
              </w:rPr>
            </w:pPr>
            <w:r>
              <w:rPr>
                <w:rFonts w:ascii="Arial" w:cs="Arial" w:eastAsia="Arial" w:hAnsi="Arial"/>
                <w:sz w:val="17"/>
                <w:szCs w:val="17"/>
                <w:color w:val="auto"/>
              </w:rPr>
              <w:t>State Street Corporation</w:t>
            </w:r>
            <w:r>
              <w:rPr>
                <w:rFonts w:ascii="Arial" w:cs="Arial" w:eastAsia="Arial" w:hAnsi="Arial"/>
                <w:sz w:val="14"/>
                <w:szCs w:val="14"/>
                <w:color w:val="auto"/>
              </w:rPr>
              <w:t>(4)</w:t>
            </w:r>
          </w:p>
        </w:tc>
        <w:tc>
          <w:tcPr>
            <w:tcW w:w="3180" w:type="dxa"/>
            <w:vAlign w:val="bottom"/>
          </w:tcPr>
          <w:p>
            <w:pPr>
              <w:jc w:val="right"/>
              <w:ind w:right="213"/>
              <w:spacing w:after="0" w:line="187" w:lineRule="exact"/>
              <w:rPr>
                <w:sz w:val="20"/>
                <w:szCs w:val="20"/>
                <w:color w:val="auto"/>
              </w:rPr>
            </w:pPr>
            <w:r>
              <w:rPr>
                <w:rFonts w:ascii="Arial" w:cs="Arial" w:eastAsia="Arial" w:hAnsi="Arial"/>
                <w:sz w:val="17"/>
                <w:szCs w:val="17"/>
                <w:color w:val="auto"/>
              </w:rPr>
              <w:t>7,465,999</w:t>
            </w:r>
          </w:p>
        </w:tc>
        <w:tc>
          <w:tcPr>
            <w:tcW w:w="2720" w:type="dxa"/>
            <w:vAlign w:val="bottom"/>
          </w:tcPr>
          <w:p>
            <w:pPr>
              <w:jc w:val="right"/>
              <w:ind w:right="353"/>
              <w:spacing w:after="0" w:line="187" w:lineRule="exact"/>
              <w:rPr>
                <w:sz w:val="20"/>
                <w:szCs w:val="20"/>
                <w:color w:val="auto"/>
              </w:rPr>
            </w:pPr>
            <w:r>
              <w:rPr>
                <w:rFonts w:ascii="Arial" w:cs="Arial" w:eastAsia="Arial" w:hAnsi="Arial"/>
                <w:sz w:val="17"/>
                <w:szCs w:val="17"/>
                <w:color w:val="auto"/>
              </w:rPr>
              <w:t>9.5%</w:t>
            </w:r>
          </w:p>
        </w:tc>
      </w:tr>
      <w:tr>
        <w:trPr>
          <w:trHeight w:val="195"/>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State Street Financial Center, One Lincoln Street</w:t>
            </w:r>
          </w:p>
        </w:tc>
        <w:tc>
          <w:tcPr>
            <w:tcW w:w="31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Boston, MA 02111</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r>
        <w:trPr>
          <w:trHeight w:val="187"/>
        </w:trPr>
        <w:tc>
          <w:tcPr>
            <w:tcW w:w="4720" w:type="dxa"/>
            <w:vAlign w:val="bottom"/>
            <w:shd w:val="clear" w:color="auto" w:fill="D8D8D8"/>
          </w:tcPr>
          <w:p>
            <w:pPr>
              <w:spacing w:after="0" w:line="187" w:lineRule="exact"/>
              <w:rPr>
                <w:sz w:val="20"/>
                <w:szCs w:val="20"/>
                <w:color w:val="auto"/>
              </w:rPr>
            </w:pPr>
            <w:r>
              <w:rPr>
                <w:rFonts w:ascii="Arial" w:cs="Arial" w:eastAsia="Arial" w:hAnsi="Arial"/>
                <w:sz w:val="17"/>
                <w:szCs w:val="17"/>
                <w:color w:val="auto"/>
              </w:rPr>
              <w:t>Norges Bank (The Central Bank of Norway)</w:t>
            </w:r>
            <w:r>
              <w:rPr>
                <w:rFonts w:ascii="Arial" w:cs="Arial" w:eastAsia="Arial" w:hAnsi="Arial"/>
                <w:sz w:val="14"/>
                <w:szCs w:val="14"/>
                <w:color w:val="auto"/>
              </w:rPr>
              <w:t>(5)</w:t>
            </w:r>
          </w:p>
        </w:tc>
        <w:tc>
          <w:tcPr>
            <w:tcW w:w="3180" w:type="dxa"/>
            <w:vAlign w:val="bottom"/>
          </w:tcPr>
          <w:p>
            <w:pPr>
              <w:jc w:val="right"/>
              <w:ind w:right="213"/>
              <w:spacing w:after="0" w:line="187" w:lineRule="exact"/>
              <w:rPr>
                <w:sz w:val="20"/>
                <w:szCs w:val="20"/>
                <w:color w:val="auto"/>
              </w:rPr>
            </w:pPr>
            <w:r>
              <w:rPr>
                <w:rFonts w:ascii="Arial" w:cs="Arial" w:eastAsia="Arial" w:hAnsi="Arial"/>
                <w:sz w:val="17"/>
                <w:szCs w:val="17"/>
                <w:color w:val="auto"/>
              </w:rPr>
              <w:t>7,212,626</w:t>
            </w:r>
          </w:p>
        </w:tc>
        <w:tc>
          <w:tcPr>
            <w:tcW w:w="2720" w:type="dxa"/>
            <w:vAlign w:val="bottom"/>
          </w:tcPr>
          <w:p>
            <w:pPr>
              <w:jc w:val="right"/>
              <w:ind w:right="353"/>
              <w:spacing w:after="0" w:line="187" w:lineRule="exact"/>
              <w:rPr>
                <w:sz w:val="20"/>
                <w:szCs w:val="20"/>
                <w:color w:val="auto"/>
              </w:rPr>
            </w:pPr>
            <w:r>
              <w:rPr>
                <w:rFonts w:ascii="Arial" w:cs="Arial" w:eastAsia="Arial" w:hAnsi="Arial"/>
                <w:sz w:val="17"/>
                <w:szCs w:val="17"/>
                <w:color w:val="auto"/>
              </w:rPr>
              <w:t>9.2%</w:t>
            </w:r>
          </w:p>
        </w:tc>
      </w:tr>
      <w:tr>
        <w:trPr>
          <w:trHeight w:val="195"/>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Bankplassen 2, PO Box 1179 Sentrum</w:t>
            </w:r>
          </w:p>
        </w:tc>
        <w:tc>
          <w:tcPr>
            <w:tcW w:w="31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NO 0107 Oslo Norway</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r>
        <w:trPr>
          <w:trHeight w:val="187"/>
        </w:trPr>
        <w:tc>
          <w:tcPr>
            <w:tcW w:w="4720" w:type="dxa"/>
            <w:vAlign w:val="bottom"/>
            <w:shd w:val="clear" w:color="auto" w:fill="D8D8D8"/>
          </w:tcPr>
          <w:p>
            <w:pPr>
              <w:spacing w:after="0" w:line="187" w:lineRule="exact"/>
              <w:rPr>
                <w:sz w:val="20"/>
                <w:szCs w:val="20"/>
                <w:color w:val="auto"/>
              </w:rPr>
            </w:pPr>
            <w:r>
              <w:rPr>
                <w:rFonts w:ascii="Arial" w:cs="Arial" w:eastAsia="Arial" w:hAnsi="Arial"/>
                <w:sz w:val="17"/>
                <w:szCs w:val="17"/>
                <w:color w:val="auto"/>
              </w:rPr>
              <w:t>JPMorgan Chase &amp; Co.</w:t>
            </w:r>
            <w:r>
              <w:rPr>
                <w:rFonts w:ascii="Arial" w:cs="Arial" w:eastAsia="Arial" w:hAnsi="Arial"/>
                <w:sz w:val="14"/>
                <w:szCs w:val="14"/>
                <w:color w:val="auto"/>
              </w:rPr>
              <w:t>(6)</w:t>
            </w:r>
          </w:p>
        </w:tc>
        <w:tc>
          <w:tcPr>
            <w:tcW w:w="3180" w:type="dxa"/>
            <w:vAlign w:val="bottom"/>
          </w:tcPr>
          <w:p>
            <w:pPr>
              <w:jc w:val="right"/>
              <w:ind w:right="213"/>
              <w:spacing w:after="0" w:line="187" w:lineRule="exact"/>
              <w:rPr>
                <w:sz w:val="20"/>
                <w:szCs w:val="20"/>
                <w:color w:val="auto"/>
              </w:rPr>
            </w:pPr>
            <w:r>
              <w:rPr>
                <w:rFonts w:ascii="Arial" w:cs="Arial" w:eastAsia="Arial" w:hAnsi="Arial"/>
                <w:sz w:val="17"/>
                <w:szCs w:val="17"/>
                <w:color w:val="auto"/>
              </w:rPr>
              <w:t>4,203,063</w:t>
            </w:r>
          </w:p>
        </w:tc>
        <w:tc>
          <w:tcPr>
            <w:tcW w:w="2720" w:type="dxa"/>
            <w:vAlign w:val="bottom"/>
          </w:tcPr>
          <w:p>
            <w:pPr>
              <w:jc w:val="right"/>
              <w:ind w:right="353"/>
              <w:spacing w:after="0" w:line="187" w:lineRule="exact"/>
              <w:rPr>
                <w:sz w:val="20"/>
                <w:szCs w:val="20"/>
                <w:color w:val="auto"/>
              </w:rPr>
            </w:pPr>
            <w:r>
              <w:rPr>
                <w:rFonts w:ascii="Arial" w:cs="Arial" w:eastAsia="Arial" w:hAnsi="Arial"/>
                <w:sz w:val="17"/>
                <w:szCs w:val="17"/>
                <w:color w:val="auto"/>
              </w:rPr>
              <w:t>5.3%</w:t>
            </w:r>
          </w:p>
        </w:tc>
      </w:tr>
      <w:tr>
        <w:trPr>
          <w:trHeight w:val="195"/>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383 Madison Avenue</w:t>
            </w:r>
          </w:p>
        </w:tc>
        <w:tc>
          <w:tcPr>
            <w:tcW w:w="31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New York, NY 10179</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r>
        <w:trPr>
          <w:trHeight w:val="187"/>
        </w:trPr>
        <w:tc>
          <w:tcPr>
            <w:tcW w:w="4720" w:type="dxa"/>
            <w:vAlign w:val="bottom"/>
            <w:shd w:val="clear" w:color="auto" w:fill="D8D8D8"/>
          </w:tcPr>
          <w:p>
            <w:pPr>
              <w:spacing w:after="0" w:line="187" w:lineRule="exact"/>
              <w:rPr>
                <w:sz w:val="20"/>
                <w:szCs w:val="20"/>
                <w:color w:val="auto"/>
              </w:rPr>
            </w:pPr>
            <w:r>
              <w:rPr>
                <w:rFonts w:ascii="Arial" w:cs="Arial" w:eastAsia="Arial" w:hAnsi="Arial"/>
                <w:sz w:val="17"/>
                <w:szCs w:val="17"/>
                <w:color w:val="auto"/>
              </w:rPr>
              <w:t>Capital Research Global Investors</w:t>
            </w:r>
            <w:r>
              <w:rPr>
                <w:rFonts w:ascii="Arial" w:cs="Arial" w:eastAsia="Arial" w:hAnsi="Arial"/>
                <w:sz w:val="14"/>
                <w:szCs w:val="14"/>
                <w:color w:val="auto"/>
              </w:rPr>
              <w:t>(7)</w:t>
            </w:r>
          </w:p>
        </w:tc>
        <w:tc>
          <w:tcPr>
            <w:tcW w:w="3180" w:type="dxa"/>
            <w:vAlign w:val="bottom"/>
          </w:tcPr>
          <w:p>
            <w:pPr>
              <w:jc w:val="right"/>
              <w:ind w:right="213"/>
              <w:spacing w:after="0" w:line="187" w:lineRule="exact"/>
              <w:rPr>
                <w:sz w:val="20"/>
                <w:szCs w:val="20"/>
                <w:color w:val="auto"/>
              </w:rPr>
            </w:pPr>
            <w:r>
              <w:rPr>
                <w:rFonts w:ascii="Arial" w:cs="Arial" w:eastAsia="Arial" w:hAnsi="Arial"/>
                <w:sz w:val="17"/>
                <w:szCs w:val="17"/>
                <w:color w:val="auto"/>
              </w:rPr>
              <w:t>4,039,858</w:t>
            </w:r>
          </w:p>
        </w:tc>
        <w:tc>
          <w:tcPr>
            <w:tcW w:w="2720" w:type="dxa"/>
            <w:vAlign w:val="bottom"/>
          </w:tcPr>
          <w:p>
            <w:pPr>
              <w:jc w:val="right"/>
              <w:ind w:right="353"/>
              <w:spacing w:after="0" w:line="187" w:lineRule="exact"/>
              <w:rPr>
                <w:sz w:val="20"/>
                <w:szCs w:val="20"/>
                <w:color w:val="auto"/>
              </w:rPr>
            </w:pPr>
            <w:r>
              <w:rPr>
                <w:rFonts w:ascii="Arial" w:cs="Arial" w:eastAsia="Arial" w:hAnsi="Arial"/>
                <w:sz w:val="17"/>
                <w:szCs w:val="17"/>
                <w:color w:val="auto"/>
              </w:rPr>
              <w:t>5.1%</w:t>
            </w:r>
          </w:p>
        </w:tc>
      </w:tr>
      <w:tr>
        <w:trPr>
          <w:trHeight w:val="195"/>
        </w:trPr>
        <w:tc>
          <w:tcPr>
            <w:tcW w:w="4720" w:type="dxa"/>
            <w:vAlign w:val="bottom"/>
            <w:shd w:val="clear" w:color="auto" w:fill="D8D8D8"/>
          </w:tcPr>
          <w:p>
            <w:pPr>
              <w:spacing w:after="0"/>
              <w:rPr>
                <w:sz w:val="20"/>
                <w:szCs w:val="20"/>
                <w:color w:val="auto"/>
              </w:rPr>
            </w:pPr>
            <w:r>
              <w:rPr>
                <w:rFonts w:ascii="Arial" w:cs="Arial" w:eastAsia="Arial" w:hAnsi="Arial"/>
                <w:sz w:val="17"/>
                <w:szCs w:val="17"/>
                <w:color w:val="auto"/>
              </w:rPr>
              <w:t>333 South Hope Street, 55th Floor</w:t>
            </w:r>
          </w:p>
        </w:tc>
        <w:tc>
          <w:tcPr>
            <w:tcW w:w="31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6"/>
        </w:trPr>
        <w:tc>
          <w:tcPr>
            <w:tcW w:w="472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7"/>
                <w:szCs w:val="17"/>
                <w:color w:val="auto"/>
              </w:rPr>
              <w:t>Los Angeles, CA 90071</w:t>
            </w:r>
          </w:p>
        </w:tc>
        <w:tc>
          <w:tcPr>
            <w:tcW w:w="3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0820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90" w:lineRule="exact"/>
        <w:rPr>
          <w:sz w:val="20"/>
          <w:szCs w:val="20"/>
          <w:color w:val="auto"/>
        </w:rPr>
      </w:pPr>
    </w:p>
    <w:p>
      <w:pPr>
        <w:ind w:left="520" w:right="20" w:hanging="420"/>
        <w:spacing w:after="0" w:line="188" w:lineRule="auto"/>
        <w:tabs>
          <w:tab w:leader="none" w:pos="520" w:val="left"/>
        </w:tabs>
        <w:numPr>
          <w:ilvl w:val="0"/>
          <w:numId w:val="26"/>
        </w:numPr>
        <w:rPr>
          <w:rFonts w:ascii="Arial" w:cs="Arial" w:eastAsia="Arial" w:hAnsi="Arial"/>
          <w:sz w:val="26"/>
          <w:szCs w:val="26"/>
          <w:color w:val="auto"/>
          <w:vertAlign w:val="superscript"/>
        </w:rPr>
      </w:pPr>
      <w:r>
        <w:rPr>
          <w:rFonts w:ascii="Arial" w:cs="Arial" w:eastAsia="Arial" w:hAnsi="Arial"/>
          <w:sz w:val="15"/>
          <w:szCs w:val="15"/>
          <w:color w:val="auto"/>
        </w:rPr>
        <w:t>The percentage of outstanding shares is calculated by taking the number of shares stated in the Schedule 13G or 13G/A, as applicable, filed with the SEC divided by 78,687,588, the total number of shares outstanding on March 14, 2022.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20"/>
          </w:cols>
          <w:pgMar w:left="640" w:top="282" w:right="639" w:bottom="1440" w:gutter="0" w:footer="0" w:header="0"/>
        </w:sectPr>
      </w:pPr>
    </w:p>
    <w:bookmarkStart w:id="46" w:name="page47"/>
    <w:bookmarkEnd w:id="46"/>
    <w:p>
      <w:pPr>
        <w:jc w:val="both"/>
        <w:ind w:left="520" w:right="20" w:hanging="420"/>
        <w:spacing w:after="0" w:line="193" w:lineRule="auto"/>
        <w:tabs>
          <w:tab w:leader="none" w:pos="520" w:val="left"/>
        </w:tabs>
        <w:numPr>
          <w:ilvl w:val="0"/>
          <w:numId w:val="27"/>
        </w:numPr>
        <w:rPr>
          <w:rFonts w:ascii="Arial" w:cs="Arial" w:eastAsia="Arial" w:hAnsi="Arial"/>
          <w:sz w:val="27"/>
          <w:szCs w:val="27"/>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Information based on a Schedule 13G/A filed with the SEC on February 10, 2022 by The Vanguard Group which states that The Vanguard Group, an investment advisor, has shared voting power over 174,149 shares, sole dispositive power over 11,533,371 shares and shared dispositive power over 366,716 shares.</w:t>
      </w:r>
    </w:p>
    <w:p>
      <w:pPr>
        <w:ind w:left="520" w:right="20" w:hanging="420"/>
        <w:spacing w:after="0" w:line="185" w:lineRule="auto"/>
        <w:tabs>
          <w:tab w:leader="none" w:pos="520" w:val="left"/>
        </w:tabs>
        <w:numPr>
          <w:ilvl w:val="0"/>
          <w:numId w:val="27"/>
        </w:numPr>
        <w:rPr>
          <w:rFonts w:ascii="Arial" w:cs="Arial" w:eastAsia="Arial" w:hAnsi="Arial"/>
          <w:sz w:val="26"/>
          <w:szCs w:val="26"/>
          <w:color w:val="auto"/>
          <w:vertAlign w:val="superscript"/>
        </w:rPr>
      </w:pPr>
      <w:r>
        <w:rPr>
          <w:rFonts w:ascii="Arial" w:cs="Arial" w:eastAsia="Arial" w:hAnsi="Arial"/>
          <w:sz w:val="15"/>
          <w:szCs w:val="15"/>
          <w:color w:val="auto"/>
        </w:rPr>
        <w:t>Information based on a Schedule 13G/A filed with the SEC on February 1, 2022 by BlackRock, Inc., which states that BlackRock, Inc., a parent holding company, has sole voting power over 6,582,275 shares and sole dispositive power over 7,559,988 shares.</w:t>
      </w:r>
    </w:p>
    <w:p>
      <w:pPr>
        <w:ind w:left="520" w:right="20" w:hanging="420"/>
        <w:spacing w:after="0" w:line="185" w:lineRule="auto"/>
        <w:tabs>
          <w:tab w:leader="none" w:pos="520" w:val="left"/>
        </w:tabs>
        <w:numPr>
          <w:ilvl w:val="0"/>
          <w:numId w:val="27"/>
        </w:numPr>
        <w:rPr>
          <w:rFonts w:ascii="Arial" w:cs="Arial" w:eastAsia="Arial" w:hAnsi="Arial"/>
          <w:sz w:val="26"/>
          <w:szCs w:val="26"/>
          <w:color w:val="auto"/>
          <w:vertAlign w:val="superscript"/>
        </w:rPr>
      </w:pPr>
      <w:r>
        <w:rPr>
          <w:rFonts w:ascii="Arial" w:cs="Arial" w:eastAsia="Arial" w:hAnsi="Arial"/>
          <w:sz w:val="15"/>
          <w:szCs w:val="15"/>
          <w:color w:val="auto"/>
        </w:rPr>
        <w:t>Information based on a Schedule 13G/A filed with the SEC on February 11, 2022 by State Street Corporation, which states that State Street Corporation, a parent holding company, has shared voting power over 6,679,706 shares and shared dispositive power over 7,465,605 shares.</w:t>
      </w:r>
    </w:p>
    <w:p>
      <w:pPr>
        <w:ind w:left="520" w:right="20" w:hanging="420"/>
        <w:spacing w:after="0" w:line="185" w:lineRule="auto"/>
        <w:tabs>
          <w:tab w:leader="none" w:pos="520" w:val="left"/>
        </w:tabs>
        <w:numPr>
          <w:ilvl w:val="0"/>
          <w:numId w:val="27"/>
        </w:numPr>
        <w:rPr>
          <w:rFonts w:ascii="Arial" w:cs="Arial" w:eastAsia="Arial" w:hAnsi="Arial"/>
          <w:sz w:val="26"/>
          <w:szCs w:val="26"/>
          <w:color w:val="auto"/>
          <w:vertAlign w:val="superscript"/>
        </w:rPr>
      </w:pPr>
      <w:r>
        <w:rPr>
          <w:rFonts w:ascii="Arial" w:cs="Arial" w:eastAsia="Arial" w:hAnsi="Arial"/>
          <w:sz w:val="15"/>
          <w:szCs w:val="15"/>
          <w:color w:val="auto"/>
        </w:rPr>
        <w:t>Information based on a Schedule 13G/A filed with the SEC on February 8, 2022 by Norges Bank (The Central Bank of Norway) which states that Norges Bank (The Central Bank of Norway) has sole voting power and sole dispositive power over 7,212,626 shares.</w:t>
      </w:r>
    </w:p>
    <w:p>
      <w:pPr>
        <w:jc w:val="both"/>
        <w:ind w:left="520" w:right="20" w:hanging="420"/>
        <w:spacing w:after="0" w:line="193" w:lineRule="auto"/>
        <w:tabs>
          <w:tab w:leader="none" w:pos="520" w:val="left"/>
        </w:tabs>
        <w:numPr>
          <w:ilvl w:val="0"/>
          <w:numId w:val="27"/>
        </w:numPr>
        <w:rPr>
          <w:rFonts w:ascii="Arial" w:cs="Arial" w:eastAsia="Arial" w:hAnsi="Arial"/>
          <w:sz w:val="27"/>
          <w:szCs w:val="27"/>
          <w:color w:val="auto"/>
          <w:vertAlign w:val="superscript"/>
        </w:rPr>
      </w:pPr>
      <w:r>
        <w:rPr>
          <w:rFonts w:ascii="Arial" w:cs="Arial" w:eastAsia="Arial" w:hAnsi="Arial"/>
          <w:sz w:val="16"/>
          <w:szCs w:val="16"/>
          <w:color w:val="auto"/>
        </w:rPr>
        <w:t>Information based on a Schedule 13G filed with the SEC on January 21, 2022 by JPMorgan Chase &amp; Co. which states that JPMorgan Chase &amp; Co., a parent holding company, has sole voting power over 3,219,988 shares, sole dispositive power over 4,201,194 shares and shared dispositive power over 714 shares.</w:t>
      </w:r>
    </w:p>
    <w:p>
      <w:pPr>
        <w:ind w:left="520" w:right="20" w:hanging="420"/>
        <w:spacing w:after="0" w:line="188" w:lineRule="auto"/>
        <w:tabs>
          <w:tab w:leader="none" w:pos="520" w:val="left"/>
        </w:tabs>
        <w:numPr>
          <w:ilvl w:val="0"/>
          <w:numId w:val="27"/>
        </w:numPr>
        <w:rPr>
          <w:rFonts w:ascii="Arial" w:cs="Arial" w:eastAsia="Arial" w:hAnsi="Arial"/>
          <w:sz w:val="26"/>
          <w:szCs w:val="26"/>
          <w:color w:val="auto"/>
          <w:vertAlign w:val="superscript"/>
        </w:rPr>
      </w:pPr>
      <w:r>
        <w:rPr>
          <w:rFonts w:ascii="Arial" w:cs="Arial" w:eastAsia="Arial" w:hAnsi="Arial"/>
          <w:sz w:val="15"/>
          <w:szCs w:val="15"/>
          <w:color w:val="auto"/>
        </w:rPr>
        <w:t>Information based on a Schedule 13G/A filed with the SEC on February 11, 2022 by Capital Research Global Investors which states that Capital Research Global Investors, an investment advisor, has sole voting and sole dispositive power over 4,039,858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Ownership of Trustees and Executive Officers</w:t>
      </w:r>
    </w:p>
    <w:p>
      <w:pPr>
        <w:spacing w:after="0" w:line="230"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The table below reflects beneficial ownership of our Trustees and NEOs as of March 14, 2022 determined in accordance with Rule 13d-3 of the Securities Exchange Act of 1934, as amended. Unless noted in the footnotes following the table, each Trustee and NEO has sole voting and investment power as to all shares listed.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shd w:val="clear" w:color="auto" w:fill="000000"/>
          </w:tcPr>
          <w:p>
            <w:pPr>
              <w:spacing w:after="0"/>
              <w:rPr>
                <w:sz w:val="16"/>
                <w:szCs w:val="16"/>
                <w:color w:val="auto"/>
              </w:rPr>
            </w:pPr>
          </w:p>
        </w:tc>
        <w:tc>
          <w:tcPr>
            <w:tcW w:w="440" w:type="dxa"/>
            <w:vAlign w:val="bottom"/>
            <w:shd w:val="clear" w:color="auto" w:fill="000000"/>
          </w:tcPr>
          <w:p>
            <w:pPr>
              <w:spacing w:after="0"/>
              <w:rPr>
                <w:sz w:val="16"/>
                <w:szCs w:val="16"/>
                <w:color w:val="auto"/>
              </w:rPr>
            </w:pPr>
          </w:p>
        </w:tc>
        <w:tc>
          <w:tcPr>
            <w:tcW w:w="1100" w:type="dxa"/>
            <w:vAlign w:val="bottom"/>
            <w:shd w:val="clear" w:color="auto" w:fill="000000"/>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1400" w:type="dxa"/>
            <w:vAlign w:val="bottom"/>
            <w:shd w:val="clear" w:color="auto" w:fill="000000"/>
          </w:tcPr>
          <w:p>
            <w:pPr>
              <w:spacing w:after="0"/>
              <w:rPr>
                <w:sz w:val="16"/>
                <w:szCs w:val="16"/>
                <w:color w:val="auto"/>
              </w:rPr>
            </w:pPr>
          </w:p>
        </w:tc>
        <w:tc>
          <w:tcPr>
            <w:tcW w:w="156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rPr>
              <w:t>Percentage of</w:t>
            </w:r>
          </w:p>
        </w:tc>
        <w:tc>
          <w:tcPr>
            <w:tcW w:w="0" w:type="dxa"/>
            <w:vAlign w:val="bottom"/>
          </w:tcPr>
          <w:p>
            <w:pPr>
              <w:spacing w:after="0"/>
              <w:rPr>
                <w:sz w:val="1"/>
                <w:szCs w:val="1"/>
                <w:color w:val="auto"/>
              </w:rPr>
            </w:pPr>
          </w:p>
        </w:tc>
      </w:tr>
      <w:tr>
        <w:trPr>
          <w:trHeight w:val="195"/>
        </w:trPr>
        <w:tc>
          <w:tcPr>
            <w:tcW w:w="4900" w:type="dxa"/>
            <w:vAlign w:val="bottom"/>
            <w:shd w:val="clear" w:color="auto" w:fill="000000"/>
          </w:tcPr>
          <w:p>
            <w:pPr>
              <w:spacing w:after="0"/>
              <w:rPr>
                <w:sz w:val="16"/>
                <w:szCs w:val="16"/>
                <w:color w:val="auto"/>
              </w:rPr>
            </w:pPr>
          </w:p>
        </w:tc>
        <w:tc>
          <w:tcPr>
            <w:tcW w:w="440" w:type="dxa"/>
            <w:vAlign w:val="bottom"/>
            <w:shd w:val="clear" w:color="auto" w:fill="000000"/>
          </w:tcPr>
          <w:p>
            <w:pPr>
              <w:spacing w:after="0"/>
              <w:rPr>
                <w:sz w:val="16"/>
                <w:szCs w:val="16"/>
                <w:color w:val="auto"/>
              </w:rPr>
            </w:pPr>
          </w:p>
        </w:tc>
        <w:tc>
          <w:tcPr>
            <w:tcW w:w="1100" w:type="dxa"/>
            <w:vAlign w:val="bottom"/>
            <w:shd w:val="clear" w:color="auto" w:fill="000000"/>
          </w:tcPr>
          <w:p>
            <w:pPr>
              <w:spacing w:after="0"/>
              <w:rPr>
                <w:sz w:val="16"/>
                <w:szCs w:val="16"/>
                <w:color w:val="auto"/>
              </w:rPr>
            </w:pPr>
          </w:p>
        </w:tc>
        <w:tc>
          <w:tcPr>
            <w:tcW w:w="122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Unvested</w:t>
            </w:r>
          </w:p>
        </w:tc>
        <w:tc>
          <w:tcPr>
            <w:tcW w:w="140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Total Shares</w:t>
            </w:r>
          </w:p>
        </w:tc>
        <w:tc>
          <w:tcPr>
            <w:tcW w:w="156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rPr>
              <w:t>Outstanding</w:t>
            </w:r>
          </w:p>
        </w:tc>
        <w:tc>
          <w:tcPr>
            <w:tcW w:w="0" w:type="dxa"/>
            <w:vAlign w:val="bottom"/>
          </w:tcPr>
          <w:p>
            <w:pPr>
              <w:spacing w:after="0"/>
              <w:rPr>
                <w:sz w:val="1"/>
                <w:szCs w:val="1"/>
                <w:color w:val="auto"/>
              </w:rPr>
            </w:pPr>
          </w:p>
        </w:tc>
      </w:tr>
      <w:tr>
        <w:trPr>
          <w:trHeight w:val="195"/>
        </w:trPr>
        <w:tc>
          <w:tcPr>
            <w:tcW w:w="4900" w:type="dxa"/>
            <w:vAlign w:val="bottom"/>
            <w:shd w:val="clear" w:color="auto" w:fill="000000"/>
          </w:tcPr>
          <w:p>
            <w:pPr>
              <w:spacing w:after="0"/>
              <w:rPr>
                <w:sz w:val="16"/>
                <w:szCs w:val="16"/>
                <w:color w:val="auto"/>
              </w:rPr>
            </w:pPr>
          </w:p>
        </w:tc>
        <w:tc>
          <w:tcPr>
            <w:tcW w:w="440" w:type="dxa"/>
            <w:vAlign w:val="bottom"/>
            <w:shd w:val="clear" w:color="auto" w:fill="000000"/>
          </w:tcPr>
          <w:p>
            <w:pPr>
              <w:spacing w:after="0"/>
              <w:rPr>
                <w:sz w:val="16"/>
                <w:szCs w:val="16"/>
                <w:color w:val="auto"/>
              </w:rPr>
            </w:pPr>
          </w:p>
        </w:tc>
        <w:tc>
          <w:tcPr>
            <w:tcW w:w="1100" w:type="dxa"/>
            <w:vAlign w:val="bottom"/>
            <w:shd w:val="clear" w:color="auto" w:fill="000000"/>
          </w:tcPr>
          <w:p>
            <w:pPr>
              <w:spacing w:after="0"/>
              <w:rPr>
                <w:sz w:val="16"/>
                <w:szCs w:val="16"/>
                <w:color w:val="auto"/>
              </w:rPr>
            </w:pPr>
          </w:p>
        </w:tc>
        <w:tc>
          <w:tcPr>
            <w:tcW w:w="122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Restricted</w:t>
            </w:r>
          </w:p>
        </w:tc>
        <w:tc>
          <w:tcPr>
            <w:tcW w:w="140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Beneficially</w:t>
            </w:r>
          </w:p>
        </w:tc>
        <w:tc>
          <w:tcPr>
            <w:tcW w:w="156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rPr>
              <w:t>Shares</w:t>
            </w:r>
          </w:p>
        </w:tc>
        <w:tc>
          <w:tcPr>
            <w:tcW w:w="0" w:type="dxa"/>
            <w:vAlign w:val="bottom"/>
          </w:tcPr>
          <w:p>
            <w:pPr>
              <w:spacing w:after="0"/>
              <w:rPr>
                <w:sz w:val="1"/>
                <w:szCs w:val="1"/>
                <w:color w:val="auto"/>
              </w:rPr>
            </w:pPr>
          </w:p>
        </w:tc>
      </w:tr>
      <w:tr>
        <w:trPr>
          <w:trHeight w:val="218"/>
        </w:trPr>
        <w:tc>
          <w:tcPr>
            <w:tcW w:w="4900" w:type="dxa"/>
            <w:vAlign w:val="bottom"/>
            <w:shd w:val="clear" w:color="auto" w:fill="000000"/>
          </w:tcPr>
          <w:p>
            <w:pPr>
              <w:spacing w:after="0"/>
              <w:rPr>
                <w:sz w:val="20"/>
                <w:szCs w:val="20"/>
                <w:color w:val="auto"/>
              </w:rPr>
            </w:pPr>
            <w:r>
              <w:rPr>
                <w:rFonts w:ascii="Arial" w:cs="Arial" w:eastAsia="Arial" w:hAnsi="Arial"/>
                <w:sz w:val="17"/>
                <w:szCs w:val="17"/>
                <w:b w:val="1"/>
                <w:bCs w:val="1"/>
                <w:color w:val="FFFFFF"/>
              </w:rPr>
              <w:t>Name and Address of Beneficial Owner</w:t>
            </w:r>
            <w:r>
              <w:rPr>
                <w:rFonts w:ascii="Arial" w:cs="Arial" w:eastAsia="Arial" w:hAnsi="Arial"/>
                <w:sz w:val="14"/>
                <w:szCs w:val="14"/>
                <w:b w:val="1"/>
                <w:bCs w:val="1"/>
                <w:color w:val="FFFFFF"/>
              </w:rPr>
              <w:t>(1)</w:t>
            </w:r>
          </w:p>
        </w:tc>
        <w:tc>
          <w:tcPr>
            <w:tcW w:w="440" w:type="dxa"/>
            <w:vAlign w:val="bottom"/>
            <w:shd w:val="clear" w:color="auto" w:fill="000000"/>
          </w:tcPr>
          <w:p>
            <w:pPr>
              <w:spacing w:after="0"/>
              <w:rPr>
                <w:sz w:val="18"/>
                <w:szCs w:val="18"/>
                <w:color w:val="auto"/>
              </w:rPr>
            </w:pPr>
          </w:p>
        </w:tc>
        <w:tc>
          <w:tcPr>
            <w:tcW w:w="110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Common</w:t>
            </w:r>
          </w:p>
        </w:tc>
        <w:tc>
          <w:tcPr>
            <w:tcW w:w="122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Shares</w:t>
            </w:r>
          </w:p>
        </w:tc>
        <w:tc>
          <w:tcPr>
            <w:tcW w:w="1400" w:type="dxa"/>
            <w:vAlign w:val="bottom"/>
            <w:shd w:val="clear" w:color="auto" w:fill="000000"/>
          </w:tcPr>
          <w:p>
            <w:pPr>
              <w:jc w:val="right"/>
              <w:ind w:right="93"/>
              <w:spacing w:after="0"/>
              <w:rPr>
                <w:sz w:val="20"/>
                <w:szCs w:val="20"/>
                <w:color w:val="auto"/>
              </w:rPr>
            </w:pPr>
            <w:r>
              <w:rPr>
                <w:rFonts w:ascii="Arial" w:cs="Arial" w:eastAsia="Arial" w:hAnsi="Arial"/>
                <w:sz w:val="17"/>
                <w:szCs w:val="17"/>
                <w:b w:val="1"/>
                <w:bCs w:val="1"/>
                <w:color w:val="FFFFFF"/>
              </w:rPr>
              <w:t>Owned</w:t>
            </w:r>
          </w:p>
        </w:tc>
        <w:tc>
          <w:tcPr>
            <w:tcW w:w="156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rPr>
              <w:t>Owned</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94"/>
        </w:trPr>
        <w:tc>
          <w:tcPr>
            <w:tcW w:w="4900" w:type="dxa"/>
            <w:vAlign w:val="bottom"/>
            <w:shd w:val="clear" w:color="auto" w:fill="D8D8D8"/>
          </w:tcPr>
          <w:p>
            <w:pPr>
              <w:spacing w:after="0" w:line="194" w:lineRule="exact"/>
              <w:rPr>
                <w:sz w:val="20"/>
                <w:szCs w:val="20"/>
                <w:color w:val="auto"/>
              </w:rPr>
            </w:pPr>
            <w:r>
              <w:rPr>
                <w:rFonts w:ascii="Arial" w:cs="Arial" w:eastAsia="Arial" w:hAnsi="Arial"/>
                <w:sz w:val="17"/>
                <w:szCs w:val="17"/>
                <w:color w:val="auto"/>
              </w:rPr>
              <w:t>Dawn M. Becker</w:t>
            </w:r>
          </w:p>
        </w:tc>
        <w:tc>
          <w:tcPr>
            <w:tcW w:w="1540" w:type="dxa"/>
            <w:vAlign w:val="bottom"/>
            <w:gridSpan w:val="2"/>
          </w:tcPr>
          <w:p>
            <w:pPr>
              <w:jc w:val="right"/>
              <w:ind w:right="93"/>
              <w:spacing w:after="0" w:line="194" w:lineRule="exact"/>
              <w:rPr>
                <w:sz w:val="20"/>
                <w:szCs w:val="20"/>
                <w:color w:val="auto"/>
              </w:rPr>
            </w:pPr>
            <w:r>
              <w:rPr>
                <w:rFonts w:ascii="Arial" w:cs="Arial" w:eastAsia="Arial" w:hAnsi="Arial"/>
                <w:sz w:val="17"/>
                <w:szCs w:val="17"/>
                <w:color w:val="auto"/>
              </w:rPr>
              <w:t>136,511</w:t>
            </w:r>
          </w:p>
        </w:tc>
        <w:tc>
          <w:tcPr>
            <w:tcW w:w="1220" w:type="dxa"/>
            <w:vAlign w:val="bottom"/>
          </w:tcPr>
          <w:p>
            <w:pPr>
              <w:jc w:val="right"/>
              <w:ind w:right="93"/>
              <w:spacing w:after="0" w:line="194" w:lineRule="exact"/>
              <w:rPr>
                <w:sz w:val="20"/>
                <w:szCs w:val="20"/>
                <w:color w:val="auto"/>
              </w:rPr>
            </w:pPr>
            <w:r>
              <w:rPr>
                <w:rFonts w:ascii="Arial" w:cs="Arial" w:eastAsia="Arial" w:hAnsi="Arial"/>
                <w:sz w:val="17"/>
                <w:szCs w:val="17"/>
                <w:color w:val="auto"/>
              </w:rPr>
              <w:t>12,473</w:t>
            </w:r>
          </w:p>
        </w:tc>
        <w:tc>
          <w:tcPr>
            <w:tcW w:w="1400" w:type="dxa"/>
            <w:vAlign w:val="bottom"/>
          </w:tcPr>
          <w:p>
            <w:pPr>
              <w:jc w:val="right"/>
              <w:ind w:right="93"/>
              <w:spacing w:after="0" w:line="194" w:lineRule="exact"/>
              <w:rPr>
                <w:sz w:val="20"/>
                <w:szCs w:val="20"/>
                <w:color w:val="auto"/>
              </w:rPr>
            </w:pPr>
            <w:r>
              <w:rPr>
                <w:rFonts w:ascii="Arial" w:cs="Arial" w:eastAsia="Arial" w:hAnsi="Arial"/>
                <w:sz w:val="17"/>
                <w:szCs w:val="17"/>
                <w:color w:val="auto"/>
              </w:rPr>
              <w:t>148,984</w:t>
            </w:r>
          </w:p>
        </w:tc>
        <w:tc>
          <w:tcPr>
            <w:tcW w:w="1560" w:type="dxa"/>
            <w:vAlign w:val="bottom"/>
          </w:tcPr>
          <w:p>
            <w:pPr>
              <w:jc w:val="right"/>
              <w:ind w:right="133"/>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Jeffrey S. Berkes</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29,479</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36,372</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65,851</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David W. Faeder</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13,313</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13,313</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Daniel Guglielmone</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22,864</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26,204</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49,068</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Elizabeth I. Holland</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4,964</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4,964</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Nicole Y. Lamb-Hale</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1,350</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1,350</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Anthony P. Nader, III</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1,350</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1,350</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4900" w:type="dxa"/>
            <w:vAlign w:val="bottom"/>
            <w:shd w:val="clear" w:color="auto" w:fill="D8D8D8"/>
          </w:tcPr>
          <w:p>
            <w:pPr>
              <w:spacing w:after="0"/>
              <w:rPr>
                <w:sz w:val="20"/>
                <w:szCs w:val="20"/>
                <w:color w:val="auto"/>
              </w:rPr>
            </w:pPr>
            <w:r>
              <w:rPr>
                <w:rFonts w:ascii="Arial" w:cs="Arial" w:eastAsia="Arial" w:hAnsi="Arial"/>
                <w:sz w:val="17"/>
                <w:szCs w:val="17"/>
                <w:color w:val="auto"/>
              </w:rPr>
              <w:t>Mark S. Ordan</w:t>
            </w:r>
          </w:p>
        </w:tc>
        <w:tc>
          <w:tcPr>
            <w:tcW w:w="1540" w:type="dxa"/>
            <w:vAlign w:val="bottom"/>
            <w:gridSpan w:val="2"/>
          </w:tcPr>
          <w:p>
            <w:pPr>
              <w:jc w:val="right"/>
              <w:ind w:right="93"/>
              <w:spacing w:after="0"/>
              <w:rPr>
                <w:sz w:val="20"/>
                <w:szCs w:val="20"/>
                <w:color w:val="auto"/>
              </w:rPr>
            </w:pPr>
            <w:r>
              <w:rPr>
                <w:rFonts w:ascii="Arial" w:cs="Arial" w:eastAsia="Arial" w:hAnsi="Arial"/>
                <w:sz w:val="17"/>
                <w:szCs w:val="17"/>
                <w:color w:val="auto"/>
              </w:rPr>
              <w:t>3,102</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3,102</w:t>
            </w:r>
          </w:p>
        </w:tc>
        <w:tc>
          <w:tcPr>
            <w:tcW w:w="15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4900" w:type="dxa"/>
            <w:vAlign w:val="bottom"/>
            <w:shd w:val="clear" w:color="auto" w:fill="D8D8D8"/>
          </w:tcPr>
          <w:p>
            <w:pPr>
              <w:spacing w:after="0" w:line="193" w:lineRule="exact"/>
              <w:rPr>
                <w:sz w:val="20"/>
                <w:szCs w:val="20"/>
                <w:color w:val="auto"/>
              </w:rPr>
            </w:pPr>
            <w:r>
              <w:rPr>
                <w:rFonts w:ascii="Arial" w:cs="Arial" w:eastAsia="Arial" w:hAnsi="Arial"/>
                <w:sz w:val="17"/>
                <w:szCs w:val="17"/>
                <w:color w:val="auto"/>
              </w:rPr>
              <w:t>Gail P. Steinel</w:t>
            </w:r>
          </w:p>
        </w:tc>
        <w:tc>
          <w:tcPr>
            <w:tcW w:w="1540" w:type="dxa"/>
            <w:vAlign w:val="bottom"/>
            <w:gridSpan w:val="2"/>
          </w:tcPr>
          <w:p>
            <w:pPr>
              <w:jc w:val="right"/>
              <w:ind w:right="93"/>
              <w:spacing w:after="0" w:line="193" w:lineRule="exact"/>
              <w:rPr>
                <w:sz w:val="20"/>
                <w:szCs w:val="20"/>
                <w:color w:val="auto"/>
              </w:rPr>
            </w:pPr>
            <w:r>
              <w:rPr>
                <w:rFonts w:ascii="Arial" w:cs="Arial" w:eastAsia="Arial" w:hAnsi="Arial"/>
                <w:sz w:val="17"/>
                <w:szCs w:val="17"/>
                <w:color w:val="auto"/>
              </w:rPr>
              <w:t>13,254</w:t>
            </w:r>
          </w:p>
        </w:tc>
        <w:tc>
          <w:tcPr>
            <w:tcW w:w="1220" w:type="dxa"/>
            <w:vAlign w:val="bottom"/>
          </w:tcPr>
          <w:p>
            <w:pPr>
              <w:jc w:val="right"/>
              <w:ind w:right="93"/>
              <w:spacing w:after="0" w:line="193" w:lineRule="exact"/>
              <w:rPr>
                <w:sz w:val="20"/>
                <w:szCs w:val="20"/>
                <w:color w:val="auto"/>
              </w:rPr>
            </w:pPr>
            <w:r>
              <w:rPr>
                <w:rFonts w:ascii="Arial" w:cs="Arial" w:eastAsia="Arial" w:hAnsi="Arial"/>
                <w:sz w:val="17"/>
                <w:szCs w:val="17"/>
                <w:color w:val="auto"/>
              </w:rPr>
              <w:t>0</w:t>
            </w:r>
          </w:p>
        </w:tc>
        <w:tc>
          <w:tcPr>
            <w:tcW w:w="1400" w:type="dxa"/>
            <w:vAlign w:val="bottom"/>
          </w:tcPr>
          <w:p>
            <w:pPr>
              <w:jc w:val="right"/>
              <w:ind w:right="93"/>
              <w:spacing w:after="0" w:line="193" w:lineRule="exact"/>
              <w:rPr>
                <w:sz w:val="20"/>
                <w:szCs w:val="20"/>
                <w:color w:val="auto"/>
              </w:rPr>
            </w:pPr>
            <w:r>
              <w:rPr>
                <w:rFonts w:ascii="Arial" w:cs="Arial" w:eastAsia="Arial" w:hAnsi="Arial"/>
                <w:sz w:val="17"/>
                <w:szCs w:val="17"/>
                <w:color w:val="auto"/>
              </w:rPr>
              <w:t>13,254</w:t>
            </w:r>
          </w:p>
        </w:tc>
        <w:tc>
          <w:tcPr>
            <w:tcW w:w="1560" w:type="dxa"/>
            <w:vAlign w:val="bottom"/>
          </w:tcPr>
          <w:p>
            <w:pPr>
              <w:jc w:val="right"/>
              <w:ind w:right="133"/>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7"/>
                <w:szCs w:val="17"/>
                <w:color w:val="auto"/>
              </w:rPr>
              <w:t>Donald C. Wood</w:t>
            </w:r>
            <w:r>
              <w:rPr>
                <w:rFonts w:ascii="Arial" w:cs="Arial" w:eastAsia="Arial" w:hAnsi="Arial"/>
                <w:sz w:val="14"/>
                <w:szCs w:val="14"/>
                <w:color w:val="auto"/>
              </w:rPr>
              <w:t>(3)</w:t>
            </w:r>
          </w:p>
        </w:tc>
        <w:tc>
          <w:tcPr>
            <w:tcW w:w="440" w:type="dxa"/>
            <w:vAlign w:val="bottom"/>
          </w:tcPr>
          <w:p>
            <w:pPr>
              <w:spacing w:after="0"/>
              <w:rPr>
                <w:sz w:val="17"/>
                <w:szCs w:val="17"/>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391,089</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102,749</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493,838</w:t>
            </w: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5"/>
        </w:trPr>
        <w:tc>
          <w:tcPr>
            <w:tcW w:w="4900" w:type="dxa"/>
            <w:vAlign w:val="bottom"/>
            <w:shd w:val="clear" w:color="auto" w:fill="D8D8D8"/>
          </w:tcPr>
          <w:p>
            <w:pPr>
              <w:spacing w:after="0" w:line="176" w:lineRule="exact"/>
              <w:rPr>
                <w:sz w:val="20"/>
                <w:szCs w:val="20"/>
                <w:color w:val="auto"/>
              </w:rPr>
            </w:pPr>
            <w:r>
              <w:rPr>
                <w:rFonts w:ascii="Arial" w:cs="Arial" w:eastAsia="Arial" w:hAnsi="Arial"/>
                <w:sz w:val="17"/>
                <w:szCs w:val="17"/>
                <w:color w:val="auto"/>
              </w:rPr>
              <w:t>Trustees, trustee nominees and executive officers as a group</w:t>
            </w:r>
          </w:p>
        </w:tc>
        <w:tc>
          <w:tcPr>
            <w:tcW w:w="1540" w:type="dxa"/>
            <w:vAlign w:val="bottom"/>
            <w:gridSpan w:val="2"/>
            <w:vMerge w:val="restart"/>
          </w:tcPr>
          <w:p>
            <w:pPr>
              <w:jc w:val="right"/>
              <w:ind w:right="93"/>
              <w:spacing w:after="0"/>
              <w:rPr>
                <w:sz w:val="20"/>
                <w:szCs w:val="20"/>
                <w:color w:val="auto"/>
              </w:rPr>
            </w:pPr>
            <w:r>
              <w:rPr>
                <w:rFonts w:ascii="Arial" w:cs="Arial" w:eastAsia="Arial" w:hAnsi="Arial"/>
                <w:sz w:val="17"/>
                <w:szCs w:val="17"/>
                <w:b w:val="1"/>
                <w:bCs w:val="1"/>
                <w:color w:val="auto"/>
              </w:rPr>
              <w:t>617,276</w:t>
            </w:r>
          </w:p>
        </w:tc>
        <w:tc>
          <w:tcPr>
            <w:tcW w:w="12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177,798</w:t>
            </w:r>
          </w:p>
        </w:tc>
        <w:tc>
          <w:tcPr>
            <w:tcW w:w="14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795,074</w:t>
            </w:r>
          </w:p>
        </w:tc>
        <w:tc>
          <w:tcPr>
            <w:tcW w:w="15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118"/>
        </w:trPr>
        <w:tc>
          <w:tcPr>
            <w:tcW w:w="4900" w:type="dxa"/>
            <w:vAlign w:val="bottom"/>
            <w:vMerge w:val="restart"/>
            <w:shd w:val="clear" w:color="auto" w:fill="D8D8D8"/>
          </w:tcPr>
          <w:p>
            <w:pPr>
              <w:spacing w:after="0"/>
              <w:rPr>
                <w:sz w:val="20"/>
                <w:szCs w:val="20"/>
                <w:color w:val="auto"/>
              </w:rPr>
            </w:pPr>
            <w:r>
              <w:rPr>
                <w:rFonts w:ascii="Arial" w:cs="Arial" w:eastAsia="Arial" w:hAnsi="Arial"/>
                <w:sz w:val="17"/>
                <w:szCs w:val="17"/>
                <w:color w:val="auto"/>
              </w:rPr>
              <w:t>(10 individuals)</w:t>
            </w:r>
          </w:p>
        </w:tc>
        <w:tc>
          <w:tcPr>
            <w:tcW w:w="154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900" w:type="dxa"/>
            <w:vAlign w:val="bottom"/>
            <w:vMerge w:val="continue"/>
            <w:shd w:val="clear" w:color="auto" w:fill="D8D8D8"/>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0820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57" w:lineRule="exact"/>
        <w:rPr>
          <w:sz w:val="20"/>
          <w:szCs w:val="20"/>
          <w:color w:val="auto"/>
        </w:rPr>
      </w:pPr>
    </w:p>
    <w:p>
      <w:pPr>
        <w:ind w:left="520" w:hanging="420"/>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Less than 1%</w:t>
      </w:r>
    </w:p>
    <w:p>
      <w:pPr>
        <w:ind w:left="520" w:hanging="420"/>
        <w:spacing w:after="0" w:line="185" w:lineRule="auto"/>
        <w:tabs>
          <w:tab w:leader="none" w:pos="520" w:val="left"/>
        </w:tabs>
        <w:numPr>
          <w:ilvl w:val="0"/>
          <w:numId w:val="29"/>
        </w:numPr>
        <w:rPr>
          <w:rFonts w:ascii="Arial" w:cs="Arial" w:eastAsia="Arial" w:hAnsi="Arial"/>
          <w:sz w:val="21"/>
          <w:szCs w:val="21"/>
          <w:color w:val="auto"/>
          <w:vertAlign w:val="superscript"/>
        </w:rPr>
      </w:pPr>
      <w:r>
        <w:rPr>
          <w:rFonts w:ascii="Arial" w:cs="Arial" w:eastAsia="Arial" w:hAnsi="Arial"/>
          <w:sz w:val="13"/>
          <w:szCs w:val="13"/>
          <w:color w:val="auto"/>
        </w:rPr>
        <w:t>The address for each of the named individuals is 909 Rose Avenue, Suite 200, North Bethesda, Maryland 20852.</w:t>
      </w:r>
    </w:p>
    <w:p>
      <w:pPr>
        <w:ind w:left="520" w:right="20" w:hanging="420"/>
        <w:spacing w:after="0" w:line="185" w:lineRule="auto"/>
        <w:tabs>
          <w:tab w:leader="none" w:pos="520" w:val="left"/>
        </w:tabs>
        <w:numPr>
          <w:ilvl w:val="0"/>
          <w:numId w:val="29"/>
        </w:numPr>
        <w:rPr>
          <w:rFonts w:ascii="Arial" w:cs="Arial" w:eastAsia="Arial" w:hAnsi="Arial"/>
          <w:sz w:val="26"/>
          <w:szCs w:val="26"/>
          <w:color w:val="auto"/>
          <w:vertAlign w:val="superscript"/>
        </w:rPr>
      </w:pPr>
      <w:r>
        <w:rPr>
          <w:rFonts w:ascii="Arial" w:cs="Arial" w:eastAsia="Arial" w:hAnsi="Arial"/>
          <w:sz w:val="15"/>
          <w:szCs w:val="15"/>
          <w:color w:val="auto"/>
        </w:rPr>
        <w:t>The percentage of outstanding shares owned is calculated by taking the number of shares reflected in the column titled “Total Shares Beneficially Owned” divided by 78,687,588, the total number of shares outstanding on March 14, 2022.</w:t>
      </w:r>
    </w:p>
    <w:p>
      <w:pPr>
        <w:ind w:left="520" w:right="20" w:hanging="420"/>
        <w:spacing w:after="0" w:line="188" w:lineRule="auto"/>
        <w:tabs>
          <w:tab w:leader="none" w:pos="520" w:val="left"/>
        </w:tabs>
        <w:numPr>
          <w:ilvl w:val="0"/>
          <w:numId w:val="29"/>
        </w:numPr>
        <w:rPr>
          <w:rFonts w:ascii="Arial" w:cs="Arial" w:eastAsia="Arial" w:hAnsi="Arial"/>
          <w:sz w:val="26"/>
          <w:szCs w:val="26"/>
          <w:color w:val="auto"/>
          <w:vertAlign w:val="superscript"/>
        </w:rPr>
      </w:pPr>
      <w:r>
        <w:rPr>
          <w:rFonts w:ascii="Arial" w:cs="Arial" w:eastAsia="Arial" w:hAnsi="Arial"/>
          <w:sz w:val="15"/>
          <w:szCs w:val="15"/>
          <w:color w:val="auto"/>
        </w:rPr>
        <w:t>Includes 53,879 shares owned by Stacey Wood Revocable Trust, 183,568 shares owned by Donald C. Wood Revocable Trust, 20,000 shares owned by Great Falls Trust, 46,500 shares owned by Wood Descendants Trust and 60,000 shares owned by IJKR II, LLC.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20"/>
          </w:cols>
          <w:pgMar w:left="640" w:top="284" w:right="639" w:bottom="1440" w:gutter="0" w:footer="0" w:header="0"/>
        </w:sectPr>
      </w:pPr>
    </w:p>
    <w:bookmarkStart w:id="47" w:name="page48"/>
    <w:bookmarkEnd w:id="47"/>
    <w:p>
      <w:pPr>
        <w:ind w:lef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229235</wp:posOffset>
            </wp:positionV>
            <wp:extent cx="674052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40525" cy="33020"/>
                    </a:xfrm>
                    <a:prstGeom prst="rect">
                      <a:avLst/>
                    </a:prstGeom>
                    <a:noFill/>
                  </pic:spPr>
                </pic:pic>
              </a:graphicData>
            </a:graphic>
          </wp:anchor>
        </w:drawing>
        <w:t>Information about the Annual Meeting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Notice of Electronic Availability of Proxy Materials</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We are furnishing proxy materials including this proxy statement and our 2021 Annual Report to Shareholders, including our Annual Report on Form 10-K for the year ended December 31, 2021 (“Annual Report”), to each shareholder by providing access to such documents on the Internet. On or about March 25, 2022,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7"/>
          <w:szCs w:val="17"/>
          <w:i w:val="1"/>
          <w:iCs w:val="1"/>
          <w:u w:val="single" w:color="auto"/>
          <w:color w:val="auto"/>
        </w:rPr>
        <w:t>IR@federalrealty.com</w:t>
      </w:r>
      <w:r>
        <w:rPr>
          <w:rFonts w:ascii="Arial" w:cs="Arial" w:eastAsia="Arial" w:hAnsi="Arial"/>
          <w:sz w:val="17"/>
          <w:szCs w:val="17"/>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Why You are Receiving These Materials</w:t>
      </w:r>
    </w:p>
    <w:p>
      <w:pPr>
        <w:spacing w:after="0" w:line="191"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You are receiving these materials because you owned our shares as of March 14, 2022, the record date established by our Board of Trustees for our Annual Meeting. Everyone who owned our shares as of this date, whether directly as a registered shareholder or indirectly through a bank, broker or other nominee, is entitled to vote at the Annual Meeting. We had 78,687,588 shares outstanding on March 14, 2022. Each share outstanding on the record date is entitled to one vote. A majority of the shares entitled to vote at the Annual Meeting must be present in person or by proxy for us to proceed with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Accessing Materials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Shareholders can access this Proxy Statement, our Annual Report and our other filings with the SEC on the Investors page of our website at </w:t>
      </w:r>
      <w:r>
        <w:rPr>
          <w:rFonts w:ascii="Arial" w:cs="Arial" w:eastAsia="Arial" w:hAnsi="Arial"/>
          <w:sz w:val="17"/>
          <w:szCs w:val="17"/>
          <w:i w:val="1"/>
          <w:iCs w:val="1"/>
          <w:u w:val="single" w:color="auto"/>
          <w:color w:val="auto"/>
        </w:rPr>
        <w:t>www.federalrealty.com</w:t>
      </w:r>
      <w:r>
        <w:rPr>
          <w:rFonts w:ascii="Arial" w:cs="Arial" w:eastAsia="Arial" w:hAnsi="Arial"/>
          <w:sz w:val="17"/>
          <w:szCs w:val="17"/>
          <w:i w:val="1"/>
          <w:iCs w:val="1"/>
          <w:color w:val="auto"/>
        </w:rPr>
        <w:t>.</w:t>
      </w:r>
      <w:r>
        <w:rPr>
          <w:rFonts w:ascii="Arial" w:cs="Arial" w:eastAsia="Arial" w:hAnsi="Arial"/>
          <w:sz w:val="17"/>
          <w:szCs w:val="17"/>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55" w:lineRule="exact"/>
        <w:rPr>
          <w:sz w:val="20"/>
          <w:szCs w:val="20"/>
          <w:color w:val="auto"/>
        </w:rPr>
      </w:pPr>
    </w:p>
    <w:p>
      <w:pPr>
        <w:jc w:val="both"/>
        <w:ind w:right="20"/>
        <w:spacing w:after="0" w:line="245" w:lineRule="auto"/>
        <w:rPr>
          <w:sz w:val="20"/>
          <w:szCs w:val="20"/>
          <w:color w:val="auto"/>
        </w:rPr>
      </w:pPr>
      <w:r>
        <w:rPr>
          <w:rFonts w:ascii="Arial" w:cs="Arial" w:eastAsia="Arial" w:hAnsi="Arial"/>
          <w:sz w:val="17"/>
          <w:szCs w:val="17"/>
          <w:color w:val="auto"/>
        </w:rPr>
        <w:t>In the future, if you wish to receive paper copies of our proxy materials, without charge, and are a registered shareholder, you may do so by written request addressed to American Stock Transfer and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How to Vote</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115570</wp:posOffset>
            </wp:positionV>
            <wp:extent cx="4807585" cy="7105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07585" cy="71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20"/>
          </w:cols>
          <w:pgMar w:left="640" w:top="417" w:right="639" w:bottom="1440" w:gutter="0" w:footer="0" w:header="0"/>
        </w:sectPr>
      </w:pPr>
    </w:p>
    <w:bookmarkStart w:id="48" w:name="page49"/>
    <w:bookmarkEnd w:id="48"/>
    <w:p>
      <w:pPr>
        <w:jc w:val="both"/>
        <w:ind w:right="20"/>
        <w:spacing w:after="0" w:line="2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your vote will NOT be counted for those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You are urged to vote either by telephone (1-800-PROXIES or 1-800-776-9437) or on the Internet (</w:t>
      </w:r>
      <w:r>
        <w:rPr>
          <w:rFonts w:ascii="Arial" w:cs="Arial" w:eastAsia="Arial" w:hAnsi="Arial"/>
          <w:sz w:val="17"/>
          <w:szCs w:val="17"/>
          <w:u w:val="single" w:color="auto"/>
          <w:color w:val="auto"/>
        </w:rPr>
        <w:t>www.voteproxy.com</w:t>
      </w:r>
      <w:r>
        <w:rPr>
          <w:rFonts w:ascii="Arial" w:cs="Arial" w:eastAsia="Arial" w:hAnsi="Arial"/>
          <w:sz w:val="17"/>
          <w:szCs w:val="17"/>
          <w:color w:val="auto"/>
        </w:rPr>
        <w:t>)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How to Participate in the Annual Meeting</w:t>
      </w:r>
    </w:p>
    <w:p>
      <w:pPr>
        <w:spacing w:after="0" w:line="204"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You will be able to join our Annual Meeting as either a shareholder or a guest. All registered shareholders and shareholders that own in “street name” will be able to ask questions and vote their shares at the meeting by following the instructions below. Guests will be permitted to join the meeting but will not be permitted to ask questions.</w:t>
      </w:r>
    </w:p>
    <w:p>
      <w:pPr>
        <w:spacing w:after="0" w:line="133"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 xml:space="preserve">You can access the Annual Meeting by joining through this link: </w:t>
      </w:r>
      <w:r>
        <w:rPr>
          <w:rFonts w:ascii="Arial" w:cs="Arial" w:eastAsia="Arial" w:hAnsi="Arial"/>
          <w:sz w:val="17"/>
          <w:szCs w:val="17"/>
          <w:i w:val="1"/>
          <w:iCs w:val="1"/>
          <w:u w:val="single" w:color="auto"/>
          <w:color w:val="auto"/>
        </w:rPr>
        <w:t>https://web.lumiagm.com/202329683</w:t>
      </w:r>
      <w:r>
        <w:rPr>
          <w:rFonts w:ascii="Arial" w:cs="Arial" w:eastAsia="Arial" w:hAnsi="Arial"/>
          <w:sz w:val="17"/>
          <w:szCs w:val="17"/>
          <w:i w:val="1"/>
          <w:iCs w:val="1"/>
          <w:color w:val="auto"/>
        </w:rPr>
        <w:t>.</w:t>
      </w:r>
      <w:r>
        <w:rPr>
          <w:rFonts w:ascii="Arial" w:cs="Arial" w:eastAsia="Arial" w:hAnsi="Arial"/>
          <w:sz w:val="17"/>
          <w:szCs w:val="17"/>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17"/>
          <w:szCs w:val="17"/>
          <w:i w:val="1"/>
          <w:iCs w:val="1"/>
          <w:color w:val="auto"/>
        </w:rPr>
        <w:t>federal2022</w:t>
      </w:r>
      <w:r>
        <w:rPr>
          <w:rFonts w:ascii="Arial" w:cs="Arial" w:eastAsia="Arial" w:hAnsi="Arial"/>
          <w:sz w:val="17"/>
          <w:szCs w:val="17"/>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must be received by American Stock Transfer &amp; Trust Company, LLC no later than 5:00 p.m. local time on April 29, 2022. You will receive a confirmation of your registration by email from American Stock Transfer and &amp; Trust Company, LLC after they receive your registration materials. The email will also include a control number so that you can ask a question or vote at the Annual Meeting by clicking on “I have a control number”. Shareholders who hold shares in “street name” will not be able to vote your shares or ask questions without first completing this registration process. Once you are in the meeting, you can vote your shares by clicking on the Shareholder Central link on the screen to submit your ballot. You may also continue to vote using the instructions provided in the Proxy Materials until the Annual Meeting concludes.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620"/>
          </w:cols>
          <w:pgMar w:left="640" w:top="282" w:right="639" w:bottom="1440" w:gutter="0" w:footer="0" w:header="0"/>
        </w:sectPr>
      </w:pPr>
    </w:p>
    <w:bookmarkStart w:id="49" w:name="page50"/>
    <w:bookmarkEnd w:id="49"/>
    <w:p>
      <w:pPr>
        <w:jc w:val="both"/>
        <w:ind w:right="20"/>
        <w:spacing w:after="0" w:line="24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4, 2022,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7"/>
          <w:szCs w:val="17"/>
          <w:i w:val="1"/>
          <w:iCs w:val="1"/>
          <w:u w:val="single" w:color="auto"/>
          <w:color w:val="auto"/>
        </w:rPr>
        <w:t>https://go.lumiglobal.com/faq</w:t>
      </w:r>
      <w:r>
        <w:rPr>
          <w:rFonts w:ascii="Arial" w:cs="Arial" w:eastAsia="Arial" w:hAnsi="Arial"/>
          <w:sz w:val="17"/>
          <w:szCs w:val="17"/>
          <w:color w:val="auto"/>
        </w:rPr>
        <w:t xml:space="preserve"> or call 718-931-8300, ext. 6449.</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Eliminating Duplicative Proxy Materials</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7"/>
          <w:szCs w:val="17"/>
          <w:i w:val="1"/>
          <w:iCs w:val="1"/>
          <w:u w:val="single" w:color="auto"/>
          <w:color w:val="auto"/>
        </w:rPr>
        <w:t>IR@federalrealty.com</w:t>
      </w:r>
      <w:r>
        <w:rPr>
          <w:rFonts w:ascii="Arial" w:cs="Arial" w:eastAsia="Arial" w:hAnsi="Arial"/>
          <w:sz w:val="17"/>
          <w:szCs w:val="17"/>
          <w:i w:val="1"/>
          <w:iCs w:val="1"/>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Solicitation of Proxies</w:t>
      </w:r>
    </w:p>
    <w:p>
      <w:pPr>
        <w:spacing w:after="0" w:line="191"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168"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FF160F"/>
        </w:rPr>
        <w:t>Shareholder Proposals for the 2023 Annual Meeting</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This solicitation is made by the Company on behalf of the Board. Proposals of shareholders intended to be presented at the 2023 Annual Meeting of Shareholders, including nominations for persons for election to the Board of Trustees, must be delivered to us at 909 Rose Avenue, Suite 200, North Bethesda, Maryland 20852, Attention: Corporate Secretary and received by us no later than November 25, 2022 to be considered for inclusion in our proxy statement and form of proxy relating to such meeting. All proposals must comply with the requirements set forth in our Bylaws and the federal securities laws, including Rule 14a-8, in order to be included in the Company’s proxy statement and proxy card for the 2023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620"/>
          </w:cols>
          <w:pgMar w:left="640" w:top="282" w:right="639" w:bottom="1440" w:gutter="0" w:footer="0" w:header="0"/>
        </w:sectPr>
      </w:pPr>
    </w:p>
    <w:bookmarkStart w:id="50" w:name="page51"/>
    <w:bookmarkEnd w:id="50"/>
    <w:p>
      <w:pPr>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If you want to present a proposal for the 2023 Annual Meeting but do not wish to have it included in the proxy statement and proxy card, you must provide written notice to us no later than November 25, 2022 at the same address as set forth above.</w:t>
      </w:r>
    </w:p>
    <w:p>
      <w:pPr>
        <w:spacing w:after="0" w:line="207"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41275</wp:posOffset>
            </wp:positionV>
            <wp:extent cx="933450" cy="272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3450" cy="272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Dawn M. Becker</w:t>
      </w:r>
    </w:p>
    <w:p>
      <w:pPr>
        <w:ind w:left="6380"/>
        <w:spacing w:after="0"/>
        <w:rPr>
          <w:sz w:val="20"/>
          <w:szCs w:val="20"/>
          <w:color w:val="auto"/>
        </w:rPr>
      </w:pPr>
      <w:r>
        <w:rPr>
          <w:rFonts w:ascii="Arial" w:cs="Arial" w:eastAsia="Arial" w:hAnsi="Arial"/>
          <w:sz w:val="17"/>
          <w:szCs w:val="17"/>
          <w:i w:val="1"/>
          <w:iCs w:val="1"/>
          <w:color w:val="auto"/>
        </w:rPr>
        <w:t>Executive Vice President—General</w:t>
      </w:r>
    </w:p>
    <w:p>
      <w:pPr>
        <w:ind w:left="6380"/>
        <w:spacing w:after="0"/>
        <w:rPr>
          <w:sz w:val="20"/>
          <w:szCs w:val="20"/>
          <w:color w:val="auto"/>
        </w:rPr>
      </w:pPr>
      <w:r>
        <w:rPr>
          <w:rFonts w:ascii="Arial" w:cs="Arial" w:eastAsia="Arial" w:hAnsi="Arial"/>
          <w:sz w:val="17"/>
          <w:szCs w:val="17"/>
          <w:i w:val="1"/>
          <w:iCs w:val="1"/>
          <w:color w:val="auto"/>
        </w:rPr>
        <w:t>Counsel and Secretary</w:t>
      </w:r>
    </w:p>
    <w:p>
      <w:pPr>
        <w:spacing w:after="0" w:line="220"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Federal Realty Investment Trust</w:t>
      </w:r>
    </w:p>
    <w:p>
      <w:pPr>
        <w:ind w:left="6380"/>
        <w:spacing w:after="0"/>
        <w:rPr>
          <w:sz w:val="20"/>
          <w:szCs w:val="20"/>
          <w:color w:val="auto"/>
        </w:rPr>
      </w:pPr>
      <w:r>
        <w:rPr>
          <w:rFonts w:ascii="Arial" w:cs="Arial" w:eastAsia="Arial" w:hAnsi="Arial"/>
          <w:sz w:val="17"/>
          <w:szCs w:val="17"/>
          <w:color w:val="auto"/>
        </w:rPr>
        <w:t>909 Rose Avenue, Suite 200</w:t>
      </w:r>
    </w:p>
    <w:p>
      <w:pPr>
        <w:ind w:left="6380"/>
        <w:spacing w:after="0"/>
        <w:rPr>
          <w:sz w:val="20"/>
          <w:szCs w:val="20"/>
          <w:color w:val="auto"/>
        </w:rPr>
      </w:pPr>
      <w:r>
        <w:rPr>
          <w:rFonts w:ascii="Arial" w:cs="Arial" w:eastAsia="Arial" w:hAnsi="Arial"/>
          <w:sz w:val="17"/>
          <w:szCs w:val="17"/>
          <w:color w:val="auto"/>
        </w:rPr>
        <w:t>North Bethesda, Maryland 20852</w:t>
      </w:r>
    </w:p>
    <w:p>
      <w:pPr>
        <w:spacing w:after="0" w:line="160" w:lineRule="exact"/>
        <w:rPr>
          <w:sz w:val="20"/>
          <w:szCs w:val="20"/>
          <w:color w:val="auto"/>
        </w:rPr>
      </w:pPr>
    </w:p>
    <w:p>
      <w:pPr>
        <w:jc w:val="center"/>
        <w:ind w:left="660" w:right="540"/>
        <w:spacing w:after="0" w:line="458" w:lineRule="auto"/>
        <w:rPr>
          <w:sz w:val="20"/>
          <w:szCs w:val="20"/>
          <w:color w:val="auto"/>
        </w:rPr>
      </w:pPr>
      <w:r>
        <w:rPr>
          <w:rFonts w:ascii="Arial" w:cs="Arial" w:eastAsia="Arial" w:hAnsi="Arial"/>
          <w:sz w:val="17"/>
          <w:szCs w:val="17"/>
          <w:b w:val="1"/>
          <w:bCs w:val="1"/>
          <w:color w:val="auto"/>
        </w:rPr>
        <w:t xml:space="preserve">YOUR PROXY IS IMPORTANT REGARDLESS OF THE NUMBER OF SHARES YOU OWN. PLEASE SUBMIT IT TODAY. </w:t>
      </w:r>
      <w:r>
        <w:rPr>
          <w:rFonts w:ascii="Arial" w:cs="Arial" w:eastAsia="Arial" w:hAnsi="Arial"/>
          <w:sz w:val="17"/>
          <w:szCs w:val="17"/>
          <w:color w:val="auto"/>
        </w:rPr>
        <w:t>46</w:t>
      </w:r>
    </w:p>
    <w:p>
      <w:pPr>
        <w:sectPr>
          <w:pgSz w:w="11900" w:h="16838" w:orient="portrait"/>
          <w:cols w:equalWidth="0" w:num="1">
            <w:col w:w="10600"/>
          </w:cols>
          <w:pgMar w:left="640" w:top="282" w:right="659" w:bottom="1440" w:gutter="0" w:footer="0" w:header="0"/>
        </w:sectPr>
      </w:pPr>
    </w:p>
    <w:bookmarkStart w:id="51" w:name="page52"/>
    <w:bookmarkEnd w:id="51"/>
    <w:p>
      <w:pPr>
        <w:jc w:val="center"/>
        <w:ind w:righ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Appendix A</w:t>
      </w:r>
    </w:p>
    <w:p>
      <w:pPr>
        <w:jc w:val="center"/>
        <w:ind w:right="-3"/>
        <w:spacing w:after="0"/>
        <w:rPr>
          <w:sz w:val="20"/>
          <w:szCs w:val="20"/>
          <w:color w:val="auto"/>
        </w:rPr>
      </w:pPr>
      <w:r>
        <w:rPr>
          <w:rFonts w:ascii="Arial" w:cs="Arial" w:eastAsia="Arial" w:hAnsi="Arial"/>
          <w:sz w:val="17"/>
          <w:szCs w:val="17"/>
          <w:color w:val="auto"/>
        </w:rPr>
        <w:t>Reconciliation of Non-GAAP Financial Measures</w:t>
      </w:r>
    </w:p>
    <w:p>
      <w:pPr>
        <w:spacing w:after="0" w:line="312" w:lineRule="exact"/>
        <w:rPr>
          <w:sz w:val="20"/>
          <w:szCs w:val="20"/>
          <w:color w:val="auto"/>
        </w:rPr>
      </w:pPr>
    </w:p>
    <w:p>
      <w:pPr>
        <w:ind w:left="4"/>
        <w:spacing w:after="0"/>
        <w:rPr>
          <w:sz w:val="20"/>
          <w:szCs w:val="20"/>
          <w:color w:val="auto"/>
        </w:rPr>
      </w:pPr>
      <w:r>
        <w:rPr>
          <w:rFonts w:ascii="Arial" w:cs="Arial" w:eastAsia="Arial" w:hAnsi="Arial"/>
          <w:sz w:val="17"/>
          <w:szCs w:val="17"/>
          <w:color w:val="auto"/>
        </w:rPr>
        <w:t>Funds from Operations:</w:t>
      </w:r>
    </w:p>
    <w:p>
      <w:pPr>
        <w:spacing w:after="0" w:line="143" w:lineRule="exact"/>
        <w:rPr>
          <w:sz w:val="20"/>
          <w:szCs w:val="20"/>
          <w:color w:val="auto"/>
        </w:rPr>
      </w:pPr>
    </w:p>
    <w:p>
      <w:pPr>
        <w:jc w:val="both"/>
        <w:ind w:left="4"/>
        <w:spacing w:after="0"/>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It should be noted that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fund cash needs, including the payment of dividends.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5"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25" w:lineRule="exact"/>
        <w:rPr>
          <w:sz w:val="20"/>
          <w:szCs w:val="20"/>
          <w:color w:val="auto"/>
        </w:rPr>
      </w:pPr>
    </w:p>
    <w:p>
      <w:pPr>
        <w:jc w:val="both"/>
        <w:ind w:left="4" w:right="20"/>
        <w:spacing w:after="0" w:line="248" w:lineRule="auto"/>
        <w:rPr>
          <w:sz w:val="20"/>
          <w:szCs w:val="20"/>
          <w:color w:val="auto"/>
        </w:rPr>
      </w:pPr>
      <w:r>
        <w:rPr>
          <w:rFonts w:ascii="Arial" w:cs="Arial" w:eastAsia="Arial" w:hAnsi="Arial"/>
          <w:sz w:val="17"/>
          <w:szCs w:val="17"/>
          <w:color w:val="auto"/>
        </w:rPr>
        <w:t>The reconciliation of net income to FFO available for common shareholders for the years ended December 31, 2021 and 2020 is as follows:</w:t>
      </w:r>
    </w:p>
    <w:p>
      <w:pPr>
        <w:spacing w:after="0" w:line="330"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ind w:left="80"/>
              <w:spacing w:after="0" w:line="153" w:lineRule="exact"/>
              <w:rPr>
                <w:sz w:val="20"/>
                <w:szCs w:val="20"/>
                <w:color w:val="auto"/>
              </w:rPr>
            </w:pPr>
            <w:r>
              <w:rPr>
                <w:rFonts w:ascii="Arial" w:cs="Arial" w:eastAsia="Arial" w:hAnsi="Arial"/>
                <w:sz w:val="15"/>
                <w:szCs w:val="15"/>
                <w:color w:val="auto"/>
              </w:rPr>
              <w:t>(in thousands, except per</w:t>
            </w:r>
          </w:p>
        </w:tc>
        <w:tc>
          <w:tcPr>
            <w:tcW w:w="0" w:type="dxa"/>
            <w:vAlign w:val="bottom"/>
          </w:tcPr>
          <w:p>
            <w:pPr>
              <w:spacing w:after="0"/>
              <w:rPr>
                <w:sz w:val="1"/>
                <w:szCs w:val="1"/>
                <w:color w:val="auto"/>
              </w:rPr>
            </w:pPr>
          </w:p>
        </w:tc>
      </w:tr>
      <w:tr>
        <w:trPr>
          <w:trHeight w:val="17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share data)</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269,081</w:t>
            </w:r>
          </w:p>
        </w:tc>
        <w:tc>
          <w:tcPr>
            <w:tcW w:w="460" w:type="dxa"/>
            <w:vAlign w:val="bottom"/>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135,888</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tcPr>
          <w:p>
            <w:pPr>
              <w:spacing w:after="0" w:line="182" w:lineRule="exact"/>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line="182" w:lineRule="exact"/>
              <w:rPr>
                <w:sz w:val="20"/>
                <w:szCs w:val="20"/>
                <w:color w:val="auto"/>
              </w:rPr>
            </w:pPr>
            <w:r>
              <w:rPr>
                <w:rFonts w:ascii="Arial" w:cs="Arial" w:eastAsia="Arial" w:hAnsi="Arial"/>
                <w:sz w:val="16"/>
                <w:szCs w:val="16"/>
                <w:color w:val="auto"/>
              </w:rPr>
              <w:t>(7,583)</w:t>
            </w:r>
          </w:p>
        </w:tc>
        <w:tc>
          <w:tcPr>
            <w:tcW w:w="46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line="182" w:lineRule="exact"/>
              <w:rPr>
                <w:sz w:val="20"/>
                <w:szCs w:val="20"/>
                <w:color w:val="auto"/>
              </w:rPr>
            </w:pPr>
            <w:r>
              <w:rPr>
                <w:rFonts w:ascii="Arial" w:cs="Arial" w:eastAsia="Arial" w:hAnsi="Arial"/>
                <w:sz w:val="16"/>
                <w:szCs w:val="16"/>
                <w:color w:val="auto"/>
              </w:rPr>
              <w:t>(4,182)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spacing w:after="0" w:line="182" w:lineRule="exact"/>
              <w:rPr>
                <w:sz w:val="20"/>
                <w:szCs w:val="20"/>
                <w:color w:val="auto"/>
              </w:rPr>
            </w:pPr>
            <w:r>
              <w:rPr>
                <w:rFonts w:ascii="Arial" w:cs="Arial" w:eastAsia="Arial" w:hAnsi="Arial"/>
                <w:sz w:val="16"/>
                <w:szCs w:val="16"/>
                <w:color w:val="auto"/>
              </w:rPr>
              <w:t>Gain on sale of real estate and change in control of interests, net</w:t>
            </w:r>
          </w:p>
        </w:tc>
        <w:tc>
          <w:tcPr>
            <w:tcW w:w="2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(89,892)</w:t>
            </w:r>
          </w:p>
        </w:tc>
        <w:tc>
          <w:tcPr>
            <w:tcW w:w="460" w:type="dxa"/>
            <w:vAlign w:val="bottom"/>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(91,922)</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tcPr>
          <w:p>
            <w:pPr>
              <w:spacing w:after="0" w:line="182" w:lineRule="exact"/>
              <w:rPr>
                <w:sz w:val="20"/>
                <w:szCs w:val="20"/>
                <w:color w:val="auto"/>
              </w:rPr>
            </w:pPr>
            <w:r>
              <w:rPr>
                <w:rFonts w:ascii="Arial" w:cs="Arial" w:eastAsia="Arial" w:hAnsi="Arial"/>
                <w:sz w:val="16"/>
                <w:szCs w:val="16"/>
                <w:color w:val="auto"/>
              </w:rPr>
              <w:t>Impairment charge, net</w:t>
            </w:r>
          </w:p>
        </w:tc>
        <w:tc>
          <w:tcPr>
            <w:tcW w:w="220" w:type="dxa"/>
            <w:vAlign w:val="bottom"/>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line="182"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line="182" w:lineRule="exact"/>
              <w:rPr>
                <w:sz w:val="20"/>
                <w:szCs w:val="20"/>
                <w:color w:val="auto"/>
              </w:rPr>
            </w:pPr>
            <w:r>
              <w:rPr>
                <w:rFonts w:ascii="Arial" w:cs="Arial" w:eastAsia="Arial" w:hAnsi="Arial"/>
                <w:sz w:val="16"/>
                <w:szCs w:val="16"/>
                <w:color w:val="auto"/>
              </w:rPr>
              <w:t>50,728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spacing w:after="0" w:line="182" w:lineRule="exact"/>
              <w:rPr>
                <w:sz w:val="20"/>
                <w:szCs w:val="20"/>
                <w:color w:val="auto"/>
              </w:rPr>
            </w:pPr>
            <w:r>
              <w:rPr>
                <w:rFonts w:ascii="Arial" w:cs="Arial" w:eastAsia="Arial" w:hAnsi="Arial"/>
                <w:sz w:val="16"/>
                <w:szCs w:val="16"/>
                <w:color w:val="auto"/>
              </w:rPr>
              <w:t>Depreciation and amortization of real estate assets</w:t>
            </w:r>
          </w:p>
        </w:tc>
        <w:tc>
          <w:tcPr>
            <w:tcW w:w="2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243,711</w:t>
            </w:r>
          </w:p>
        </w:tc>
        <w:tc>
          <w:tcPr>
            <w:tcW w:w="460" w:type="dxa"/>
            <w:vAlign w:val="bottom"/>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228,850</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00" w:type="dxa"/>
            <w:vAlign w:val="bottom"/>
            <w:gridSpan w:val="2"/>
          </w:tcPr>
          <w:p>
            <w:pPr>
              <w:spacing w:after="0" w:line="182" w:lineRule="exact"/>
              <w:rPr>
                <w:sz w:val="20"/>
                <w:szCs w:val="20"/>
                <w:color w:val="auto"/>
              </w:rPr>
            </w:pPr>
            <w:r>
              <w:rPr>
                <w:rFonts w:ascii="Arial" w:cs="Arial" w:eastAsia="Arial" w:hAnsi="Arial"/>
                <w:sz w:val="16"/>
                <w:szCs w:val="16"/>
                <w:color w:val="auto"/>
              </w:rPr>
              <w:t>Amortization of initial direct costs of leases</w:t>
            </w:r>
          </w:p>
        </w:tc>
        <w:tc>
          <w:tcPr>
            <w:tcW w:w="2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26,051</w:t>
            </w:r>
          </w:p>
        </w:tc>
        <w:tc>
          <w:tcPr>
            <w:tcW w:w="46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20,415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ind w:left="160"/>
              <w:spacing w:after="0" w:line="182" w:lineRule="exact"/>
              <w:rPr>
                <w:sz w:val="20"/>
                <w:szCs w:val="20"/>
                <w:color w:val="auto"/>
              </w:rPr>
            </w:pPr>
            <w:r>
              <w:rPr>
                <w:rFonts w:ascii="Arial" w:cs="Arial" w:eastAsia="Arial" w:hAnsi="Arial"/>
                <w:sz w:val="16"/>
                <w:szCs w:val="16"/>
                <w:color w:val="auto"/>
              </w:rPr>
              <w:t>Funds from operations</w:t>
            </w:r>
          </w:p>
        </w:tc>
        <w:tc>
          <w:tcPr>
            <w:tcW w:w="2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441,368</w:t>
            </w:r>
          </w:p>
        </w:tc>
        <w:tc>
          <w:tcPr>
            <w:tcW w:w="460" w:type="dxa"/>
            <w:vAlign w:val="bottom"/>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339,777</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tcPr>
          <w:p>
            <w:pPr>
              <w:spacing w:after="0" w:line="182" w:lineRule="exact"/>
              <w:rPr>
                <w:sz w:val="20"/>
                <w:szCs w:val="20"/>
                <w:color w:val="auto"/>
              </w:rPr>
            </w:pPr>
            <w:r>
              <w:rPr>
                <w:rFonts w:ascii="Arial" w:cs="Arial" w:eastAsia="Arial" w:hAnsi="Arial"/>
                <w:sz w:val="16"/>
                <w:szCs w:val="16"/>
                <w:color w:val="auto"/>
              </w:rPr>
              <w:t>Dividends on preferred shares</w:t>
            </w:r>
          </w:p>
        </w:tc>
        <w:tc>
          <w:tcPr>
            <w:tcW w:w="220" w:type="dxa"/>
            <w:vAlign w:val="bottom"/>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82"/>
              <w:spacing w:after="0" w:line="182" w:lineRule="exact"/>
              <w:rPr>
                <w:sz w:val="20"/>
                <w:szCs w:val="20"/>
                <w:color w:val="auto"/>
              </w:rPr>
            </w:pPr>
            <w:r>
              <w:rPr>
                <w:rFonts w:ascii="Arial" w:cs="Arial" w:eastAsia="Arial" w:hAnsi="Arial"/>
                <w:sz w:val="16"/>
                <w:szCs w:val="16"/>
                <w:color w:val="auto"/>
              </w:rPr>
              <w:t>(8,042)</w:t>
            </w:r>
          </w:p>
        </w:tc>
        <w:tc>
          <w:tcPr>
            <w:tcW w:w="460" w:type="dxa"/>
            <w:vAlign w:val="bottom"/>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line="182" w:lineRule="exact"/>
              <w:rPr>
                <w:sz w:val="20"/>
                <w:szCs w:val="20"/>
                <w:color w:val="auto"/>
              </w:rPr>
            </w:pPr>
            <w:r>
              <w:rPr>
                <w:rFonts w:ascii="Arial" w:cs="Arial" w:eastAsia="Arial" w:hAnsi="Arial"/>
                <w:sz w:val="16"/>
                <w:szCs w:val="16"/>
                <w:color w:val="auto"/>
              </w:rPr>
              <w:t>(8,042)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spacing w:after="0" w:line="182" w:lineRule="exact"/>
              <w:rPr>
                <w:sz w:val="20"/>
                <w:szCs w:val="20"/>
                <w:color w:val="auto"/>
              </w:rPr>
            </w:pPr>
            <w:r>
              <w:rPr>
                <w:rFonts w:ascii="Arial" w:cs="Arial" w:eastAsia="Arial" w:hAnsi="Arial"/>
                <w:sz w:val="16"/>
                <w:szCs w:val="16"/>
                <w:color w:val="auto"/>
              </w:rPr>
              <w:t>Income attributable to operating partnership units</w:t>
            </w:r>
          </w:p>
        </w:tc>
        <w:tc>
          <w:tcPr>
            <w:tcW w:w="2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2,998</w:t>
            </w:r>
          </w:p>
        </w:tc>
        <w:tc>
          <w:tcPr>
            <w:tcW w:w="460" w:type="dxa"/>
            <w:vAlign w:val="bottom"/>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3,151</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00" w:type="dxa"/>
            <w:vAlign w:val="bottom"/>
            <w:gridSpan w:val="2"/>
          </w:tcPr>
          <w:p>
            <w:pPr>
              <w:spacing w:after="0" w:line="182" w:lineRule="exact"/>
              <w:rPr>
                <w:sz w:val="20"/>
                <w:szCs w:val="20"/>
                <w:color w:val="auto"/>
              </w:rPr>
            </w:pPr>
            <w:r>
              <w:rPr>
                <w:rFonts w:ascii="Arial" w:cs="Arial" w:eastAsia="Arial" w:hAnsi="Arial"/>
                <w:sz w:val="16"/>
                <w:szCs w:val="16"/>
                <w:color w:val="auto"/>
              </w:rPr>
              <w:t>Income attributable to unvested shares</w:t>
            </w:r>
          </w:p>
        </w:tc>
        <w:tc>
          <w:tcPr>
            <w:tcW w:w="2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(1,581)</w:t>
            </w:r>
          </w:p>
        </w:tc>
        <w:tc>
          <w:tcPr>
            <w:tcW w:w="46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(1,037)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gridSpan w:val="2"/>
            <w:shd w:val="clear" w:color="auto" w:fill="EAEFED"/>
          </w:tcPr>
          <w:p>
            <w:pPr>
              <w:ind w:left="160"/>
              <w:spacing w:after="0" w:line="183" w:lineRule="exact"/>
              <w:rPr>
                <w:sz w:val="20"/>
                <w:szCs w:val="20"/>
                <w:color w:val="auto"/>
              </w:rPr>
            </w:pPr>
            <w:r>
              <w:rPr>
                <w:rFonts w:ascii="Arial" w:cs="Arial" w:eastAsia="Arial" w:hAnsi="Arial"/>
                <w:sz w:val="13"/>
                <w:szCs w:val="13"/>
                <w:color w:val="auto"/>
              </w:rPr>
              <w:t>Funds from operations available for common shareholders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AEFED"/>
          </w:tcPr>
          <w:p>
            <w:pPr>
              <w:jc w:val="right"/>
              <w:ind w:right="82"/>
              <w:spacing w:after="0" w:line="182" w:lineRule="exact"/>
              <w:rPr>
                <w:sz w:val="20"/>
                <w:szCs w:val="20"/>
                <w:color w:val="auto"/>
              </w:rPr>
            </w:pPr>
            <w:r>
              <w:rPr>
                <w:rFonts w:ascii="Arial" w:cs="Arial" w:eastAsia="Arial" w:hAnsi="Arial"/>
                <w:sz w:val="16"/>
                <w:szCs w:val="16"/>
                <w:color w:val="auto"/>
              </w:rPr>
              <w:t>434,743</w:t>
            </w:r>
          </w:p>
        </w:tc>
        <w:tc>
          <w:tcPr>
            <w:tcW w:w="460" w:type="dxa"/>
            <w:vAlign w:val="bottom"/>
            <w:tcBorders>
              <w:bottom w:val="single" w:sz="8" w:color="auto"/>
            </w:tcBorders>
            <w:shd w:val="clear" w:color="auto" w:fill="EAEFED"/>
          </w:tcPr>
          <w:p>
            <w:pPr>
              <w:jc w:val="right"/>
              <w:ind w:right="14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AEFED"/>
          </w:tcPr>
          <w:p>
            <w:pPr>
              <w:jc w:val="right"/>
              <w:ind w:right="2"/>
              <w:spacing w:after="0" w:line="182" w:lineRule="exact"/>
              <w:rPr>
                <w:sz w:val="20"/>
                <w:szCs w:val="20"/>
                <w:color w:val="auto"/>
              </w:rPr>
            </w:pPr>
            <w:r>
              <w:rPr>
                <w:rFonts w:ascii="Arial" w:cs="Arial" w:eastAsia="Arial" w:hAnsi="Arial"/>
                <w:sz w:val="16"/>
                <w:szCs w:val="16"/>
                <w:color w:val="auto"/>
              </w:rPr>
              <w:t>333,849</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line="214" w:lineRule="exact"/>
              <w:rPr>
                <w:sz w:val="20"/>
                <w:szCs w:val="20"/>
                <w:color w:val="auto"/>
              </w:rPr>
            </w:pPr>
            <w:r>
              <w:rPr>
                <w:rFonts w:ascii="Arial" w:cs="Arial" w:eastAsia="Arial" w:hAnsi="Arial"/>
                <w:sz w:val="15"/>
                <w:szCs w:val="15"/>
                <w:color w:val="auto"/>
              </w:rPr>
              <w:t>Weighted average number of common shares, diluted</w:t>
            </w:r>
            <w:r>
              <w:rPr>
                <w:rFonts w:ascii="Arial" w:cs="Arial" w:eastAsia="Arial" w:hAnsi="Arial"/>
                <w:sz w:val="24"/>
                <w:szCs w:val="24"/>
                <w:color w:val="auto"/>
                <w:vertAlign w:val="superscript"/>
              </w:rPr>
              <w:t>(1)(2)</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0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2"/>
              <w:spacing w:after="0" w:line="175" w:lineRule="exact"/>
              <w:rPr>
                <w:sz w:val="20"/>
                <w:szCs w:val="20"/>
                <w:color w:val="auto"/>
              </w:rPr>
            </w:pPr>
            <w:r>
              <w:rPr>
                <w:rFonts w:ascii="Arial" w:cs="Arial" w:eastAsia="Arial" w:hAnsi="Arial"/>
                <w:sz w:val="16"/>
                <w:szCs w:val="16"/>
                <w:color w:val="auto"/>
              </w:rPr>
              <w:t>78,072</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line="175" w:lineRule="exact"/>
              <w:rPr>
                <w:sz w:val="20"/>
                <w:szCs w:val="20"/>
                <w:color w:val="auto"/>
              </w:rPr>
            </w:pPr>
            <w:r>
              <w:rPr>
                <w:rFonts w:ascii="Arial" w:cs="Arial" w:eastAsia="Arial" w:hAnsi="Arial"/>
                <w:sz w:val="16"/>
                <w:szCs w:val="16"/>
                <w:color w:val="auto"/>
              </w:rPr>
              <w:t>76,261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00" w:type="dxa"/>
            <w:vAlign w:val="bottom"/>
            <w:gridSpan w:val="2"/>
            <w:shd w:val="clear" w:color="auto" w:fill="EAEFED"/>
          </w:tcPr>
          <w:p>
            <w:pPr>
              <w:spacing w:after="0" w:line="174" w:lineRule="exact"/>
              <w:rPr>
                <w:sz w:val="20"/>
                <w:szCs w:val="20"/>
                <w:color w:val="auto"/>
              </w:rPr>
            </w:pPr>
            <w:r>
              <w:rPr>
                <w:rFonts w:ascii="Arial" w:cs="Arial" w:eastAsia="Arial" w:hAnsi="Arial"/>
                <w:sz w:val="13"/>
                <w:szCs w:val="13"/>
                <w:color w:val="auto"/>
              </w:rPr>
              <w:t>Funds from operations available for common shareholders, per diluted share</w:t>
            </w:r>
            <w:r>
              <w:rPr>
                <w:rFonts w:ascii="Arial" w:cs="Arial" w:eastAsia="Arial" w:hAnsi="Arial"/>
                <w:sz w:val="20"/>
                <w:szCs w:val="20"/>
                <w:color w:val="auto"/>
                <w:vertAlign w:val="superscript"/>
              </w:rPr>
              <w:t>(1)</w:t>
            </w:r>
          </w:p>
        </w:tc>
        <w:tc>
          <w:tcPr>
            <w:tcW w:w="220" w:type="dxa"/>
            <w:vAlign w:val="bottom"/>
            <w:shd w:val="clear" w:color="auto" w:fill="EAEFED"/>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shd w:val="clear" w:color="auto" w:fill="EAEFED"/>
          </w:tcPr>
          <w:p>
            <w:pPr>
              <w:jc w:val="right"/>
              <w:ind w:right="82"/>
              <w:spacing w:after="0" w:line="175" w:lineRule="exact"/>
              <w:rPr>
                <w:sz w:val="20"/>
                <w:szCs w:val="20"/>
                <w:color w:val="auto"/>
              </w:rPr>
            </w:pPr>
            <w:r>
              <w:rPr>
                <w:rFonts w:ascii="Arial" w:cs="Arial" w:eastAsia="Arial" w:hAnsi="Arial"/>
                <w:sz w:val="16"/>
                <w:szCs w:val="16"/>
                <w:color w:val="auto"/>
              </w:rPr>
              <w:t>5.57</w:t>
            </w:r>
          </w:p>
        </w:tc>
        <w:tc>
          <w:tcPr>
            <w:tcW w:w="460" w:type="dxa"/>
            <w:vAlign w:val="bottom"/>
            <w:shd w:val="clear" w:color="auto" w:fill="EAEFED"/>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720" w:type="dxa"/>
            <w:vAlign w:val="bottom"/>
            <w:shd w:val="clear" w:color="auto" w:fill="EAEFED"/>
          </w:tcPr>
          <w:p>
            <w:pPr>
              <w:jc w:val="right"/>
              <w:ind w:right="2"/>
              <w:spacing w:after="0" w:line="175" w:lineRule="exact"/>
              <w:rPr>
                <w:sz w:val="20"/>
                <w:szCs w:val="20"/>
                <w:color w:val="auto"/>
              </w:rPr>
            </w:pPr>
            <w:r>
              <w:rPr>
                <w:rFonts w:ascii="Arial" w:cs="Arial" w:eastAsia="Arial" w:hAnsi="Arial"/>
                <w:sz w:val="16"/>
                <w:szCs w:val="16"/>
                <w:color w:val="auto"/>
              </w:rPr>
              <w:t>4.38</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43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64" w:lineRule="exact"/>
        <w:rPr>
          <w:sz w:val="20"/>
          <w:szCs w:val="20"/>
          <w:color w:val="auto"/>
        </w:rPr>
      </w:pPr>
    </w:p>
    <w:p>
      <w:pPr>
        <w:jc w:val="both"/>
        <w:ind w:left="424" w:right="20" w:hanging="424"/>
        <w:spacing w:after="0" w:line="193" w:lineRule="auto"/>
        <w:tabs>
          <w:tab w:leader="none" w:pos="424"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w:t>
      </w:r>
    </w:p>
    <w:p>
      <w:pPr>
        <w:jc w:val="both"/>
        <w:ind w:left="424" w:right="20" w:hanging="424"/>
        <w:spacing w:after="0" w:line="195" w:lineRule="auto"/>
        <w:tabs>
          <w:tab w:leader="none" w:pos="424"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0624"/>
          </w:cols>
          <w:pgMar w:left="636" w:top="281" w:right="63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8021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9310" cy="802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8021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9310" cy="802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8021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8021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lvl w:ilvl="1">
      <w:lvlJc w:val="left"/>
      <w:lvlText w:val="(%2)"/>
      <w:numFmt w:val="lowerLetter"/>
      <w:start w:val="2"/>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4"/>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2022-03-25T07:11:55Z</dcterms:created>
  <dcterms:modified xsi:type="dcterms:W3CDTF">2022-03-25T07:11:55Z</dcterms:modified>
</cp:coreProperties>
</file>