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March 31, 2016</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1168"/>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280" w:type="dxa"/>
            <w:vAlign w:val="bottom"/>
          </w:tcPr>
          <w:p>
            <w:pPr>
              <w:jc w:val="center"/>
              <w:ind w:left="120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660" w:type="dxa"/>
            <w:vAlign w:val="bottom"/>
          </w:tcPr>
          <w:p>
            <w:pPr>
              <w:jc w:val="center"/>
              <w:ind w:right="1168"/>
              <w:spacing w:after="0"/>
              <w:rPr>
                <w:sz w:val="20"/>
                <w:szCs w:val="20"/>
                <w:color w:val="auto"/>
              </w:rPr>
            </w:pPr>
            <w:r>
              <w:rPr>
                <w:rFonts w:ascii="Arial" w:cs="Arial" w:eastAsia="Arial" w:hAnsi="Arial"/>
                <w:sz w:val="13"/>
                <w:szCs w:val="13"/>
                <w:b w:val="1"/>
                <w:bCs w:val="1"/>
                <w:color w:val="auto"/>
                <w:w w:val="87"/>
              </w:rPr>
              <w:t>(State or other jurisdiction</w:t>
            </w:r>
          </w:p>
        </w:tc>
        <w:tc>
          <w:tcPr>
            <w:tcW w:w="326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660" w:type="dxa"/>
            <w:vAlign w:val="bottom"/>
          </w:tcPr>
          <w:p>
            <w:pPr>
              <w:jc w:val="center"/>
              <w:ind w:right="1148"/>
              <w:spacing w:after="0"/>
              <w:rPr>
                <w:sz w:val="20"/>
                <w:szCs w:val="20"/>
                <w:color w:val="auto"/>
              </w:rPr>
            </w:pPr>
            <w:r>
              <w:rPr>
                <w:rFonts w:ascii="Arial" w:cs="Arial" w:eastAsia="Arial" w:hAnsi="Arial"/>
                <w:sz w:val="13"/>
                <w:szCs w:val="13"/>
                <w:b w:val="1"/>
                <w:bCs w:val="1"/>
                <w:color w:val="auto"/>
                <w:w w:val="88"/>
              </w:rPr>
              <w:t>of incorporation)</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7" w:lineRule="exact"/>
        <w:rPr>
          <w:sz w:val="20"/>
          <w:szCs w:val="20"/>
          <w:color w:val="auto"/>
        </w:rPr>
      </w:pPr>
    </w:p>
    <w:p>
      <w:pPr>
        <w:jc w:val="both"/>
        <w:ind w:right="180" w:firstLine="648"/>
        <w:spacing w:after="0" w:line="253" w:lineRule="auto"/>
        <w:rPr>
          <w:sz w:val="20"/>
          <w:szCs w:val="20"/>
          <w:color w:val="auto"/>
        </w:rPr>
      </w:pPr>
      <w:r>
        <w:rPr>
          <w:rFonts w:ascii="Arial" w:cs="Arial" w:eastAsia="Arial" w:hAnsi="Arial"/>
          <w:sz w:val="22"/>
          <w:szCs w:val="22"/>
          <w:color w:val="auto"/>
        </w:rPr>
        <w:t>On May 4, 2016, Federal Realty Investment Trust issued supplemental data pertaining to its operations, as well as a press release, to report its financial results for the quarter ended March 31, 2016. The supplemental data and press release are furnished as Exhibit 99.1 hereto.</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March 31, 2016 (including press release dated May 4,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FEDERAL REALTY INVESTMENT TRUST</w:t>
      </w:r>
    </w:p>
    <w:p>
      <w:pPr>
        <w:spacing w:after="0" w:line="374" w:lineRule="exact"/>
        <w:rPr>
          <w:sz w:val="20"/>
          <w:szCs w:val="20"/>
          <w:color w:val="auto"/>
        </w:rPr>
      </w:pPr>
    </w:p>
    <w:p>
      <w:pPr>
        <w:ind w:left="1120"/>
        <w:spacing w:after="0"/>
        <w:tabs>
          <w:tab w:leader="none" w:pos="1780" w:val="left"/>
          <w:tab w:leader="none" w:pos="4960" w:val="left"/>
        </w:tabs>
        <w:rPr>
          <w:sz w:val="20"/>
          <w:szCs w:val="20"/>
          <w:color w:val="auto"/>
        </w:rPr>
      </w:pPr>
      <w:r>
        <w:rPr>
          <w:rFonts w:ascii="Arial" w:cs="Arial" w:eastAsia="Arial" w:hAnsi="Arial"/>
          <w:sz w:val="22"/>
          <w:szCs w:val="22"/>
          <w:color w:val="auto"/>
        </w:rPr>
        <w:t>Date:</w:t>
        <w:tab/>
        <w:t>May 4, 2016</w:t>
      </w:r>
      <w:r>
        <w:rPr>
          <w:sz w:val="20"/>
          <w:szCs w:val="20"/>
          <w:color w:val="auto"/>
        </w:rPr>
        <w:tab/>
      </w:r>
      <w:r>
        <w:rPr>
          <w:rFonts w:ascii="Arial" w:cs="Arial" w:eastAsia="Arial" w:hAnsi="Arial"/>
          <w:sz w:val="19"/>
          <w:szCs w:val="19"/>
          <w:u w:val="single" w:color="auto"/>
          <w:color w:val="auto"/>
        </w:rPr>
        <w:t>/s/ James M. Taylor, Jr.</w:t>
      </w:r>
    </w:p>
    <w:p>
      <w:pPr>
        <w:spacing w:after="0" w:line="36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James M. Taylor, Jr.</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Executive Vice President-</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380"/>
          </w:cols>
          <w:pgMar w:left="240" w:top="585" w:right="279" w:bottom="1440" w:gutter="0" w:footer="0" w:header="0"/>
        </w:sectPr>
      </w:pPr>
    </w:p>
    <w:bookmarkStart w:id="2" w:name="page3"/>
    <w:bookmarkEnd w:id="2"/>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u w:val="single" w:color="auto"/>
          <w:color w:val="auto"/>
        </w:rPr>
        <w:t>Exh No.</w:t>
      </w:r>
      <w:r>
        <w:rPr>
          <w:sz w:val="20"/>
          <w:szCs w:val="20"/>
          <w:color w:val="auto"/>
        </w:rPr>
        <w:tab/>
      </w:r>
      <w:r>
        <w:rPr>
          <w:rFonts w:ascii="Arial" w:cs="Arial" w:eastAsia="Arial" w:hAnsi="Arial"/>
          <w:sz w:val="21"/>
          <w:szCs w:val="21"/>
          <w:u w:val="single" w:color="auto"/>
          <w:color w:val="auto"/>
        </w:rPr>
        <w:t>Exhibit</w:t>
      </w:r>
    </w:p>
    <w:p>
      <w:pPr>
        <w:spacing w:after="0" w:line="22"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March 31, 2016</w:t>
      </w:r>
    </w:p>
    <w:p>
      <w:pPr>
        <w:sectPr>
          <w:pgSz w:w="11900" w:h="16838" w:orient="portrait"/>
          <w:cols w:equalWidth="0" w:num="1">
            <w:col w:w="10219"/>
          </w:cols>
          <w:pgMar w:left="240" w:top="59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2016</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1</w:t>
            </w: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First Quarter 2016 Earnings Press Release</w:t>
            </w:r>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3</w:t>
              </w:r>
            </w:hyperlink>
          </w:p>
        </w:tc>
      </w:tr>
      <w:tr>
        <w:trPr>
          <w:trHeight w:val="270"/>
        </w:trPr>
        <w:tc>
          <w:tcPr>
            <w:tcW w:w="50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2</w:t>
            </w:r>
          </w:p>
        </w:tc>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Financial Highlights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Consolidated Income Statements</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7</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Consolidated Balance Sheets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8</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Funds From Operations / Summary of Capital Expenditures</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9</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Market Data</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10</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Components of Rental Income</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4">
              <w:r>
                <w:rPr>
                  <w:rFonts w:ascii="Arial" w:cs="Arial" w:eastAsia="Arial" w:hAnsi="Arial"/>
                  <w:sz w:val="18"/>
                  <w:szCs w:val="18"/>
                  <w:color w:val="0000EE"/>
                  <w:w w:val="79"/>
                </w:rPr>
                <w:t>11</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00" w:type="dxa"/>
            <w:vAlign w:val="bottom"/>
            <w:shd w:val="clear" w:color="auto" w:fill="CCEEFF"/>
          </w:tcPr>
          <w:p>
            <w:pPr>
              <w:spacing w:after="0"/>
              <w:rPr>
                <w:sz w:val="23"/>
                <w:szCs w:val="23"/>
                <w:color w:val="auto"/>
              </w:rPr>
            </w:pPr>
          </w:p>
        </w:tc>
        <w:tc>
          <w:tcPr>
            <w:tcW w:w="8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900" w:hanging="873"/>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Summary of Outstanding Debt and Capital Lease Obligations</w:t>
            </w:r>
          </w:p>
        </w:tc>
        <w:tc>
          <w:tcPr>
            <w:tcW w:w="200" w:type="dxa"/>
            <w:vAlign w:val="bottom"/>
            <w:gridSpan w:val="2"/>
            <w:shd w:val="clear" w:color="auto" w:fill="CCEEFF"/>
          </w:tcPr>
          <w:p>
            <w:pPr>
              <w:jc w:val="right"/>
              <w:ind w:right="20"/>
              <w:spacing w:after="0"/>
              <w:rPr>
                <w:rFonts w:ascii="Arial" w:cs="Arial" w:eastAsia="Arial" w:hAnsi="Arial"/>
                <w:sz w:val="18"/>
                <w:szCs w:val="18"/>
                <w:color w:val="0000EE"/>
                <w:w w:val="79"/>
              </w:rPr>
            </w:pPr>
            <w:hyperlink w:anchor="page15">
              <w:r>
                <w:rPr>
                  <w:rFonts w:ascii="Arial" w:cs="Arial" w:eastAsia="Arial" w:hAnsi="Arial"/>
                  <w:sz w:val="18"/>
                  <w:szCs w:val="18"/>
                  <w:color w:val="0000EE"/>
                  <w:w w:val="79"/>
                </w:rPr>
                <w:t>12</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Debt Maturities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14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4</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5</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Pike &amp; Rose and Assembly Row</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6</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Future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17</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7</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2016 Significant Acquisitions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18</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8</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19</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9</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Retail Leasing Summary</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23</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10</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Lease Expirations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11</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Portfolio Leased Statistics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12</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Top 25 Tenants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13</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Reconciliation of FFO Guidance</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27</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14</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Glossary of Terms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28</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60115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01154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460"/>
          </w:cols>
          <w:pgMar w:left="1220" w:top="742" w:right="12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9, 2016, and include the following:</w:t>
      </w:r>
    </w:p>
    <w:p>
      <w:pPr>
        <w:spacing w:after="0" w:line="190" w:lineRule="exact"/>
        <w:rPr>
          <w:sz w:val="20"/>
          <w:szCs w:val="20"/>
          <w:color w:val="auto"/>
        </w:rPr>
      </w:pPr>
    </w:p>
    <w:p>
      <w:pPr>
        <w:ind w:left="980" w:right="140" w:hanging="324"/>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i w:val="1"/>
          <w:iCs w:val="1"/>
          <w:color w:val="auto"/>
        </w:rPr>
      </w:pPr>
    </w:p>
    <w:p>
      <w:pPr>
        <w:ind w:left="980" w:right="40" w:hanging="324"/>
        <w:spacing w:after="0" w:line="265"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8"/>
          <w:szCs w:val="18"/>
          <w:color w:val="auto"/>
        </w:rPr>
      </w:pPr>
    </w:p>
    <w:p>
      <w:pPr>
        <w:jc w:val="both"/>
        <w:ind w:left="980" w:right="58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9, 2016.</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14579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848985"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1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8"/>
        </w:trPr>
        <w:tc>
          <w:tcPr>
            <w:tcW w:w="4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i w:val="1"/>
                <w:iCs w:val="1"/>
                <w:color w:val="auto"/>
                <w:w w:val="99"/>
              </w:rPr>
              <w:t>Investor Inquiries</w:t>
            </w:r>
          </w:p>
        </w:tc>
        <w:tc>
          <w:tcPr>
            <w:tcW w:w="2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i w:val="1"/>
                <w:iCs w:val="1"/>
                <w:color w:val="auto"/>
              </w:rPr>
              <w:t>Media Inquiries</w:t>
            </w:r>
          </w:p>
        </w:tc>
      </w:tr>
      <w:tr>
        <w:trPr>
          <w:trHeight w:val="20"/>
        </w:trPr>
        <w:tc>
          <w:tcPr>
            <w:tcW w:w="4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77"/>
        </w:trPr>
        <w:tc>
          <w:tcPr>
            <w:tcW w:w="4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Leah Andress</w:t>
            </w:r>
          </w:p>
        </w:tc>
        <w:tc>
          <w:tcPr>
            <w:tcW w:w="2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Andrea Simpson</w:t>
            </w:r>
          </w:p>
        </w:tc>
      </w:tr>
      <w:tr>
        <w:trPr>
          <w:trHeight w:val="257"/>
        </w:trPr>
        <w:tc>
          <w:tcPr>
            <w:tcW w:w="420" w:type="dxa"/>
            <w:vAlign w:val="bottom"/>
          </w:tcPr>
          <w:p>
            <w:pPr>
              <w:spacing w:after="0"/>
              <w:rPr>
                <w:sz w:val="22"/>
                <w:szCs w:val="22"/>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Investor Relations Coordinator</w:t>
            </w:r>
          </w:p>
        </w:tc>
        <w:tc>
          <w:tcPr>
            <w:tcW w:w="4040" w:type="dxa"/>
            <w:vAlign w:val="bottom"/>
            <w:gridSpan w:val="3"/>
          </w:tcPr>
          <w:p>
            <w:pPr>
              <w:ind w:left="1720"/>
              <w:spacing w:after="0"/>
              <w:rPr>
                <w:sz w:val="20"/>
                <w:szCs w:val="20"/>
                <w:color w:val="auto"/>
              </w:rPr>
            </w:pPr>
            <w:r>
              <w:rPr>
                <w:rFonts w:ascii="Arial" w:cs="Arial" w:eastAsia="Arial" w:hAnsi="Arial"/>
                <w:sz w:val="18"/>
                <w:szCs w:val="18"/>
                <w:color w:val="auto"/>
              </w:rPr>
              <w:t>Vice President, Marketing</w:t>
            </w:r>
          </w:p>
        </w:tc>
      </w:tr>
      <w:tr>
        <w:trPr>
          <w:trHeight w:val="257"/>
        </w:trPr>
        <w:tc>
          <w:tcPr>
            <w:tcW w:w="1800" w:type="dxa"/>
            <w:vAlign w:val="bottom"/>
            <w:gridSpan w:val="2"/>
          </w:tcPr>
          <w:p>
            <w:pPr>
              <w:ind w:left="420"/>
              <w:spacing w:after="0"/>
              <w:rPr>
                <w:sz w:val="20"/>
                <w:szCs w:val="20"/>
                <w:color w:val="auto"/>
              </w:rPr>
            </w:pPr>
            <w:r>
              <w:rPr>
                <w:rFonts w:ascii="Arial" w:cs="Arial" w:eastAsia="Arial" w:hAnsi="Arial"/>
                <w:sz w:val="18"/>
                <w:szCs w:val="18"/>
                <w:color w:val="auto"/>
              </w:rPr>
              <w:t>301/998-8265</w:t>
            </w:r>
          </w:p>
        </w:tc>
        <w:tc>
          <w:tcPr>
            <w:tcW w:w="2780" w:type="dxa"/>
            <w:vAlign w:val="bottom"/>
          </w:tcPr>
          <w:p>
            <w:pPr>
              <w:spacing w:after="0"/>
              <w:rPr>
                <w:sz w:val="22"/>
                <w:szCs w:val="22"/>
                <w:color w:val="auto"/>
              </w:rPr>
            </w:pPr>
          </w:p>
        </w:tc>
        <w:tc>
          <w:tcPr>
            <w:tcW w:w="2940" w:type="dxa"/>
            <w:vAlign w:val="bottom"/>
            <w:gridSpan w:val="2"/>
          </w:tcPr>
          <w:p>
            <w:pPr>
              <w:ind w:left="1720"/>
              <w:spacing w:after="0"/>
              <w:rPr>
                <w:sz w:val="20"/>
                <w:szCs w:val="20"/>
                <w:color w:val="auto"/>
              </w:rPr>
            </w:pPr>
            <w:r>
              <w:rPr>
                <w:rFonts w:ascii="Arial" w:cs="Arial" w:eastAsia="Arial" w:hAnsi="Arial"/>
                <w:sz w:val="18"/>
                <w:szCs w:val="18"/>
                <w:color w:val="auto"/>
              </w:rPr>
              <w:t>617/684-1511</w:t>
            </w:r>
          </w:p>
        </w:tc>
        <w:tc>
          <w:tcPr>
            <w:tcW w:w="1100" w:type="dxa"/>
            <w:vAlign w:val="bottom"/>
          </w:tcPr>
          <w:p>
            <w:pPr>
              <w:spacing w:after="0"/>
              <w:rPr>
                <w:sz w:val="22"/>
                <w:szCs w:val="22"/>
                <w:color w:val="auto"/>
              </w:rPr>
            </w:pPr>
          </w:p>
        </w:tc>
      </w:tr>
      <w:tr>
        <w:trPr>
          <w:trHeight w:val="257"/>
        </w:trPr>
        <w:tc>
          <w:tcPr>
            <w:tcW w:w="420" w:type="dxa"/>
            <w:vAlign w:val="bottom"/>
          </w:tcPr>
          <w:p>
            <w:pPr>
              <w:spacing w:after="0"/>
              <w:rPr>
                <w:sz w:val="22"/>
                <w:szCs w:val="22"/>
                <w:color w:val="auto"/>
              </w:rPr>
            </w:pPr>
          </w:p>
        </w:tc>
        <w:tc>
          <w:tcPr>
            <w:tcW w:w="4160" w:type="dxa"/>
            <w:vAlign w:val="bottom"/>
            <w:gridSpan w:val="2"/>
          </w:tcPr>
          <w:p>
            <w:pPr>
              <w:spacing w:after="0"/>
              <w:rPr>
                <w:sz w:val="20"/>
                <w:szCs w:val="20"/>
                <w:color w:val="auto"/>
              </w:rPr>
            </w:pPr>
            <w:r>
              <w:rPr>
                <w:rFonts w:ascii="Arial" w:cs="Arial" w:eastAsia="Arial" w:hAnsi="Arial"/>
                <w:sz w:val="18"/>
                <w:szCs w:val="18"/>
                <w:i w:val="1"/>
                <w:iCs w:val="1"/>
                <w:color w:val="auto"/>
              </w:rPr>
              <w:t>landress@federalrealty.com</w:t>
            </w:r>
          </w:p>
        </w:tc>
        <w:tc>
          <w:tcPr>
            <w:tcW w:w="4040" w:type="dxa"/>
            <w:vAlign w:val="bottom"/>
            <w:gridSpan w:val="3"/>
          </w:tcPr>
          <w:p>
            <w:pPr>
              <w:ind w:left="1720"/>
              <w:spacing w:after="0"/>
              <w:rPr>
                <w:sz w:val="20"/>
                <w:szCs w:val="20"/>
                <w:color w:val="auto"/>
              </w:rPr>
            </w:pPr>
            <w:r>
              <w:rPr>
                <w:rFonts w:ascii="Arial" w:cs="Arial" w:eastAsia="Arial" w:hAnsi="Arial"/>
                <w:sz w:val="18"/>
                <w:szCs w:val="18"/>
                <w:i w:val="1"/>
                <w:iCs w:val="1"/>
                <w:color w:val="auto"/>
                <w:w w:val="98"/>
              </w:rPr>
              <w:t>asimpson@federalrealty.com</w:t>
            </w: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ANNOUNCES FIRST QUARTER 2016 OPERATING RESULTS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ROCKVILLE, Md. (May 4, 2016) - </w:t>
      </w:r>
      <w:r>
        <w:rPr>
          <w:rFonts w:ascii="Arial" w:cs="Arial" w:eastAsia="Arial" w:hAnsi="Arial"/>
          <w:sz w:val="18"/>
          <w:szCs w:val="18"/>
          <w:u w:val="single" w:color="auto"/>
          <w:color w:val="0000FF"/>
        </w:rPr>
        <w:t>Federal Realty Investment Trust</w:t>
      </w:r>
      <w:r>
        <w:rPr>
          <w:rFonts w:ascii="Arial" w:cs="Arial" w:eastAsia="Arial" w:hAnsi="Arial"/>
          <w:sz w:val="18"/>
          <w:szCs w:val="18"/>
          <w:color w:val="auto"/>
        </w:rPr>
        <w:t xml:space="preserve"> (NYSE:FRT) today reported operating results for its first quarter ended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March 31, 2016. Highlights of the quarter and recent activity include:</w:t>
      </w:r>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FFO per diluted share of $1.38 for the quarter, an increase of 9.5% over first quarter 2015.</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Generated same center property operating income growth of 4.2% (or 2.5% when properties under redevelopment are excluded).</w:t>
      </w:r>
    </w:p>
    <w:p>
      <w:pPr>
        <w:spacing w:after="0" w:line="103" w:lineRule="exact"/>
        <w:rPr>
          <w:rFonts w:ascii="Arial" w:cs="Arial" w:eastAsia="Arial" w:hAnsi="Arial"/>
          <w:sz w:val="18"/>
          <w:szCs w:val="18"/>
          <w:color w:val="auto"/>
        </w:rPr>
      </w:pPr>
    </w:p>
    <w:p>
      <w:pPr>
        <w:ind w:left="660" w:right="220" w:hanging="328"/>
        <w:spacing w:after="0" w:line="35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Federal Realty’s same-center portfolio was 95.6% leased on March 31, 2016, compared to 95.4% on December 31, 2015 and 96.2% on March 31, 2015.</w:t>
      </w:r>
    </w:p>
    <w:p>
      <w:pPr>
        <w:spacing w:after="0" w:line="14" w:lineRule="exact"/>
        <w:rPr>
          <w:rFonts w:ascii="Arial" w:cs="Arial" w:eastAsia="Arial" w:hAnsi="Arial"/>
          <w:sz w:val="18"/>
          <w:szCs w:val="18"/>
          <w:color w:val="auto"/>
        </w:rPr>
      </w:pPr>
    </w:p>
    <w:p>
      <w:pPr>
        <w:ind w:left="660" w:right="660" w:hanging="328"/>
        <w:spacing w:after="0" w:line="35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Signed leases for 398,820 sf of comparable space at an average rent of $33.53 psf and achieved cash basis rollover growth on comparable spaces of 13%.</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Acquired our JV partner’s 70% interest in our unconsolidated real estate partnership for $153.7 million.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Raised $149 million through an underwritten public offering of 1 million common shares.</w:t>
      </w:r>
    </w:p>
    <w:p>
      <w:pPr>
        <w:spacing w:after="0" w:line="103" w:lineRule="exact"/>
        <w:rPr>
          <w:rFonts w:ascii="Arial" w:cs="Arial" w:eastAsia="Arial" w:hAnsi="Arial"/>
          <w:sz w:val="18"/>
          <w:szCs w:val="18"/>
          <w:color w:val="auto"/>
        </w:rPr>
      </w:pPr>
    </w:p>
    <w:p>
      <w:pPr>
        <w:ind w:left="660" w:hanging="328"/>
        <w:spacing w:after="0" w:line="35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Upsized our revolving credit facility to $800 million, extended the maturity date to April 2020 and lowered the pricing to LIBOR plus 82.5 basis points.</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Affirmed 2016 FFO per diluted share guidance range of $5.65 to $5.71.</w:t>
      </w:r>
    </w:p>
    <w:p>
      <w:pPr>
        <w:spacing w:after="0" w:line="320"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“We are proud to deliver another quarter of record bottom line results to our shareholders and remain focused on our long term strategic plan,” commented Donald C. Wood, President and Chief Executive Officer of Federal Realty. “In our core portfolio, we continue to look for opportunities to take control of below market anchor space and drive value through redevelopment and releasing. In our mixed use portfolio, Assembly Row and Pike &amp; Rose are well into their second phases of development. In addition, with our equity raise in March and credit facility upsize and extension in April, we maintain a solid balance sheet that allows us to continue to execute on our long term strategic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FEDERAL REALTY INVESTMENT TRUST ANNOUNCES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2016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4,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126"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In the first quarter 2016, Federal Realty generated funds from operations available for common shareholders (FFO) of $97.6 million, or $1.38 per diluted share. This compares to FFO of $87.3 million, or $1.26 per diluted share, in first quarter 2015. Net income available for common shareholders was $76.8 million and earnings per diluted share was $1.10 for first quarter 2016 versus $46.1 million and $0.67, respectively, for first quarter 2015.</w:t>
      </w:r>
    </w:p>
    <w:p>
      <w:pPr>
        <w:spacing w:after="0" w:line="297"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 in addition to Form 8-K that was filed.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126"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In the first quarter 2016, same-center property operating income increased 4.2% including redevelopment and expansion properties, and 2.5% excluding redevelopment and expansion properties.</w:t>
      </w:r>
    </w:p>
    <w:p>
      <w:pPr>
        <w:spacing w:after="0" w:line="197"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The overall portfolio was 94.1% leased as of March 31, 2016, compared to 94.3% on December 31, 2015 and 95.4% on March 31, 2015. Federal Realty’s same-center portfolio was 95.6% leased on March 31, 2016, compared to 95.4% on December 31, 2015 and 96.2% on March 31, 2015.</w:t>
      </w:r>
    </w:p>
    <w:p>
      <w:pPr>
        <w:spacing w:after="0" w:line="18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During first quarter 2016, the Trust signed 92 leases for 419,781 square feet of retail space</w:t>
      </w:r>
      <w:r>
        <w:rPr>
          <w:rFonts w:ascii="Arial" w:cs="Arial" w:eastAsia="Arial" w:hAnsi="Arial"/>
          <w:sz w:val="18"/>
          <w:szCs w:val="18"/>
          <w:color w:val="FF0000"/>
        </w:rPr>
        <w:t>.</w:t>
      </w:r>
      <w:r>
        <w:rPr>
          <w:rFonts w:ascii="Arial" w:cs="Arial" w:eastAsia="Arial" w:hAnsi="Arial"/>
          <w:sz w:val="18"/>
          <w:szCs w:val="18"/>
          <w:color w:val="auto"/>
        </w:rPr>
        <w:t xml:space="preserve"> On a comparable space basis (</w:t>
      </w:r>
      <w:r>
        <w:rPr>
          <w:rFonts w:ascii="Arial" w:cs="Arial" w:eastAsia="Arial" w:hAnsi="Arial"/>
          <w:sz w:val="18"/>
          <w:szCs w:val="18"/>
          <w:i w:val="1"/>
          <w:iCs w:val="1"/>
          <w:color w:val="auto"/>
        </w:rPr>
        <w:t>i.e.</w:t>
      </w:r>
      <w:r>
        <w:rPr>
          <w:rFonts w:ascii="Arial" w:cs="Arial" w:eastAsia="Arial" w:hAnsi="Arial"/>
          <w:sz w:val="18"/>
          <w:szCs w:val="18"/>
          <w:color w:val="auto"/>
        </w:rPr>
        <w:t>, spaces for which there was a former tenant), the Trust leased 398,820 square feet at an average cash-basis contractual rent increase per square foot (</w:t>
      </w:r>
      <w:r>
        <w:rPr>
          <w:rFonts w:ascii="Arial" w:cs="Arial" w:eastAsia="Arial" w:hAnsi="Arial"/>
          <w:sz w:val="18"/>
          <w:szCs w:val="18"/>
          <w:i w:val="1"/>
          <w:iCs w:val="1"/>
          <w:color w:val="auto"/>
        </w:rPr>
        <w:t>i.e.</w:t>
      </w:r>
      <w:r>
        <w:rPr>
          <w:rFonts w:ascii="Arial" w:cs="Arial" w:eastAsia="Arial" w:hAnsi="Arial"/>
          <w:sz w:val="18"/>
          <w:szCs w:val="18"/>
          <w:color w:val="auto"/>
        </w:rPr>
        <w:t>, excluding the impact of straight-line rents) of 13%. The average contractual rent on this comparable space for the first year of the new lease is $33.53 per square foot compared to the average contractual rent of $29.67 per square foot for the last year of the prior lease. The previous average contractual rent is calculated by including both the minimum rent and any percentage rent actually paid during the last year of the lease term for the re-leased space. On a GAAP basis (</w:t>
      </w:r>
      <w:r>
        <w:rPr>
          <w:rFonts w:ascii="Arial" w:cs="Arial" w:eastAsia="Arial" w:hAnsi="Arial"/>
          <w:sz w:val="18"/>
          <w:szCs w:val="18"/>
          <w:i w:val="1"/>
          <w:iCs w:val="1"/>
          <w:color w:val="auto"/>
        </w:rPr>
        <w:t>i.e.</w:t>
      </w:r>
      <w:r>
        <w:rPr>
          <w:rFonts w:ascii="Arial" w:cs="Arial" w:eastAsia="Arial" w:hAnsi="Arial"/>
          <w:sz w:val="18"/>
          <w:szCs w:val="18"/>
          <w:color w:val="auto"/>
        </w:rPr>
        <w:t>, including the impact of straight-line rents), rent increases per square foot for comparable retail space averaged 24% for first quarter 2016.</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126" w:lineRule="exact"/>
        <w:rPr>
          <w:sz w:val="20"/>
          <w:szCs w:val="20"/>
          <w:color w:val="auto"/>
        </w:rPr>
      </w:pPr>
    </w:p>
    <w:p>
      <w:pPr>
        <w:ind w:left="660" w:hanging="328"/>
        <w:spacing w:after="0" w:line="3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January 13, 2016 - Federal Realty acquired the 70% interest owned by affiliates of a discretionary fund advised by Clarion Partners in a joint venture that owns six neighborhood and community centers. Federal Realty purchased the 70% interest in the venture for $153.7 million, consisting of $130 million of cash and assumption of the allocable share of mortgage debt. With this acquisition, Federal Realty successfully concluded the venture that was formed in 2004 and increased its ownership of the six properties from 30% to 100%. The portfolio includes two properties near Boston, Massachusetts (Atlantic Plaza and Campus Plaza); one asset in the New York Metro region (Greenlawn Plaza on Long Island) and three centers in the Washington DC market (Free State Shopping Center and Plaza del Mercado in Suburban Maryland, and Barcroft Plaza in Northern Virginia).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FEDERAL REALTY INVESTMENT TRUST ANNOUNCES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2016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4,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79" w:lineRule="exact"/>
        <w:rPr>
          <w:sz w:val="20"/>
          <w:szCs w:val="20"/>
          <w:color w:val="auto"/>
        </w:rPr>
      </w:pPr>
    </w:p>
    <w:p>
      <w:pPr>
        <w:ind w:left="660" w:right="200" w:hanging="328"/>
        <w:spacing w:after="0" w:line="381"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March 1, 2016 - Federal Realty announced the sale of 1,000,000 common shares in an underwritten public offering. The shares were priced at $149.43 per share, net of underwriters discount, and were sold to Citigroup Global Markets Inc. as the sole bookrunner.</w:t>
      </w:r>
    </w:p>
    <w:p>
      <w:pPr>
        <w:ind w:left="660" w:right="20" w:hanging="328"/>
        <w:spacing w:after="0" w:line="36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April 20, 2016 - Federal Realty completed an upsize of its revolving credit facility to $800 million and extended the maturity date to April 20, 2020, subject to two six-month extension options. The pricing was also lowered to LIBOR plus 82.5 basis points based on the Trust’s current rating.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126"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Federal Realty also announced today that its Board of Trustees left the regular dividend rate on its common shares unchanged, declaring a regular quarterly cash dividend of $0.94 per share on its common shares, resulting in an indicated annual rate of $3.76 per share. The regular common dividend will be payable on July 15, 2016 to common shareholders of record on June 22, 2016.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126"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We have affirmed our 2016 guidance for FFO per diluted share of $5.65 to $5.71, and updated our earnings per diluted share guidance to $3.49 to $3.56.</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126"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 xml:space="preserve">Federal Realty’s management team will present an in-depth discussion of the Trust’s operating performance on its first quarter 2016 earnings conference call, which is scheduled for May 5, 2016, at 11 a.m. Eastern Time. To participate, please call (877) 445-3230 five to ten minutes prior to the call start time and use the passcode 68139087 (required). Federal Realty will also provide an online webcast on the Company’s website, </w:t>
      </w:r>
      <w:r>
        <w:rPr>
          <w:rFonts w:ascii="Arial" w:cs="Arial" w:eastAsia="Arial" w:hAnsi="Arial"/>
          <w:sz w:val="18"/>
          <w:szCs w:val="18"/>
          <w:u w:val="single" w:color="auto"/>
          <w:color w:val="0000FF"/>
        </w:rPr>
        <w:t>www.federalrealty.com</w:t>
      </w:r>
      <w:r>
        <w:rPr>
          <w:rFonts w:ascii="Arial" w:cs="Arial" w:eastAsia="Arial" w:hAnsi="Arial"/>
          <w:sz w:val="18"/>
          <w:szCs w:val="18"/>
          <w:color w:val="auto"/>
        </w:rPr>
        <w:t>, which will remain available for 30 days following the call. A telephone recording of the call will also be available through May 12, 2016 by dialing (855) 859-2056 and using the passcode 68139087.</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126" w:lineRule="exact"/>
        <w:rPr>
          <w:sz w:val="20"/>
          <w:szCs w:val="20"/>
          <w:color w:val="auto"/>
        </w:rPr>
      </w:pPr>
    </w:p>
    <w:p>
      <w:pPr>
        <w:ind w:right="60"/>
        <w:spacing w:after="0" w:line="362"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 based properties located primarily in major coastal markets from Washington, D.C. to Boston as well as San Francisco and Los Angeles. Founded in 1962, our mission is to deliver long term, sustainable growth through investing in densely populated, affluent communities where retail demand exceeds supply. Our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96 properties include over 2,800 tenants, in approximately 22 million square feet, and over 1,800 residential units.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5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FEDERAL REALTY INVESTMENT TRUST ANNOUNCES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2016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4,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79" w:lineRule="exact"/>
        <w:rPr>
          <w:sz w:val="20"/>
          <w:szCs w:val="20"/>
          <w:color w:val="auto"/>
        </w:rPr>
      </w:pPr>
    </w:p>
    <w:p>
      <w:pPr>
        <w:ind w:right="160"/>
        <w:spacing w:after="0" w:line="365" w:lineRule="auto"/>
        <w:rPr>
          <w:sz w:val="20"/>
          <w:szCs w:val="20"/>
          <w:color w:val="auto"/>
        </w:rPr>
      </w:pPr>
      <w:r>
        <w:rPr>
          <w:rFonts w:ascii="Arial" w:cs="Arial" w:eastAsia="Arial" w:hAnsi="Arial"/>
          <w:sz w:val="18"/>
          <w:szCs w:val="18"/>
          <w:color w:val="auto"/>
        </w:rPr>
        <w:t>Federal Realty has paid quarterly dividends to its shareholders continuously since its founding in 1962, and has increased its dividend rate for 48 consecutive years, the longest record in the REIT industry. Federal Realty shares are traded on the NYSE under the symbol FRT. For additional information about Federal Realty and its properties, visit www.FederalRealty.com.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6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9, 2016, and include the following:</w:t>
      </w:r>
    </w:p>
    <w:p>
      <w:pPr>
        <w:spacing w:after="0" w:line="206" w:lineRule="exact"/>
        <w:rPr>
          <w:sz w:val="20"/>
          <w:szCs w:val="20"/>
          <w:color w:val="auto"/>
        </w:rPr>
      </w:pPr>
    </w:p>
    <w:p>
      <w:pPr>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ind w:left="660" w:right="20" w:hanging="328"/>
        <w:spacing w:after="0" w:line="252" w:lineRule="auto"/>
        <w:tabs>
          <w:tab w:leader="none" w:pos="66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redevelopments or renovation projects that we do pursue may cost more, take more time to complete, or fail to perform as expected;</w:t>
      </w:r>
    </w:p>
    <w:p>
      <w:pPr>
        <w:ind w:left="660" w:hanging="328"/>
        <w:spacing w:after="0" w:line="241" w:lineRule="auto"/>
        <w:tabs>
          <w:tab w:leader="none" w:pos="66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risks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jc w:val="both"/>
        <w:ind w:left="660" w:hanging="328"/>
        <w:spacing w:after="0" w:line="241" w:lineRule="auto"/>
        <w:tabs>
          <w:tab w:leader="none" w:pos="66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4"/>
          <w:szCs w:val="14"/>
          <w:i w:val="1"/>
          <w:iCs w:val="1"/>
          <w:color w:val="auto"/>
        </w:rPr>
      </w:pPr>
    </w:p>
    <w:p>
      <w:pPr>
        <w:ind w:left="660" w:hanging="328"/>
        <w:spacing w:after="0"/>
        <w:tabs>
          <w:tab w:leader="none" w:pos="66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risks that our growth will be limited if we cannot obtain additional capital;</w:t>
      </w:r>
    </w:p>
    <w:p>
      <w:pPr>
        <w:spacing w:after="0" w:line="1" w:lineRule="exact"/>
        <w:rPr>
          <w:rFonts w:ascii="Arial" w:cs="Arial" w:eastAsia="Arial" w:hAnsi="Arial"/>
          <w:sz w:val="14"/>
          <w:szCs w:val="14"/>
          <w:i w:val="1"/>
          <w:iCs w:val="1"/>
          <w:color w:val="auto"/>
        </w:rPr>
      </w:pPr>
    </w:p>
    <w:p>
      <w:pPr>
        <w:ind w:left="660" w:hanging="328"/>
        <w:spacing w:after="0"/>
        <w:tabs>
          <w:tab w:leader="none" w:pos="66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1" w:lineRule="exact"/>
        <w:rPr>
          <w:rFonts w:ascii="Arial" w:cs="Arial" w:eastAsia="Arial" w:hAnsi="Arial"/>
          <w:sz w:val="14"/>
          <w:szCs w:val="14"/>
          <w:i w:val="1"/>
          <w:iCs w:val="1"/>
          <w:color w:val="auto"/>
        </w:rPr>
      </w:pPr>
    </w:p>
    <w:p>
      <w:pPr>
        <w:jc w:val="both"/>
        <w:ind w:left="660" w:right="20" w:hanging="328"/>
        <w:spacing w:after="0" w:line="241" w:lineRule="auto"/>
        <w:tabs>
          <w:tab w:leader="none" w:pos="66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4"/>
          <w:szCs w:val="14"/>
          <w:i w:val="1"/>
          <w:iCs w:val="1"/>
          <w:color w:val="auto"/>
        </w:rPr>
      </w:pPr>
    </w:p>
    <w:p>
      <w:pPr>
        <w:jc w:val="both"/>
        <w:ind w:left="660" w:right="20" w:hanging="328"/>
        <w:spacing w:after="0" w:line="250" w:lineRule="auto"/>
        <w:tabs>
          <w:tab w:leader="none" w:pos="660" w:val="left"/>
        </w:tabs>
        <w:numPr>
          <w:ilvl w:val="0"/>
          <w:numId w:val="7"/>
        </w:numPr>
        <w:rPr>
          <w:rFonts w:ascii="Arial" w:cs="Arial" w:eastAsia="Arial" w:hAnsi="Arial"/>
          <w:sz w:val="14"/>
          <w:szCs w:val="14"/>
          <w:i w:val="1"/>
          <w:iCs w:val="1"/>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with the Securities and Exchange Commission on February 9,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52" w:right="23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Income Statements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2016</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4"/>
          </w:tcPr>
          <w:p>
            <w:pPr>
              <w:jc w:val="center"/>
              <w:ind w:right="171"/>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276"/>
        </w:trPr>
        <w:tc>
          <w:tcPr>
            <w:tcW w:w="52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center"/>
              <w:ind w:left="673"/>
              <w:spacing w:after="0"/>
              <w:rPr>
                <w:sz w:val="20"/>
                <w:szCs w:val="20"/>
                <w:color w:val="auto"/>
              </w:rPr>
            </w:pPr>
            <w:r>
              <w:rPr>
                <w:rFonts w:ascii="Arial" w:cs="Arial" w:eastAsia="Arial" w:hAnsi="Arial"/>
                <w:sz w:val="14"/>
                <w:szCs w:val="14"/>
                <w:b w:val="1"/>
                <w:bCs w:val="1"/>
                <w:color w:val="auto"/>
                <w:w w:val="95"/>
              </w:rPr>
              <w:t>March 31,</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8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44"/>
        </w:trPr>
        <w:tc>
          <w:tcPr>
            <w:tcW w:w="528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0" w:type="dxa"/>
            <w:vAlign w:val="bottom"/>
            <w:gridSpan w:val="4"/>
          </w:tcPr>
          <w:p>
            <w:pPr>
              <w:jc w:val="center"/>
              <w:ind w:right="171"/>
              <w:spacing w:after="0"/>
              <w:rPr>
                <w:sz w:val="20"/>
                <w:szCs w:val="20"/>
                <w:color w:val="auto"/>
              </w:rPr>
            </w:pPr>
            <w:r>
              <w:rPr>
                <w:rFonts w:ascii="Arial" w:cs="Arial" w:eastAsia="Arial" w:hAnsi="Arial"/>
                <w:sz w:val="14"/>
                <w:szCs w:val="14"/>
                <w:b w:val="1"/>
                <w:bCs w:val="1"/>
                <w:color w:val="auto"/>
                <w:w w:val="91"/>
              </w:rPr>
              <w:t>(in thousands, except per share data)</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780" w:type="dxa"/>
            <w:vAlign w:val="bottom"/>
            <w:gridSpan w:val="3"/>
          </w:tcPr>
          <w:p>
            <w:pPr>
              <w:jc w:val="center"/>
              <w:ind w:left="693"/>
              <w:spacing w:after="0"/>
              <w:rPr>
                <w:sz w:val="20"/>
                <w:szCs w:val="20"/>
                <w:color w:val="auto"/>
              </w:rPr>
            </w:pPr>
            <w:r>
              <w:rPr>
                <w:rFonts w:ascii="Arial" w:cs="Arial" w:eastAsia="Arial" w:hAnsi="Arial"/>
                <w:sz w:val="14"/>
                <w:szCs w:val="14"/>
                <w:b w:val="1"/>
                <w:bCs w:val="1"/>
                <w:color w:val="auto"/>
                <w:w w:val="94"/>
              </w:rPr>
              <w:t>(unaudited)</w:t>
            </w: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5280" w:type="dxa"/>
            <w:vAlign w:val="bottom"/>
          </w:tcPr>
          <w:p>
            <w:pPr>
              <w:ind w:left="40"/>
              <w:spacing w:after="0"/>
              <w:rPr>
                <w:sz w:val="20"/>
                <w:szCs w:val="20"/>
                <w:color w:val="auto"/>
              </w:rPr>
            </w:pPr>
            <w:r>
              <w:rPr>
                <w:rFonts w:ascii="Arial" w:cs="Arial" w:eastAsia="Arial" w:hAnsi="Arial"/>
                <w:sz w:val="18"/>
                <w:szCs w:val="18"/>
                <w:color w:val="auto"/>
              </w:rPr>
              <w:t>REVENUE</w:t>
            </w:r>
          </w:p>
        </w:tc>
        <w:tc>
          <w:tcPr>
            <w:tcW w:w="3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income</w:t>
            </w:r>
          </w:p>
        </w:tc>
        <w:tc>
          <w:tcPr>
            <w:tcW w:w="33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195,308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181,166</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Other property income</w:t>
            </w: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2,312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2,465</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 interest income</w:t>
            </w:r>
          </w:p>
        </w:tc>
        <w:tc>
          <w:tcPr>
            <w:tcW w:w="30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37"/>
        </w:trPr>
        <w:tc>
          <w:tcPr>
            <w:tcW w:w="528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30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198,344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184,792</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Rental expenses</w:t>
            </w: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42,819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41,439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taxes</w:t>
            </w:r>
          </w:p>
        </w:tc>
        <w:tc>
          <w:tcPr>
            <w:tcW w:w="3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22,794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20,394</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8,010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8,853</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30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47,799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41,984</w:t>
            </w:r>
          </w:p>
        </w:tc>
        <w:tc>
          <w:tcPr>
            <w:tcW w:w="0" w:type="dxa"/>
            <w:vAlign w:val="bottom"/>
          </w:tcPr>
          <w:p>
            <w:pPr>
              <w:spacing w:after="0"/>
              <w:rPr>
                <w:sz w:val="1"/>
                <w:szCs w:val="1"/>
                <w:color w:val="auto"/>
              </w:rPr>
            </w:pPr>
          </w:p>
        </w:tc>
      </w:tr>
      <w:tr>
        <w:trPr>
          <w:trHeight w:val="237"/>
        </w:trPr>
        <w:tc>
          <w:tcPr>
            <w:tcW w:w="528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30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121,422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112,670</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76,922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72,122</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Other interest income</w:t>
            </w: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3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(24,168)</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Income from real estate partnerships</w:t>
            </w: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53,337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48,203</w:t>
            </w:r>
          </w:p>
        </w:tc>
        <w:tc>
          <w:tcPr>
            <w:tcW w:w="0" w:type="dxa"/>
            <w:vAlign w:val="bottom"/>
          </w:tcPr>
          <w:p>
            <w:pPr>
              <w:spacing w:after="0"/>
              <w:rPr>
                <w:sz w:val="1"/>
                <w:szCs w:val="1"/>
                <w:color w:val="auto"/>
              </w:rPr>
            </w:pPr>
          </w:p>
        </w:tc>
      </w:tr>
      <w:tr>
        <w:trPr>
          <w:trHeight w:val="243"/>
        </w:trPr>
        <w:tc>
          <w:tcPr>
            <w:tcW w:w="5280" w:type="dxa"/>
            <w:vAlign w:val="bottom"/>
          </w:tcPr>
          <w:p>
            <w:pPr>
              <w:ind w:left="260"/>
              <w:spacing w:after="0"/>
              <w:rPr>
                <w:sz w:val="20"/>
                <w:szCs w:val="20"/>
                <w:color w:val="auto"/>
              </w:rPr>
            </w:pPr>
            <w:r>
              <w:rPr>
                <w:rFonts w:ascii="Arial" w:cs="Arial" w:eastAsia="Arial" w:hAnsi="Arial"/>
                <w:sz w:val="18"/>
                <w:szCs w:val="18"/>
                <w:color w:val="auto"/>
              </w:rPr>
              <w:t>Gain on change in control of interests</w:t>
            </w: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25,726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79,063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48,203</w:t>
            </w:r>
          </w:p>
        </w:tc>
        <w:tc>
          <w:tcPr>
            <w:tcW w:w="0" w:type="dxa"/>
            <w:vAlign w:val="bottom"/>
          </w:tcPr>
          <w:p>
            <w:pPr>
              <w:spacing w:after="0"/>
              <w:rPr>
                <w:sz w:val="1"/>
                <w:szCs w:val="1"/>
                <w:color w:val="auto"/>
              </w:rPr>
            </w:pPr>
          </w:p>
        </w:tc>
      </w:tr>
      <w:tr>
        <w:trPr>
          <w:trHeight w:val="243"/>
        </w:trPr>
        <w:tc>
          <w:tcPr>
            <w:tcW w:w="5280" w:type="dxa"/>
            <w:vAlign w:val="bottom"/>
          </w:tcPr>
          <w:p>
            <w:pPr>
              <w:ind w:left="300"/>
              <w:spacing w:after="0"/>
              <w:rPr>
                <w:sz w:val="20"/>
                <w:szCs w:val="20"/>
                <w:color w:val="auto"/>
              </w:rPr>
            </w:pPr>
            <w:r>
              <w:rPr>
                <w:rFonts w:ascii="Arial" w:cs="Arial" w:eastAsia="Arial" w:hAnsi="Arial"/>
                <w:sz w:val="18"/>
                <w:szCs w:val="18"/>
                <w:color w:val="auto"/>
              </w:rPr>
              <w:t>Net income attributable to noncontrolling interests</w:t>
            </w: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76,955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46,186</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Dividends on preferred shares</w:t>
            </w: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3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76,820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46,051</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BASIC</w:t>
            </w:r>
          </w:p>
        </w:tc>
        <w:tc>
          <w:tcPr>
            <w:tcW w:w="3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80" w:type="dxa"/>
            <w:vAlign w:val="bottom"/>
            <w:vMerge w:val="continue"/>
          </w:tcPr>
          <w:p>
            <w:pPr>
              <w:spacing w:after="0"/>
              <w:rPr>
                <w:sz w:val="20"/>
                <w:szCs w:val="20"/>
                <w:color w:val="auto"/>
              </w:rPr>
            </w:pPr>
          </w:p>
        </w:tc>
        <w:tc>
          <w:tcPr>
            <w:tcW w:w="3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33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Gain on change in control of interests</w:t>
            </w:r>
          </w:p>
        </w:tc>
        <w:tc>
          <w:tcPr>
            <w:tcW w:w="3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8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2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 average number of common shares, basic</w:t>
            </w:r>
          </w:p>
        </w:tc>
        <w:tc>
          <w:tcPr>
            <w:tcW w:w="30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69,771</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68,368</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DILUTED</w:t>
            </w:r>
          </w:p>
        </w:tc>
        <w:tc>
          <w:tcPr>
            <w:tcW w:w="30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3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0.73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change in control of interests</w:t>
            </w:r>
          </w:p>
        </w:tc>
        <w:tc>
          <w:tcPr>
            <w:tcW w:w="30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67"/>
        </w:trPr>
        <w:tc>
          <w:tcPr>
            <w:tcW w:w="5280" w:type="dxa"/>
            <w:vAlign w:val="bottom"/>
            <w:tcBorders>
              <w:bottom w:val="single" w:sz="8" w:color="CCEEFF"/>
            </w:tcBorders>
          </w:tcPr>
          <w:p>
            <w:pPr>
              <w:spacing w:after="0"/>
              <w:rPr>
                <w:sz w:val="5"/>
                <w:szCs w:val="5"/>
                <w:color w:val="auto"/>
              </w:rPr>
            </w:pPr>
          </w:p>
        </w:tc>
        <w:tc>
          <w:tcPr>
            <w:tcW w:w="30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 diluted</w:t>
            </w:r>
          </w:p>
        </w:tc>
        <w:tc>
          <w:tcPr>
            <w:tcW w:w="30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69,957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68,563</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060" w:type="dxa"/>
            <w:vAlign w:val="bottom"/>
            <w:vMerge w:val="restart"/>
          </w:tcPr>
          <w:p>
            <w:pPr>
              <w:jc w:val="right"/>
              <w:ind w:right="2490"/>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28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Consolidated Balance Sheets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2016</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December 31,</w:t>
            </w:r>
          </w:p>
        </w:tc>
      </w:tr>
      <w:tr>
        <w:trPr>
          <w:trHeight w:val="276"/>
        </w:trPr>
        <w:tc>
          <w:tcPr>
            <w:tcW w:w="85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152"/>
        </w:trPr>
        <w:tc>
          <w:tcPr>
            <w:tcW w:w="8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700" w:type="dxa"/>
            <w:vAlign w:val="bottom"/>
            <w:gridSpan w:val="4"/>
          </w:tcPr>
          <w:p>
            <w:pPr>
              <w:jc w:val="right"/>
              <w:ind w:right="51"/>
              <w:spacing w:after="0" w:line="153" w:lineRule="exact"/>
              <w:rPr>
                <w:sz w:val="20"/>
                <w:szCs w:val="20"/>
                <w:color w:val="auto"/>
              </w:rPr>
            </w:pPr>
            <w:r>
              <w:rPr>
                <w:rFonts w:ascii="Arial" w:cs="Arial" w:eastAsia="Arial" w:hAnsi="Arial"/>
                <w:sz w:val="14"/>
                <w:szCs w:val="14"/>
                <w:b w:val="1"/>
                <w:bCs w:val="1"/>
                <w:color w:val="auto"/>
                <w:w w:val="90"/>
              </w:rPr>
              <w:t>(in thousands, except share and per share</w:t>
            </w:r>
          </w:p>
        </w:tc>
      </w:tr>
      <w:tr>
        <w:trPr>
          <w:trHeight w:val="186"/>
        </w:trPr>
        <w:tc>
          <w:tcPr>
            <w:tcW w:w="8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data)</w:t>
            </w:r>
          </w:p>
        </w:tc>
        <w:tc>
          <w:tcPr>
            <w:tcW w:w="1180" w:type="dxa"/>
            <w:vAlign w:val="bottom"/>
          </w:tcPr>
          <w:p>
            <w:pPr>
              <w:spacing w:after="0"/>
              <w:rPr>
                <w:sz w:val="16"/>
                <w:szCs w:val="16"/>
                <w:color w:val="auto"/>
              </w:rPr>
            </w:pPr>
          </w:p>
        </w:tc>
      </w:tr>
      <w:tr>
        <w:trPr>
          <w:trHeight w:val="270"/>
        </w:trPr>
        <w:tc>
          <w:tcPr>
            <w:tcW w:w="8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at cost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w w:val="95"/>
              </w:rPr>
              <w:t>Operating (including $1,197,847 and $1,192,336 of consolidated variable interest entities, respectively)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5,901,076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5,630,771</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Construction-in-progress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452,070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433,635</w:t>
            </w:r>
          </w:p>
        </w:tc>
      </w:tr>
      <w:tr>
        <w:trPr>
          <w:trHeight w:val="237"/>
        </w:trPr>
        <w:tc>
          <w:tcPr>
            <w:tcW w:w="85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6,353,146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6,064,406</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1"/>
              </w:rPr>
              <w:t>Less accumulated depreciation and amortization (including $184,078 and $176,057 of consolidated variable</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 entities, respectively)</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(1,611,379)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(1,574,041)</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Net real estate</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4,741,767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4,490,365</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21,046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and notes receivable, net</w:t>
            </w: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113,749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110,402</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Mortgage notes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41,618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41,618</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Investment in real estate partnerships</w:t>
            </w: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10,455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41,546</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198,152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191,582</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5,125,457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4,896,559</w:t>
            </w:r>
          </w:p>
        </w:tc>
      </w:tr>
      <w:tr>
        <w:trPr>
          <w:trHeight w:val="67"/>
        </w:trPr>
        <w:tc>
          <w:tcPr>
            <w:tcW w:w="85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AND SHAREHOLDERS’ EQUITY</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Mortgages payable (including $446,046 and $448,315 of consolidated variable interest entities,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respectively)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513,009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481,084</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Capital lease obligations</w:t>
            </w: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71,612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71,620</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Notes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341,620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341,961</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Senior notes and debentures</w:t>
            </w: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1,733,081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1,732,551</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165,407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146,532</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Dividends payable</w:t>
            </w: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67,593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66,338</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Security deposits payable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15,439</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Other liabilities and deferred credits</w:t>
            </w: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122,117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121,787</w:t>
            </w: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3,030,284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2,977,312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Redeemable noncontrolling interests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126,232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137,316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9"/>
              </w:rPr>
              <w:t>Preferred shares, authorized 15,000,000 shares, $.01 par: 5.417% Series 1 Cumulative Convertible Preferred</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Shares, (stated at liquidation preference $25 per share), 399,896 shares issued and outstanding</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9,997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9,997</w:t>
            </w:r>
          </w:p>
        </w:tc>
      </w:tr>
      <w:tr>
        <w:trPr>
          <w:trHeight w:val="229"/>
        </w:trPr>
        <w:tc>
          <w:tcPr>
            <w:tcW w:w="8580" w:type="dxa"/>
            <w:vAlign w:val="bottom"/>
          </w:tcPr>
          <w:p>
            <w:pPr>
              <w:ind w:left="720"/>
              <w:spacing w:after="0"/>
              <w:rPr>
                <w:sz w:val="20"/>
                <w:szCs w:val="20"/>
                <w:color w:val="auto"/>
              </w:rPr>
            </w:pPr>
            <w:r>
              <w:rPr>
                <w:rFonts w:ascii="Arial" w:cs="Arial" w:eastAsia="Arial" w:hAnsi="Arial"/>
                <w:sz w:val="18"/>
                <w:szCs w:val="18"/>
                <w:color w:val="auto"/>
                <w:w w:val="90"/>
              </w:rPr>
              <w:t>Common shares of beneficial interest, $.01 par, 100,000,000 shares authorized, 70,861,269 and 69,493,392</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shares issued and outstanding, respectively</w:t>
            </w:r>
          </w:p>
        </w:tc>
        <w:tc>
          <w:tcPr>
            <w:tcW w:w="14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696</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2,565,581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2,381,867</w:t>
            </w: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Accumulated dividends in excess of net income</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(714,452)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(724,701)</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(4,110)</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shareholders’ equity of the Trust</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1,854,951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1,663,749</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113,990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118,182</w:t>
            </w: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1,968,941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1,781,931</w:t>
            </w: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5,125,457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4,896,559</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742" w:right="239" w:bottom="1440" w:gutter="0" w:footer="0" w:header="0"/>
          <w:type w:val="continuous"/>
        </w:sectPr>
      </w:pPr>
    </w:p>
    <w:bookmarkStart w:id="11" w:name="page12"/>
    <w:bookmarkEnd w:id="1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2016</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60" w:type="dxa"/>
            <w:vAlign w:val="bottom"/>
            <w:gridSpan w:val="4"/>
          </w:tcPr>
          <w:p>
            <w:pPr>
              <w:jc w:val="right"/>
              <w:ind w:right="751"/>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r>
      <w:tr>
        <w:trPr>
          <w:trHeight w:val="250"/>
        </w:trPr>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300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r>
      <w:tr>
        <w:trPr>
          <w:trHeight w:val="256"/>
        </w:trPr>
        <w:tc>
          <w:tcPr>
            <w:tcW w:w="20" w:type="dxa"/>
            <w:vAlign w:val="bottom"/>
            <w:shd w:val="clear" w:color="auto" w:fill="CCEEFF"/>
          </w:tcPr>
          <w:p>
            <w:pPr>
              <w:spacing w:after="0"/>
              <w:rPr>
                <w:sz w:val="22"/>
                <w:szCs w:val="22"/>
                <w:color w:val="auto"/>
              </w:rPr>
            </w:pPr>
          </w:p>
        </w:tc>
        <w:tc>
          <w:tcPr>
            <w:tcW w:w="8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 (FFO) (1)</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5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Net income</w:t>
            </w:r>
          </w:p>
        </w:tc>
        <w:tc>
          <w:tcPr>
            <w:tcW w:w="33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tcPr>
          <w:p>
            <w:pPr>
              <w:jc w:val="right"/>
              <w:ind w:right="92"/>
              <w:spacing w:after="0"/>
              <w:rPr>
                <w:sz w:val="20"/>
                <w:szCs w:val="20"/>
                <w:color w:val="auto"/>
              </w:rPr>
            </w:pPr>
            <w:r>
              <w:rPr>
                <w:rFonts w:ascii="Arial" w:cs="Arial" w:eastAsia="Arial" w:hAnsi="Arial"/>
                <w:sz w:val="18"/>
                <w:szCs w:val="18"/>
                <w:color w:val="auto"/>
              </w:rPr>
              <w:t>79,063</w:t>
            </w:r>
          </w:p>
        </w:tc>
        <w:tc>
          <w:tcPr>
            <w:tcW w:w="12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tcBorders>
          </w:tcPr>
          <w:p>
            <w:pPr>
              <w:jc w:val="right"/>
              <w:ind w:right="111"/>
              <w:spacing w:after="0"/>
              <w:rPr>
                <w:sz w:val="20"/>
                <w:szCs w:val="20"/>
                <w:color w:val="auto"/>
              </w:rPr>
            </w:pPr>
            <w:r>
              <w:rPr>
                <w:rFonts w:ascii="Arial" w:cs="Arial" w:eastAsia="Arial" w:hAnsi="Arial"/>
                <w:sz w:val="18"/>
                <w:szCs w:val="18"/>
                <w:color w:val="auto"/>
              </w:rPr>
              <w:t>48,203</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(2,017)</w:t>
            </w:r>
          </w:p>
        </w:tc>
      </w:tr>
      <w:tr>
        <w:trPr>
          <w:trHeight w:val="243"/>
        </w:trPr>
        <w:tc>
          <w:tcPr>
            <w:tcW w:w="8400" w:type="dxa"/>
            <w:vAlign w:val="bottom"/>
            <w:gridSpan w:val="5"/>
          </w:tcPr>
          <w:p>
            <w:pPr>
              <w:ind w:left="20"/>
              <w:spacing w:after="0"/>
              <w:rPr>
                <w:sz w:val="20"/>
                <w:szCs w:val="20"/>
                <w:color w:val="auto"/>
              </w:rPr>
            </w:pPr>
            <w:r>
              <w:rPr>
                <w:rFonts w:ascii="Arial" w:cs="Arial" w:eastAsia="Arial" w:hAnsi="Arial"/>
                <w:sz w:val="18"/>
                <w:szCs w:val="18"/>
                <w:color w:val="auto"/>
              </w:rPr>
              <w:t>Gain on change in control of interests</w:t>
            </w:r>
          </w:p>
        </w:tc>
        <w:tc>
          <w:tcPr>
            <w:tcW w:w="3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(25,726)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Depreciation and amortization of real estate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41,683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36,953</w:t>
            </w:r>
          </w:p>
        </w:tc>
      </w:tr>
      <w:tr>
        <w:trPr>
          <w:trHeight w:val="243"/>
        </w:trPr>
        <w:tc>
          <w:tcPr>
            <w:tcW w:w="8400" w:type="dxa"/>
            <w:vAlign w:val="bottom"/>
            <w:gridSpan w:val="5"/>
          </w:tcPr>
          <w:p>
            <w:pPr>
              <w:ind w:left="20"/>
              <w:spacing w:after="0"/>
              <w:rPr>
                <w:sz w:val="20"/>
                <w:szCs w:val="20"/>
                <w:color w:val="auto"/>
              </w:rPr>
            </w:pPr>
            <w:r>
              <w:rPr>
                <w:rFonts w:ascii="Arial" w:cs="Arial" w:eastAsia="Arial" w:hAnsi="Arial"/>
                <w:sz w:val="18"/>
                <w:szCs w:val="18"/>
                <w:color w:val="auto"/>
              </w:rPr>
              <w:t>Amortization of initial direct costs of leases</w:t>
            </w:r>
          </w:p>
        </w:tc>
        <w:tc>
          <w:tcPr>
            <w:tcW w:w="34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4,204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3,440</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Depreciation of joint venture real estate assets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331</w:t>
            </w:r>
          </w:p>
        </w:tc>
      </w:tr>
      <w:tr>
        <w:trPr>
          <w:trHeight w:val="237"/>
        </w:trPr>
        <w:tc>
          <w:tcPr>
            <w:tcW w:w="20" w:type="dxa"/>
            <w:vAlign w:val="bottom"/>
          </w:tcPr>
          <w:p>
            <w:pPr>
              <w:spacing w:after="0"/>
              <w:rPr>
                <w:sz w:val="20"/>
                <w:szCs w:val="20"/>
                <w:color w:val="auto"/>
              </w:rPr>
            </w:pPr>
          </w:p>
        </w:tc>
        <w:tc>
          <w:tcPr>
            <w:tcW w:w="8380" w:type="dxa"/>
            <w:vAlign w:val="bottom"/>
            <w:gridSpan w:val="4"/>
          </w:tcPr>
          <w:p>
            <w:pPr>
              <w:ind w:left="360"/>
              <w:spacing w:after="0"/>
              <w:rPr>
                <w:sz w:val="20"/>
                <w:szCs w:val="20"/>
                <w:color w:val="auto"/>
              </w:rPr>
            </w:pPr>
            <w:r>
              <w:rPr>
                <w:rFonts w:ascii="Arial" w:cs="Arial" w:eastAsia="Arial" w:hAnsi="Arial"/>
                <w:sz w:val="18"/>
                <w:szCs w:val="18"/>
                <w:color w:val="auto"/>
              </w:rPr>
              <w:t>Funds from operations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97,161</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86,910</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Dividends on preferred shares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(135)</w:t>
            </w:r>
          </w:p>
        </w:tc>
      </w:tr>
      <w:tr>
        <w:trPr>
          <w:trHeight w:val="243"/>
        </w:trPr>
        <w:tc>
          <w:tcPr>
            <w:tcW w:w="8400" w:type="dxa"/>
            <w:vAlign w:val="bottom"/>
            <w:gridSpan w:val="5"/>
          </w:tcPr>
          <w:p>
            <w:pPr>
              <w:ind w:left="20"/>
              <w:spacing w:after="0"/>
              <w:rPr>
                <w:sz w:val="20"/>
                <w:szCs w:val="20"/>
                <w:color w:val="auto"/>
              </w:rPr>
            </w:pPr>
            <w:r>
              <w:rPr>
                <w:rFonts w:ascii="Arial" w:cs="Arial" w:eastAsia="Arial" w:hAnsi="Arial"/>
                <w:sz w:val="18"/>
                <w:szCs w:val="18"/>
                <w:color w:val="auto"/>
              </w:rPr>
              <w:t>Income attributable to operating partnership units</w:t>
            </w:r>
          </w:p>
        </w:tc>
        <w:tc>
          <w:tcPr>
            <w:tcW w:w="34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833</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Income attributable to unvested shares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(320)</w:t>
            </w:r>
          </w:p>
        </w:tc>
      </w:tr>
      <w:tr>
        <w:trPr>
          <w:trHeight w:val="297"/>
        </w:trPr>
        <w:tc>
          <w:tcPr>
            <w:tcW w:w="20" w:type="dxa"/>
            <w:vAlign w:val="bottom"/>
            <w:tcBorders>
              <w:bottom w:val="single" w:sz="8" w:color="CCEEFF"/>
            </w:tcBorders>
          </w:tcPr>
          <w:p>
            <w:pPr>
              <w:spacing w:after="0"/>
              <w:rPr>
                <w:sz w:val="24"/>
                <w:szCs w:val="24"/>
                <w:color w:val="auto"/>
              </w:rPr>
            </w:pPr>
          </w:p>
        </w:tc>
        <w:tc>
          <w:tcPr>
            <w:tcW w:w="8380" w:type="dxa"/>
            <w:vAlign w:val="bottom"/>
            <w:tcBorders>
              <w:bottom w:val="single" w:sz="8" w:color="CCEEFF"/>
            </w:tcBorders>
            <w:gridSpan w:val="4"/>
          </w:tcPr>
          <w:p>
            <w:pPr>
              <w:ind w:left="360"/>
              <w:spacing w:after="0"/>
              <w:rPr>
                <w:sz w:val="20"/>
                <w:szCs w:val="20"/>
                <w:color w:val="auto"/>
              </w:rPr>
            </w:pPr>
            <w:r>
              <w:rPr>
                <w:rFonts w:ascii="Arial" w:cs="Arial" w:eastAsia="Arial" w:hAnsi="Arial"/>
                <w:sz w:val="18"/>
                <w:szCs w:val="18"/>
                <w:color w:val="auto"/>
              </w:rPr>
              <w:t>FFO</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97,589</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87,288</w:t>
            </w:r>
          </w:p>
        </w:tc>
      </w:tr>
      <w:tr>
        <w:trPr>
          <w:trHeight w:val="251"/>
        </w:trPr>
        <w:tc>
          <w:tcPr>
            <w:tcW w:w="84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Weighted average number of common shares, diluted</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70,867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69,515</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1"/>
        </w:trPr>
        <w:tc>
          <w:tcPr>
            <w:tcW w:w="840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FFO per diluted share</w:t>
            </w: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1.26</w:t>
            </w:r>
          </w:p>
        </w:tc>
      </w:tr>
      <w:tr>
        <w:trPr>
          <w:trHeight w:val="271"/>
        </w:trPr>
        <w:tc>
          <w:tcPr>
            <w:tcW w:w="2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33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03"/>
        </w:trPr>
        <w:tc>
          <w:tcPr>
            <w:tcW w:w="840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Summary of Capital Expenditures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1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2540" w:type="dxa"/>
            <w:vAlign w:val="bottom"/>
          </w:tcPr>
          <w:p>
            <w:pPr>
              <w:spacing w:after="0"/>
              <w:rPr>
                <w:sz w:val="4"/>
                <w:szCs w:val="4"/>
                <w:color w:val="auto"/>
              </w:rPr>
            </w:pPr>
          </w:p>
        </w:tc>
        <w:tc>
          <w:tcPr>
            <w:tcW w:w="3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84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Non-maintenance capital expenditures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380" w:type="dxa"/>
            <w:vAlign w:val="bottom"/>
            <w:gridSpan w:val="4"/>
          </w:tcPr>
          <w:p>
            <w:pPr>
              <w:ind w:left="360"/>
              <w:spacing w:after="0"/>
              <w:rPr>
                <w:sz w:val="20"/>
                <w:szCs w:val="20"/>
                <w:color w:val="auto"/>
              </w:rPr>
            </w:pPr>
            <w:r>
              <w:rPr>
                <w:rFonts w:ascii="Arial" w:cs="Arial" w:eastAsia="Arial" w:hAnsi="Arial"/>
                <w:sz w:val="18"/>
                <w:szCs w:val="18"/>
                <w:color w:val="auto"/>
              </w:rPr>
              <w:t>Development, redevelopment and expansions</w:t>
            </w: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69,808</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11"/>
              <w:spacing w:after="0"/>
              <w:rPr>
                <w:sz w:val="20"/>
                <w:szCs w:val="20"/>
                <w:color w:val="auto"/>
              </w:rPr>
            </w:pPr>
            <w:r>
              <w:rPr>
                <w:rFonts w:ascii="Arial" w:cs="Arial" w:eastAsia="Arial" w:hAnsi="Arial"/>
                <w:sz w:val="18"/>
                <w:szCs w:val="18"/>
                <w:color w:val="auto"/>
              </w:rPr>
              <w:t>55,605</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38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Tenant improvements and incentives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7,159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4,311</w:t>
            </w:r>
          </w:p>
        </w:tc>
      </w:tr>
      <w:tr>
        <w:trPr>
          <w:trHeight w:val="237"/>
        </w:trPr>
        <w:tc>
          <w:tcPr>
            <w:tcW w:w="8400" w:type="dxa"/>
            <w:vAlign w:val="bottom"/>
            <w:gridSpan w:val="5"/>
          </w:tcPr>
          <w:p>
            <w:pPr>
              <w:ind w:left="20"/>
              <w:spacing w:after="0"/>
              <w:rPr>
                <w:sz w:val="20"/>
                <w:szCs w:val="20"/>
                <w:color w:val="auto"/>
              </w:rPr>
            </w:pPr>
            <w:r>
              <w:rPr>
                <w:rFonts w:ascii="Arial" w:cs="Arial" w:eastAsia="Arial" w:hAnsi="Arial"/>
                <w:sz w:val="18"/>
                <w:szCs w:val="18"/>
                <w:color w:val="auto"/>
              </w:rPr>
              <w:t>Total non-maintenance capital expenditures</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76,967</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59,916</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38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Maintenance capital expenditures</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1,689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1,755</w:t>
            </w:r>
          </w:p>
        </w:tc>
      </w:tr>
      <w:tr>
        <w:trPr>
          <w:trHeight w:val="297"/>
        </w:trPr>
        <w:tc>
          <w:tcPr>
            <w:tcW w:w="840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Total capital expenditures</w:t>
            </w: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78,656</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61,671</w:t>
            </w:r>
          </w:p>
        </w:tc>
      </w:tr>
      <w:tr>
        <w:trPr>
          <w:trHeight w:val="271"/>
        </w:trPr>
        <w:tc>
          <w:tcPr>
            <w:tcW w:w="20" w:type="dxa"/>
            <w:vAlign w:val="bottom"/>
            <w:shd w:val="clear" w:color="auto" w:fill="CCEEFF"/>
          </w:tcPr>
          <w:p>
            <w:pPr>
              <w:spacing w:after="0"/>
              <w:rPr>
                <w:sz w:val="23"/>
                <w:szCs w:val="23"/>
                <w:color w:val="auto"/>
              </w:rPr>
            </w:pPr>
          </w:p>
        </w:tc>
        <w:tc>
          <w:tcPr>
            <w:tcW w:w="2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33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03"/>
        </w:trPr>
        <w:tc>
          <w:tcPr>
            <w:tcW w:w="8400" w:type="dxa"/>
            <w:vAlign w:val="bottom"/>
            <w:gridSpan w:val="5"/>
          </w:tcPr>
          <w:p>
            <w:pPr>
              <w:ind w:left="20"/>
              <w:spacing w:after="0" w:line="202" w:lineRule="exact"/>
              <w:rPr>
                <w:sz w:val="20"/>
                <w:szCs w:val="20"/>
                <w:color w:val="auto"/>
              </w:rPr>
            </w:pPr>
            <w:r>
              <w:rPr>
                <w:rFonts w:ascii="Arial" w:cs="Arial" w:eastAsia="Arial" w:hAnsi="Arial"/>
                <w:sz w:val="18"/>
                <w:szCs w:val="18"/>
                <w:color w:val="auto"/>
              </w:rPr>
              <w:t>Dividends and Payout Ratios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210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2540" w:type="dxa"/>
            <w:vAlign w:val="bottom"/>
          </w:tcPr>
          <w:p>
            <w:pPr>
              <w:spacing w:after="0"/>
              <w:rPr>
                <w:sz w:val="4"/>
                <w:szCs w:val="4"/>
                <w:color w:val="auto"/>
              </w:rPr>
            </w:pPr>
          </w:p>
        </w:tc>
        <w:tc>
          <w:tcPr>
            <w:tcW w:w="3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50"/>
        </w:trPr>
        <w:tc>
          <w:tcPr>
            <w:tcW w:w="840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Regular common dividends declared</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66,571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59,752</w:t>
            </w:r>
          </w:p>
        </w:tc>
      </w:tr>
      <w:tr>
        <w:trPr>
          <w:trHeight w:val="284"/>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3"/>
        </w:trPr>
        <w:tc>
          <w:tcPr>
            <w:tcW w:w="84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Dividend payout ratio as a percentage of FFO</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9"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2" w:right="23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2016</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1080" w:type="dxa"/>
            <w:vAlign w:val="bottom"/>
            <w:tcBorders>
              <w:bottom w:val="single" w:sz="8" w:color="auto"/>
            </w:tcBorders>
          </w:tcPr>
          <w:p>
            <w:pPr>
              <w:spacing w:after="0"/>
              <w:rPr>
                <w:sz w:val="16"/>
                <w:szCs w:val="16"/>
                <w:color w:val="auto"/>
              </w:rPr>
            </w:pPr>
          </w:p>
        </w:tc>
      </w:tr>
      <w:tr>
        <w:trPr>
          <w:trHeight w:val="264"/>
        </w:trPr>
        <w:tc>
          <w:tcPr>
            <w:tcW w:w="84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r>
      <w:tr>
        <w:trPr>
          <w:trHeight w:val="250"/>
        </w:trPr>
        <w:tc>
          <w:tcPr>
            <w:tcW w:w="8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4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5"/>
              </w:rPr>
              <w:t>(in thousands, except per share data)</w:t>
            </w:r>
          </w:p>
        </w:tc>
      </w:tr>
      <w:tr>
        <w:trPr>
          <w:trHeight w:val="256"/>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Common shares outstanding and operating partnership units (1)</w:t>
            </w:r>
          </w:p>
        </w:tc>
        <w:tc>
          <w:tcPr>
            <w:tcW w:w="2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71,764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69,612</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Market price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156.05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147.21</w:t>
            </w:r>
          </w:p>
        </w:tc>
      </w:tr>
      <w:tr>
        <w:trPr>
          <w:trHeight w:val="237"/>
        </w:trPr>
        <w:tc>
          <w:tcPr>
            <w:tcW w:w="8420" w:type="dxa"/>
            <w:vAlign w:val="bottom"/>
          </w:tcPr>
          <w:p>
            <w:pPr>
              <w:ind w:left="720"/>
              <w:spacing w:after="0"/>
              <w:rPr>
                <w:sz w:val="20"/>
                <w:szCs w:val="20"/>
                <w:color w:val="auto"/>
              </w:rPr>
            </w:pPr>
            <w:r>
              <w:rPr>
                <w:rFonts w:ascii="Arial" w:cs="Arial" w:eastAsia="Arial" w:hAnsi="Arial"/>
                <w:sz w:val="18"/>
                <w:szCs w:val="18"/>
                <w:color w:val="auto"/>
              </w:rPr>
              <w:t>Common equity market capitalization including operating partnership units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11,198,772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w w:val="97"/>
              </w:rPr>
              <w:t>10,247,583</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Series 1 preferred shares outstanding (2)</w:t>
            </w:r>
          </w:p>
        </w:tc>
        <w:tc>
          <w:tcPr>
            <w:tcW w:w="2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Liquidation price per Series 1 preferred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25.00</w:t>
            </w:r>
          </w:p>
        </w:tc>
      </w:tr>
      <w:tr>
        <w:trPr>
          <w:trHeight w:val="237"/>
        </w:trPr>
        <w:tc>
          <w:tcPr>
            <w:tcW w:w="8420" w:type="dxa"/>
            <w:vAlign w:val="bottom"/>
          </w:tcPr>
          <w:p>
            <w:pPr>
              <w:ind w:left="720"/>
              <w:spacing w:after="0"/>
              <w:rPr>
                <w:sz w:val="20"/>
                <w:szCs w:val="20"/>
                <w:color w:val="auto"/>
              </w:rPr>
            </w:pPr>
            <w:r>
              <w:rPr>
                <w:rFonts w:ascii="Arial" w:cs="Arial" w:eastAsia="Arial" w:hAnsi="Arial"/>
                <w:sz w:val="18"/>
                <w:szCs w:val="18"/>
                <w:color w:val="auto"/>
              </w:rPr>
              <w:t>Series 1 preferred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10,000</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Equity market capitalization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11,208,772</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w w:val="97"/>
              </w:rPr>
              <w:t>10,257,583</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Total debt (3)</w:t>
            </w:r>
          </w:p>
        </w:tc>
        <w:tc>
          <w:tcPr>
            <w:tcW w:w="2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2,659,322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2,622,327</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r>
      <w:tr>
        <w:trPr>
          <w:trHeight w:val="297"/>
        </w:trPr>
        <w:tc>
          <w:tcPr>
            <w:tcW w:w="8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market capitalization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13,868,094</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97"/>
              </w:rPr>
              <w:t>12,879,910</w:t>
            </w:r>
          </w:p>
        </w:tc>
      </w:tr>
      <w:tr>
        <w:trPr>
          <w:trHeight w:val="271"/>
        </w:trPr>
        <w:tc>
          <w:tcPr>
            <w:tcW w:w="8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Total debt to market capitalization at the current market price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Fixed rate debt ratio:</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Fixed rate debt and capital lease obligations (4)</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8420" w:type="dxa"/>
            <w:vAlign w:val="bottom"/>
          </w:tcPr>
          <w:p>
            <w:pPr>
              <w:ind w:left="720"/>
              <w:spacing w:after="0"/>
              <w:rPr>
                <w:sz w:val="20"/>
                <w:szCs w:val="20"/>
                <w:color w:val="auto"/>
              </w:rPr>
            </w:pPr>
            <w:r>
              <w:rPr>
                <w:rFonts w:ascii="Arial" w:cs="Arial" w:eastAsia="Arial" w:hAnsi="Arial"/>
                <w:sz w:val="18"/>
                <w:szCs w:val="18"/>
                <w:color w:val="auto"/>
              </w:rPr>
              <w:t>Variable rate debt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&lt;1%</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u w:val="single" w:color="auto"/>
          <w:color w:val="auto"/>
        </w:rPr>
        <w:t>Notes:</w:t>
      </w:r>
    </w:p>
    <w:p>
      <w:pPr>
        <w:spacing w:after="0" w:line="49"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Amounts include 902,368 and 934,405 operating partnership units outstanding at March 31, 2016 and 2015,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right="40" w:hanging="652"/>
        <w:spacing w:after="0" w:line="25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Total debt includes capital leases, mortgages payable, notes payable, senior notes and debentures, net of premiums and debt issuance costs from our consolidated balance sheet. The March 31, 2016 and 2015 balances are net of debt issuance costs of $14.6 million and $14.4 million, respectively, reflecting our January 1, 2016 adoption of ASU 2015-03, "Simplifying the Presentation of Debt Issuance Costs." See Note 2 of our March 31, 2016 Form 10-Q for additional information regarding the adoption.</w:t>
      </w:r>
    </w:p>
    <w:p>
      <w:pPr>
        <w:spacing w:after="0" w:line="25" w:lineRule="exact"/>
        <w:rPr>
          <w:rFonts w:ascii="Arial" w:cs="Arial" w:eastAsia="Arial" w:hAnsi="Arial"/>
          <w:sz w:val="16"/>
          <w:szCs w:val="16"/>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Fixed rate debt includes our $275.0 million term loan as the rate is effectively fixed by two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Rental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2016</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20" w:type="dxa"/>
            <w:vAlign w:val="bottom"/>
            <w:gridSpan w:val="4"/>
          </w:tcPr>
          <w:p>
            <w:pPr>
              <w:jc w:val="center"/>
              <w:ind w:right="153"/>
              <w:spacing w:after="0"/>
              <w:rPr>
                <w:sz w:val="20"/>
                <w:szCs w:val="20"/>
                <w:color w:val="auto"/>
              </w:rPr>
            </w:pPr>
            <w:r>
              <w:rPr>
                <w:rFonts w:ascii="Arial" w:cs="Arial" w:eastAsia="Arial" w:hAnsi="Arial"/>
                <w:sz w:val="14"/>
                <w:szCs w:val="14"/>
                <w:b w:val="1"/>
                <w:bCs w:val="1"/>
                <w:color w:val="auto"/>
                <w:w w:val="95"/>
              </w:rPr>
              <w:t>Three Months Ended</w:t>
            </w:r>
          </w:p>
        </w:tc>
      </w:tr>
      <w:tr>
        <w:trPr>
          <w:trHeight w:val="276"/>
        </w:trPr>
        <w:tc>
          <w:tcPr>
            <w:tcW w:w="90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4"/>
                <w:szCs w:val="14"/>
                <w:b w:val="1"/>
                <w:bCs w:val="1"/>
                <w:color w:val="auto"/>
                <w:w w:val="99"/>
              </w:rPr>
              <w:t>March 31,</w:t>
            </w:r>
          </w:p>
        </w:tc>
        <w:tc>
          <w:tcPr>
            <w:tcW w:w="720" w:type="dxa"/>
            <w:vAlign w:val="bottom"/>
            <w:tcBorders>
              <w:bottom w:val="single" w:sz="8" w:color="auto"/>
            </w:tcBorders>
          </w:tcPr>
          <w:p>
            <w:pPr>
              <w:spacing w:after="0"/>
              <w:rPr>
                <w:sz w:val="24"/>
                <w:szCs w:val="24"/>
                <w:color w:val="auto"/>
              </w:rPr>
            </w:pPr>
          </w:p>
        </w:tc>
      </w:tr>
      <w:tr>
        <w:trPr>
          <w:trHeight w:val="264"/>
        </w:trPr>
        <w:tc>
          <w:tcPr>
            <w:tcW w:w="90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9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3"/>
          </w:tcPr>
          <w:p>
            <w:pPr>
              <w:jc w:val="center"/>
              <w:ind w:left="397"/>
              <w:spacing w:after="0"/>
              <w:rPr>
                <w:sz w:val="20"/>
                <w:szCs w:val="20"/>
                <w:color w:val="auto"/>
              </w:rPr>
            </w:pPr>
            <w:r>
              <w:rPr>
                <w:rFonts w:ascii="Arial" w:cs="Arial" w:eastAsia="Arial" w:hAnsi="Arial"/>
                <w:sz w:val="14"/>
                <w:szCs w:val="14"/>
                <w:b w:val="1"/>
                <w:bCs w:val="1"/>
                <w:color w:val="auto"/>
                <w:w w:val="91"/>
              </w:rPr>
              <w:t>(in thousands)</w:t>
            </w:r>
          </w:p>
        </w:tc>
        <w:tc>
          <w:tcPr>
            <w:tcW w:w="720" w:type="dxa"/>
            <w:vAlign w:val="bottom"/>
          </w:tcPr>
          <w:p>
            <w:pPr>
              <w:spacing w:after="0"/>
              <w:rPr>
                <w:sz w:val="21"/>
                <w:szCs w:val="21"/>
                <w:color w:val="auto"/>
              </w:rPr>
            </w:pPr>
          </w:p>
        </w:tc>
      </w:tr>
      <w:tr>
        <w:trPr>
          <w:trHeight w:val="25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Retail and commercial (1)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134,586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w w:val="92"/>
              </w:rPr>
              <w:t>124,313</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11,449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10,387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28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41,802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40,887</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2,764</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4,402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2,815</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195,308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2"/>
              </w:rPr>
              <w:t>181,166</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jc w:val="both"/>
        <w:ind w:left="660" w:right="100" w:hanging="652"/>
        <w:spacing w:after="0" w:line="26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Minimum rents include $2.0 million and $1.3 million for the three months ended March 31, 2016 and 2015, respectively, to recognize minimum rents on a straight-line basis. In addition, minimum rents include $0.3 million and $0.7 million for the three months ended March 31, 2016 and 2015, respectively, to recognize income from the amortization of in-place leases.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4" w:name="page15"/>
    <w:bookmarkEnd w:id="14"/>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Outstanding Debt and Capital Lease Obligations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2016</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5"/>
          </w:tcPr>
          <w:p>
            <w:pPr>
              <w:jc w:val="center"/>
              <w:ind w:left="260"/>
              <w:spacing w:after="0"/>
              <w:rPr>
                <w:sz w:val="20"/>
                <w:szCs w:val="20"/>
                <w:color w:val="auto"/>
              </w:rPr>
            </w:pPr>
            <w:r>
              <w:rPr>
                <w:rFonts w:ascii="Arial" w:cs="Arial" w:eastAsia="Arial" w:hAnsi="Arial"/>
                <w:sz w:val="14"/>
                <w:szCs w:val="14"/>
                <w:b w:val="1"/>
                <w:bCs w:val="1"/>
                <w:color w:val="auto"/>
                <w:w w:val="93"/>
              </w:rPr>
              <w:t>As of March 31, 2016</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Stated maturity date</w:t>
            </w:r>
          </w:p>
        </w:tc>
        <w:tc>
          <w:tcPr>
            <w:tcW w:w="120" w:type="dxa"/>
            <w:vAlign w:val="bottom"/>
            <w:vMerge w:val="restart"/>
          </w:tcPr>
          <w:p>
            <w:pPr>
              <w:spacing w:after="0"/>
              <w:rPr>
                <w:sz w:val="13"/>
                <w:szCs w:val="13"/>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Stated interest rate</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vMerge w:val="restart"/>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39"/>
              <w:spacing w:after="0" w:line="153"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effective rate (5)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4240" w:type="dxa"/>
            <w:vAlign w:val="bottom"/>
            <w:gridSpan w:val="6"/>
            <w:shd w:val="clear" w:color="auto" w:fill="CCEEFF"/>
          </w:tcPr>
          <w:p>
            <w:pPr>
              <w:ind w:left="40"/>
              <w:spacing w:after="0"/>
              <w:rPr>
                <w:sz w:val="20"/>
                <w:szCs w:val="20"/>
                <w:color w:val="auto"/>
              </w:rPr>
            </w:pPr>
            <w:r>
              <w:rPr>
                <w:rFonts w:ascii="Arial" w:cs="Arial" w:eastAsia="Arial" w:hAnsi="Arial"/>
                <w:sz w:val="16"/>
                <w:szCs w:val="16"/>
                <w:color w:val="auto"/>
              </w:rPr>
              <w:t>Mortgages Payable</w:t>
            </w:r>
          </w:p>
        </w:tc>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38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i w:val="1"/>
                <w:iCs w:val="1"/>
                <w:color w:val="auto"/>
              </w:rPr>
              <w:t>Secured fixed rate</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Barcroft Plaza (1)</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7/1/2016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20,785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Greenlawn Plaza (1)</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7/1/2016</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5.90%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13,600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Plaza El Segundo</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8/5/2017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The Grove at Shrewsbury (East)</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10/1/2017</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5.82%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43,307</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The Grove at Shrewsbury (West)</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3/1/2018</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10,968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Rollingwood Apartments</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5/1/2019</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5.54%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21,608</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The Shops at Sunset Place</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9/1/2020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70,070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29th Place</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1/31/2021</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5.91%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4,704</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THE AVENUE at White Marsh</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1/1/2022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52,705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Montrose Crossing</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1/10/2022</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4.20%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73,935</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Brook 35</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7/1/2029</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Chelsea</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1/15/2031</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5.36%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6,796</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420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504,978</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0" w:type="dxa"/>
            <w:vAlign w:val="bottom"/>
            <w:gridSpan w:val="5"/>
          </w:tcPr>
          <w:p>
            <w:pPr>
              <w:ind w:left="920"/>
              <w:spacing w:after="0"/>
              <w:rPr>
                <w:sz w:val="20"/>
                <w:szCs w:val="20"/>
                <w:color w:val="auto"/>
              </w:rPr>
            </w:pPr>
            <w:r>
              <w:rPr>
                <w:rFonts w:ascii="Arial" w:cs="Arial" w:eastAsia="Arial" w:hAnsi="Arial"/>
                <w:sz w:val="16"/>
                <w:szCs w:val="16"/>
                <w:color w:val="auto"/>
                <w:w w:val="90"/>
              </w:rPr>
              <w:t>Net unamortized premium and debt issuance costs</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8,031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Total mortgages payable</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513,009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4.30%</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240" w:type="dxa"/>
            <w:vAlign w:val="bottom"/>
            <w:gridSpan w:val="6"/>
            <w:shd w:val="clear" w:color="auto" w:fill="CCEEFF"/>
          </w:tcPr>
          <w:p>
            <w:pPr>
              <w:ind w:left="40"/>
              <w:spacing w:after="0"/>
              <w:rPr>
                <w:sz w:val="20"/>
                <w:szCs w:val="20"/>
                <w:color w:val="auto"/>
              </w:rPr>
            </w:pPr>
            <w:r>
              <w:rPr>
                <w:rFonts w:ascii="Arial" w:cs="Arial" w:eastAsia="Arial" w:hAnsi="Arial"/>
                <w:sz w:val="16"/>
                <w:szCs w:val="16"/>
                <w:color w:val="auto"/>
              </w:rPr>
              <w:t>Notes payable</w:t>
            </w:r>
          </w:p>
        </w:tc>
        <w:tc>
          <w:tcPr>
            <w:tcW w:w="1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38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i w:val="1"/>
                <w:iCs w:val="1"/>
                <w:color w:val="auto"/>
              </w:rPr>
              <w:t>Unsecured fixed rate</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Term loan (2)</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11/21/2018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LIBOR + 0.90%</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Various</w:t>
            </w: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Various through 2028</w:t>
            </w: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11.31%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5,722</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i w:val="1"/>
                <w:iCs w:val="1"/>
                <w:color w:val="auto"/>
              </w:rPr>
              <w:t>Unsecured variable rate</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Escondido (Municipal bonds) (3)</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10/1/2016</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0.09%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9,400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Revolving credit facility (4)</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4/21/2017</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4"/>
              </w:rPr>
              <w:t>LIBOR + 0.90%</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53,000</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200" w:type="dxa"/>
            <w:vAlign w:val="bottom"/>
            <w:gridSpan w:val="5"/>
          </w:tcPr>
          <w:p>
            <w:pPr>
              <w:ind w:left="700"/>
              <w:spacing w:after="0"/>
              <w:rPr>
                <w:sz w:val="20"/>
                <w:szCs w:val="20"/>
                <w:color w:val="auto"/>
              </w:rPr>
            </w:pPr>
            <w:r>
              <w:rPr>
                <w:rFonts w:ascii="Arial" w:cs="Arial" w:eastAsia="Arial" w:hAnsi="Arial"/>
                <w:sz w:val="16"/>
                <w:szCs w:val="16"/>
                <w:color w:val="auto"/>
              </w:rPr>
              <w:t>Subtotal</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343,122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200" w:type="dxa"/>
            <w:vAlign w:val="bottom"/>
            <w:tcBorders>
              <w:bottom w:val="single" w:sz="8" w:color="CCEEFF"/>
            </w:tcBorders>
            <w:gridSpan w:val="5"/>
            <w:shd w:val="clear" w:color="auto" w:fill="CCEEFF"/>
          </w:tcPr>
          <w:p>
            <w:pPr>
              <w:ind w:left="920"/>
              <w:spacing w:after="0"/>
              <w:rPr>
                <w:sz w:val="20"/>
                <w:szCs w:val="20"/>
                <w:color w:val="auto"/>
              </w:rPr>
            </w:pPr>
            <w:r>
              <w:rPr>
                <w:rFonts w:ascii="Arial" w:cs="Arial" w:eastAsia="Arial" w:hAnsi="Arial"/>
                <w:sz w:val="16"/>
                <w:szCs w:val="16"/>
                <w:color w:val="auto"/>
              </w:rPr>
              <w:t>Net unamortized debt issuance costs</w:t>
            </w:r>
          </w:p>
        </w:tc>
        <w:tc>
          <w:tcPr>
            <w:tcW w:w="1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(1,502)</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200" w:type="dxa"/>
            <w:vAlign w:val="bottom"/>
            <w:gridSpan w:val="5"/>
          </w:tcPr>
          <w:p>
            <w:pPr>
              <w:ind w:left="700"/>
              <w:spacing w:after="0"/>
              <w:rPr>
                <w:sz w:val="20"/>
                <w:szCs w:val="20"/>
                <w:color w:val="auto"/>
              </w:rPr>
            </w:pPr>
            <w:r>
              <w:rPr>
                <w:rFonts w:ascii="Arial" w:cs="Arial" w:eastAsia="Arial" w:hAnsi="Arial"/>
                <w:sz w:val="16"/>
                <w:szCs w:val="16"/>
                <w:color w:val="auto"/>
              </w:rPr>
              <w:t>Total notes payable</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341,620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61"/>
              <w:spacing w:after="0"/>
              <w:rPr>
                <w:sz w:val="20"/>
                <w:szCs w:val="20"/>
                <w:color w:val="auto"/>
              </w:rPr>
            </w:pPr>
            <w:r>
              <w:rPr>
                <w:rFonts w:ascii="Arial" w:cs="Arial" w:eastAsia="Arial" w:hAnsi="Arial"/>
                <w:sz w:val="16"/>
                <w:szCs w:val="16"/>
                <w:color w:val="auto"/>
              </w:rPr>
              <w:t>2.70%</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240" w:type="dxa"/>
            <w:vAlign w:val="bottom"/>
            <w:gridSpan w:val="6"/>
          </w:tcPr>
          <w:p>
            <w:pPr>
              <w:ind w:left="40"/>
              <w:spacing w:after="0"/>
              <w:rPr>
                <w:sz w:val="20"/>
                <w:szCs w:val="20"/>
                <w:color w:val="auto"/>
              </w:rPr>
            </w:pPr>
            <w:r>
              <w:rPr>
                <w:rFonts w:ascii="Arial" w:cs="Arial" w:eastAsia="Arial" w:hAnsi="Arial"/>
                <w:sz w:val="16"/>
                <w:szCs w:val="16"/>
                <w:color w:val="auto"/>
              </w:rPr>
              <w:t>Senior notes and debentures</w:t>
            </w: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3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i w:val="1"/>
                <w:iCs w:val="1"/>
                <w:color w:val="auto"/>
              </w:rPr>
              <w:t>Unsecured fixed rate</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5.90%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4/1/2020</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5.90%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150,000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2.55%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1/15/2021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3.00%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8/1/2022</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3.00%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2.75%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6/1/2023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3.95%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1/15/2024</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3.95%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7.48% debentures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8/15/2026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200" w:type="dxa"/>
            <w:vAlign w:val="bottom"/>
            <w:gridSpan w:val="5"/>
          </w:tcPr>
          <w:p>
            <w:pPr>
              <w:ind w:left="340"/>
              <w:spacing w:after="0"/>
              <w:rPr>
                <w:sz w:val="20"/>
                <w:szCs w:val="20"/>
                <w:color w:val="auto"/>
              </w:rPr>
            </w:pPr>
            <w:r>
              <w:rPr>
                <w:rFonts w:ascii="Arial" w:cs="Arial" w:eastAsia="Arial" w:hAnsi="Arial"/>
                <w:sz w:val="16"/>
                <w:szCs w:val="16"/>
                <w:color w:val="auto"/>
              </w:rPr>
              <w:t>6.82% medium term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8/1/2027</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6"/>
                <w:szCs w:val="16"/>
                <w:color w:val="auto"/>
                <w:w w:val="92"/>
              </w:rPr>
              <w:t>6.82%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4.50%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12/1/2044</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4.50%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450,000</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200" w:type="dxa"/>
            <w:vAlign w:val="bottom"/>
            <w:gridSpan w:val="5"/>
          </w:tcPr>
          <w:p>
            <w:pPr>
              <w:ind w:left="700"/>
              <w:spacing w:after="0"/>
              <w:rPr>
                <w:sz w:val="20"/>
                <w:szCs w:val="20"/>
                <w:color w:val="auto"/>
              </w:rPr>
            </w:pPr>
            <w:r>
              <w:rPr>
                <w:rFonts w:ascii="Arial" w:cs="Arial" w:eastAsia="Arial" w:hAnsi="Arial"/>
                <w:sz w:val="16"/>
                <w:szCs w:val="16"/>
                <w:color w:val="auto"/>
              </w:rPr>
              <w:t>Subtotal</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1,744,200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200" w:type="dxa"/>
            <w:vAlign w:val="bottom"/>
            <w:tcBorders>
              <w:bottom w:val="single" w:sz="8" w:color="CCEEFF"/>
            </w:tcBorders>
            <w:gridSpan w:val="5"/>
            <w:shd w:val="clear" w:color="auto" w:fill="CCEEFF"/>
          </w:tcPr>
          <w:p>
            <w:pPr>
              <w:ind w:left="920"/>
              <w:spacing w:after="0"/>
              <w:rPr>
                <w:sz w:val="20"/>
                <w:szCs w:val="20"/>
                <w:color w:val="auto"/>
              </w:rPr>
            </w:pPr>
            <w:r>
              <w:rPr>
                <w:rFonts w:ascii="Arial" w:cs="Arial" w:eastAsia="Arial" w:hAnsi="Arial"/>
                <w:sz w:val="16"/>
                <w:szCs w:val="16"/>
                <w:color w:val="auto"/>
                <w:w w:val="90"/>
              </w:rPr>
              <w:t>Net unamortized premium and debt issuance costs</w:t>
            </w:r>
          </w:p>
        </w:tc>
        <w:tc>
          <w:tcPr>
            <w:tcW w:w="1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(11,119)</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200" w:type="dxa"/>
            <w:vAlign w:val="bottom"/>
            <w:gridSpan w:val="5"/>
          </w:tcPr>
          <w:p>
            <w:pPr>
              <w:ind w:left="700"/>
              <w:spacing w:after="0"/>
              <w:rPr>
                <w:sz w:val="20"/>
                <w:szCs w:val="20"/>
                <w:color w:val="auto"/>
              </w:rPr>
            </w:pPr>
            <w:r>
              <w:rPr>
                <w:rFonts w:ascii="Arial" w:cs="Arial" w:eastAsia="Arial" w:hAnsi="Arial"/>
                <w:sz w:val="16"/>
                <w:szCs w:val="16"/>
                <w:color w:val="auto"/>
              </w:rPr>
              <w:t>Total senior notes and debentures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1,733,081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61"/>
              <w:spacing w:after="0"/>
              <w:rPr>
                <w:sz w:val="20"/>
                <w:szCs w:val="20"/>
                <w:color w:val="auto"/>
              </w:rPr>
            </w:pPr>
            <w:r>
              <w:rPr>
                <w:rFonts w:ascii="Arial" w:cs="Arial" w:eastAsia="Arial" w:hAnsi="Arial"/>
                <w:sz w:val="16"/>
                <w:szCs w:val="16"/>
                <w:color w:val="auto"/>
              </w:rPr>
              <w:t>4.01%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240" w:type="dxa"/>
            <w:vAlign w:val="bottom"/>
            <w:gridSpan w:val="6"/>
          </w:tcPr>
          <w:p>
            <w:pPr>
              <w:ind w:left="40"/>
              <w:spacing w:after="0"/>
              <w:rPr>
                <w:sz w:val="20"/>
                <w:szCs w:val="20"/>
                <w:color w:val="auto"/>
              </w:rPr>
            </w:pPr>
            <w:r>
              <w:rPr>
                <w:rFonts w:ascii="Arial" w:cs="Arial" w:eastAsia="Arial" w:hAnsi="Arial"/>
                <w:sz w:val="16"/>
                <w:szCs w:val="16"/>
                <w:color w:val="auto"/>
              </w:rPr>
              <w:t>Capital lease obligations</w:t>
            </w: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38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20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6"/>
                <w:szCs w:val="16"/>
                <w:color w:val="auto"/>
              </w:rPr>
              <w:t>Various</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Various through 2106</w:t>
            </w:r>
          </w:p>
        </w:tc>
        <w:tc>
          <w:tcPr>
            <w:tcW w:w="1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Various</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71,612</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8.04%</w:t>
            </w: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240" w:type="dxa"/>
            <w:vAlign w:val="bottom"/>
            <w:tcBorders>
              <w:bottom w:val="single" w:sz="8" w:color="CCEEFF"/>
            </w:tcBorders>
            <w:gridSpan w:val="6"/>
          </w:tcPr>
          <w:p>
            <w:pPr>
              <w:ind w:left="40"/>
              <w:spacing w:after="0"/>
              <w:rPr>
                <w:sz w:val="20"/>
                <w:szCs w:val="20"/>
                <w:color w:val="auto"/>
              </w:rPr>
            </w:pPr>
            <w:r>
              <w:rPr>
                <w:rFonts w:ascii="Arial" w:cs="Arial" w:eastAsia="Arial" w:hAnsi="Arial"/>
                <w:sz w:val="16"/>
                <w:szCs w:val="16"/>
                <w:color w:val="auto"/>
              </w:rPr>
              <w:t>Total debt and capital lease obligations</w:t>
            </w:r>
          </w:p>
        </w:tc>
        <w:tc>
          <w:tcPr>
            <w:tcW w:w="18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2,659,322</w:t>
            </w: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gridSpan w:val="6"/>
          </w:tcPr>
          <w:p>
            <w:pPr>
              <w:ind w:left="40"/>
              <w:spacing w:after="0"/>
              <w:rPr>
                <w:sz w:val="20"/>
                <w:szCs w:val="20"/>
                <w:color w:val="auto"/>
              </w:rPr>
            </w:pPr>
            <w:r>
              <w:rPr>
                <w:rFonts w:ascii="Arial" w:cs="Arial" w:eastAsia="Arial" w:hAnsi="Arial"/>
                <w:sz w:val="16"/>
                <w:szCs w:val="16"/>
                <w:color w:val="auto"/>
              </w:rPr>
              <w:t>Total fixed rate debt and capital lease obligations</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2,596,922</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0"/>
                <w:szCs w:val="20"/>
                <w:color w:val="auto"/>
              </w:rPr>
            </w:pPr>
          </w:p>
        </w:tc>
        <w:tc>
          <w:tcPr>
            <w:tcW w:w="920" w:type="dxa"/>
            <w:vAlign w:val="bottom"/>
          </w:tcPr>
          <w:p>
            <w:pPr>
              <w:jc w:val="right"/>
              <w:ind w:right="161"/>
              <w:spacing w:after="0"/>
              <w:rPr>
                <w:sz w:val="20"/>
                <w:szCs w:val="20"/>
                <w:color w:val="auto"/>
              </w:rPr>
            </w:pPr>
            <w:r>
              <w:rPr>
                <w:rFonts w:ascii="Arial" w:cs="Arial" w:eastAsia="Arial" w:hAnsi="Arial"/>
                <w:sz w:val="16"/>
                <w:szCs w:val="16"/>
                <w:color w:val="auto"/>
              </w:rPr>
              <w:t>4.07%</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6"/>
                <w:szCs w:val="16"/>
                <w:color w:val="auto"/>
              </w:rPr>
              <w:t>Total variable rate debt</w:t>
            </w:r>
          </w:p>
        </w:tc>
        <w:tc>
          <w:tcPr>
            <w:tcW w:w="1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62,400</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1.29%</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44"/>
        </w:trPr>
        <w:tc>
          <w:tcPr>
            <w:tcW w:w="4240" w:type="dxa"/>
            <w:vAlign w:val="bottom"/>
            <w:gridSpan w:val="6"/>
          </w:tcPr>
          <w:p>
            <w:pPr>
              <w:ind w:left="40"/>
              <w:spacing w:after="0"/>
              <w:rPr>
                <w:sz w:val="20"/>
                <w:szCs w:val="20"/>
                <w:color w:val="auto"/>
              </w:rPr>
            </w:pPr>
            <w:r>
              <w:rPr>
                <w:rFonts w:ascii="Arial" w:cs="Arial" w:eastAsia="Arial" w:hAnsi="Arial"/>
                <w:sz w:val="16"/>
                <w:szCs w:val="16"/>
                <w:color w:val="auto"/>
              </w:rPr>
              <w:t>Total debt and capital lease obligations</w:t>
            </w: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2,659,322</w:t>
            </w:r>
          </w:p>
        </w:tc>
        <w:tc>
          <w:tcPr>
            <w:tcW w:w="10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color w:val="auto"/>
              </w:rPr>
              <w:t>4.00%</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747" w:right="239" w:bottom="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18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r>
      <w:tr>
        <w:trPr>
          <w:trHeight w:val="276"/>
        </w:trPr>
        <w:tc>
          <w:tcPr>
            <w:tcW w:w="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282"/>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Borders>
              <w:bottom w:val="single" w:sz="8" w:color="auto"/>
            </w:tcBorders>
          </w:tcPr>
          <w:p>
            <w:pPr>
              <w:spacing w:after="0"/>
              <w:rPr>
                <w:sz w:val="24"/>
                <w:szCs w:val="24"/>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818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gridSpan w:val="2"/>
          </w:tcPr>
          <w:p>
            <w:pPr>
              <w:jc w:val="right"/>
              <w:ind w:right="302"/>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21"/>
                <w:szCs w:val="21"/>
                <w:color w:val="auto"/>
              </w:rPr>
            </w:pPr>
          </w:p>
        </w:tc>
      </w:tr>
      <w:tr>
        <w:trPr>
          <w:trHeight w:val="202"/>
        </w:trPr>
        <w:tc>
          <w:tcPr>
            <w:tcW w:w="960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Operational Statistics</w:t>
            </w: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auto"/>
            </w:tcBorders>
            <w:shd w:val="clear" w:color="auto" w:fill="CCEEFF"/>
          </w:tcPr>
          <w:p>
            <w:pPr>
              <w:spacing w:after="0"/>
              <w:rPr>
                <w:sz w:val="4"/>
                <w:szCs w:val="4"/>
                <w:color w:val="auto"/>
              </w:rPr>
            </w:pPr>
          </w:p>
        </w:tc>
        <w:tc>
          <w:tcPr>
            <w:tcW w:w="81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24"/>
        </w:trPr>
        <w:tc>
          <w:tcPr>
            <w:tcW w:w="40" w:type="dxa"/>
            <w:vAlign w:val="bottom"/>
          </w:tcPr>
          <w:p>
            <w:pPr>
              <w:spacing w:after="0"/>
              <w:rPr>
                <w:sz w:val="19"/>
                <w:szCs w:val="19"/>
                <w:color w:val="auto"/>
              </w:rPr>
            </w:pPr>
          </w:p>
        </w:tc>
        <w:tc>
          <w:tcPr>
            <w:tcW w:w="9560" w:type="dxa"/>
            <w:vAlign w:val="bottom"/>
            <w:gridSpan w:val="2"/>
          </w:tcPr>
          <w:p>
            <w:pPr>
              <w:ind w:left="340"/>
              <w:spacing w:after="0"/>
              <w:rPr>
                <w:sz w:val="20"/>
                <w:szCs w:val="20"/>
                <w:color w:val="auto"/>
              </w:rPr>
            </w:pPr>
            <w:r>
              <w:rPr>
                <w:rFonts w:ascii="Arial" w:cs="Arial" w:eastAsia="Arial" w:hAnsi="Arial"/>
                <w:sz w:val="16"/>
                <w:szCs w:val="16"/>
                <w:color w:val="auto"/>
              </w:rPr>
              <w:t>Ratio of EBITDA to combined fixed charges and preferred share dividends (7)</w:t>
            </w:r>
          </w:p>
        </w:tc>
        <w:tc>
          <w:tcPr>
            <w:tcW w:w="600" w:type="dxa"/>
            <w:vAlign w:val="bottom"/>
          </w:tcPr>
          <w:p>
            <w:pPr>
              <w:jc w:val="right"/>
              <w:spacing w:after="0"/>
              <w:rPr>
                <w:sz w:val="20"/>
                <w:szCs w:val="20"/>
                <w:color w:val="auto"/>
              </w:rPr>
            </w:pPr>
            <w:r>
              <w:rPr>
                <w:rFonts w:ascii="Arial" w:cs="Arial" w:eastAsia="Arial" w:hAnsi="Arial"/>
                <w:sz w:val="16"/>
                <w:szCs w:val="16"/>
                <w:color w:val="auto"/>
              </w:rPr>
              <w:t>5.38</w:t>
            </w:r>
          </w:p>
        </w:tc>
        <w:tc>
          <w:tcPr>
            <w:tcW w:w="400" w:type="dxa"/>
            <w:vAlign w:val="bottom"/>
          </w:tcPr>
          <w:p>
            <w:pPr>
              <w:ind w:left="120"/>
              <w:spacing w:after="0"/>
              <w:rPr>
                <w:sz w:val="20"/>
                <w:szCs w:val="20"/>
                <w:color w:val="auto"/>
              </w:rPr>
            </w:pPr>
            <w:r>
              <w:rPr>
                <w:rFonts w:ascii="Arial" w:cs="Arial" w:eastAsia="Arial" w:hAnsi="Arial"/>
                <w:sz w:val="16"/>
                <w:szCs w:val="16"/>
                <w:color w:val="auto"/>
              </w:rPr>
              <w:t>x</w:t>
            </w: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3.91</w:t>
            </w:r>
          </w:p>
        </w:tc>
        <w:tc>
          <w:tcPr>
            <w:tcW w:w="220" w:type="dxa"/>
            <w:vAlign w:val="bottom"/>
          </w:tcPr>
          <w:p>
            <w:pPr>
              <w:ind w:left="40"/>
              <w:spacing w:after="0"/>
              <w:rPr>
                <w:sz w:val="20"/>
                <w:szCs w:val="20"/>
                <w:color w:val="auto"/>
              </w:rPr>
            </w:pPr>
            <w:r>
              <w:rPr>
                <w:rFonts w:ascii="Arial" w:cs="Arial" w:eastAsia="Arial" w:hAnsi="Arial"/>
                <w:sz w:val="16"/>
                <w:szCs w:val="16"/>
                <w:color w:val="auto"/>
              </w:rPr>
              <w:t>x</w:t>
            </w:r>
          </w:p>
        </w:tc>
      </w:tr>
      <w:tr>
        <w:trPr>
          <w:trHeight w:val="33"/>
        </w:trPr>
        <w:tc>
          <w:tcPr>
            <w:tcW w:w="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4"/>
        </w:trPr>
        <w:tc>
          <w:tcPr>
            <w:tcW w:w="40" w:type="dxa"/>
            <w:vAlign w:val="bottom"/>
            <w:shd w:val="clear" w:color="auto" w:fill="CCEEFF"/>
          </w:tcPr>
          <w:p>
            <w:pPr>
              <w:spacing w:after="0"/>
              <w:rPr>
                <w:sz w:val="19"/>
                <w:szCs w:val="19"/>
                <w:color w:val="auto"/>
              </w:rPr>
            </w:pPr>
          </w:p>
        </w:tc>
        <w:tc>
          <w:tcPr>
            <w:tcW w:w="956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Ratio of adjusted EBITDA to combined fixed charges and preferred share dividends (7)</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x</w:t>
            </w:r>
          </w:p>
        </w:tc>
        <w:tc>
          <w:tcPr>
            <w:tcW w:w="6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3.91</w:t>
            </w:r>
          </w:p>
        </w:tc>
        <w:tc>
          <w:tcPr>
            <w:tcW w:w="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x</w:t>
            </w:r>
          </w:p>
        </w:tc>
      </w:tr>
      <w:tr>
        <w:trPr>
          <w:trHeight w:val="33"/>
        </w:trPr>
        <w:tc>
          <w:tcPr>
            <w:tcW w:w="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8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repaid these mortgage loans at par on April 1, 2016.</w:t>
      </w:r>
    </w:p>
    <w:p>
      <w:pPr>
        <w:spacing w:after="0" w:line="55" w:lineRule="exact"/>
        <w:rPr>
          <w:rFonts w:ascii="Arial" w:cs="Arial" w:eastAsia="Arial" w:hAnsi="Arial"/>
          <w:sz w:val="14"/>
          <w:szCs w:val="14"/>
          <w:color w:val="auto"/>
        </w:rPr>
      </w:pPr>
    </w:p>
    <w:p>
      <w:pPr>
        <w:ind w:left="660" w:right="160" w:hanging="652"/>
        <w:spacing w:after="0" w:line="273"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 entered into two interest rate swap agreements to fix the variable rate portion of our $275.0 million term loan at 1.72% through November 1, 2018. The swap agreements effectively fix the rate on the term loan at 2.62% and thus, the loan is included in fixed rate debt.</w:t>
      </w:r>
    </w:p>
    <w:p>
      <w:pPr>
        <w:spacing w:after="0" w:line="11" w:lineRule="exact"/>
        <w:rPr>
          <w:rFonts w:ascii="Arial" w:cs="Arial" w:eastAsia="Arial" w:hAnsi="Arial"/>
          <w:sz w:val="14"/>
          <w:szCs w:val="14"/>
          <w:color w:val="auto"/>
        </w:rPr>
      </w:pPr>
    </w:p>
    <w:p>
      <w:pPr>
        <w:ind w:left="660" w:right="360" w:hanging="652"/>
        <w:spacing w:after="0" w:line="273"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bonds require monthly interest only payments through maturity. The bonds bear interest at a variable rate determined weekly, which would enable the bonds to be remarketed at 100% of their principal amount. The Escondido Promenade property is not encumbered by a lien.</w:t>
      </w:r>
    </w:p>
    <w:p>
      <w:pPr>
        <w:spacing w:after="0" w:line="11" w:lineRule="exact"/>
        <w:rPr>
          <w:rFonts w:ascii="Arial" w:cs="Arial" w:eastAsia="Arial" w:hAnsi="Arial"/>
          <w:sz w:val="14"/>
          <w:szCs w:val="14"/>
          <w:color w:val="auto"/>
        </w:rPr>
      </w:pPr>
    </w:p>
    <w:p>
      <w:pPr>
        <w:jc w:val="both"/>
        <w:ind w:left="660" w:right="60" w:hanging="652"/>
        <w:spacing w:after="0" w:line="257"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maximum amount drawn under our revolving credit facility during the three months ended March 31, 2016 was $251.5 million, and the weighted average interest rate on borrowings under our revolving credit facility, before amortization of debt fees, was 1.32%. On April 20, 2016, we upsized our existing $600.0 million revolving credit facility to $800.0 million and extended the maturity date to April 20, 2020. We also lowered the spread over LIBOR to 82.5 basis points.</w:t>
      </w:r>
    </w:p>
    <w:p>
      <w:pPr>
        <w:spacing w:after="0" w:line="23" w:lineRule="exact"/>
        <w:rPr>
          <w:rFonts w:ascii="Arial" w:cs="Arial" w:eastAsia="Arial" w:hAnsi="Arial"/>
          <w:sz w:val="14"/>
          <w:szCs w:val="14"/>
          <w:color w:val="auto"/>
        </w:rPr>
      </w:pPr>
    </w:p>
    <w:p>
      <w:pPr>
        <w:ind w:left="660" w:right="140" w:hanging="652"/>
        <w:spacing w:after="0" w:line="273"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weighted average effective interest rate includes the amortization of any deferred financing fees, discounts and premiums, and debt issuance costs, if applicable, except as described in Note 6.</w:t>
      </w:r>
    </w:p>
    <w:p>
      <w:pPr>
        <w:spacing w:after="0" w:line="11" w:lineRule="exact"/>
        <w:rPr>
          <w:rFonts w:ascii="Arial" w:cs="Arial" w:eastAsia="Arial" w:hAnsi="Arial"/>
          <w:sz w:val="14"/>
          <w:szCs w:val="14"/>
          <w:color w:val="auto"/>
        </w:rPr>
      </w:pPr>
    </w:p>
    <w:p>
      <w:pPr>
        <w:ind w:left="660" w:right="20" w:hanging="652"/>
        <w:spacing w:after="0" w:line="257"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$0.5 million in quarterly financing fees and quarterly debt fee amortization on our revolving credit facility which had a $53.0 million balance on March 31, 2016. In addition, the weighted average effective interest rate is calculated using the fixed rate on our term loan of 2.62% as the result of the interest rate swap agreements discussed in Note 2. The term loan is included in fixed rate debt.</w:t>
      </w:r>
    </w:p>
    <w:p>
      <w:pPr>
        <w:spacing w:after="0" w:line="23" w:lineRule="exact"/>
        <w:rPr>
          <w:rFonts w:ascii="Arial" w:cs="Arial" w:eastAsia="Arial" w:hAnsi="Arial"/>
          <w:sz w:val="14"/>
          <w:szCs w:val="14"/>
          <w:color w:val="auto"/>
        </w:rPr>
      </w:pPr>
    </w:p>
    <w:p>
      <w:pPr>
        <w:ind w:left="660" w:right="80" w:hanging="652"/>
        <w:spacing w:after="0" w:line="257" w:lineRule="auto"/>
        <w:tabs>
          <w:tab w:leader="none" w:pos="6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Fixed charges consist of interest on borrowed funds (including capitalized interest), amortization of debt discount/premium and debt costs and the portion of rent expense representing an interest factor. EBITDA includes a gain on the change in control of interests of $25.7 million for the three months ended March 31, 2016. Adjusted EBITDA is reconciled to net income in the Glossary of Terms.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6" w:right="239" w:bottom="1440" w:gutter="0" w:footer="0" w:header="0"/>
        </w:sectPr>
      </w:pPr>
    </w:p>
    <w:bookmarkStart w:id="16" w:name="page17"/>
    <w:bookmarkEnd w:id="16"/>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2016</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Cumulative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6"/>
              </w:rPr>
              <w:t>Scheduled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Percent of Debt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Percent of Debt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Average Rate</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w:t>
            </w:r>
          </w:p>
        </w:tc>
        <w:tc>
          <w:tcPr>
            <w:tcW w:w="16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Amortization</w:t>
            </w:r>
          </w:p>
        </w:tc>
        <w:tc>
          <w:tcPr>
            <w:tcW w:w="200" w:type="dxa"/>
            <w:vAlign w:val="bottom"/>
          </w:tcPr>
          <w:p>
            <w:pPr>
              <w:spacing w:after="0"/>
              <w:rPr>
                <w:sz w:val="18"/>
                <w:szCs w:val="18"/>
                <w:color w:val="auto"/>
              </w:rPr>
            </w:pPr>
          </w:p>
        </w:tc>
        <w:tc>
          <w:tcPr>
            <w:tcW w:w="1160" w:type="dxa"/>
            <w:vAlign w:val="bottom"/>
          </w:tcPr>
          <w:p>
            <w:pPr>
              <w:jc w:val="right"/>
              <w:ind w:right="232"/>
              <w:spacing w:after="0"/>
              <w:rPr>
                <w:sz w:val="20"/>
                <w:szCs w:val="20"/>
                <w:color w:val="auto"/>
              </w:rPr>
            </w:pPr>
            <w:r>
              <w:rPr>
                <w:rFonts w:ascii="Arial" w:cs="Arial" w:eastAsia="Arial" w:hAnsi="Arial"/>
                <w:sz w:val="16"/>
                <w:szCs w:val="16"/>
                <w:b w:val="1"/>
                <w:bCs w:val="1"/>
                <w:color w:val="auto"/>
              </w:rPr>
              <w:t>Maturities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18"/>
                <w:szCs w:val="18"/>
                <w:color w:val="auto"/>
              </w:rPr>
            </w:pPr>
          </w:p>
        </w:tc>
        <w:tc>
          <w:tcPr>
            <w:tcW w:w="1320" w:type="dxa"/>
            <w:vAlign w:val="bottom"/>
          </w:tcPr>
          <w:p>
            <w:pPr>
              <w:jc w:val="right"/>
              <w:ind w:right="231"/>
              <w:spacing w:after="0"/>
              <w:rPr>
                <w:sz w:val="20"/>
                <w:szCs w:val="20"/>
                <w:color w:val="auto"/>
              </w:rPr>
            </w:pPr>
            <w:r>
              <w:rPr>
                <w:rFonts w:ascii="Arial" w:cs="Arial" w:eastAsia="Arial" w:hAnsi="Arial"/>
                <w:sz w:val="16"/>
                <w:szCs w:val="16"/>
                <w:b w:val="1"/>
                <w:bCs w:val="1"/>
                <w:color w:val="auto"/>
              </w:rPr>
              <w:t>Maturing</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Maturing</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2016</w:t>
            </w:r>
          </w:p>
        </w:tc>
        <w:tc>
          <w:tcPr>
            <w:tcW w:w="14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4,724</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43,785</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48,509</w:t>
            </w: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1.8%</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40" w:type="dxa"/>
            <w:vAlign w:val="bottom"/>
          </w:tcPr>
          <w:p>
            <w:pPr>
              <w:ind w:left="40"/>
              <w:spacing w:after="0"/>
              <w:rPr>
                <w:sz w:val="20"/>
                <w:szCs w:val="20"/>
                <w:color w:val="auto"/>
              </w:rPr>
            </w:pPr>
            <w:r>
              <w:rPr>
                <w:rFonts w:ascii="Arial" w:cs="Arial" w:eastAsia="Arial" w:hAnsi="Arial"/>
                <w:sz w:val="18"/>
                <w:szCs w:val="18"/>
                <w:color w:val="auto"/>
                <w:w w:val="94"/>
              </w:rPr>
              <w:t>2017</w:t>
            </w: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6,228</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269,732</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3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275,960</w:t>
            </w: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12.2%</w:t>
            </w: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56"/>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2018</w:t>
            </w:r>
          </w:p>
        </w:tc>
        <w:tc>
          <w:tcPr>
            <w:tcW w:w="1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5,519</w:t>
            </w:r>
          </w:p>
        </w:tc>
        <w:tc>
          <w:tcPr>
            <w:tcW w:w="3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285,502</w:t>
            </w:r>
          </w:p>
        </w:tc>
        <w:tc>
          <w:tcPr>
            <w:tcW w:w="3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291,021</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2019</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5,449</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20,160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25,609</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24.1%</w:t>
            </w:r>
          </w:p>
        </w:tc>
        <w:tc>
          <w:tcPr>
            <w:tcW w:w="1200" w:type="dxa"/>
            <w:vAlign w:val="bottom"/>
          </w:tcPr>
          <w:p>
            <w:pPr>
              <w:jc w:val="right"/>
              <w:spacing w:after="0"/>
              <w:rPr>
                <w:sz w:val="20"/>
                <w:szCs w:val="20"/>
                <w:color w:val="auto"/>
              </w:rPr>
            </w:pPr>
            <w:r>
              <w:rPr>
                <w:rFonts w:ascii="Arial" w:cs="Arial" w:eastAsia="Arial" w:hAnsi="Arial"/>
                <w:sz w:val="18"/>
                <w:szCs w:val="18"/>
                <w:color w:val="auto"/>
              </w:rPr>
              <w:t>5.7%</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2020</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4,763</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210,593</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215,356</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2021</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3,101</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253,625</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256,726</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41.8%</w:t>
            </w: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2022</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1,228</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366,323</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367,551</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55.6%</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2023</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1,253</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330,010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331,263</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68.0%</w:t>
            </w: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2024</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300,000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301,054</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79.3%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2025</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540</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540</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79.3%</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19,623</w:t>
            </w:r>
          </w:p>
        </w:tc>
        <w:tc>
          <w:tcPr>
            <w:tcW w:w="3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530,700</w:t>
            </w:r>
          </w:p>
        </w:tc>
        <w:tc>
          <w:tcPr>
            <w:tcW w:w="3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550,323</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8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53,482</w:t>
            </w:r>
          </w:p>
        </w:tc>
        <w:tc>
          <w:tcPr>
            <w:tcW w:w="3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2,610,430</w:t>
            </w:r>
          </w:p>
        </w:tc>
        <w:tc>
          <w:tcPr>
            <w:tcW w:w="3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2,663,912</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183" w:lineRule="exact"/>
              <w:rPr>
                <w:sz w:val="20"/>
                <w:szCs w:val="20"/>
                <w:color w:val="auto"/>
              </w:rPr>
            </w:pPr>
            <w:r>
              <w:rPr>
                <w:rFonts w:ascii="Arial" w:cs="Arial" w:eastAsia="Arial" w:hAnsi="Arial"/>
                <w:sz w:val="16"/>
                <w:szCs w:val="16"/>
                <w:color w:val="auto"/>
                <w:w w:val="90"/>
              </w:rPr>
              <w:t>Notes:</w:t>
            </w:r>
          </w:p>
        </w:tc>
        <w:tc>
          <w:tcPr>
            <w:tcW w:w="14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0" w:type="dxa"/>
            <w:vAlign w:val="bottom"/>
            <w:tcBorders>
              <w:bottom w:val="single" w:sz="8" w:color="auto"/>
            </w:tcBorders>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2016 maturities include $34.4 million of mortgage loans which were repaid at par on April 1, 2016.</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Our $600.0 million unsecured revolving credit facility matures on April 21, 2017 subject to a one-year extension at our option. As of March 31, 2016, there was</w:t>
      </w:r>
    </w:p>
    <w:p>
      <w:pPr>
        <w:spacing w:after="0" w:line="30" w:lineRule="exact"/>
        <w:rPr>
          <w:rFonts w:ascii="Arial" w:cs="Arial" w:eastAsia="Arial" w:hAnsi="Arial"/>
          <w:sz w:val="15"/>
          <w:szCs w:val="15"/>
          <w:color w:val="auto"/>
        </w:rPr>
      </w:pPr>
    </w:p>
    <w:p>
      <w:pPr>
        <w:ind w:left="660" w:right="180"/>
        <w:spacing w:after="0" w:line="257" w:lineRule="auto"/>
        <w:rPr>
          <w:rFonts w:ascii="Arial" w:cs="Arial" w:eastAsia="Arial" w:hAnsi="Arial"/>
          <w:sz w:val="15"/>
          <w:szCs w:val="15"/>
          <w:color w:val="auto"/>
        </w:rPr>
      </w:pPr>
      <w:r>
        <w:rPr>
          <w:rFonts w:ascii="Arial" w:cs="Arial" w:eastAsia="Arial" w:hAnsi="Arial"/>
          <w:sz w:val="16"/>
          <w:szCs w:val="16"/>
          <w:color w:val="auto"/>
        </w:rPr>
        <w:t>$53.0 million outstanding on our revolving credit facility. On April 20, 2016, we upsized our existing $600.0 million revolving credit facility to $800.0 million and extended the maturity date to April 20, 2020. We also lowered the spread over LIBOR to 82.5 basis points.</w:t>
      </w:r>
    </w:p>
    <w:p>
      <w:pPr>
        <w:spacing w:after="0" w:line="24" w:lineRule="exact"/>
        <w:rPr>
          <w:rFonts w:ascii="Arial" w:cs="Arial" w:eastAsia="Arial" w:hAnsi="Arial"/>
          <w:sz w:val="15"/>
          <w:szCs w:val="15"/>
          <w:color w:val="auto"/>
        </w:rPr>
      </w:pPr>
    </w:p>
    <w:p>
      <w:pPr>
        <w:ind w:left="660" w:right="380" w:hanging="652"/>
        <w:spacing w:after="0" w:line="275"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total debt maturities differs from the total reported on the consolidated balance sheet due to the unamortized net premium and debt issuance costs on certain mortgage loans, notes payable, and senior notes as of March 31, 2016.</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weighted average rate excludes $0.5 million in quarterly financing fees and quarterly debt fee amortization on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2" w:right="239" w:bottom="1440" w:gutter="0" w:footer="0" w:header="0"/>
        </w:sectPr>
      </w:pPr>
    </w:p>
    <w:bookmarkStart w:id="17" w:name="page18"/>
    <w:bookmarkEnd w:id="17"/>
    <w:p>
      <w:pPr>
        <w:ind w:left="6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Summary of Redevelopment Opportunities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March 31, 2016</w:t>
      </w:r>
    </w:p>
    <w:p>
      <w:pPr>
        <w:spacing w:after="0" w:line="24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The following redevelopment opportunities have received or will shortly receive all necessary approvals to proceed and are actively being worked on by the Trust.</w:t>
      </w:r>
    </w:p>
    <w:p>
      <w:pPr>
        <w:spacing w:after="0" w:line="4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(1)</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Projected</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Cost to</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9"/>
        </w:trPr>
        <w:tc>
          <w:tcPr>
            <w:tcW w:w="156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Property</w:t>
            </w:r>
          </w:p>
        </w:tc>
        <w:tc>
          <w:tcPr>
            <w:tcW w:w="13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Location</w:t>
            </w:r>
          </w:p>
        </w:tc>
        <w:tc>
          <w:tcPr>
            <w:tcW w:w="496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Opportunity</w:t>
            </w:r>
          </w:p>
        </w:tc>
        <w:tc>
          <w:tcPr>
            <w:tcW w:w="8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Stabilization</w:t>
            </w:r>
          </w:p>
        </w:tc>
        <w:tc>
          <w:tcPr>
            <w:tcW w:w="0" w:type="dxa"/>
            <w:vAlign w:val="bottom"/>
          </w:tcPr>
          <w:p>
            <w:pPr>
              <w:spacing w:after="0"/>
              <w:rPr>
                <w:sz w:val="1"/>
                <w:szCs w:val="1"/>
                <w:color w:val="auto"/>
              </w:rPr>
            </w:pPr>
          </w:p>
        </w:tc>
      </w:tr>
      <w:tr>
        <w:trPr>
          <w:trHeight w:val="192"/>
        </w:trPr>
        <w:tc>
          <w:tcPr>
            <w:tcW w:w="156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49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ROI (2)</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Cost (1)</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58"/>
        </w:trPr>
        <w:tc>
          <w:tcPr>
            <w:tcW w:w="15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8"/>
              </w:rPr>
              <w:t>(in millions)</w:t>
            </w:r>
          </w:p>
        </w:tc>
        <w:tc>
          <w:tcPr>
            <w:tcW w:w="82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Santana Row - Lot 11</w:t>
            </w:r>
          </w:p>
        </w:tc>
        <w:tc>
          <w:tcPr>
            <w:tcW w:w="138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rPr>
              <w:t>San Jose, CA</w:t>
            </w:r>
          </w:p>
        </w:tc>
        <w:tc>
          <w:tcPr>
            <w:tcW w:w="49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Addition of 6-story building with 234,500 square feet of office space, and 670</w:t>
            </w:r>
          </w:p>
        </w:tc>
        <w:tc>
          <w:tcPr>
            <w:tcW w:w="8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9%</w:t>
            </w:r>
          </w:p>
        </w:tc>
        <w:tc>
          <w:tcPr>
            <w:tcW w:w="7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$110 -</w:t>
            </w:r>
          </w:p>
        </w:tc>
        <w:tc>
          <w:tcPr>
            <w:tcW w:w="82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$60</w:t>
            </w:r>
          </w:p>
        </w:tc>
        <w:tc>
          <w:tcPr>
            <w:tcW w:w="98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194"/>
        </w:trPr>
        <w:tc>
          <w:tcPr>
            <w:tcW w:w="15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4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parking spaces</w:t>
            </w:r>
          </w:p>
        </w:tc>
        <w:tc>
          <w:tcPr>
            <w:tcW w:w="8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w:t>
            </w:r>
          </w:p>
        </w:tc>
        <w:tc>
          <w:tcPr>
            <w:tcW w:w="8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60" w:type="dxa"/>
            <w:vAlign w:val="bottom"/>
          </w:tcPr>
          <w:p>
            <w:pPr>
              <w:ind w:left="20"/>
              <w:spacing w:after="0"/>
              <w:rPr>
                <w:sz w:val="20"/>
                <w:szCs w:val="20"/>
                <w:color w:val="auto"/>
              </w:rPr>
            </w:pPr>
            <w:r>
              <w:rPr>
                <w:rFonts w:ascii="Arial" w:cs="Arial" w:eastAsia="Arial" w:hAnsi="Arial"/>
                <w:sz w:val="14"/>
                <w:szCs w:val="14"/>
                <w:color w:val="auto"/>
              </w:rPr>
              <w:t>The Point</w:t>
            </w:r>
          </w:p>
        </w:tc>
        <w:tc>
          <w:tcPr>
            <w:tcW w:w="1380" w:type="dxa"/>
            <w:vAlign w:val="bottom"/>
          </w:tcPr>
          <w:p>
            <w:pPr>
              <w:ind w:left="280"/>
              <w:spacing w:after="0"/>
              <w:rPr>
                <w:sz w:val="20"/>
                <w:szCs w:val="20"/>
                <w:color w:val="auto"/>
              </w:rPr>
            </w:pPr>
            <w:r>
              <w:rPr>
                <w:rFonts w:ascii="Arial" w:cs="Arial" w:eastAsia="Arial" w:hAnsi="Arial"/>
                <w:sz w:val="14"/>
                <w:szCs w:val="14"/>
                <w:color w:val="auto"/>
              </w:rPr>
              <w:t>El Segundo, CA</w:t>
            </w:r>
          </w:p>
        </w:tc>
        <w:tc>
          <w:tcPr>
            <w:tcW w:w="4960" w:type="dxa"/>
            <w:vAlign w:val="bottom"/>
          </w:tcPr>
          <w:p>
            <w:pPr>
              <w:ind w:left="40"/>
              <w:spacing w:after="0"/>
              <w:rPr>
                <w:sz w:val="20"/>
                <w:szCs w:val="20"/>
                <w:color w:val="auto"/>
              </w:rPr>
            </w:pPr>
            <w:r>
              <w:rPr>
                <w:rFonts w:ascii="Arial" w:cs="Arial" w:eastAsia="Arial" w:hAnsi="Arial"/>
                <w:sz w:val="14"/>
                <w:szCs w:val="14"/>
                <w:color w:val="auto"/>
              </w:rPr>
              <w:t>Addition of 90,000 square feet of retail and 25,000 square feet of office space</w:t>
            </w:r>
          </w:p>
        </w:tc>
        <w:tc>
          <w:tcPr>
            <w:tcW w:w="880" w:type="dxa"/>
            <w:vAlign w:val="bottom"/>
          </w:tcPr>
          <w:p>
            <w:pPr>
              <w:jc w:val="right"/>
              <w:spacing w:after="0"/>
              <w:rPr>
                <w:sz w:val="20"/>
                <w:szCs w:val="20"/>
                <w:color w:val="auto"/>
              </w:rPr>
            </w:pPr>
            <w:r>
              <w:rPr>
                <w:rFonts w:ascii="Arial" w:cs="Arial" w:eastAsia="Arial" w:hAnsi="Arial"/>
                <w:sz w:val="14"/>
                <w:szCs w:val="14"/>
                <w:color w:val="auto"/>
              </w:rPr>
              <w:t>8%</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$85</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$81</w:t>
            </w:r>
          </w:p>
        </w:tc>
        <w:tc>
          <w:tcPr>
            <w:tcW w:w="980" w:type="dxa"/>
            <w:vAlign w:val="bottom"/>
          </w:tcPr>
          <w:p>
            <w:pPr>
              <w:jc w:val="center"/>
              <w:spacing w:after="0"/>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80"/>
        </w:trPr>
        <w:tc>
          <w:tcPr>
            <w:tcW w:w="15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49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Congressional Plaza</w:t>
            </w:r>
          </w:p>
        </w:tc>
        <w:tc>
          <w:tcPr>
            <w:tcW w:w="138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rPr>
              <w:t>Rockville, MD</w:t>
            </w:r>
          </w:p>
        </w:tc>
        <w:tc>
          <w:tcPr>
            <w:tcW w:w="49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w w:val="98"/>
              </w:rPr>
              <w:t>New 48 unit rental apartment building and conversion of office space into 39,000</w:t>
            </w:r>
          </w:p>
        </w:tc>
        <w:tc>
          <w:tcPr>
            <w:tcW w:w="8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w:t>
            </w:r>
          </w:p>
        </w:tc>
        <w:tc>
          <w:tcPr>
            <w:tcW w:w="78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$23</w:t>
            </w:r>
          </w:p>
        </w:tc>
        <w:tc>
          <w:tcPr>
            <w:tcW w:w="82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rPr>
              <w:t>$18</w:t>
            </w:r>
          </w:p>
        </w:tc>
        <w:tc>
          <w:tcPr>
            <w:tcW w:w="98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194"/>
        </w:trPr>
        <w:tc>
          <w:tcPr>
            <w:tcW w:w="15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4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square feet of retail anchor space to accommodate new tenant</w:t>
            </w:r>
          </w:p>
        </w:tc>
        <w:tc>
          <w:tcPr>
            <w:tcW w:w="8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60" w:type="dxa"/>
            <w:vAlign w:val="bottom"/>
          </w:tcPr>
          <w:p>
            <w:pPr>
              <w:ind w:left="20"/>
              <w:spacing w:after="0"/>
              <w:rPr>
                <w:sz w:val="20"/>
                <w:szCs w:val="20"/>
                <w:color w:val="auto"/>
              </w:rPr>
            </w:pPr>
            <w:r>
              <w:rPr>
                <w:rFonts w:ascii="Arial" w:cs="Arial" w:eastAsia="Arial" w:hAnsi="Arial"/>
                <w:sz w:val="14"/>
                <w:szCs w:val="14"/>
                <w:color w:val="auto"/>
              </w:rPr>
              <w:t>Westgate Center</w:t>
            </w:r>
          </w:p>
        </w:tc>
        <w:tc>
          <w:tcPr>
            <w:tcW w:w="1380" w:type="dxa"/>
            <w:vAlign w:val="bottom"/>
          </w:tcPr>
          <w:p>
            <w:pPr>
              <w:ind w:left="280"/>
              <w:spacing w:after="0"/>
              <w:rPr>
                <w:sz w:val="20"/>
                <w:szCs w:val="20"/>
                <w:color w:val="auto"/>
              </w:rPr>
            </w:pPr>
            <w:r>
              <w:rPr>
                <w:rFonts w:ascii="Arial" w:cs="Arial" w:eastAsia="Arial" w:hAnsi="Arial"/>
                <w:sz w:val="14"/>
                <w:szCs w:val="14"/>
                <w:color w:val="auto"/>
              </w:rPr>
              <w:t>San Jose, CA</w:t>
            </w:r>
          </w:p>
        </w:tc>
        <w:tc>
          <w:tcPr>
            <w:tcW w:w="4960" w:type="dxa"/>
            <w:vAlign w:val="bottom"/>
          </w:tcPr>
          <w:p>
            <w:pPr>
              <w:ind w:left="40"/>
              <w:spacing w:after="0"/>
              <w:rPr>
                <w:sz w:val="20"/>
                <w:szCs w:val="20"/>
                <w:color w:val="auto"/>
              </w:rPr>
            </w:pPr>
            <w:r>
              <w:rPr>
                <w:rFonts w:ascii="Arial" w:cs="Arial" w:eastAsia="Arial" w:hAnsi="Arial"/>
                <w:sz w:val="14"/>
                <w:szCs w:val="14"/>
                <w:color w:val="auto"/>
              </w:rPr>
              <w:t>Façade and interior mall renovation, addition of food court and pad site</w:t>
            </w:r>
          </w:p>
        </w:tc>
        <w:tc>
          <w:tcPr>
            <w:tcW w:w="880" w:type="dxa"/>
            <w:vAlign w:val="bottom"/>
          </w:tcPr>
          <w:p>
            <w:pPr>
              <w:jc w:val="right"/>
              <w:spacing w:after="0"/>
              <w:rPr>
                <w:sz w:val="20"/>
                <w:szCs w:val="20"/>
                <w:color w:val="auto"/>
              </w:rPr>
            </w:pPr>
            <w:r>
              <w:rPr>
                <w:rFonts w:ascii="Arial" w:cs="Arial" w:eastAsia="Arial" w:hAnsi="Arial"/>
                <w:sz w:val="14"/>
                <w:szCs w:val="14"/>
                <w:color w:val="auto"/>
              </w:rPr>
              <w:t>9%</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$21</w:t>
            </w:r>
          </w:p>
        </w:tc>
        <w:tc>
          <w:tcPr>
            <w:tcW w:w="980" w:type="dxa"/>
            <w:vAlign w:val="bottom"/>
          </w:tcPr>
          <w:p>
            <w:pPr>
              <w:jc w:val="center"/>
              <w:spacing w:after="0"/>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80"/>
        </w:trPr>
        <w:tc>
          <w:tcPr>
            <w:tcW w:w="15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49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Towson Residential</w:t>
            </w:r>
          </w:p>
        </w:tc>
        <w:tc>
          <w:tcPr>
            <w:tcW w:w="1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Towson, MD</w:t>
            </w:r>
          </w:p>
        </w:tc>
        <w:tc>
          <w:tcPr>
            <w:tcW w:w="4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105 unit 5-story apartment building with above grade parking</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80"/>
        </w:trPr>
        <w:tc>
          <w:tcPr>
            <w:tcW w:w="156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49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60" w:type="dxa"/>
            <w:vAlign w:val="bottom"/>
          </w:tcPr>
          <w:p>
            <w:pPr>
              <w:ind w:left="20"/>
              <w:spacing w:after="0" w:line="157" w:lineRule="exact"/>
              <w:rPr>
                <w:sz w:val="20"/>
                <w:szCs w:val="20"/>
                <w:color w:val="auto"/>
              </w:rPr>
            </w:pPr>
            <w:r>
              <w:rPr>
                <w:rFonts w:ascii="Arial" w:cs="Arial" w:eastAsia="Arial" w:hAnsi="Arial"/>
                <w:sz w:val="14"/>
                <w:szCs w:val="14"/>
                <w:color w:val="auto"/>
              </w:rPr>
              <w:t>Plaza Del Mercado</w:t>
            </w:r>
          </w:p>
        </w:tc>
        <w:tc>
          <w:tcPr>
            <w:tcW w:w="1380" w:type="dxa"/>
            <w:vAlign w:val="bottom"/>
          </w:tcPr>
          <w:p>
            <w:pPr>
              <w:ind w:left="280"/>
              <w:spacing w:after="0" w:line="157" w:lineRule="exact"/>
              <w:rPr>
                <w:sz w:val="20"/>
                <w:szCs w:val="20"/>
                <w:color w:val="auto"/>
              </w:rPr>
            </w:pPr>
            <w:r>
              <w:rPr>
                <w:rFonts w:ascii="Arial" w:cs="Arial" w:eastAsia="Arial" w:hAnsi="Arial"/>
                <w:sz w:val="14"/>
                <w:szCs w:val="14"/>
                <w:color w:val="auto"/>
                <w:w w:val="99"/>
              </w:rPr>
              <w:t>Silver Spring, MD</w:t>
            </w:r>
          </w:p>
        </w:tc>
        <w:tc>
          <w:tcPr>
            <w:tcW w:w="4960" w:type="dxa"/>
            <w:vAlign w:val="bottom"/>
          </w:tcPr>
          <w:p>
            <w:pPr>
              <w:ind w:left="40"/>
              <w:spacing w:after="0" w:line="157" w:lineRule="exact"/>
              <w:rPr>
                <w:sz w:val="20"/>
                <w:szCs w:val="20"/>
                <w:color w:val="auto"/>
              </w:rPr>
            </w:pPr>
            <w:r>
              <w:rPr>
                <w:rFonts w:ascii="Arial" w:cs="Arial" w:eastAsia="Arial" w:hAnsi="Arial"/>
                <w:sz w:val="14"/>
                <w:szCs w:val="14"/>
                <w:color w:val="auto"/>
              </w:rPr>
              <w:t>Demolition of former grocery anchor space to construct spaces for new grocery</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8%</w:t>
            </w:r>
          </w:p>
        </w:tc>
        <w:tc>
          <w:tcPr>
            <w:tcW w:w="7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$16</w:t>
            </w:r>
          </w:p>
        </w:tc>
        <w:tc>
          <w:tcPr>
            <w:tcW w:w="820" w:type="dxa"/>
            <w:vAlign w:val="bottom"/>
          </w:tcPr>
          <w:p>
            <w:pPr>
              <w:jc w:val="right"/>
              <w:ind w:right="68"/>
              <w:spacing w:after="0" w:line="157" w:lineRule="exact"/>
              <w:rPr>
                <w:sz w:val="20"/>
                <w:szCs w:val="20"/>
                <w:color w:val="auto"/>
              </w:rPr>
            </w:pPr>
            <w:r>
              <w:rPr>
                <w:rFonts w:ascii="Arial" w:cs="Arial" w:eastAsia="Arial" w:hAnsi="Arial"/>
                <w:sz w:val="14"/>
                <w:szCs w:val="14"/>
                <w:color w:val="auto"/>
              </w:rPr>
              <w:t>$2</w:t>
            </w:r>
          </w:p>
        </w:tc>
        <w:tc>
          <w:tcPr>
            <w:tcW w:w="980" w:type="dxa"/>
            <w:vAlign w:val="bottom"/>
          </w:tcPr>
          <w:p>
            <w:pPr>
              <w:jc w:val="center"/>
              <w:spacing w:after="0" w:line="157" w:lineRule="exact"/>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188"/>
        </w:trPr>
        <w:tc>
          <w:tcPr>
            <w:tcW w:w="1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960" w:type="dxa"/>
            <w:vAlign w:val="bottom"/>
          </w:tcPr>
          <w:p>
            <w:pPr>
              <w:ind w:left="40"/>
              <w:spacing w:after="0"/>
              <w:rPr>
                <w:sz w:val="20"/>
                <w:szCs w:val="20"/>
                <w:color w:val="auto"/>
              </w:rPr>
            </w:pPr>
            <w:r>
              <w:rPr>
                <w:rFonts w:ascii="Arial" w:cs="Arial" w:eastAsia="Arial" w:hAnsi="Arial"/>
                <w:sz w:val="14"/>
                <w:szCs w:val="14"/>
                <w:color w:val="auto"/>
              </w:rPr>
              <w:t>anchor and fitness center tenants</w:t>
            </w: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Tower Shops</w:t>
            </w:r>
          </w:p>
        </w:tc>
        <w:tc>
          <w:tcPr>
            <w:tcW w:w="1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Davie, FL</w:t>
            </w:r>
          </w:p>
        </w:tc>
        <w:tc>
          <w:tcPr>
            <w:tcW w:w="4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Addition of 50,000 square foot pad building</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80"/>
        </w:trPr>
        <w:tc>
          <w:tcPr>
            <w:tcW w:w="156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49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60" w:type="dxa"/>
            <w:vAlign w:val="bottom"/>
          </w:tcPr>
          <w:p>
            <w:pPr>
              <w:ind w:left="20"/>
              <w:spacing w:after="0" w:line="157" w:lineRule="exact"/>
              <w:rPr>
                <w:sz w:val="20"/>
                <w:szCs w:val="20"/>
                <w:color w:val="auto"/>
              </w:rPr>
            </w:pPr>
            <w:r>
              <w:rPr>
                <w:rFonts w:ascii="Arial" w:cs="Arial" w:eastAsia="Arial" w:hAnsi="Arial"/>
                <w:sz w:val="14"/>
                <w:szCs w:val="14"/>
                <w:color w:val="auto"/>
              </w:rPr>
              <w:t>Del Mar Village</w:t>
            </w:r>
          </w:p>
        </w:tc>
        <w:tc>
          <w:tcPr>
            <w:tcW w:w="1380" w:type="dxa"/>
            <w:vAlign w:val="bottom"/>
          </w:tcPr>
          <w:p>
            <w:pPr>
              <w:ind w:left="280"/>
              <w:spacing w:after="0" w:line="157" w:lineRule="exact"/>
              <w:rPr>
                <w:sz w:val="20"/>
                <w:szCs w:val="20"/>
                <w:color w:val="auto"/>
              </w:rPr>
            </w:pPr>
            <w:r>
              <w:rPr>
                <w:rFonts w:ascii="Arial" w:cs="Arial" w:eastAsia="Arial" w:hAnsi="Arial"/>
                <w:sz w:val="14"/>
                <w:szCs w:val="14"/>
                <w:color w:val="auto"/>
              </w:rPr>
              <w:t>Boca Raton, FL</w:t>
            </w:r>
          </w:p>
        </w:tc>
        <w:tc>
          <w:tcPr>
            <w:tcW w:w="4960" w:type="dxa"/>
            <w:vAlign w:val="bottom"/>
          </w:tcPr>
          <w:p>
            <w:pPr>
              <w:ind w:left="40"/>
              <w:spacing w:after="0" w:line="157" w:lineRule="exact"/>
              <w:rPr>
                <w:sz w:val="20"/>
                <w:szCs w:val="20"/>
                <w:color w:val="auto"/>
              </w:rPr>
            </w:pPr>
            <w:r>
              <w:rPr>
                <w:rFonts w:ascii="Arial" w:cs="Arial" w:eastAsia="Arial" w:hAnsi="Arial"/>
                <w:sz w:val="14"/>
                <w:szCs w:val="14"/>
                <w:color w:val="auto"/>
                <w:w w:val="99"/>
              </w:rPr>
              <w:t>Demolition of small shop spaces and relocation of tenants to accommodate new</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7%</w:t>
            </w:r>
          </w:p>
        </w:tc>
        <w:tc>
          <w:tcPr>
            <w:tcW w:w="7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$11</w:t>
            </w:r>
          </w:p>
        </w:tc>
        <w:tc>
          <w:tcPr>
            <w:tcW w:w="820" w:type="dxa"/>
            <w:vAlign w:val="bottom"/>
          </w:tcPr>
          <w:p>
            <w:pPr>
              <w:jc w:val="right"/>
              <w:ind w:right="68"/>
              <w:spacing w:after="0" w:line="157" w:lineRule="exact"/>
              <w:rPr>
                <w:sz w:val="20"/>
                <w:szCs w:val="20"/>
                <w:color w:val="auto"/>
              </w:rPr>
            </w:pPr>
            <w:r>
              <w:rPr>
                <w:rFonts w:ascii="Arial" w:cs="Arial" w:eastAsia="Arial" w:hAnsi="Arial"/>
                <w:sz w:val="14"/>
                <w:szCs w:val="14"/>
                <w:color w:val="auto"/>
              </w:rPr>
              <w:t>$1</w:t>
            </w:r>
          </w:p>
        </w:tc>
        <w:tc>
          <w:tcPr>
            <w:tcW w:w="980" w:type="dxa"/>
            <w:vAlign w:val="bottom"/>
          </w:tcPr>
          <w:p>
            <w:pPr>
              <w:jc w:val="center"/>
              <w:spacing w:after="0" w:line="157" w:lineRule="exact"/>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188"/>
        </w:trPr>
        <w:tc>
          <w:tcPr>
            <w:tcW w:w="15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960" w:type="dxa"/>
            <w:vAlign w:val="bottom"/>
          </w:tcPr>
          <w:p>
            <w:pPr>
              <w:ind w:left="40"/>
              <w:spacing w:after="0"/>
              <w:rPr>
                <w:sz w:val="20"/>
                <w:szCs w:val="20"/>
                <w:color w:val="auto"/>
              </w:rPr>
            </w:pPr>
            <w:r>
              <w:rPr>
                <w:rFonts w:ascii="Arial" w:cs="Arial" w:eastAsia="Arial" w:hAnsi="Arial"/>
                <w:sz w:val="14"/>
                <w:szCs w:val="14"/>
                <w:color w:val="auto"/>
              </w:rPr>
              <w:t>37,000 square foot fitness center tenant</w:t>
            </w: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Santana Row</w:t>
            </w:r>
          </w:p>
        </w:tc>
        <w:tc>
          <w:tcPr>
            <w:tcW w:w="13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San Jose, CA</w:t>
            </w:r>
          </w:p>
        </w:tc>
        <w:tc>
          <w:tcPr>
            <w:tcW w:w="4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Addition of two retail kiosks and open air plaza upgrades</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80"/>
        </w:trPr>
        <w:tc>
          <w:tcPr>
            <w:tcW w:w="2940" w:type="dxa"/>
            <w:vAlign w:val="bottom"/>
            <w:gridSpan w:val="2"/>
            <w:shd w:val="clear" w:color="auto" w:fill="CCEEFF"/>
          </w:tcPr>
          <w:p>
            <w:pPr>
              <w:spacing w:after="0"/>
              <w:rPr>
                <w:sz w:val="6"/>
                <w:szCs w:val="6"/>
                <w:color w:val="auto"/>
              </w:rPr>
            </w:pPr>
          </w:p>
        </w:tc>
        <w:tc>
          <w:tcPr>
            <w:tcW w:w="49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940" w:type="dxa"/>
            <w:vAlign w:val="bottom"/>
            <w:gridSpan w:val="2"/>
          </w:tcPr>
          <w:p>
            <w:pPr>
              <w:ind w:left="20"/>
              <w:spacing w:after="0" w:line="157" w:lineRule="exact"/>
              <w:rPr>
                <w:sz w:val="20"/>
                <w:szCs w:val="20"/>
                <w:color w:val="auto"/>
              </w:rPr>
            </w:pPr>
            <w:r>
              <w:rPr>
                <w:rFonts w:ascii="Arial" w:cs="Arial" w:eastAsia="Arial" w:hAnsi="Arial"/>
                <w:sz w:val="14"/>
                <w:szCs w:val="14"/>
                <w:color w:val="auto"/>
                <w:w w:val="98"/>
              </w:rPr>
              <w:t>The AVENUE at White Marsh White Marsh, MD</w:t>
            </w:r>
          </w:p>
        </w:tc>
        <w:tc>
          <w:tcPr>
            <w:tcW w:w="4960" w:type="dxa"/>
            <w:vAlign w:val="bottom"/>
          </w:tcPr>
          <w:p>
            <w:pPr>
              <w:ind w:left="40"/>
              <w:spacing w:after="0" w:line="157" w:lineRule="exact"/>
              <w:rPr>
                <w:sz w:val="20"/>
                <w:szCs w:val="20"/>
                <w:color w:val="auto"/>
              </w:rPr>
            </w:pPr>
            <w:r>
              <w:rPr>
                <w:rFonts w:ascii="Arial" w:cs="Arial" w:eastAsia="Arial" w:hAnsi="Arial"/>
                <w:sz w:val="14"/>
                <w:szCs w:val="14"/>
                <w:color w:val="auto"/>
                <w:w w:val="96"/>
              </w:rPr>
              <w:t>Addition of two new pad sites totaling 13,000 square feet, a new 3,600 square foot</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10%</w:t>
            </w:r>
          </w:p>
        </w:tc>
        <w:tc>
          <w:tcPr>
            <w:tcW w:w="780" w:type="dxa"/>
            <w:vAlign w:val="bottom"/>
          </w:tcPr>
          <w:p>
            <w:pPr>
              <w:jc w:val="right"/>
              <w:ind w:right="28"/>
              <w:spacing w:after="0" w:line="157" w:lineRule="exact"/>
              <w:rPr>
                <w:sz w:val="20"/>
                <w:szCs w:val="20"/>
                <w:color w:val="auto"/>
              </w:rPr>
            </w:pPr>
            <w:r>
              <w:rPr>
                <w:rFonts w:ascii="Arial" w:cs="Arial" w:eastAsia="Arial" w:hAnsi="Arial"/>
                <w:sz w:val="14"/>
                <w:szCs w:val="14"/>
                <w:color w:val="auto"/>
              </w:rPr>
              <w:t>$5</w:t>
            </w:r>
          </w:p>
        </w:tc>
        <w:tc>
          <w:tcPr>
            <w:tcW w:w="820" w:type="dxa"/>
            <w:vAlign w:val="bottom"/>
          </w:tcPr>
          <w:p>
            <w:pPr>
              <w:jc w:val="right"/>
              <w:ind w:right="68"/>
              <w:spacing w:after="0" w:line="157" w:lineRule="exact"/>
              <w:rPr>
                <w:sz w:val="20"/>
                <w:szCs w:val="20"/>
                <w:color w:val="auto"/>
              </w:rPr>
            </w:pPr>
            <w:r>
              <w:rPr>
                <w:rFonts w:ascii="Arial" w:cs="Arial" w:eastAsia="Arial" w:hAnsi="Arial"/>
                <w:sz w:val="14"/>
                <w:szCs w:val="14"/>
                <w:color w:val="auto"/>
              </w:rPr>
              <w:t>$2</w:t>
            </w:r>
          </w:p>
        </w:tc>
        <w:tc>
          <w:tcPr>
            <w:tcW w:w="980" w:type="dxa"/>
            <w:vAlign w:val="bottom"/>
          </w:tcPr>
          <w:p>
            <w:pPr>
              <w:jc w:val="center"/>
              <w:spacing w:after="0" w:line="157" w:lineRule="exact"/>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182"/>
        </w:trPr>
        <w:tc>
          <w:tcPr>
            <w:tcW w:w="15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960" w:type="dxa"/>
            <w:vAlign w:val="bottom"/>
          </w:tcPr>
          <w:p>
            <w:pPr>
              <w:ind w:left="40"/>
              <w:spacing w:after="0"/>
              <w:rPr>
                <w:sz w:val="20"/>
                <w:szCs w:val="20"/>
                <w:color w:val="auto"/>
              </w:rPr>
            </w:pPr>
            <w:r>
              <w:rPr>
                <w:rFonts w:ascii="Arial" w:cs="Arial" w:eastAsia="Arial" w:hAnsi="Arial"/>
                <w:sz w:val="14"/>
                <w:szCs w:val="14"/>
                <w:color w:val="auto"/>
              </w:rPr>
              <w:t>restaurant building, and a drive up ATM</w:t>
            </w: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7620</wp:posOffset>
            </wp:positionV>
            <wp:extent cx="722058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0585" cy="171450"/>
                    </a:xfrm>
                    <a:prstGeom prst="rect">
                      <a:avLst/>
                    </a:prstGeom>
                    <a:noFill/>
                  </pic:spPr>
                </pic:pic>
              </a:graphicData>
            </a:graphic>
          </wp:anchor>
        </w:drawing>
      </w:r>
    </w:p>
    <w:p>
      <w:pPr>
        <w:sectPr>
          <w:pgSz w:w="11900" w:h="16838" w:orient="portrait"/>
          <w:cols w:equalWidth="0" w:num="1">
            <w:col w:w="11420"/>
          </w:cols>
          <w:pgMar w:left="240" w:top="977" w:right="239" w:bottom="1440" w:gutter="0" w:footer="0" w:header="0"/>
        </w:sectPr>
      </w:pPr>
    </w:p>
    <w:p>
      <w:pPr>
        <w:spacing w:after="0" w:line="20" w:lineRule="exact"/>
        <w:rPr>
          <w:sz w:val="20"/>
          <w:szCs w:val="20"/>
          <w:color w:val="auto"/>
        </w:rPr>
      </w:pPr>
    </w:p>
    <w:tbl>
      <w:tblPr>
        <w:tblLayout w:type="fixed"/>
        <w:tblInd w:w="60" w:type="dxa"/>
        <w:tblCellMar>
          <w:top w:w="0" w:type="dxa"/>
          <w:left w:w="0" w:type="dxa"/>
          <w:bottom w:w="0" w:type="dxa"/>
          <w:right w:w="0" w:type="dxa"/>
        </w:tblCellMar>
      </w:tblPr>
      <w:tr>
        <w:trPr>
          <w:trHeight w:val="182"/>
        </w:trPr>
        <w:tc>
          <w:tcPr>
            <w:tcW w:w="1300" w:type="dxa"/>
            <w:vAlign w:val="bottom"/>
          </w:tcPr>
          <w:p>
            <w:pPr>
              <w:spacing w:after="0"/>
              <w:rPr>
                <w:sz w:val="20"/>
                <w:szCs w:val="20"/>
                <w:color w:val="auto"/>
              </w:rPr>
            </w:pPr>
            <w:r>
              <w:rPr>
                <w:rFonts w:ascii="Arial" w:cs="Arial" w:eastAsia="Arial" w:hAnsi="Arial"/>
                <w:sz w:val="14"/>
                <w:szCs w:val="14"/>
                <w:color w:val="auto"/>
              </w:rPr>
              <w:t>Willow Lawn</w:t>
            </w:r>
          </w:p>
        </w:tc>
        <w:tc>
          <w:tcPr>
            <w:tcW w:w="1620" w:type="dxa"/>
            <w:vAlign w:val="bottom"/>
          </w:tcPr>
          <w:p>
            <w:pPr>
              <w:ind w:left="520"/>
              <w:spacing w:after="0"/>
              <w:rPr>
                <w:sz w:val="20"/>
                <w:szCs w:val="20"/>
                <w:color w:val="auto"/>
              </w:rPr>
            </w:pPr>
            <w:r>
              <w:rPr>
                <w:rFonts w:ascii="Arial" w:cs="Arial" w:eastAsia="Arial" w:hAnsi="Arial"/>
                <w:sz w:val="14"/>
                <w:szCs w:val="14"/>
                <w:color w:val="auto"/>
              </w:rPr>
              <w:t>Richmond, VA</w:t>
            </w:r>
          </w:p>
        </w:tc>
        <w:tc>
          <w:tcPr>
            <w:tcW w:w="4860" w:type="dxa"/>
            <w:vAlign w:val="bottom"/>
          </w:tcPr>
          <w:p>
            <w:pPr>
              <w:ind w:left="40"/>
              <w:spacing w:after="0"/>
              <w:rPr>
                <w:sz w:val="20"/>
                <w:szCs w:val="20"/>
                <w:color w:val="auto"/>
              </w:rPr>
            </w:pPr>
            <w:r>
              <w:rPr>
                <w:rFonts w:ascii="Arial" w:cs="Arial" w:eastAsia="Arial" w:hAnsi="Arial"/>
                <w:sz w:val="14"/>
                <w:szCs w:val="14"/>
                <w:color w:val="auto"/>
              </w:rPr>
              <w:t>Construction of two new in-line retail spaces totaling 17,400 square feet</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0"/>
                <w:szCs w:val="20"/>
                <w:color w:val="auto"/>
              </w:rPr>
            </w:pPr>
            <w:r>
              <w:rPr>
                <w:rFonts w:ascii="Arial" w:cs="Arial" w:eastAsia="Arial" w:hAnsi="Arial"/>
                <w:sz w:val="14"/>
                <w:szCs w:val="14"/>
                <w:color w:val="auto"/>
              </w:rPr>
              <w:t>Eastgate</w:t>
            </w:r>
          </w:p>
        </w:tc>
        <w:tc>
          <w:tcPr>
            <w:tcW w:w="1620" w:type="dxa"/>
            <w:vAlign w:val="bottom"/>
          </w:tcPr>
          <w:p>
            <w:pPr>
              <w:ind w:left="520"/>
              <w:spacing w:after="0"/>
              <w:rPr>
                <w:sz w:val="20"/>
                <w:szCs w:val="20"/>
                <w:color w:val="auto"/>
              </w:rPr>
            </w:pPr>
            <w:r>
              <w:rPr>
                <w:rFonts w:ascii="Arial" w:cs="Arial" w:eastAsia="Arial" w:hAnsi="Arial"/>
                <w:sz w:val="14"/>
                <w:szCs w:val="14"/>
                <w:color w:val="auto"/>
              </w:rPr>
              <w:t>Chapel Hill, NC</w:t>
            </w:r>
          </w:p>
        </w:tc>
        <w:tc>
          <w:tcPr>
            <w:tcW w:w="4860" w:type="dxa"/>
            <w:vAlign w:val="bottom"/>
            <w:vMerge w:val="restart"/>
          </w:tcPr>
          <w:p>
            <w:pPr>
              <w:ind w:left="40"/>
              <w:spacing w:after="0"/>
              <w:rPr>
                <w:sz w:val="20"/>
                <w:szCs w:val="20"/>
                <w:color w:val="auto"/>
              </w:rPr>
            </w:pPr>
            <w:r>
              <w:rPr>
                <w:rFonts w:ascii="Arial" w:cs="Arial" w:eastAsia="Arial" w:hAnsi="Arial"/>
                <w:sz w:val="14"/>
                <w:szCs w:val="14"/>
                <w:color w:val="auto"/>
                <w:w w:val="99"/>
              </w:rPr>
              <w:t>New 7,400 square foot multi-tenant pad building on site of existing gas station</w:t>
            </w: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4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20"/>
                <w:szCs w:val="20"/>
                <w:color w:val="auto"/>
              </w:rPr>
            </w:pPr>
            <w:r>
              <w:rPr>
                <w:rFonts w:ascii="Arial" w:cs="Arial" w:eastAsia="Arial" w:hAnsi="Arial"/>
                <w:sz w:val="14"/>
                <w:szCs w:val="14"/>
                <w:color w:val="auto"/>
              </w:rPr>
              <w:t>Mercer Mall</w:t>
            </w:r>
          </w:p>
        </w:tc>
        <w:tc>
          <w:tcPr>
            <w:tcW w:w="1620" w:type="dxa"/>
            <w:vAlign w:val="bottom"/>
          </w:tcPr>
          <w:p>
            <w:pPr>
              <w:ind w:left="520"/>
              <w:spacing w:after="0"/>
              <w:rPr>
                <w:sz w:val="20"/>
                <w:szCs w:val="20"/>
                <w:color w:val="auto"/>
              </w:rPr>
            </w:pPr>
            <w:r>
              <w:rPr>
                <w:rFonts w:ascii="Arial" w:cs="Arial" w:eastAsia="Arial" w:hAnsi="Arial"/>
                <w:sz w:val="14"/>
                <w:szCs w:val="14"/>
                <w:color w:val="auto"/>
                <w:w w:val="98"/>
              </w:rPr>
              <w:t>Lawrenceville, NJ</w:t>
            </w:r>
          </w:p>
        </w:tc>
        <w:tc>
          <w:tcPr>
            <w:tcW w:w="4860" w:type="dxa"/>
            <w:vAlign w:val="bottom"/>
          </w:tcPr>
          <w:p>
            <w:pPr>
              <w:ind w:left="40"/>
              <w:spacing w:after="0"/>
              <w:rPr>
                <w:sz w:val="20"/>
                <w:szCs w:val="20"/>
                <w:color w:val="auto"/>
              </w:rPr>
            </w:pPr>
            <w:r>
              <w:rPr>
                <w:rFonts w:ascii="Arial" w:cs="Arial" w:eastAsia="Arial" w:hAnsi="Arial"/>
                <w:sz w:val="14"/>
                <w:szCs w:val="14"/>
                <w:color w:val="auto"/>
                <w:w w:val="95"/>
              </w:rPr>
              <w:t>Demolition of existing 3,000 square foot pad building to allow for construction of a</w:t>
            </w:r>
          </w:p>
        </w:tc>
        <w:tc>
          <w:tcPr>
            <w:tcW w:w="0" w:type="dxa"/>
            <w:vAlign w:val="bottom"/>
          </w:tcPr>
          <w:p>
            <w:pPr>
              <w:spacing w:after="0"/>
              <w:rPr>
                <w:sz w:val="1"/>
                <w:szCs w:val="1"/>
                <w:color w:val="auto"/>
              </w:rPr>
            </w:pPr>
          </w:p>
        </w:tc>
      </w:tr>
      <w:tr>
        <w:trPr>
          <w:trHeight w:val="182"/>
        </w:trPr>
        <w:tc>
          <w:tcPr>
            <w:tcW w:w="13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860" w:type="dxa"/>
            <w:vAlign w:val="bottom"/>
          </w:tcPr>
          <w:p>
            <w:pPr>
              <w:ind w:left="40"/>
              <w:spacing w:after="0"/>
              <w:rPr>
                <w:sz w:val="20"/>
                <w:szCs w:val="20"/>
                <w:color w:val="auto"/>
              </w:rPr>
            </w:pPr>
            <w:r>
              <w:rPr>
                <w:rFonts w:ascii="Arial" w:cs="Arial" w:eastAsia="Arial" w:hAnsi="Arial"/>
                <w:sz w:val="14"/>
                <w:szCs w:val="14"/>
                <w:color w:val="auto"/>
              </w:rPr>
              <w:t>multi-restaurant pad building totaling 5,600 square feet</w:t>
            </w:r>
          </w:p>
        </w:tc>
        <w:tc>
          <w:tcPr>
            <w:tcW w:w="0" w:type="dxa"/>
            <w:vAlign w:val="bottom"/>
          </w:tcPr>
          <w:p>
            <w:pPr>
              <w:spacing w:after="0"/>
              <w:rPr>
                <w:sz w:val="1"/>
                <w:szCs w:val="1"/>
                <w:color w:val="auto"/>
              </w:rPr>
            </w:pPr>
          </w:p>
        </w:tc>
      </w:tr>
      <w:tr>
        <w:trPr>
          <w:trHeight w:val="203"/>
        </w:trPr>
        <w:tc>
          <w:tcPr>
            <w:tcW w:w="1300" w:type="dxa"/>
            <w:vAlign w:val="bottom"/>
          </w:tcPr>
          <w:p>
            <w:pPr>
              <w:spacing w:after="0"/>
              <w:rPr>
                <w:sz w:val="20"/>
                <w:szCs w:val="20"/>
                <w:color w:val="auto"/>
              </w:rPr>
            </w:pPr>
            <w:r>
              <w:rPr>
                <w:rFonts w:ascii="Arial" w:cs="Arial" w:eastAsia="Arial" w:hAnsi="Arial"/>
                <w:sz w:val="14"/>
                <w:szCs w:val="14"/>
                <w:color w:val="auto"/>
              </w:rPr>
              <w:t>Wynnewood</w:t>
            </w:r>
          </w:p>
        </w:tc>
        <w:tc>
          <w:tcPr>
            <w:tcW w:w="1620" w:type="dxa"/>
            <w:vAlign w:val="bottom"/>
          </w:tcPr>
          <w:p>
            <w:pPr>
              <w:ind w:left="520"/>
              <w:spacing w:after="0"/>
              <w:rPr>
                <w:sz w:val="20"/>
                <w:szCs w:val="20"/>
                <w:color w:val="auto"/>
              </w:rPr>
            </w:pPr>
            <w:r>
              <w:rPr>
                <w:rFonts w:ascii="Arial" w:cs="Arial" w:eastAsia="Arial" w:hAnsi="Arial"/>
                <w:sz w:val="14"/>
                <w:szCs w:val="14"/>
                <w:color w:val="auto"/>
              </w:rPr>
              <w:t>Wynnewood, PA</w:t>
            </w:r>
          </w:p>
        </w:tc>
        <w:tc>
          <w:tcPr>
            <w:tcW w:w="4860" w:type="dxa"/>
            <w:vAlign w:val="bottom"/>
          </w:tcPr>
          <w:p>
            <w:pPr>
              <w:ind w:left="40"/>
              <w:spacing w:after="0"/>
              <w:rPr>
                <w:sz w:val="20"/>
                <w:szCs w:val="20"/>
                <w:color w:val="auto"/>
              </w:rPr>
            </w:pPr>
            <w:r>
              <w:rPr>
                <w:rFonts w:ascii="Arial" w:cs="Arial" w:eastAsia="Arial" w:hAnsi="Arial"/>
                <w:sz w:val="14"/>
                <w:szCs w:val="14"/>
                <w:color w:val="auto"/>
              </w:rPr>
              <w:t>Conversion of obsolete 2nd floor office space to residential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-343535</wp:posOffset>
            </wp:positionV>
            <wp:extent cx="7220585" cy="22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0585" cy="22288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50800</wp:posOffset>
            </wp:positionV>
            <wp:extent cx="7220585" cy="240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0585" cy="240030"/>
                    </a:xfrm>
                    <a:prstGeom prst="rect">
                      <a:avLst/>
                    </a:prstGeom>
                    <a:noFill/>
                  </pic:spPr>
                </pic:pic>
              </a:graphicData>
            </a:graphic>
          </wp:anchor>
        </w:drawing>
      </w:r>
    </w:p>
    <w:p>
      <w:pPr>
        <w:spacing w:after="0" w:line="64"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Total Active Redevelopment projects (4)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960" w:type="dxa"/>
            <w:vAlign w:val="bottom"/>
          </w:tcPr>
          <w:p>
            <w:pPr>
              <w:jc w:val="right"/>
              <w:ind w:right="88"/>
              <w:spacing w:after="0"/>
              <w:rPr>
                <w:sz w:val="20"/>
                <w:szCs w:val="20"/>
                <w:color w:val="auto"/>
              </w:rPr>
            </w:pPr>
            <w:r>
              <w:rPr>
                <w:rFonts w:ascii="Arial" w:cs="Arial" w:eastAsia="Arial" w:hAnsi="Arial"/>
                <w:sz w:val="14"/>
                <w:szCs w:val="14"/>
                <w:color w:val="auto"/>
              </w:rPr>
              <w:t>8%</w:t>
            </w: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$5</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640" w:type="dxa"/>
            <w:vAlign w:val="bottom"/>
          </w:tcPr>
          <w:p>
            <w:pPr>
              <w:jc w:val="right"/>
              <w:spacing w:after="0"/>
              <w:rPr>
                <w:sz w:val="20"/>
                <w:szCs w:val="20"/>
                <w:color w:val="auto"/>
              </w:rPr>
            </w:pPr>
            <w:r>
              <w:rPr>
                <w:rFonts w:ascii="Arial" w:cs="Arial" w:eastAsia="Arial" w:hAnsi="Arial"/>
                <w:sz w:val="14"/>
                <w:szCs w:val="14"/>
                <w:color w:val="auto"/>
              </w:rPr>
              <w:t>2016</w:t>
            </w:r>
          </w:p>
        </w:tc>
      </w:tr>
      <w:tr>
        <w:trPr>
          <w:trHeight w:val="270"/>
        </w:trPr>
        <w:tc>
          <w:tcPr>
            <w:tcW w:w="960" w:type="dxa"/>
            <w:vAlign w:val="bottom"/>
          </w:tcPr>
          <w:p>
            <w:pPr>
              <w:jc w:val="right"/>
              <w:ind w:right="88"/>
              <w:spacing w:after="0"/>
              <w:rPr>
                <w:sz w:val="20"/>
                <w:szCs w:val="20"/>
                <w:color w:val="auto"/>
              </w:rPr>
            </w:pPr>
            <w:r>
              <w:rPr>
                <w:rFonts w:ascii="Arial" w:cs="Arial" w:eastAsia="Arial" w:hAnsi="Arial"/>
                <w:sz w:val="14"/>
                <w:szCs w:val="14"/>
                <w:color w:val="auto"/>
              </w:rPr>
              <w:t>8%</w:t>
            </w: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$4</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640" w:type="dxa"/>
            <w:vAlign w:val="bottom"/>
          </w:tcPr>
          <w:p>
            <w:pPr>
              <w:jc w:val="right"/>
              <w:spacing w:after="0"/>
              <w:rPr>
                <w:sz w:val="20"/>
                <w:szCs w:val="20"/>
                <w:color w:val="auto"/>
              </w:rPr>
            </w:pPr>
            <w:r>
              <w:rPr>
                <w:rFonts w:ascii="Arial" w:cs="Arial" w:eastAsia="Arial" w:hAnsi="Arial"/>
                <w:sz w:val="14"/>
                <w:szCs w:val="14"/>
                <w:color w:val="auto"/>
              </w:rPr>
              <w:t>2017</w:t>
            </w:r>
          </w:p>
        </w:tc>
      </w:tr>
      <w:tr>
        <w:trPr>
          <w:trHeight w:val="270"/>
        </w:trPr>
        <w:tc>
          <w:tcPr>
            <w:tcW w:w="96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$2</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640" w:type="dxa"/>
            <w:vAlign w:val="bottom"/>
          </w:tcPr>
          <w:p>
            <w:pPr>
              <w:jc w:val="right"/>
              <w:spacing w:after="0"/>
              <w:rPr>
                <w:sz w:val="20"/>
                <w:szCs w:val="20"/>
                <w:color w:val="auto"/>
              </w:rPr>
            </w:pPr>
            <w:r>
              <w:rPr>
                <w:rFonts w:ascii="Arial" w:cs="Arial" w:eastAsia="Arial" w:hAnsi="Arial"/>
                <w:sz w:val="14"/>
                <w:szCs w:val="14"/>
                <w:color w:val="auto"/>
              </w:rPr>
              <w:t>2016</w:t>
            </w:r>
          </w:p>
        </w:tc>
      </w:tr>
      <w:tr>
        <w:trPr>
          <w:trHeight w:val="351"/>
        </w:trPr>
        <w:tc>
          <w:tcPr>
            <w:tcW w:w="960" w:type="dxa"/>
            <w:vAlign w:val="bottom"/>
          </w:tcPr>
          <w:p>
            <w:pPr>
              <w:jc w:val="right"/>
              <w:ind w:right="88"/>
              <w:spacing w:after="0"/>
              <w:rPr>
                <w:sz w:val="20"/>
                <w:szCs w:val="20"/>
                <w:color w:val="auto"/>
              </w:rPr>
            </w:pPr>
            <w:r>
              <w:rPr>
                <w:rFonts w:ascii="Arial" w:cs="Arial" w:eastAsia="Arial" w:hAnsi="Arial"/>
                <w:sz w:val="14"/>
                <w:szCs w:val="14"/>
                <w:color w:val="auto"/>
              </w:rPr>
              <w:t>8%</w:t>
            </w:r>
          </w:p>
        </w:tc>
        <w:tc>
          <w:tcPr>
            <w:tcW w:w="780" w:type="dxa"/>
            <w:vAlign w:val="bottom"/>
          </w:tcPr>
          <w:p>
            <w:pPr>
              <w:jc w:val="right"/>
              <w:ind w:right="168"/>
              <w:spacing w:after="0"/>
              <w:rPr>
                <w:sz w:val="20"/>
                <w:szCs w:val="20"/>
                <w:color w:val="auto"/>
              </w:rPr>
            </w:pPr>
            <w:r>
              <w:rPr>
                <w:rFonts w:ascii="Arial" w:cs="Arial" w:eastAsia="Arial" w:hAnsi="Arial"/>
                <w:sz w:val="14"/>
                <w:szCs w:val="14"/>
                <w:color w:val="auto"/>
              </w:rPr>
              <w:t>$2</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640" w:type="dxa"/>
            <w:vAlign w:val="bottom"/>
          </w:tcPr>
          <w:p>
            <w:pPr>
              <w:jc w:val="right"/>
              <w:spacing w:after="0"/>
              <w:rPr>
                <w:sz w:val="20"/>
                <w:szCs w:val="20"/>
                <w:color w:val="auto"/>
              </w:rPr>
            </w:pPr>
            <w:r>
              <w:rPr>
                <w:rFonts w:ascii="Arial" w:cs="Arial" w:eastAsia="Arial" w:hAnsi="Arial"/>
                <w:sz w:val="14"/>
                <w:szCs w:val="14"/>
                <w:color w:val="auto"/>
              </w:rPr>
              <w:t>2016</w:t>
            </w:r>
          </w:p>
        </w:tc>
      </w:tr>
      <w:tr>
        <w:trPr>
          <w:trHeight w:val="80"/>
        </w:trPr>
        <w:tc>
          <w:tcPr>
            <w:tcW w:w="9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640" w:type="dxa"/>
            <w:vAlign w:val="bottom"/>
          </w:tcPr>
          <w:p>
            <w:pPr>
              <w:spacing w:after="0"/>
              <w:rPr>
                <w:sz w:val="6"/>
                <w:szCs w:val="6"/>
                <w:color w:val="auto"/>
              </w:rPr>
            </w:pPr>
          </w:p>
        </w:tc>
      </w:tr>
      <w:tr>
        <w:trPr>
          <w:trHeight w:val="150"/>
        </w:trPr>
        <w:tc>
          <w:tcPr>
            <w:tcW w:w="960" w:type="dxa"/>
            <w:vAlign w:val="bottom"/>
          </w:tcPr>
          <w:p>
            <w:pPr>
              <w:jc w:val="right"/>
              <w:ind w:right="88"/>
              <w:spacing w:after="0" w:line="151" w:lineRule="exact"/>
              <w:rPr>
                <w:sz w:val="20"/>
                <w:szCs w:val="20"/>
                <w:color w:val="auto"/>
              </w:rPr>
            </w:pPr>
            <w:r>
              <w:rPr>
                <w:rFonts w:ascii="Arial" w:cs="Arial" w:eastAsia="Arial" w:hAnsi="Arial"/>
                <w:sz w:val="14"/>
                <w:szCs w:val="14"/>
                <w:color w:val="auto"/>
              </w:rPr>
              <w:t>8%</w:t>
            </w:r>
          </w:p>
        </w:tc>
        <w:tc>
          <w:tcPr>
            <w:tcW w:w="780" w:type="dxa"/>
            <w:vAlign w:val="bottom"/>
          </w:tcPr>
          <w:p>
            <w:pPr>
              <w:jc w:val="right"/>
              <w:ind w:right="168"/>
              <w:spacing w:after="0" w:line="151" w:lineRule="exact"/>
              <w:rPr>
                <w:sz w:val="20"/>
                <w:szCs w:val="20"/>
                <w:color w:val="auto"/>
              </w:rPr>
            </w:pPr>
            <w:r>
              <w:rPr>
                <w:rFonts w:ascii="Arial" w:cs="Arial" w:eastAsia="Arial" w:hAnsi="Arial"/>
                <w:sz w:val="14"/>
                <w:szCs w:val="14"/>
                <w:color w:val="auto"/>
              </w:rPr>
              <w:t>$324 -</w:t>
            </w:r>
          </w:p>
        </w:tc>
        <w:tc>
          <w:tcPr>
            <w:tcW w:w="660" w:type="dxa"/>
            <w:vAlign w:val="bottom"/>
          </w:tcPr>
          <w:p>
            <w:pPr>
              <w:jc w:val="right"/>
              <w:ind w:right="48"/>
              <w:spacing w:after="0" w:line="151" w:lineRule="exact"/>
              <w:rPr>
                <w:sz w:val="20"/>
                <w:szCs w:val="20"/>
                <w:color w:val="auto"/>
              </w:rPr>
            </w:pPr>
            <w:r>
              <w:rPr>
                <w:rFonts w:ascii="Arial" w:cs="Arial" w:eastAsia="Arial" w:hAnsi="Arial"/>
                <w:sz w:val="14"/>
                <w:szCs w:val="14"/>
                <w:color w:val="auto"/>
              </w:rPr>
              <w:t>$203</w:t>
            </w:r>
          </w:p>
        </w:tc>
        <w:tc>
          <w:tcPr>
            <w:tcW w:w="640" w:type="dxa"/>
            <w:vAlign w:val="bottom"/>
          </w:tcPr>
          <w:p>
            <w:pPr>
              <w:spacing w:after="0"/>
              <w:rPr>
                <w:sz w:val="13"/>
                <w:szCs w:val="13"/>
                <w:color w:val="auto"/>
              </w:rPr>
            </w:pPr>
          </w:p>
        </w:tc>
      </w:tr>
      <w:tr>
        <w:trPr>
          <w:trHeight w:val="188"/>
        </w:trPr>
        <w:tc>
          <w:tcPr>
            <w:tcW w:w="9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$329</w:t>
            </w:r>
          </w:p>
        </w:tc>
        <w:tc>
          <w:tcPr>
            <w:tcW w:w="660" w:type="dxa"/>
            <w:vAlign w:val="bottom"/>
            <w:tcBorders>
              <w:bottom w:val="single" w:sz="8" w:color="auto"/>
            </w:tcBorders>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43" w:lineRule="exact"/>
        <w:rPr>
          <w:sz w:val="20"/>
          <w:szCs w:val="20"/>
          <w:color w:val="auto"/>
        </w:rPr>
      </w:pPr>
    </w:p>
    <w:p>
      <w:pPr>
        <w:sectPr>
          <w:pgSz w:w="11900" w:h="16838" w:orient="portrait"/>
          <w:cols w:equalWidth="0" w:num="2">
            <w:col w:w="7840" w:space="160"/>
            <w:col w:w="3420"/>
          </w:cols>
          <w:pgMar w:left="240" w:top="977" w:right="239" w:bottom="1440" w:gutter="0" w:footer="0" w:header="0"/>
          <w:type w:val="continuous"/>
        </w:sectPr>
      </w:pPr>
    </w:p>
    <w:p>
      <w:pPr>
        <w:spacing w:after="0"/>
        <w:rPr>
          <w:sz w:val="20"/>
          <w:szCs w:val="20"/>
          <w:color w:val="auto"/>
        </w:rPr>
      </w:pPr>
      <w:r>
        <w:rPr>
          <w:rFonts w:ascii="Arial" w:cs="Arial" w:eastAsia="Arial" w:hAnsi="Arial"/>
          <w:sz w:val="14"/>
          <w:szCs w:val="14"/>
          <w:u w:val="single" w:color="auto"/>
          <w:color w:val="auto"/>
        </w:rPr>
        <w:t>Notes:</w:t>
      </w:r>
    </w:p>
    <w:p>
      <w:pPr>
        <w:spacing w:after="0" w:line="13" w:lineRule="exact"/>
        <w:rPr>
          <w:sz w:val="20"/>
          <w:szCs w:val="20"/>
          <w:color w:val="auto"/>
        </w:rPr>
      </w:pPr>
    </w:p>
    <w:p>
      <w:pPr>
        <w:ind w:left="660" w:hanging="652"/>
        <w:spacing w:after="0" w:line="260" w:lineRule="auto"/>
        <w:tabs>
          <w:tab w:leader="none" w:pos="6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60" w:lineRule="auto"/>
        <w:tabs>
          <w:tab w:leader="none" w:pos="6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does NOT include peripheral impacts, such as the impact on future lease rollovers at the property or the impact on the long-term value of the property.</w:t>
      </w:r>
    </w:p>
    <w:p>
      <w:pPr>
        <w:ind w:left="660" w:hanging="65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Stabilization is the year in which 95% occupancy of the redeveloped space is achieved.</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977" w:right="239" w:bottom="1440" w:gutter="0" w:footer="0" w:header="0"/>
          <w:type w:val="continuous"/>
        </w:sectPr>
      </w:pPr>
    </w:p>
    <w:bookmarkStart w:id="18" w:name="page19"/>
    <w:bookmarkEnd w:id="18"/>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Pike &amp; Rose and Assembly Row</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2016</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rPr>
              <w:t>Property (1)</w:t>
            </w: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Location</w:t>
            </w:r>
          </w:p>
        </w:tc>
        <w:tc>
          <w:tcPr>
            <w:tcW w:w="25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Opportunity</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1140" w:type="dxa"/>
            <w:vAlign w:val="bottom"/>
          </w:tcPr>
          <w:p>
            <w:pPr>
              <w:jc w:val="center"/>
              <w:ind w:right="48"/>
              <w:spacing w:after="0"/>
              <w:rPr>
                <w:sz w:val="20"/>
                <w:szCs w:val="20"/>
                <w:color w:val="auto"/>
              </w:rPr>
            </w:pPr>
            <w:r>
              <w:rPr>
                <w:rFonts w:ascii="Arial" w:cs="Arial" w:eastAsia="Arial" w:hAnsi="Arial"/>
                <w:sz w:val="14"/>
                <w:szCs w:val="14"/>
                <w:b w:val="1"/>
                <w:bCs w:val="1"/>
                <w:color w:val="auto"/>
                <w:w w:val="90"/>
              </w:rPr>
              <w:t>Total Cost</w:t>
            </w:r>
          </w:p>
        </w:tc>
        <w:tc>
          <w:tcPr>
            <w:tcW w:w="940" w:type="dxa"/>
            <w:vAlign w:val="bottom"/>
          </w:tcPr>
          <w:p>
            <w:pPr>
              <w:jc w:val="center"/>
              <w:ind w:right="88"/>
              <w:spacing w:after="0"/>
              <w:rPr>
                <w:sz w:val="20"/>
                <w:szCs w:val="20"/>
                <w:color w:val="auto"/>
              </w:rPr>
            </w:pPr>
            <w:r>
              <w:rPr>
                <w:rFonts w:ascii="Arial" w:cs="Arial" w:eastAsia="Arial" w:hAnsi="Arial"/>
                <w:sz w:val="14"/>
                <w:szCs w:val="14"/>
                <w:b w:val="1"/>
                <w:bCs w:val="1"/>
                <w:color w:val="auto"/>
                <w:w w:val="89"/>
              </w:rPr>
              <w:t>Costs to</w:t>
            </w:r>
          </w:p>
        </w:tc>
        <w:tc>
          <w:tcPr>
            <w:tcW w:w="3300" w:type="dxa"/>
            <w:vAlign w:val="bottom"/>
          </w:tcPr>
          <w:p>
            <w:pPr>
              <w:ind w:left="240"/>
              <w:spacing w:after="0"/>
              <w:rPr>
                <w:sz w:val="20"/>
                <w:szCs w:val="20"/>
                <w:color w:val="auto"/>
              </w:rPr>
            </w:pPr>
            <w:r>
              <w:rPr>
                <w:rFonts w:ascii="Arial" w:cs="Arial" w:eastAsia="Arial" w:hAnsi="Arial"/>
                <w:sz w:val="14"/>
                <w:szCs w:val="14"/>
                <w:b w:val="1"/>
                <w:bCs w:val="1"/>
                <w:color w:val="auto"/>
              </w:rPr>
              <w:t>Anticipated</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258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ROI (2)</w:t>
            </w:r>
          </w:p>
        </w:tc>
        <w:tc>
          <w:tcPr>
            <w:tcW w:w="11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(3)</w:t>
            </w:r>
          </w:p>
        </w:tc>
        <w:tc>
          <w:tcPr>
            <w:tcW w:w="9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8"/>
              </w:rPr>
              <w:t>Date</w:t>
            </w:r>
          </w:p>
        </w:tc>
        <w:tc>
          <w:tcPr>
            <w:tcW w:w="33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Stabilization Expected Opening Timeframe</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40" w:type="dxa"/>
            <w:vAlign w:val="bottom"/>
          </w:tcPr>
          <w:p>
            <w:pPr>
              <w:jc w:val="center"/>
              <w:ind w:right="48"/>
              <w:spacing w:after="0"/>
              <w:rPr>
                <w:sz w:val="20"/>
                <w:szCs w:val="20"/>
                <w:color w:val="auto"/>
              </w:rPr>
            </w:pPr>
            <w:r>
              <w:rPr>
                <w:rFonts w:ascii="Arial" w:cs="Arial" w:eastAsia="Arial" w:hAnsi="Arial"/>
                <w:sz w:val="14"/>
                <w:szCs w:val="14"/>
                <w:color w:val="auto"/>
                <w:w w:val="98"/>
              </w:rPr>
              <w:t>(in millions)</w:t>
            </w:r>
          </w:p>
        </w:tc>
        <w:tc>
          <w:tcPr>
            <w:tcW w:w="940" w:type="dxa"/>
            <w:vAlign w:val="bottom"/>
          </w:tcPr>
          <w:p>
            <w:pPr>
              <w:jc w:val="center"/>
              <w:ind w:right="88"/>
              <w:spacing w:after="0"/>
              <w:rPr>
                <w:sz w:val="20"/>
                <w:szCs w:val="20"/>
                <w:color w:val="auto"/>
              </w:rPr>
            </w:pPr>
            <w:r>
              <w:rPr>
                <w:rFonts w:ascii="Arial" w:cs="Arial" w:eastAsia="Arial" w:hAnsi="Arial"/>
                <w:sz w:val="14"/>
                <w:szCs w:val="14"/>
                <w:color w:val="auto"/>
                <w:w w:val="98"/>
              </w:rPr>
              <w:t>(in millions)</w:t>
            </w:r>
          </w:p>
        </w:tc>
        <w:tc>
          <w:tcPr>
            <w:tcW w:w="3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2580" w:type="dxa"/>
            <w:vAlign w:val="bottom"/>
            <w:gridSpan w:val="3"/>
          </w:tcPr>
          <w:p>
            <w:pPr>
              <w:spacing w:after="0"/>
              <w:rPr>
                <w:sz w:val="20"/>
                <w:szCs w:val="20"/>
                <w:color w:val="auto"/>
              </w:rPr>
            </w:pPr>
            <w:r>
              <w:rPr>
                <w:rFonts w:ascii="Arial" w:cs="Arial" w:eastAsia="Arial" w:hAnsi="Arial"/>
                <w:sz w:val="14"/>
                <w:szCs w:val="14"/>
                <w:b w:val="1"/>
                <w:bCs w:val="1"/>
                <w:color w:val="auto"/>
              </w:rPr>
              <w:t>Phases delivered/delivering</w:t>
            </w:r>
          </w:p>
        </w:tc>
        <w:tc>
          <w:tcPr>
            <w:tcW w:w="2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 xml:space="preserve">$265 - $270 </w:t>
            </w:r>
            <w:r>
              <w:rPr>
                <w:rFonts w:ascii="Arial" w:cs="Arial" w:eastAsia="Arial" w:hAnsi="Arial"/>
                <w:sz w:val="14"/>
                <w:szCs w:val="14"/>
                <w:b w:val="1"/>
                <w:bCs w:val="1"/>
                <w:color w:val="auto"/>
              </w:rPr>
              <w:t>(4)</w:t>
            </w:r>
          </w:p>
        </w:tc>
        <w:tc>
          <w:tcPr>
            <w:tcW w:w="9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4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4"/>
                <w:szCs w:val="14"/>
                <w:color w:val="auto"/>
                <w:w w:val="99"/>
              </w:rPr>
              <w:t>Pike &amp; Rose - Phase I</w:t>
            </w:r>
          </w:p>
        </w:tc>
        <w:tc>
          <w:tcPr>
            <w:tcW w:w="1200" w:type="dxa"/>
            <w:vAlign w:val="bottom"/>
            <w:gridSpan w:val="2"/>
          </w:tcPr>
          <w:p>
            <w:pPr>
              <w:ind w:left="100"/>
              <w:spacing w:after="0"/>
              <w:rPr>
                <w:sz w:val="20"/>
                <w:szCs w:val="20"/>
                <w:color w:val="auto"/>
              </w:rPr>
            </w:pPr>
            <w:r>
              <w:rPr>
                <w:rFonts w:ascii="Arial" w:cs="Arial" w:eastAsia="Arial" w:hAnsi="Arial"/>
                <w:sz w:val="14"/>
                <w:szCs w:val="14"/>
                <w:color w:val="auto"/>
              </w:rPr>
              <w:t>North Bethesda,</w:t>
            </w:r>
          </w:p>
        </w:tc>
        <w:tc>
          <w:tcPr>
            <w:tcW w:w="2580" w:type="dxa"/>
            <w:vAlign w:val="bottom"/>
          </w:tcPr>
          <w:p>
            <w:pPr>
              <w:ind w:left="160"/>
              <w:spacing w:after="0"/>
              <w:rPr>
                <w:sz w:val="20"/>
                <w:szCs w:val="20"/>
                <w:color w:val="auto"/>
              </w:rPr>
            </w:pPr>
            <w:r>
              <w:rPr>
                <w:rFonts w:ascii="Arial" w:cs="Arial" w:eastAsia="Arial" w:hAnsi="Arial"/>
                <w:sz w:val="14"/>
                <w:szCs w:val="14"/>
                <w:color w:val="auto"/>
                <w:w w:val="96"/>
              </w:rPr>
              <w:t>Phase I consists of 493 residential units,</w:t>
            </w:r>
          </w:p>
        </w:tc>
        <w:tc>
          <w:tcPr>
            <w:tcW w:w="840" w:type="dxa"/>
            <w:vAlign w:val="bottom"/>
          </w:tcPr>
          <w:p>
            <w:pPr>
              <w:jc w:val="center"/>
              <w:ind w:right="8"/>
              <w:spacing w:after="0"/>
              <w:rPr>
                <w:sz w:val="20"/>
                <w:szCs w:val="20"/>
                <w:color w:val="auto"/>
              </w:rPr>
            </w:pPr>
            <w:r>
              <w:rPr>
                <w:rFonts w:ascii="Arial" w:cs="Arial" w:eastAsia="Arial" w:hAnsi="Arial"/>
                <w:sz w:val="14"/>
                <w:szCs w:val="14"/>
                <w:color w:val="auto"/>
                <w:w w:val="98"/>
              </w:rPr>
              <w:t>7%</w:t>
            </w:r>
          </w:p>
        </w:tc>
        <w:tc>
          <w:tcPr>
            <w:tcW w:w="1140" w:type="dxa"/>
            <w:vAlign w:val="bottom"/>
            <w:vMerge w:val="continue"/>
          </w:tcPr>
          <w:p>
            <w:pPr>
              <w:spacing w:after="0"/>
              <w:rPr>
                <w:sz w:val="24"/>
                <w:szCs w:val="24"/>
                <w:color w:val="auto"/>
              </w:rPr>
            </w:pPr>
          </w:p>
        </w:tc>
        <w:tc>
          <w:tcPr>
            <w:tcW w:w="940" w:type="dxa"/>
            <w:vAlign w:val="bottom"/>
          </w:tcPr>
          <w:p>
            <w:pPr>
              <w:jc w:val="right"/>
              <w:ind w:right="188"/>
              <w:spacing w:after="0"/>
              <w:rPr>
                <w:sz w:val="20"/>
                <w:szCs w:val="20"/>
                <w:color w:val="auto"/>
              </w:rPr>
            </w:pPr>
            <w:r>
              <w:rPr>
                <w:rFonts w:ascii="Arial" w:cs="Arial" w:eastAsia="Arial" w:hAnsi="Arial"/>
                <w:sz w:val="14"/>
                <w:szCs w:val="14"/>
                <w:color w:val="auto"/>
              </w:rPr>
              <w:t>$262</w:t>
            </w:r>
          </w:p>
        </w:tc>
        <w:tc>
          <w:tcPr>
            <w:tcW w:w="3300" w:type="dxa"/>
            <w:vAlign w:val="bottom"/>
          </w:tcPr>
          <w:p>
            <w:pPr>
              <w:ind w:left="300"/>
              <w:spacing w:after="0"/>
              <w:rPr>
                <w:sz w:val="20"/>
                <w:szCs w:val="20"/>
                <w:color w:val="auto"/>
              </w:rPr>
            </w:pPr>
            <w:r>
              <w:rPr>
                <w:rFonts w:ascii="Arial" w:cs="Arial" w:eastAsia="Arial" w:hAnsi="Arial"/>
                <w:sz w:val="14"/>
                <w:szCs w:val="14"/>
                <w:color w:val="auto"/>
                <w:w w:val="99"/>
              </w:rPr>
              <w:t>2015/2016  •174 unit residential building opened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MD</w:t>
            </w:r>
          </w:p>
        </w:tc>
        <w:tc>
          <w:tcPr>
            <w:tcW w:w="2580" w:type="dxa"/>
            <w:vAlign w:val="bottom"/>
          </w:tcPr>
          <w:p>
            <w:pPr>
              <w:ind w:left="160"/>
              <w:spacing w:after="0" w:line="149" w:lineRule="exact"/>
              <w:rPr>
                <w:sz w:val="20"/>
                <w:szCs w:val="20"/>
                <w:color w:val="auto"/>
              </w:rPr>
            </w:pPr>
            <w:r>
              <w:rPr>
                <w:rFonts w:ascii="Arial" w:cs="Arial" w:eastAsia="Arial" w:hAnsi="Arial"/>
                <w:sz w:val="14"/>
                <w:szCs w:val="14"/>
                <w:color w:val="auto"/>
                <w:w w:val="95"/>
              </w:rPr>
              <w:t>157,000 square feet of retail, and 79,000</w:t>
            </w:r>
          </w:p>
        </w:tc>
        <w:tc>
          <w:tcPr>
            <w:tcW w:w="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300" w:type="dxa"/>
            <w:vAlign w:val="bottom"/>
          </w:tcPr>
          <w:p>
            <w:pPr>
              <w:ind w:left="1040"/>
              <w:spacing w:after="0" w:line="149" w:lineRule="exact"/>
              <w:rPr>
                <w:sz w:val="20"/>
                <w:szCs w:val="20"/>
                <w:color w:val="auto"/>
              </w:rPr>
            </w:pPr>
            <w:r>
              <w:rPr>
                <w:rFonts w:ascii="Arial" w:cs="Arial" w:eastAsia="Arial" w:hAnsi="Arial"/>
                <w:sz w:val="14"/>
                <w:szCs w:val="14"/>
                <w:color w:val="auto"/>
                <w:w w:val="92"/>
              </w:rPr>
              <w:t>late June 2014 and achieved stabilized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580" w:type="dxa"/>
            <w:vAlign w:val="bottom"/>
          </w:tcPr>
          <w:p>
            <w:pPr>
              <w:ind w:left="160"/>
              <w:spacing w:after="0" w:line="149" w:lineRule="exact"/>
              <w:rPr>
                <w:sz w:val="20"/>
                <w:szCs w:val="20"/>
                <w:color w:val="auto"/>
              </w:rPr>
            </w:pPr>
            <w:r>
              <w:rPr>
                <w:rFonts w:ascii="Arial" w:cs="Arial" w:eastAsia="Arial" w:hAnsi="Arial"/>
                <w:sz w:val="14"/>
                <w:szCs w:val="14"/>
                <w:color w:val="auto"/>
              </w:rPr>
              <w:t>square feet of office space.</w:t>
            </w:r>
          </w:p>
        </w:tc>
        <w:tc>
          <w:tcPr>
            <w:tcW w:w="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300" w:type="dxa"/>
            <w:vAlign w:val="bottom"/>
          </w:tcPr>
          <w:p>
            <w:pPr>
              <w:ind w:left="1040"/>
              <w:spacing w:after="0" w:line="149" w:lineRule="exact"/>
              <w:rPr>
                <w:sz w:val="20"/>
                <w:szCs w:val="20"/>
                <w:color w:val="auto"/>
              </w:rPr>
            </w:pPr>
            <w:r>
              <w:rPr>
                <w:rFonts w:ascii="Arial" w:cs="Arial" w:eastAsia="Arial" w:hAnsi="Arial"/>
                <w:sz w:val="14"/>
                <w:szCs w:val="14"/>
                <w:color w:val="auto"/>
              </w:rPr>
              <w:t>occupancy in Q1 2015.</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300" w:type="dxa"/>
            <w:vAlign w:val="bottom"/>
          </w:tcPr>
          <w:p>
            <w:pPr>
              <w:ind w:left="1040"/>
              <w:spacing w:after="0"/>
              <w:rPr>
                <w:sz w:val="20"/>
                <w:szCs w:val="20"/>
                <w:color w:val="auto"/>
              </w:rPr>
            </w:pPr>
            <w:r>
              <w:rPr>
                <w:rFonts w:ascii="Arial" w:cs="Arial" w:eastAsia="Arial" w:hAnsi="Arial"/>
                <w:sz w:val="14"/>
                <w:szCs w:val="14"/>
                <w:color w:val="auto"/>
              </w:rPr>
              <w:t>•142,000 sf of retail open as of</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246620" cy="1543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543685"/>
                    </a:xfrm>
                    <a:prstGeom prst="rect">
                      <a:avLst/>
                    </a:prstGeom>
                    <a:noFill/>
                  </pic:spPr>
                </pic:pic>
              </a:graphicData>
            </a:graphic>
          </wp:anchor>
        </w:drawing>
      </w:r>
    </w:p>
    <w:p>
      <w:pPr>
        <w:ind w:left="9160"/>
        <w:spacing w:after="0"/>
        <w:rPr>
          <w:sz w:val="20"/>
          <w:szCs w:val="20"/>
          <w:color w:val="auto"/>
        </w:rPr>
      </w:pPr>
      <w:r>
        <w:rPr>
          <w:rFonts w:ascii="Arial" w:cs="Arial" w:eastAsia="Arial" w:hAnsi="Arial"/>
          <w:sz w:val="13"/>
          <w:szCs w:val="13"/>
          <w:color w:val="auto"/>
        </w:rPr>
        <w:t>3/31/16; retail 94% leased. Remaining</w:t>
      </w:r>
    </w:p>
    <w:p>
      <w:pPr>
        <w:ind w:left="9160"/>
        <w:spacing w:after="0" w:line="221" w:lineRule="auto"/>
        <w:rPr>
          <w:sz w:val="20"/>
          <w:szCs w:val="20"/>
          <w:color w:val="auto"/>
        </w:rPr>
      </w:pPr>
      <w:r>
        <w:rPr>
          <w:rFonts w:ascii="Arial" w:cs="Arial" w:eastAsia="Arial" w:hAnsi="Arial"/>
          <w:sz w:val="14"/>
          <w:szCs w:val="14"/>
          <w:color w:val="auto"/>
        </w:rPr>
        <w:t>retail to open in Q2 2016.</w:t>
      </w:r>
    </w:p>
    <w:p>
      <w:pPr>
        <w:ind w:left="9160"/>
        <w:spacing w:after="0"/>
        <w:rPr>
          <w:sz w:val="20"/>
          <w:szCs w:val="20"/>
          <w:color w:val="auto"/>
        </w:rPr>
      </w:pPr>
      <w:r>
        <w:rPr>
          <w:rFonts w:ascii="Arial" w:cs="Arial" w:eastAsia="Arial" w:hAnsi="Arial"/>
          <w:sz w:val="13"/>
          <w:szCs w:val="13"/>
          <w:color w:val="auto"/>
        </w:rPr>
        <w:t>•55,000 sf of office space delivered as</w:t>
      </w:r>
    </w:p>
    <w:p>
      <w:pPr>
        <w:ind w:left="9160"/>
        <w:spacing w:after="0" w:line="221" w:lineRule="auto"/>
        <w:rPr>
          <w:sz w:val="20"/>
          <w:szCs w:val="20"/>
          <w:color w:val="auto"/>
        </w:rPr>
      </w:pPr>
      <w:r>
        <w:rPr>
          <w:rFonts w:ascii="Arial" w:cs="Arial" w:eastAsia="Arial" w:hAnsi="Arial"/>
          <w:sz w:val="14"/>
          <w:szCs w:val="14"/>
          <w:color w:val="auto"/>
        </w:rPr>
        <w:t>of 3/31/16; 100% leased.</w:t>
      </w:r>
    </w:p>
    <w:p>
      <w:pPr>
        <w:ind w:left="9160"/>
        <w:spacing w:after="0" w:line="221" w:lineRule="auto"/>
        <w:rPr>
          <w:sz w:val="20"/>
          <w:szCs w:val="20"/>
          <w:color w:val="auto"/>
        </w:rPr>
      </w:pPr>
      <w:r>
        <w:rPr>
          <w:rFonts w:ascii="Arial" w:cs="Arial" w:eastAsia="Arial" w:hAnsi="Arial"/>
          <w:sz w:val="14"/>
          <w:szCs w:val="14"/>
          <w:color w:val="auto"/>
        </w:rPr>
        <w:t>•319 unit residential building initially</w:t>
      </w:r>
    </w:p>
    <w:p>
      <w:pPr>
        <w:ind w:left="9160"/>
        <w:spacing w:after="0" w:line="222" w:lineRule="auto"/>
        <w:rPr>
          <w:sz w:val="20"/>
          <w:szCs w:val="20"/>
          <w:color w:val="auto"/>
        </w:rPr>
      </w:pPr>
      <w:r>
        <w:rPr>
          <w:rFonts w:ascii="Arial" w:cs="Arial" w:eastAsia="Arial" w:hAnsi="Arial"/>
          <w:sz w:val="14"/>
          <w:szCs w:val="14"/>
          <w:color w:val="auto"/>
        </w:rPr>
        <w:t>opened in July 2015 with delivery of</w:t>
      </w:r>
    </w:p>
    <w:p>
      <w:pPr>
        <w:ind w:left="9160"/>
        <w:spacing w:after="0" w:line="221" w:lineRule="auto"/>
        <w:rPr>
          <w:sz w:val="20"/>
          <w:szCs w:val="20"/>
          <w:color w:val="auto"/>
        </w:rPr>
      </w:pPr>
      <w:r>
        <w:rPr>
          <w:rFonts w:ascii="Arial" w:cs="Arial" w:eastAsia="Arial" w:hAnsi="Arial"/>
          <w:sz w:val="14"/>
          <w:szCs w:val="14"/>
          <w:color w:val="auto"/>
        </w:rPr>
        <w:t>units through Q2 2016. Expected to</w:t>
      </w:r>
    </w:p>
    <w:p>
      <w:pPr>
        <w:ind w:left="9160"/>
        <w:spacing w:after="0" w:line="222" w:lineRule="auto"/>
        <w:rPr>
          <w:sz w:val="20"/>
          <w:szCs w:val="20"/>
          <w:color w:val="auto"/>
        </w:rPr>
      </w:pPr>
      <w:r>
        <w:rPr>
          <w:rFonts w:ascii="Arial" w:cs="Arial" w:eastAsia="Arial" w:hAnsi="Arial"/>
          <w:sz w:val="14"/>
          <w:szCs w:val="14"/>
          <w:color w:val="auto"/>
        </w:rPr>
        <w:t>achieve stabilized occupancy in Q4</w:t>
      </w:r>
    </w:p>
    <w:p>
      <w:pPr>
        <w:ind w:left="9160"/>
        <w:spacing w:after="0"/>
        <w:rPr>
          <w:sz w:val="20"/>
          <w:szCs w:val="20"/>
          <w:color w:val="auto"/>
        </w:rPr>
      </w:pPr>
      <w:r>
        <w:rPr>
          <w:rFonts w:ascii="Arial" w:cs="Arial" w:eastAsia="Arial" w:hAnsi="Arial"/>
          <w:sz w:val="14"/>
          <w:szCs w:val="14"/>
          <w:color w:val="auto"/>
        </w:rPr>
        <w:t>2016.</w:t>
      </w:r>
    </w:p>
    <w:p>
      <w:pPr>
        <w:sectPr>
          <w:pgSz w:w="11900" w:h="16838" w:orient="portrait"/>
          <w:cols w:equalWidth="0" w:num="1">
            <w:col w:w="11420"/>
          </w:cols>
          <w:pgMar w:left="240" w:top="760" w:right="2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tabs>
          <w:tab w:leader="none" w:pos="2760" w:val="left"/>
        </w:tabs>
        <w:rPr>
          <w:sz w:val="20"/>
          <w:szCs w:val="20"/>
          <w:color w:val="auto"/>
        </w:rPr>
      </w:pPr>
      <w:r>
        <w:rPr>
          <w:rFonts w:ascii="Arial" w:cs="Arial" w:eastAsia="Arial" w:hAnsi="Arial"/>
          <w:sz w:val="14"/>
          <w:szCs w:val="14"/>
          <w:color w:val="auto"/>
        </w:rPr>
        <w:t>Assembly Row - Phase I Somerville, MA</w:t>
      </w:r>
      <w:r>
        <w:rPr>
          <w:sz w:val="20"/>
          <w:szCs w:val="20"/>
          <w:color w:val="auto"/>
        </w:rPr>
        <w:tab/>
      </w:r>
      <w:r>
        <w:rPr>
          <w:rFonts w:ascii="Arial" w:cs="Arial" w:eastAsia="Arial" w:hAnsi="Arial"/>
          <w:sz w:val="13"/>
          <w:szCs w:val="13"/>
          <w:color w:val="auto"/>
        </w:rPr>
        <w:t>Initial phase consists of 445 residential</w:t>
      </w:r>
    </w:p>
    <w:p>
      <w:pPr>
        <w:ind w:left="2780"/>
        <w:spacing w:after="0" w:line="221" w:lineRule="auto"/>
        <w:rPr>
          <w:sz w:val="20"/>
          <w:szCs w:val="20"/>
          <w:color w:val="auto"/>
        </w:rPr>
      </w:pPr>
      <w:r>
        <w:rPr>
          <w:rFonts w:ascii="Arial" w:cs="Arial" w:eastAsia="Arial" w:hAnsi="Arial"/>
          <w:sz w:val="14"/>
          <w:szCs w:val="14"/>
          <w:color w:val="auto"/>
        </w:rPr>
        <w:t>units (by AvalonBay), in addition to</w:t>
      </w:r>
    </w:p>
    <w:p>
      <w:pPr>
        <w:ind w:left="2780"/>
        <w:spacing w:after="0" w:line="221" w:lineRule="auto"/>
        <w:rPr>
          <w:sz w:val="20"/>
          <w:szCs w:val="20"/>
          <w:color w:val="auto"/>
        </w:rPr>
      </w:pPr>
      <w:r>
        <w:rPr>
          <w:rFonts w:ascii="Arial" w:cs="Arial" w:eastAsia="Arial" w:hAnsi="Arial"/>
          <w:sz w:val="14"/>
          <w:szCs w:val="14"/>
          <w:color w:val="auto"/>
        </w:rPr>
        <w:t>98,000 square feet of office space and</w:t>
      </w:r>
    </w:p>
    <w:p>
      <w:pPr>
        <w:ind w:left="2780"/>
        <w:spacing w:after="0" w:line="222" w:lineRule="auto"/>
        <w:rPr>
          <w:sz w:val="20"/>
          <w:szCs w:val="20"/>
          <w:color w:val="auto"/>
        </w:rPr>
      </w:pPr>
      <w:r>
        <w:rPr>
          <w:rFonts w:ascii="Arial" w:cs="Arial" w:eastAsia="Arial" w:hAnsi="Arial"/>
          <w:sz w:val="14"/>
          <w:szCs w:val="14"/>
          <w:color w:val="auto"/>
        </w:rPr>
        <w:t>approximately 331,000 square feet of</w:t>
      </w:r>
    </w:p>
    <w:p>
      <w:pPr>
        <w:ind w:left="2780"/>
        <w:spacing w:after="0" w:line="221" w:lineRule="auto"/>
        <w:rPr>
          <w:sz w:val="20"/>
          <w:szCs w:val="20"/>
          <w:color w:val="auto"/>
        </w:rPr>
      </w:pPr>
      <w:r>
        <w:rPr>
          <w:rFonts w:ascii="Arial" w:cs="Arial" w:eastAsia="Arial" w:hAnsi="Arial"/>
          <w:sz w:val="14"/>
          <w:szCs w:val="14"/>
          <w:color w:val="auto"/>
        </w:rPr>
        <w:t>retail space (including a restaurant pad</w:t>
      </w:r>
    </w:p>
    <w:p>
      <w:pPr>
        <w:spacing w:after="0" w:line="1" w:lineRule="exact"/>
        <w:rPr>
          <w:sz w:val="20"/>
          <w:szCs w:val="20"/>
          <w:color w:val="auto"/>
        </w:rPr>
      </w:pPr>
    </w:p>
    <w:p>
      <w:pPr>
        <w:ind w:left="2780"/>
        <w:spacing w:after="0"/>
        <w:rPr>
          <w:sz w:val="20"/>
          <w:szCs w:val="20"/>
          <w:color w:val="auto"/>
        </w:rPr>
      </w:pPr>
      <w:r>
        <w:rPr>
          <w:rFonts w:ascii="Arial" w:cs="Arial" w:eastAsia="Arial" w:hAnsi="Arial"/>
          <w:sz w:val="12"/>
          <w:szCs w:val="12"/>
          <w:color w:val="auto"/>
        </w:rPr>
        <w:t>site). A new Orange Line T-Stop has been</w:t>
      </w:r>
    </w:p>
    <w:p>
      <w:pPr>
        <w:spacing w:after="0" w:line="11" w:lineRule="exact"/>
        <w:rPr>
          <w:sz w:val="20"/>
          <w:szCs w:val="20"/>
          <w:color w:val="auto"/>
        </w:rPr>
      </w:pPr>
    </w:p>
    <w:p>
      <w:pPr>
        <w:ind w:left="2780"/>
        <w:spacing w:after="0"/>
        <w:rPr>
          <w:sz w:val="20"/>
          <w:szCs w:val="20"/>
          <w:color w:val="auto"/>
        </w:rPr>
      </w:pPr>
      <w:r>
        <w:rPr>
          <w:rFonts w:ascii="Arial" w:cs="Arial" w:eastAsia="Arial" w:hAnsi="Arial"/>
          <w:sz w:val="12"/>
          <w:szCs w:val="12"/>
          <w:color w:val="auto"/>
        </w:rPr>
        <w:t>constructed by Massachusetts Bay Transit</w:t>
      </w:r>
    </w:p>
    <w:p>
      <w:pPr>
        <w:spacing w:after="0" w:line="11" w:lineRule="exact"/>
        <w:rPr>
          <w:sz w:val="20"/>
          <w:szCs w:val="20"/>
          <w:color w:val="auto"/>
        </w:rPr>
      </w:pPr>
    </w:p>
    <w:p>
      <w:pPr>
        <w:ind w:left="2780"/>
        <w:spacing w:after="0"/>
        <w:rPr>
          <w:sz w:val="20"/>
          <w:szCs w:val="20"/>
          <w:color w:val="auto"/>
        </w:rPr>
      </w:pPr>
      <w:r>
        <w:rPr>
          <w:rFonts w:ascii="Arial" w:cs="Arial" w:eastAsia="Arial" w:hAnsi="Arial"/>
          <w:sz w:val="14"/>
          <w:szCs w:val="14"/>
          <w:color w:val="auto"/>
        </w:rPr>
        <w:t>Authority, as part of Phase I.</w:t>
      </w:r>
    </w:p>
    <w:p>
      <w:pPr>
        <w:spacing w:after="0" w:line="26" w:lineRule="exact"/>
        <w:rPr>
          <w:sz w:val="20"/>
          <w:szCs w:val="20"/>
          <w:color w:val="auto"/>
        </w:rPr>
      </w:pPr>
    </w:p>
    <w:p>
      <w:pPr>
        <w:ind w:left="2780"/>
        <w:spacing w:after="0"/>
        <w:rPr>
          <w:sz w:val="20"/>
          <w:szCs w:val="20"/>
          <w:color w:val="auto"/>
        </w:rPr>
      </w:pPr>
      <w:r>
        <w:rPr>
          <w:rFonts w:ascii="Arial" w:cs="Arial" w:eastAsia="Arial" w:hAnsi="Arial"/>
          <w:sz w:val="14"/>
          <w:szCs w:val="14"/>
          <w:b w:val="1"/>
          <w:bCs w:val="1"/>
          <w:color w:val="auto"/>
        </w:rPr>
        <w:t>Total Phases delivered or delivering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1" w:lineRule="exact"/>
        <w:rPr>
          <w:sz w:val="20"/>
          <w:szCs w:val="20"/>
          <w:color w:val="auto"/>
        </w:rPr>
      </w:pPr>
    </w:p>
    <w:p>
      <w:pPr>
        <w:ind w:left="620" w:right="200" w:hanging="3830"/>
        <w:spacing w:after="0"/>
        <w:tabs>
          <w:tab w:leader="none" w:pos="600" w:val="left"/>
        </w:tabs>
        <w:rPr>
          <w:sz w:val="20"/>
          <w:szCs w:val="20"/>
          <w:color w:val="auto"/>
        </w:rPr>
      </w:pPr>
      <w:r>
        <w:rPr>
          <w:rFonts w:ascii="Arial" w:cs="Arial" w:eastAsia="Arial" w:hAnsi="Arial"/>
          <w:sz w:val="14"/>
          <w:szCs w:val="14"/>
          <w:color w:val="auto"/>
        </w:rPr>
        <w:t>5% - 6%</w:t>
      </w:r>
      <w:r>
        <w:rPr>
          <w:sz w:val="20"/>
          <w:szCs w:val="20"/>
          <w:color w:val="auto"/>
        </w:rPr>
        <w:tab/>
      </w:r>
      <w:r>
        <w:rPr>
          <w:rFonts w:ascii="Arial" w:cs="Arial" w:eastAsia="Arial" w:hAnsi="Arial"/>
          <w:sz w:val="14"/>
          <w:szCs w:val="14"/>
          <w:b w:val="1"/>
          <w:bCs w:val="1"/>
          <w:color w:val="auto"/>
        </w:rPr>
        <w:t xml:space="preserve">(5) </w:t>
      </w:r>
      <w:r>
        <w:rPr>
          <w:rFonts w:ascii="Arial" w:cs="Arial" w:eastAsia="Arial" w:hAnsi="Arial"/>
          <w:sz w:val="14"/>
          <w:szCs w:val="14"/>
          <w:color w:val="auto"/>
        </w:rPr>
        <w:t>$196 $195</w:t>
      </w:r>
      <w:r>
        <w:rPr>
          <w:rFonts w:ascii="Arial" w:cs="Arial" w:eastAsia="Arial" w:hAnsi="Arial"/>
          <w:sz w:val="14"/>
          <w:szCs w:val="14"/>
          <w:b w:val="1"/>
          <w:bCs w:val="1"/>
          <w:color w:val="auto"/>
        </w:rPr>
        <w:t xml:space="preserve"> (5) </w:t>
      </w:r>
      <w:r>
        <w:rPr>
          <w:rFonts w:ascii="Arial" w:cs="Arial" w:eastAsia="Arial" w:hAnsi="Arial"/>
          <w:sz w:val="14"/>
          <w:szCs w:val="14"/>
          <w:color w:val="auto"/>
        </w:rPr>
        <w:t>2015/2016 •Project is 99% occupied and 100%</w:t>
      </w:r>
      <w:r>
        <w:rPr>
          <w:rFonts w:ascii="Arial" w:cs="Arial" w:eastAsia="Arial" w:hAnsi="Arial"/>
          <w:sz w:val="14"/>
          <w:szCs w:val="14"/>
          <w:b w:val="1"/>
          <w:bCs w:val="1"/>
          <w:color w:val="auto"/>
        </w:rPr>
        <w:t xml:space="preserve"> </w:t>
      </w:r>
      <w:r>
        <w:rPr>
          <w:rFonts w:ascii="Arial" w:cs="Arial" w:eastAsia="Arial" w:hAnsi="Arial"/>
          <w:sz w:val="14"/>
          <w:szCs w:val="14"/>
          <w:color w:val="auto"/>
        </w:rPr>
        <w:t>leased</w:t>
      </w:r>
    </w:p>
    <w:p>
      <w:pPr>
        <w:spacing w:after="0" w:line="131"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•T Station opened in September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485140</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0"/>
        <w:spacing w:after="0"/>
        <w:tabs>
          <w:tab w:leader="none" w:pos="840" w:val="left"/>
          <w:tab w:leader="none" w:pos="2200" w:val="left"/>
        </w:tabs>
        <w:rPr>
          <w:sz w:val="20"/>
          <w:szCs w:val="20"/>
          <w:color w:val="auto"/>
        </w:rPr>
      </w:pPr>
      <w:r>
        <w:rPr>
          <w:rFonts w:ascii="Arial" w:cs="Arial" w:eastAsia="Arial" w:hAnsi="Arial"/>
          <w:sz w:val="14"/>
          <w:szCs w:val="14"/>
          <w:b w:val="1"/>
          <w:bCs w:val="1"/>
          <w:color w:val="auto"/>
        </w:rPr>
        <w:t>6 - 7%</w:t>
      </w:r>
      <w:r>
        <w:rPr>
          <w:sz w:val="20"/>
          <w:szCs w:val="20"/>
          <w:color w:val="auto"/>
        </w:rPr>
        <w:tab/>
      </w:r>
      <w:r>
        <w:rPr>
          <w:rFonts w:ascii="Arial" w:cs="Arial" w:eastAsia="Arial" w:hAnsi="Arial"/>
          <w:sz w:val="14"/>
          <w:szCs w:val="14"/>
          <w:b w:val="1"/>
          <w:bCs w:val="1"/>
          <w:color w:val="auto"/>
        </w:rPr>
        <w:t>$461 - $466</w:t>
      </w:r>
      <w:r>
        <w:rPr>
          <w:sz w:val="20"/>
          <w:szCs w:val="20"/>
          <w:color w:val="auto"/>
        </w:rPr>
        <w:tab/>
      </w:r>
      <w:r>
        <w:rPr>
          <w:rFonts w:ascii="Arial" w:cs="Arial" w:eastAsia="Arial" w:hAnsi="Arial"/>
          <w:sz w:val="13"/>
          <w:szCs w:val="13"/>
          <w:b w:val="1"/>
          <w:bCs w:val="1"/>
          <w:color w:val="auto"/>
        </w:rPr>
        <w:t>$457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186690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66675</wp:posOffset>
            </wp:positionV>
            <wp:extent cx="17240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00" w:space="140"/>
            <w:col w:w="6080"/>
          </w:cols>
          <w:pgMar w:left="240" w:top="760" w:right="239" w:bottom="1440" w:gutter="0" w:footer="0" w:header="0"/>
          <w:type w:val="continuous"/>
        </w:sectPr>
      </w:pPr>
    </w:p>
    <w:p>
      <w:pPr>
        <w:spacing w:after="0" w:line="98"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Phases under construction</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7"/>
              </w:rPr>
              <w:t>Pike &amp; Rose - Phase II</w:t>
            </w:r>
          </w:p>
        </w:tc>
        <w:tc>
          <w:tcPr>
            <w:tcW w:w="1180" w:type="dxa"/>
            <w:vAlign w:val="bottom"/>
            <w:shd w:val="clear" w:color="auto" w:fill="CCEEFF"/>
          </w:tcPr>
          <w:p>
            <w:pPr>
              <w:ind w:left="80"/>
              <w:spacing w:after="0"/>
              <w:rPr>
                <w:sz w:val="20"/>
                <w:szCs w:val="20"/>
                <w:color w:val="auto"/>
              </w:rPr>
            </w:pPr>
            <w:r>
              <w:rPr>
                <w:rFonts w:ascii="Arial" w:cs="Arial" w:eastAsia="Arial" w:hAnsi="Arial"/>
                <w:sz w:val="14"/>
                <w:szCs w:val="14"/>
                <w:color w:val="auto"/>
              </w:rPr>
              <w:t>North Bethesda,</w:t>
            </w:r>
          </w:p>
        </w:tc>
        <w:tc>
          <w:tcPr>
            <w:tcW w:w="26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1"/>
              </w:rPr>
              <w:t>Ground up mixed use development. Phase</w:t>
            </w:r>
          </w:p>
        </w:tc>
        <w:tc>
          <w:tcPr>
            <w:tcW w:w="5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8"/>
              </w:rPr>
              <w:t>7%</w:t>
            </w:r>
          </w:p>
        </w:tc>
        <w:tc>
          <w:tcPr>
            <w:tcW w:w="3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$207</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2018/2019</w:t>
            </w:r>
          </w:p>
        </w:tc>
        <w:tc>
          <w:tcPr>
            <w:tcW w:w="2320" w:type="dxa"/>
            <w:vAlign w:val="bottom"/>
            <w:shd w:val="clear" w:color="auto" w:fill="CCEEFF"/>
          </w:tcPr>
          <w:p>
            <w:pPr>
              <w:ind w:left="60"/>
              <w:spacing w:after="0"/>
              <w:rPr>
                <w:sz w:val="20"/>
                <w:szCs w:val="20"/>
                <w:color w:val="auto"/>
              </w:rPr>
            </w:pPr>
            <w:r>
              <w:rPr>
                <w:rFonts w:ascii="Arial" w:cs="Arial" w:eastAsia="Arial" w:hAnsi="Arial"/>
                <w:sz w:val="14"/>
                <w:szCs w:val="14"/>
                <w:color w:val="auto"/>
              </w:rPr>
              <w:t>Projected opening - late 2017/2018</w:t>
            </w:r>
          </w:p>
        </w:tc>
      </w:tr>
      <w:tr>
        <w:trPr>
          <w:trHeight w:val="149"/>
        </w:trPr>
        <w:tc>
          <w:tcPr>
            <w:tcW w:w="1440" w:type="dxa"/>
            <w:vAlign w:val="bottom"/>
            <w:shd w:val="clear" w:color="auto" w:fill="CCEEFF"/>
          </w:tcPr>
          <w:p>
            <w:pPr>
              <w:spacing w:after="0"/>
              <w:rPr>
                <w:sz w:val="12"/>
                <w:szCs w:val="12"/>
                <w:color w:val="auto"/>
              </w:rPr>
            </w:pPr>
          </w:p>
        </w:tc>
        <w:tc>
          <w:tcPr>
            <w:tcW w:w="11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MD</w:t>
            </w:r>
          </w:p>
        </w:tc>
        <w:tc>
          <w:tcPr>
            <w:tcW w:w="26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3"/>
              </w:rPr>
              <w:t>II consists of 190,000 square feet of retail,</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r>
      <w:tr>
        <w:trPr>
          <w:trHeight w:val="149"/>
        </w:trPr>
        <w:tc>
          <w:tcPr>
            <w:tcW w:w="14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6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272 residential units, and a 177 room</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r>
      <w:tr>
        <w:trPr>
          <w:trHeight w:val="149"/>
        </w:trPr>
        <w:tc>
          <w:tcPr>
            <w:tcW w:w="14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6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8"/>
              </w:rPr>
              <w:t>hotel. Added pre-leased auto dealership</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r>
      <w:tr>
        <w:trPr>
          <w:trHeight w:val="194"/>
        </w:trPr>
        <w:tc>
          <w:tcPr>
            <w:tcW w:w="14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building.</w:t>
            </w:r>
          </w:p>
        </w:tc>
        <w:tc>
          <w:tcPr>
            <w:tcW w:w="5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r>
      <w:tr>
        <w:trPr>
          <w:trHeight w:val="157"/>
        </w:trPr>
        <w:tc>
          <w:tcPr>
            <w:tcW w:w="1440" w:type="dxa"/>
            <w:vAlign w:val="bottom"/>
          </w:tcPr>
          <w:p>
            <w:pPr>
              <w:spacing w:after="0"/>
              <w:rPr>
                <w:sz w:val="13"/>
                <w:szCs w:val="13"/>
                <w:color w:val="auto"/>
              </w:rPr>
            </w:pPr>
          </w:p>
        </w:tc>
        <w:tc>
          <w:tcPr>
            <w:tcW w:w="1180" w:type="dxa"/>
            <w:vAlign w:val="bottom"/>
          </w:tcPr>
          <w:p>
            <w:pPr>
              <w:ind w:left="80"/>
              <w:spacing w:after="0" w:line="157" w:lineRule="exact"/>
              <w:rPr>
                <w:sz w:val="20"/>
                <w:szCs w:val="20"/>
                <w:color w:val="auto"/>
              </w:rPr>
            </w:pPr>
            <w:r>
              <w:rPr>
                <w:rFonts w:ascii="Arial" w:cs="Arial" w:eastAsia="Arial" w:hAnsi="Arial"/>
                <w:sz w:val="14"/>
                <w:szCs w:val="14"/>
                <w:color w:val="auto"/>
              </w:rPr>
              <w:t>North Bethesda,</w:t>
            </w:r>
          </w:p>
        </w:tc>
        <w:tc>
          <w:tcPr>
            <w:tcW w:w="2620" w:type="dxa"/>
            <w:vAlign w:val="bottom"/>
          </w:tcPr>
          <w:p>
            <w:pPr>
              <w:ind w:left="160"/>
              <w:spacing w:after="0" w:line="157" w:lineRule="exact"/>
              <w:rPr>
                <w:sz w:val="20"/>
                <w:szCs w:val="20"/>
                <w:color w:val="auto"/>
              </w:rPr>
            </w:pPr>
            <w:r>
              <w:rPr>
                <w:rFonts w:ascii="Arial" w:cs="Arial" w:eastAsia="Arial" w:hAnsi="Arial"/>
                <w:sz w:val="14"/>
                <w:szCs w:val="14"/>
                <w:color w:val="auto"/>
              </w:rPr>
              <w:t>104 for-sale condominium units</w:t>
            </w:r>
          </w:p>
        </w:tc>
        <w:tc>
          <w:tcPr>
            <w:tcW w:w="580" w:type="dxa"/>
            <w:vAlign w:val="bottom"/>
          </w:tcPr>
          <w:p>
            <w:pPr>
              <w:jc w:val="center"/>
              <w:ind w:left="28"/>
              <w:spacing w:after="0" w:line="157" w:lineRule="exact"/>
              <w:rPr>
                <w:sz w:val="20"/>
                <w:szCs w:val="20"/>
                <w:color w:val="auto"/>
              </w:rPr>
            </w:pPr>
            <w:r>
              <w:rPr>
                <w:rFonts w:ascii="Arial" w:cs="Arial" w:eastAsia="Arial" w:hAnsi="Arial"/>
                <w:sz w:val="14"/>
                <w:szCs w:val="14"/>
                <w:color w:val="auto"/>
                <w:w w:val="84"/>
              </w:rPr>
              <w:t>-</w:t>
            </w:r>
          </w:p>
        </w:tc>
        <w:tc>
          <w:tcPr>
            <w:tcW w:w="340" w:type="dxa"/>
            <w:vAlign w:val="bottom"/>
          </w:tcPr>
          <w:p>
            <w:pPr>
              <w:spacing w:after="0"/>
              <w:rPr>
                <w:sz w:val="13"/>
                <w:szCs w:val="13"/>
                <w:color w:val="auto"/>
              </w:rPr>
            </w:pPr>
          </w:p>
        </w:tc>
        <w:tc>
          <w:tcPr>
            <w:tcW w:w="340" w:type="dxa"/>
            <w:vAlign w:val="bottom"/>
          </w:tcPr>
          <w:p>
            <w:pPr>
              <w:jc w:val="right"/>
              <w:spacing w:after="0" w:line="157" w:lineRule="exact"/>
              <w:rPr>
                <w:sz w:val="20"/>
                <w:szCs w:val="20"/>
                <w:color w:val="auto"/>
              </w:rPr>
            </w:pPr>
            <w:r>
              <w:rPr>
                <w:rFonts w:ascii="Arial" w:cs="Arial" w:eastAsia="Arial" w:hAnsi="Arial"/>
                <w:sz w:val="14"/>
                <w:szCs w:val="14"/>
                <w:color w:val="auto"/>
              </w:rPr>
              <w:t>$53</w:t>
            </w:r>
          </w:p>
        </w:tc>
        <w:tc>
          <w:tcPr>
            <w:tcW w:w="740" w:type="dxa"/>
            <w:vAlign w:val="bottom"/>
          </w:tcPr>
          <w:p>
            <w:pPr>
              <w:ind w:left="20"/>
              <w:spacing w:after="0" w:line="157" w:lineRule="exact"/>
              <w:rPr>
                <w:sz w:val="20"/>
                <w:szCs w:val="20"/>
                <w:color w:val="auto"/>
              </w:rPr>
            </w:pPr>
            <w:r>
              <w:rPr>
                <w:rFonts w:ascii="Arial" w:cs="Arial" w:eastAsia="Arial" w:hAnsi="Arial"/>
                <w:sz w:val="14"/>
                <w:szCs w:val="14"/>
                <w:color w:val="auto"/>
              </w:rPr>
              <w:t>- $58</w:t>
            </w:r>
          </w:p>
        </w:tc>
        <w:tc>
          <w:tcPr>
            <w:tcW w:w="72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$12</w:t>
            </w:r>
          </w:p>
        </w:tc>
        <w:tc>
          <w:tcPr>
            <w:tcW w:w="114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88"/>
        </w:trPr>
        <w:tc>
          <w:tcPr>
            <w:tcW w:w="1440" w:type="dxa"/>
            <w:vAlign w:val="bottom"/>
          </w:tcPr>
          <w:p>
            <w:pPr>
              <w:spacing w:after="0"/>
              <w:rPr>
                <w:sz w:val="16"/>
                <w:szCs w:val="16"/>
                <w:color w:val="auto"/>
              </w:rPr>
            </w:pPr>
          </w:p>
        </w:tc>
        <w:tc>
          <w:tcPr>
            <w:tcW w:w="1180" w:type="dxa"/>
            <w:vAlign w:val="bottom"/>
          </w:tcPr>
          <w:p>
            <w:pPr>
              <w:ind w:left="80"/>
              <w:spacing w:after="0"/>
              <w:rPr>
                <w:sz w:val="20"/>
                <w:szCs w:val="20"/>
                <w:color w:val="auto"/>
              </w:rPr>
            </w:pPr>
            <w:r>
              <w:rPr>
                <w:rFonts w:ascii="Arial" w:cs="Arial" w:eastAsia="Arial" w:hAnsi="Arial"/>
                <w:sz w:val="14"/>
                <w:szCs w:val="14"/>
                <w:color w:val="auto"/>
              </w:rPr>
              <w:t>MD</w:t>
            </w:r>
          </w:p>
        </w:tc>
        <w:tc>
          <w:tcPr>
            <w:tcW w:w="2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163"/>
        </w:trPr>
        <w:tc>
          <w:tcPr>
            <w:tcW w:w="14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Assembly Row - Phase</w:t>
            </w:r>
          </w:p>
        </w:tc>
        <w:tc>
          <w:tcPr>
            <w:tcW w:w="1180" w:type="dxa"/>
            <w:vAlign w:val="bottom"/>
            <w:shd w:val="clear" w:color="auto" w:fill="CCEEFF"/>
          </w:tcPr>
          <w:p>
            <w:pPr>
              <w:ind w:left="80"/>
              <w:spacing w:after="0"/>
              <w:rPr>
                <w:sz w:val="20"/>
                <w:szCs w:val="20"/>
                <w:color w:val="auto"/>
              </w:rPr>
            </w:pPr>
            <w:r>
              <w:rPr>
                <w:rFonts w:ascii="Arial" w:cs="Arial" w:eastAsia="Arial" w:hAnsi="Arial"/>
                <w:sz w:val="14"/>
                <w:szCs w:val="14"/>
                <w:color w:val="auto"/>
              </w:rPr>
              <w:t>Somerville, MA</w:t>
            </w:r>
          </w:p>
        </w:tc>
        <w:tc>
          <w:tcPr>
            <w:tcW w:w="26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4"/>
              </w:rPr>
              <w:t>Second phase of development consists of</w:t>
            </w:r>
          </w:p>
        </w:tc>
        <w:tc>
          <w:tcPr>
            <w:tcW w:w="58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8"/>
              </w:rPr>
              <w:t>7%</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 $285</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2018/2019</w:t>
            </w:r>
          </w:p>
        </w:tc>
        <w:tc>
          <w:tcPr>
            <w:tcW w:w="2320" w:type="dxa"/>
            <w:vAlign w:val="bottom"/>
            <w:shd w:val="clear" w:color="auto" w:fill="CCEEFF"/>
          </w:tcPr>
          <w:p>
            <w:pPr>
              <w:ind w:left="60"/>
              <w:spacing w:after="0"/>
              <w:rPr>
                <w:sz w:val="20"/>
                <w:szCs w:val="20"/>
                <w:color w:val="auto"/>
              </w:rPr>
            </w:pPr>
            <w:r>
              <w:rPr>
                <w:rFonts w:ascii="Arial" w:cs="Arial" w:eastAsia="Arial" w:hAnsi="Arial"/>
                <w:sz w:val="14"/>
                <w:szCs w:val="14"/>
                <w:color w:val="auto"/>
              </w:rPr>
              <w:t>Projected opening - late 2017/2018</w:t>
            </w:r>
          </w:p>
        </w:tc>
      </w:tr>
      <w:tr>
        <w:trPr>
          <w:trHeight w:val="149"/>
        </w:trPr>
        <w:tc>
          <w:tcPr>
            <w:tcW w:w="14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II</w:t>
            </w:r>
          </w:p>
        </w:tc>
        <w:tc>
          <w:tcPr>
            <w:tcW w:w="1180" w:type="dxa"/>
            <w:vAlign w:val="bottom"/>
            <w:shd w:val="clear" w:color="auto" w:fill="CCEEFF"/>
          </w:tcPr>
          <w:p>
            <w:pPr>
              <w:spacing w:after="0"/>
              <w:rPr>
                <w:sz w:val="12"/>
                <w:szCs w:val="12"/>
                <w:color w:val="auto"/>
              </w:rPr>
            </w:pPr>
          </w:p>
        </w:tc>
        <w:tc>
          <w:tcPr>
            <w:tcW w:w="26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167,000 square feet of retail, 447</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r>
      <w:tr>
        <w:trPr>
          <w:trHeight w:val="149"/>
        </w:trPr>
        <w:tc>
          <w:tcPr>
            <w:tcW w:w="14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6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w w:val="93"/>
              </w:rPr>
              <w:t>residential units, and a 160 room boutique</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r>
      <w:tr>
        <w:trPr>
          <w:trHeight w:val="149"/>
        </w:trPr>
        <w:tc>
          <w:tcPr>
            <w:tcW w:w="14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6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hotel. Additionally, there will be</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r>
      <w:tr>
        <w:trPr>
          <w:trHeight w:val="149"/>
        </w:trPr>
        <w:tc>
          <w:tcPr>
            <w:tcW w:w="14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6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approximately 700,000 square feet of</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r>
      <w:tr>
        <w:trPr>
          <w:trHeight w:val="149"/>
        </w:trPr>
        <w:tc>
          <w:tcPr>
            <w:tcW w:w="14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6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office space constructed by Partners</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r>
      <w:tr>
        <w:trPr>
          <w:trHeight w:val="194"/>
        </w:trPr>
        <w:tc>
          <w:tcPr>
            <w:tcW w:w="14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HealthCare.</w:t>
            </w:r>
          </w:p>
        </w:tc>
        <w:tc>
          <w:tcPr>
            <w:tcW w:w="5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r>
      <w:tr>
        <w:trPr>
          <w:trHeight w:val="191"/>
        </w:trPr>
        <w:tc>
          <w:tcPr>
            <w:tcW w:w="1440" w:type="dxa"/>
            <w:vAlign w:val="bottom"/>
          </w:tcPr>
          <w:p>
            <w:pPr>
              <w:spacing w:after="0"/>
              <w:rPr>
                <w:sz w:val="16"/>
                <w:szCs w:val="16"/>
                <w:color w:val="auto"/>
              </w:rPr>
            </w:pPr>
          </w:p>
        </w:tc>
        <w:tc>
          <w:tcPr>
            <w:tcW w:w="1180" w:type="dxa"/>
            <w:vAlign w:val="bottom"/>
          </w:tcPr>
          <w:p>
            <w:pPr>
              <w:ind w:left="80"/>
              <w:spacing w:after="0"/>
              <w:rPr>
                <w:sz w:val="20"/>
                <w:szCs w:val="20"/>
                <w:color w:val="auto"/>
              </w:rPr>
            </w:pPr>
            <w:r>
              <w:rPr>
                <w:rFonts w:ascii="Arial" w:cs="Arial" w:eastAsia="Arial" w:hAnsi="Arial"/>
                <w:sz w:val="14"/>
                <w:szCs w:val="14"/>
                <w:color w:val="auto"/>
              </w:rPr>
              <w:t>Somerville, MA</w:t>
            </w:r>
          </w:p>
        </w:tc>
        <w:tc>
          <w:tcPr>
            <w:tcW w:w="2620" w:type="dxa"/>
            <w:vAlign w:val="bottom"/>
          </w:tcPr>
          <w:p>
            <w:pPr>
              <w:ind w:left="160"/>
              <w:spacing w:after="0"/>
              <w:rPr>
                <w:sz w:val="20"/>
                <w:szCs w:val="20"/>
                <w:color w:val="auto"/>
              </w:rPr>
            </w:pPr>
            <w:r>
              <w:rPr>
                <w:rFonts w:ascii="Arial" w:cs="Arial" w:eastAsia="Arial" w:hAnsi="Arial"/>
                <w:sz w:val="14"/>
                <w:szCs w:val="14"/>
                <w:color w:val="auto"/>
              </w:rPr>
              <w:t>134 for-sale condominium units</w:t>
            </w:r>
          </w:p>
        </w:tc>
        <w:tc>
          <w:tcPr>
            <w:tcW w:w="580" w:type="dxa"/>
            <w:vAlign w:val="bottom"/>
          </w:tcPr>
          <w:p>
            <w:pPr>
              <w:jc w:val="center"/>
              <w:ind w:left="28"/>
              <w:spacing w:after="0"/>
              <w:rPr>
                <w:sz w:val="20"/>
                <w:szCs w:val="20"/>
                <w:color w:val="auto"/>
              </w:rPr>
            </w:pPr>
            <w:r>
              <w:rPr>
                <w:rFonts w:ascii="Arial" w:cs="Arial" w:eastAsia="Arial" w:hAnsi="Arial"/>
                <w:sz w:val="14"/>
                <w:szCs w:val="14"/>
                <w:b w:val="1"/>
                <w:bCs w:val="1"/>
                <w:color w:val="auto"/>
                <w:w w:val="84"/>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340" w:type="dxa"/>
            <w:vAlign w:val="bottom"/>
          </w:tcPr>
          <w:p>
            <w:pPr>
              <w:jc w:val="right"/>
              <w:spacing w:after="0"/>
              <w:rPr>
                <w:sz w:val="20"/>
                <w:szCs w:val="20"/>
                <w:color w:val="auto"/>
              </w:rPr>
            </w:pPr>
            <w:r>
              <w:rPr>
                <w:rFonts w:ascii="Arial" w:cs="Arial" w:eastAsia="Arial" w:hAnsi="Arial"/>
                <w:sz w:val="14"/>
                <w:szCs w:val="14"/>
                <w:color w:val="auto"/>
              </w:rPr>
              <w:t>$70</w:t>
            </w:r>
          </w:p>
        </w:tc>
        <w:tc>
          <w:tcPr>
            <w:tcW w:w="740" w:type="dxa"/>
            <w:vAlign w:val="bottom"/>
          </w:tcPr>
          <w:p>
            <w:pPr>
              <w:ind w:left="20"/>
              <w:spacing w:after="0"/>
              <w:rPr>
                <w:sz w:val="20"/>
                <w:szCs w:val="20"/>
                <w:color w:val="auto"/>
              </w:rPr>
            </w:pPr>
            <w:r>
              <w:rPr>
                <w:rFonts w:ascii="Arial" w:cs="Arial" w:eastAsia="Arial" w:hAnsi="Arial"/>
                <w:sz w:val="14"/>
                <w:szCs w:val="14"/>
                <w:color w:val="auto"/>
              </w:rPr>
              <w:t>- $75</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14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80"/>
        </w:trPr>
        <w:tc>
          <w:tcPr>
            <w:tcW w:w="1440" w:type="dxa"/>
            <w:vAlign w:val="bottom"/>
            <w:tcBorders>
              <w:bottom w:val="single" w:sz="8" w:color="CCEEFF"/>
            </w:tcBorders>
          </w:tcPr>
          <w:p>
            <w:pPr>
              <w:spacing w:after="0"/>
              <w:rPr>
                <w:sz w:val="6"/>
                <w:szCs w:val="6"/>
                <w:color w:val="auto"/>
              </w:rPr>
            </w:pPr>
          </w:p>
        </w:tc>
        <w:tc>
          <w:tcPr>
            <w:tcW w:w="1180" w:type="dxa"/>
            <w:vAlign w:val="bottom"/>
            <w:tcBorders>
              <w:bottom w:val="single" w:sz="8" w:color="CCEEFF"/>
            </w:tcBorders>
          </w:tcPr>
          <w:p>
            <w:pPr>
              <w:spacing w:after="0"/>
              <w:rPr>
                <w:sz w:val="6"/>
                <w:szCs w:val="6"/>
                <w:color w:val="auto"/>
              </w:rPr>
            </w:pPr>
          </w:p>
        </w:tc>
        <w:tc>
          <w:tcPr>
            <w:tcW w:w="262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140" w:type="dxa"/>
            <w:vAlign w:val="bottom"/>
            <w:tcBorders>
              <w:bottom w:val="single" w:sz="8" w:color="CCEEFF"/>
            </w:tcBorders>
          </w:tcPr>
          <w:p>
            <w:pPr>
              <w:spacing w:after="0"/>
              <w:rPr>
                <w:sz w:val="6"/>
                <w:szCs w:val="6"/>
                <w:color w:val="auto"/>
              </w:rPr>
            </w:pPr>
          </w:p>
        </w:tc>
        <w:tc>
          <w:tcPr>
            <w:tcW w:w="2320" w:type="dxa"/>
            <w:vAlign w:val="bottom"/>
            <w:tcBorders>
              <w:bottom w:val="single" w:sz="8" w:color="CCEEFF"/>
            </w:tcBorders>
          </w:tcPr>
          <w:p>
            <w:pPr>
              <w:spacing w:after="0"/>
              <w:rPr>
                <w:sz w:val="6"/>
                <w:szCs w:val="6"/>
                <w:color w:val="auto"/>
              </w:rPr>
            </w:pPr>
          </w:p>
        </w:tc>
      </w:tr>
      <w:tr>
        <w:trPr>
          <w:trHeight w:val="184"/>
        </w:trPr>
        <w:tc>
          <w:tcPr>
            <w:tcW w:w="14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Total Phases under construction</w:t>
            </w:r>
          </w:p>
        </w:tc>
        <w:tc>
          <w:tcPr>
            <w:tcW w:w="580" w:type="dxa"/>
            <w:vAlign w:val="bottom"/>
            <w:shd w:val="clear" w:color="auto" w:fill="CCEEFF"/>
          </w:tcPr>
          <w:p>
            <w:pPr>
              <w:jc w:val="center"/>
              <w:ind w:left="48"/>
              <w:spacing w:after="0"/>
              <w:rPr>
                <w:sz w:val="20"/>
                <w:szCs w:val="20"/>
                <w:color w:val="auto"/>
              </w:rPr>
            </w:pPr>
            <w:r>
              <w:rPr>
                <w:rFonts w:ascii="Arial" w:cs="Arial" w:eastAsia="Arial" w:hAnsi="Arial"/>
                <w:sz w:val="14"/>
                <w:szCs w:val="14"/>
                <w:b w:val="1"/>
                <w:bCs w:val="1"/>
                <w:color w:val="auto"/>
              </w:rPr>
              <w:t>7%</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$593</w:t>
            </w:r>
          </w:p>
        </w:tc>
        <w:tc>
          <w:tcPr>
            <w:tcW w:w="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 $625</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$182</w:t>
            </w:r>
          </w:p>
        </w:tc>
        <w:tc>
          <w:tcPr>
            <w:tcW w:w="114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r>
      <w:tr>
        <w:trPr>
          <w:trHeight w:val="80"/>
        </w:trPr>
        <w:tc>
          <w:tcPr>
            <w:tcW w:w="144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2620" w:type="dxa"/>
            <w:vAlign w:val="bottom"/>
            <w:shd w:val="clear" w:color="auto" w:fill="CCEEFF"/>
          </w:tcPr>
          <w:p>
            <w:pPr>
              <w:spacing w:after="0"/>
              <w:rPr>
                <w:sz w:val="6"/>
                <w:szCs w:val="6"/>
                <w:color w:val="auto"/>
              </w:rPr>
            </w:pPr>
          </w:p>
        </w:tc>
        <w:tc>
          <w:tcPr>
            <w:tcW w:w="58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2320" w:type="dxa"/>
            <w:vAlign w:val="bottom"/>
            <w:shd w:val="clear" w:color="auto" w:fill="CCEEFF"/>
          </w:tcPr>
          <w:p>
            <w:pPr>
              <w:spacing w:after="0"/>
              <w:rPr>
                <w:sz w:val="6"/>
                <w:szCs w:val="6"/>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63" w:lineRule="exact"/>
        <w:rPr>
          <w:sz w:val="20"/>
          <w:szCs w:val="20"/>
          <w:color w:val="auto"/>
        </w:rPr>
      </w:pPr>
    </w:p>
    <w:p>
      <w:pPr>
        <w:ind w:left="500" w:right="200" w:hanging="465"/>
        <w:spacing w:after="0" w:line="238" w:lineRule="auto"/>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Anticipated opening dates, total cost, projected return on investment (ROI), anticipated stabilization, and significant tenants for centers under development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spacing w:after="0" w:line="20" w:lineRule="exact"/>
        <w:rPr>
          <w:rFonts w:ascii="Arial" w:cs="Arial" w:eastAsia="Arial" w:hAnsi="Arial"/>
          <w:sz w:val="14"/>
          <w:szCs w:val="14"/>
          <w:color w:val="auto"/>
        </w:rPr>
      </w:pPr>
    </w:p>
    <w:p>
      <w:pPr>
        <w:ind w:left="500" w:right="320" w:hanging="465"/>
        <w:spacing w:after="0" w:line="253" w:lineRule="auto"/>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Projected ROI for development projects reflects the deal specific cash, unleveraged Property Operating Income (POI) generated by the development and is calculated as POI divided by cost.</w:t>
      </w:r>
    </w:p>
    <w:p>
      <w:pPr>
        <w:spacing w:after="0" w:line="79"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Projected costs include an allocation of infrastructure costs for the entire project.</w:t>
      </w:r>
    </w:p>
    <w:p>
      <w:pPr>
        <w:spacing w:after="0" w:line="41"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costs of which we have claims for recovery against 3rd parties.</w:t>
      </w:r>
    </w:p>
    <w:p>
      <w:pPr>
        <w:spacing w:after="0" w:line="41"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3"/>
          <w:szCs w:val="13"/>
          <w:color w:val="auto"/>
        </w:rPr>
        <w:t>Costs are net of expected reimbursement by third parties and land sale proceeds from expected exercise of option. Phase II total costs include our 50% share of the costs of our investment</w:t>
      </w:r>
    </w:p>
    <w:p>
      <w:pPr>
        <w:spacing w:after="0" w:line="11"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the hotel.</w:t>
      </w:r>
    </w:p>
    <w:p>
      <w:pPr>
        <w:spacing w:after="0" w:line="29" w:lineRule="exact"/>
        <w:rPr>
          <w:rFonts w:ascii="Arial" w:cs="Arial" w:eastAsia="Arial" w:hAnsi="Arial"/>
          <w:sz w:val="14"/>
          <w:szCs w:val="14"/>
          <w:color w:val="auto"/>
        </w:rPr>
      </w:pPr>
    </w:p>
    <w:p>
      <w:pPr>
        <w:ind w:left="500" w:hanging="465"/>
        <w:spacing w:after="0"/>
        <w:tabs>
          <w:tab w:leader="none" w:pos="5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Condominiums shown at cost; the projected ROI for Phase II does not assume any incremental profit on the sale of condominium units; condominiums are assumed to be sold at cost.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60" w:right="239" w:bottom="1440" w:gutter="0" w:footer="0" w:header="0"/>
          <w:type w:val="continuous"/>
        </w:sectPr>
      </w:pPr>
    </w:p>
    <w:bookmarkStart w:id="19" w:name="page20"/>
    <w:bookmarkEnd w:id="19"/>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Future Redevelopment Opportunities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March 31, 2016</w:t>
      </w:r>
    </w:p>
    <w:p>
      <w:pPr>
        <w:spacing w:after="0" w:line="374" w:lineRule="exact"/>
        <w:rPr>
          <w:sz w:val="20"/>
          <w:szCs w:val="20"/>
          <w:color w:val="auto"/>
        </w:rPr>
      </w:pPr>
    </w:p>
    <w:p>
      <w:pPr>
        <w:ind w:left="40" w:right="40"/>
        <w:spacing w:after="0" w:line="273" w:lineRule="auto"/>
        <w:rPr>
          <w:sz w:val="20"/>
          <w:szCs w:val="20"/>
          <w:color w:val="auto"/>
        </w:rPr>
      </w:pPr>
      <w:r>
        <w:rPr>
          <w:rFonts w:ascii="Arial" w:cs="Arial" w:eastAsia="Arial" w:hAnsi="Arial"/>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320" w:lineRule="exact"/>
        <w:rPr>
          <w:sz w:val="20"/>
          <w:szCs w:val="20"/>
          <w:color w:val="auto"/>
        </w:rPr>
      </w:pPr>
    </w:p>
    <w:p>
      <w:pPr>
        <w:ind w:left="40" w:right="960"/>
        <w:spacing w:after="0" w:line="290"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Bethesda Row</w:t>
            </w:r>
          </w:p>
        </w:tc>
        <w:tc>
          <w:tcPr>
            <w:tcW w:w="2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Bethesda, MD</w:t>
            </w:r>
          </w:p>
        </w:tc>
        <w:tc>
          <w:tcPr>
            <w:tcW w:w="24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Melville Mall</w:t>
            </w:r>
          </w:p>
        </w:tc>
        <w:tc>
          <w:tcPr>
            <w:tcW w:w="44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Huntington, NY</w:t>
            </w:r>
          </w:p>
        </w:tc>
      </w:tr>
      <w:tr>
        <w:trPr>
          <w:trHeight w:val="237"/>
        </w:trPr>
        <w:tc>
          <w:tcPr>
            <w:tcW w:w="2420" w:type="dxa"/>
            <w:vAlign w:val="bottom"/>
          </w:tcPr>
          <w:p>
            <w:pPr>
              <w:ind w:left="380"/>
              <w:spacing w:after="0"/>
              <w:rPr>
                <w:sz w:val="20"/>
                <w:szCs w:val="20"/>
                <w:color w:val="auto"/>
              </w:rPr>
            </w:pPr>
            <w:r>
              <w:rPr>
                <w:rFonts w:ascii="Arial" w:cs="Arial" w:eastAsia="Arial" w:hAnsi="Arial"/>
                <w:sz w:val="16"/>
                <w:szCs w:val="16"/>
                <w:b w:val="1"/>
                <w:bCs w:val="1"/>
                <w:color w:val="auto"/>
              </w:rPr>
              <w:t>Dedham Plaza</w:t>
            </w:r>
          </w:p>
        </w:tc>
        <w:tc>
          <w:tcPr>
            <w:tcW w:w="2120" w:type="dxa"/>
            <w:vAlign w:val="bottom"/>
          </w:tcPr>
          <w:p>
            <w:pPr>
              <w:ind w:left="480"/>
              <w:spacing w:after="0"/>
              <w:rPr>
                <w:sz w:val="20"/>
                <w:szCs w:val="20"/>
                <w:color w:val="auto"/>
              </w:rPr>
            </w:pPr>
            <w:r>
              <w:rPr>
                <w:rFonts w:ascii="Arial" w:cs="Arial" w:eastAsia="Arial" w:hAnsi="Arial"/>
                <w:sz w:val="16"/>
                <w:szCs w:val="16"/>
                <w:color w:val="auto"/>
              </w:rPr>
              <w:t>Dedham, MA</w:t>
            </w:r>
          </w:p>
        </w:tc>
        <w:tc>
          <w:tcPr>
            <w:tcW w:w="2420" w:type="dxa"/>
            <w:vAlign w:val="bottom"/>
          </w:tcPr>
          <w:p>
            <w:pPr>
              <w:ind w:left="660"/>
              <w:spacing w:after="0"/>
              <w:rPr>
                <w:sz w:val="20"/>
                <w:szCs w:val="20"/>
                <w:color w:val="auto"/>
              </w:rPr>
            </w:pPr>
            <w:r>
              <w:rPr>
                <w:rFonts w:ascii="Arial" w:cs="Arial" w:eastAsia="Arial" w:hAnsi="Arial"/>
                <w:sz w:val="16"/>
                <w:szCs w:val="16"/>
                <w:b w:val="1"/>
                <w:bCs w:val="1"/>
                <w:color w:val="auto"/>
              </w:rPr>
              <w:t>Mercer Mall</w:t>
            </w:r>
          </w:p>
        </w:tc>
        <w:tc>
          <w:tcPr>
            <w:tcW w:w="4460" w:type="dxa"/>
            <w:vAlign w:val="bottom"/>
          </w:tcPr>
          <w:p>
            <w:pPr>
              <w:ind w:left="860"/>
              <w:spacing w:after="0"/>
              <w:rPr>
                <w:sz w:val="20"/>
                <w:szCs w:val="20"/>
                <w:color w:val="auto"/>
              </w:rPr>
            </w:pPr>
            <w:r>
              <w:rPr>
                <w:rFonts w:ascii="Arial" w:cs="Arial" w:eastAsia="Arial" w:hAnsi="Arial"/>
                <w:sz w:val="16"/>
                <w:szCs w:val="16"/>
                <w:color w:val="auto"/>
              </w:rPr>
              <w:t>Lawrenceville, NJ</w:t>
            </w:r>
          </w:p>
        </w:tc>
      </w:tr>
      <w:tr>
        <w:trPr>
          <w:trHeight w:val="33"/>
        </w:trPr>
        <w:tc>
          <w:tcPr>
            <w:tcW w:w="24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Escondido Promenade</w:t>
            </w:r>
          </w:p>
        </w:tc>
        <w:tc>
          <w:tcPr>
            <w:tcW w:w="2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Escondido, CA</w:t>
            </w:r>
          </w:p>
        </w:tc>
        <w:tc>
          <w:tcPr>
            <w:tcW w:w="24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Pan Am</w:t>
            </w:r>
          </w:p>
        </w:tc>
        <w:tc>
          <w:tcPr>
            <w:tcW w:w="44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Fairfax, VA</w:t>
            </w:r>
          </w:p>
        </w:tc>
      </w:tr>
      <w:tr>
        <w:trPr>
          <w:trHeight w:val="237"/>
        </w:trPr>
        <w:tc>
          <w:tcPr>
            <w:tcW w:w="2420" w:type="dxa"/>
            <w:vAlign w:val="bottom"/>
          </w:tcPr>
          <w:p>
            <w:pPr>
              <w:ind w:left="380"/>
              <w:spacing w:after="0"/>
              <w:rPr>
                <w:sz w:val="20"/>
                <w:szCs w:val="20"/>
                <w:color w:val="auto"/>
              </w:rPr>
            </w:pPr>
            <w:r>
              <w:rPr>
                <w:rFonts w:ascii="Arial" w:cs="Arial" w:eastAsia="Arial" w:hAnsi="Arial"/>
                <w:sz w:val="16"/>
                <w:szCs w:val="16"/>
                <w:b w:val="1"/>
                <w:bCs w:val="1"/>
                <w:color w:val="auto"/>
              </w:rPr>
              <w:t>Federal Plaza</w:t>
            </w:r>
          </w:p>
        </w:tc>
        <w:tc>
          <w:tcPr>
            <w:tcW w:w="2120" w:type="dxa"/>
            <w:vAlign w:val="bottom"/>
          </w:tcPr>
          <w:p>
            <w:pPr>
              <w:ind w:left="480"/>
              <w:spacing w:after="0"/>
              <w:rPr>
                <w:sz w:val="20"/>
                <w:szCs w:val="20"/>
                <w:color w:val="auto"/>
              </w:rPr>
            </w:pPr>
            <w:r>
              <w:rPr>
                <w:rFonts w:ascii="Arial" w:cs="Arial" w:eastAsia="Arial" w:hAnsi="Arial"/>
                <w:sz w:val="16"/>
                <w:szCs w:val="16"/>
                <w:color w:val="auto"/>
              </w:rPr>
              <w:t>Rockville, MD</w:t>
            </w:r>
          </w:p>
        </w:tc>
        <w:tc>
          <w:tcPr>
            <w:tcW w:w="2420" w:type="dxa"/>
            <w:vAlign w:val="bottom"/>
          </w:tcPr>
          <w:p>
            <w:pPr>
              <w:ind w:left="660"/>
              <w:spacing w:after="0"/>
              <w:rPr>
                <w:sz w:val="20"/>
                <w:szCs w:val="20"/>
                <w:color w:val="auto"/>
              </w:rPr>
            </w:pPr>
            <w:r>
              <w:rPr>
                <w:rFonts w:ascii="Arial" w:cs="Arial" w:eastAsia="Arial" w:hAnsi="Arial"/>
                <w:sz w:val="16"/>
                <w:szCs w:val="16"/>
                <w:b w:val="1"/>
                <w:bCs w:val="1"/>
                <w:color w:val="auto"/>
              </w:rPr>
              <w:t>Pike 7</w:t>
            </w:r>
          </w:p>
        </w:tc>
        <w:tc>
          <w:tcPr>
            <w:tcW w:w="4460" w:type="dxa"/>
            <w:vAlign w:val="bottom"/>
          </w:tcPr>
          <w:p>
            <w:pPr>
              <w:ind w:left="860"/>
              <w:spacing w:after="0"/>
              <w:rPr>
                <w:sz w:val="20"/>
                <w:szCs w:val="20"/>
                <w:color w:val="auto"/>
              </w:rPr>
            </w:pPr>
            <w:r>
              <w:rPr>
                <w:rFonts w:ascii="Arial" w:cs="Arial" w:eastAsia="Arial" w:hAnsi="Arial"/>
                <w:sz w:val="16"/>
                <w:szCs w:val="16"/>
                <w:color w:val="auto"/>
              </w:rPr>
              <w:t>Vienna, VA</w:t>
            </w:r>
          </w:p>
        </w:tc>
      </w:tr>
      <w:tr>
        <w:trPr>
          <w:trHeight w:val="33"/>
        </w:trPr>
        <w:tc>
          <w:tcPr>
            <w:tcW w:w="24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Flourtown</w:t>
            </w:r>
          </w:p>
        </w:tc>
        <w:tc>
          <w:tcPr>
            <w:tcW w:w="21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Flourtown, PA</w:t>
            </w:r>
          </w:p>
        </w:tc>
        <w:tc>
          <w:tcPr>
            <w:tcW w:w="24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Wildwood</w:t>
            </w:r>
          </w:p>
        </w:tc>
        <w:tc>
          <w:tcPr>
            <w:tcW w:w="44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Bethesda, MD</w:t>
            </w:r>
          </w:p>
        </w:tc>
      </w:tr>
      <w:tr>
        <w:trPr>
          <w:trHeight w:val="237"/>
        </w:trPr>
        <w:tc>
          <w:tcPr>
            <w:tcW w:w="2420" w:type="dxa"/>
            <w:vAlign w:val="bottom"/>
          </w:tcPr>
          <w:p>
            <w:pPr>
              <w:ind w:left="380"/>
              <w:spacing w:after="0"/>
              <w:rPr>
                <w:sz w:val="20"/>
                <w:szCs w:val="20"/>
                <w:color w:val="auto"/>
              </w:rPr>
            </w:pPr>
            <w:r>
              <w:rPr>
                <w:rFonts w:ascii="Arial" w:cs="Arial" w:eastAsia="Arial" w:hAnsi="Arial"/>
                <w:sz w:val="16"/>
                <w:szCs w:val="16"/>
                <w:b w:val="1"/>
                <w:bCs w:val="1"/>
                <w:color w:val="auto"/>
              </w:rPr>
              <w:t>Fresh Meadows</w:t>
            </w:r>
          </w:p>
        </w:tc>
        <w:tc>
          <w:tcPr>
            <w:tcW w:w="2120" w:type="dxa"/>
            <w:vAlign w:val="bottom"/>
          </w:tcPr>
          <w:p>
            <w:pPr>
              <w:ind w:left="480"/>
              <w:spacing w:after="0"/>
              <w:rPr>
                <w:sz w:val="20"/>
                <w:szCs w:val="20"/>
                <w:color w:val="auto"/>
              </w:rPr>
            </w:pPr>
            <w:r>
              <w:rPr>
                <w:rFonts w:ascii="Arial" w:cs="Arial" w:eastAsia="Arial" w:hAnsi="Arial"/>
                <w:sz w:val="16"/>
                <w:szCs w:val="16"/>
                <w:color w:val="auto"/>
              </w:rPr>
              <w:t>Queens, NY</w:t>
            </w:r>
          </w:p>
        </w:tc>
        <w:tc>
          <w:tcPr>
            <w:tcW w:w="242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33"/>
        </w:trPr>
        <w:tc>
          <w:tcPr>
            <w:tcW w:w="24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4460" w:type="dxa"/>
            <w:vAlign w:val="bottom"/>
          </w:tcPr>
          <w:p>
            <w:pPr>
              <w:spacing w:after="0"/>
              <w:rPr>
                <w:sz w:val="2"/>
                <w:szCs w:val="2"/>
                <w:color w:val="auto"/>
              </w:rPr>
            </w:pPr>
          </w:p>
        </w:tc>
      </w:tr>
      <w:tr>
        <w:trPr>
          <w:trHeight w:val="270"/>
        </w:trPr>
        <w:tc>
          <w:tcPr>
            <w:tcW w:w="2420" w:type="dxa"/>
            <w:vAlign w:val="bottom"/>
            <w:shd w:val="clear" w:color="auto" w:fill="CCEEFF"/>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2420" w:type="dxa"/>
            <w:vAlign w:val="bottom"/>
            <w:shd w:val="clear" w:color="auto" w:fill="CCEEFF"/>
          </w:tcPr>
          <w:p>
            <w:pPr>
              <w:spacing w:after="0"/>
              <w:rPr>
                <w:sz w:val="23"/>
                <w:szCs w:val="23"/>
                <w:color w:val="auto"/>
              </w:rPr>
            </w:pPr>
          </w:p>
        </w:tc>
        <w:tc>
          <w:tcPr>
            <w:tcW w:w="446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40" w:right="520"/>
        <w:spacing w:after="0" w:line="290"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more productive uses for the property.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Assembly Row</w:t>
            </w:r>
          </w:p>
        </w:tc>
        <w:tc>
          <w:tcPr>
            <w:tcW w:w="2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Somerville, MA</w:t>
            </w:r>
          </w:p>
        </w:tc>
        <w:tc>
          <w:tcPr>
            <w:tcW w:w="2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Melville Mall</w:t>
            </w:r>
          </w:p>
        </w:tc>
        <w:tc>
          <w:tcPr>
            <w:tcW w:w="4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Huntington, NY</w:t>
            </w:r>
          </w:p>
        </w:tc>
      </w:tr>
      <w:tr>
        <w:trPr>
          <w:trHeight w:val="237"/>
        </w:trPr>
        <w:tc>
          <w:tcPr>
            <w:tcW w:w="2180" w:type="dxa"/>
            <w:vAlign w:val="bottom"/>
          </w:tcPr>
          <w:p>
            <w:pPr>
              <w:ind w:left="380"/>
              <w:spacing w:after="0"/>
              <w:rPr>
                <w:sz w:val="20"/>
                <w:szCs w:val="20"/>
                <w:color w:val="auto"/>
              </w:rPr>
            </w:pPr>
            <w:r>
              <w:rPr>
                <w:rFonts w:ascii="Arial" w:cs="Arial" w:eastAsia="Arial" w:hAnsi="Arial"/>
                <w:sz w:val="16"/>
                <w:szCs w:val="16"/>
                <w:b w:val="1"/>
                <w:bCs w:val="1"/>
                <w:color w:val="auto"/>
              </w:rPr>
              <w:t>Barracks Road</w:t>
            </w:r>
          </w:p>
        </w:tc>
        <w:tc>
          <w:tcPr>
            <w:tcW w:w="2500" w:type="dxa"/>
            <w:vAlign w:val="bottom"/>
          </w:tcPr>
          <w:p>
            <w:pPr>
              <w:ind w:left="720"/>
              <w:spacing w:after="0"/>
              <w:rPr>
                <w:sz w:val="20"/>
                <w:szCs w:val="20"/>
                <w:color w:val="auto"/>
              </w:rPr>
            </w:pPr>
            <w:r>
              <w:rPr>
                <w:rFonts w:ascii="Arial" w:cs="Arial" w:eastAsia="Arial" w:hAnsi="Arial"/>
                <w:sz w:val="16"/>
                <w:szCs w:val="16"/>
                <w:color w:val="auto"/>
              </w:rPr>
              <w:t>Charlottesville, VA</w:t>
            </w:r>
          </w:p>
        </w:tc>
        <w:tc>
          <w:tcPr>
            <w:tcW w:w="2720" w:type="dxa"/>
            <w:vAlign w:val="bottom"/>
          </w:tcPr>
          <w:p>
            <w:pPr>
              <w:ind w:left="520"/>
              <w:spacing w:after="0"/>
              <w:rPr>
                <w:sz w:val="20"/>
                <w:szCs w:val="20"/>
                <w:color w:val="auto"/>
              </w:rPr>
            </w:pPr>
            <w:r>
              <w:rPr>
                <w:rFonts w:ascii="Arial" w:cs="Arial" w:eastAsia="Arial" w:hAnsi="Arial"/>
                <w:sz w:val="16"/>
                <w:szCs w:val="16"/>
                <w:b w:val="1"/>
                <w:bCs w:val="1"/>
                <w:color w:val="auto"/>
              </w:rPr>
              <w:t>Montrose Crossing</w:t>
            </w:r>
          </w:p>
        </w:tc>
        <w:tc>
          <w:tcPr>
            <w:tcW w:w="4020" w:type="dxa"/>
            <w:vAlign w:val="bottom"/>
          </w:tcPr>
          <w:p>
            <w:pPr>
              <w:ind w:left="420"/>
              <w:spacing w:after="0"/>
              <w:rPr>
                <w:sz w:val="20"/>
                <w:szCs w:val="20"/>
                <w:color w:val="auto"/>
              </w:rPr>
            </w:pPr>
            <w:r>
              <w:rPr>
                <w:rFonts w:ascii="Arial" w:cs="Arial" w:eastAsia="Arial" w:hAnsi="Arial"/>
                <w:sz w:val="16"/>
                <w:szCs w:val="16"/>
                <w:color w:val="auto"/>
              </w:rPr>
              <w:t>Rockville, MD</w:t>
            </w:r>
          </w:p>
        </w:tc>
      </w:tr>
      <w:tr>
        <w:trPr>
          <w:trHeight w:val="33"/>
        </w:trPr>
        <w:tc>
          <w:tcPr>
            <w:tcW w:w="21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2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Bethesda Row</w:t>
            </w:r>
          </w:p>
        </w:tc>
        <w:tc>
          <w:tcPr>
            <w:tcW w:w="2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Bethesda, MD</w:t>
            </w:r>
          </w:p>
        </w:tc>
        <w:tc>
          <w:tcPr>
            <w:tcW w:w="2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Northeast</w:t>
            </w:r>
          </w:p>
        </w:tc>
        <w:tc>
          <w:tcPr>
            <w:tcW w:w="4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Philadelphia, PA</w:t>
            </w:r>
          </w:p>
        </w:tc>
      </w:tr>
      <w:tr>
        <w:trPr>
          <w:trHeight w:val="237"/>
        </w:trPr>
        <w:tc>
          <w:tcPr>
            <w:tcW w:w="2180" w:type="dxa"/>
            <w:vAlign w:val="bottom"/>
          </w:tcPr>
          <w:p>
            <w:pPr>
              <w:ind w:left="380"/>
              <w:spacing w:after="0"/>
              <w:rPr>
                <w:sz w:val="20"/>
                <w:szCs w:val="20"/>
                <w:color w:val="auto"/>
              </w:rPr>
            </w:pPr>
            <w:r>
              <w:rPr>
                <w:rFonts w:ascii="Arial" w:cs="Arial" w:eastAsia="Arial" w:hAnsi="Arial"/>
                <w:sz w:val="16"/>
                <w:szCs w:val="16"/>
                <w:b w:val="1"/>
                <w:bCs w:val="1"/>
                <w:color w:val="auto"/>
              </w:rPr>
              <w:t>Brick</w:t>
            </w:r>
          </w:p>
        </w:tc>
        <w:tc>
          <w:tcPr>
            <w:tcW w:w="2500" w:type="dxa"/>
            <w:vAlign w:val="bottom"/>
          </w:tcPr>
          <w:p>
            <w:pPr>
              <w:ind w:left="720"/>
              <w:spacing w:after="0"/>
              <w:rPr>
                <w:sz w:val="20"/>
                <w:szCs w:val="20"/>
                <w:color w:val="auto"/>
              </w:rPr>
            </w:pPr>
            <w:r>
              <w:rPr>
                <w:rFonts w:ascii="Arial" w:cs="Arial" w:eastAsia="Arial" w:hAnsi="Arial"/>
                <w:sz w:val="16"/>
                <w:szCs w:val="16"/>
                <w:color w:val="auto"/>
              </w:rPr>
              <w:t>Brick, NJ</w:t>
            </w:r>
          </w:p>
        </w:tc>
        <w:tc>
          <w:tcPr>
            <w:tcW w:w="2720" w:type="dxa"/>
            <w:vAlign w:val="bottom"/>
          </w:tcPr>
          <w:p>
            <w:pPr>
              <w:ind w:left="520"/>
              <w:spacing w:after="0"/>
              <w:rPr>
                <w:sz w:val="20"/>
                <w:szCs w:val="20"/>
                <w:color w:val="auto"/>
              </w:rPr>
            </w:pPr>
            <w:r>
              <w:rPr>
                <w:rFonts w:ascii="Arial" w:cs="Arial" w:eastAsia="Arial" w:hAnsi="Arial"/>
                <w:sz w:val="16"/>
                <w:szCs w:val="16"/>
                <w:b w:val="1"/>
                <w:bCs w:val="1"/>
                <w:color w:val="auto"/>
              </w:rPr>
              <w:t>The Shops at Sunset Place</w:t>
            </w:r>
          </w:p>
        </w:tc>
        <w:tc>
          <w:tcPr>
            <w:tcW w:w="4020" w:type="dxa"/>
            <w:vAlign w:val="bottom"/>
          </w:tcPr>
          <w:p>
            <w:pPr>
              <w:ind w:left="420"/>
              <w:spacing w:after="0"/>
              <w:rPr>
                <w:sz w:val="20"/>
                <w:szCs w:val="20"/>
                <w:color w:val="auto"/>
              </w:rPr>
            </w:pPr>
            <w:r>
              <w:rPr>
                <w:rFonts w:ascii="Arial" w:cs="Arial" w:eastAsia="Arial" w:hAnsi="Arial"/>
                <w:sz w:val="16"/>
                <w:szCs w:val="16"/>
                <w:color w:val="auto"/>
              </w:rPr>
              <w:t>South Miami, FL</w:t>
            </w:r>
          </w:p>
        </w:tc>
      </w:tr>
      <w:tr>
        <w:trPr>
          <w:trHeight w:val="33"/>
        </w:trPr>
        <w:tc>
          <w:tcPr>
            <w:tcW w:w="21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2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CocoWalk</w:t>
            </w:r>
          </w:p>
        </w:tc>
        <w:tc>
          <w:tcPr>
            <w:tcW w:w="2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Coconut Grove, FL</w:t>
            </w:r>
          </w:p>
        </w:tc>
        <w:tc>
          <w:tcPr>
            <w:tcW w:w="2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Third Street Promenade</w:t>
            </w:r>
          </w:p>
        </w:tc>
        <w:tc>
          <w:tcPr>
            <w:tcW w:w="4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Santa Monica, CA</w:t>
            </w:r>
          </w:p>
        </w:tc>
      </w:tr>
      <w:tr>
        <w:trPr>
          <w:trHeight w:val="237"/>
        </w:trPr>
        <w:tc>
          <w:tcPr>
            <w:tcW w:w="2180" w:type="dxa"/>
            <w:vAlign w:val="bottom"/>
          </w:tcPr>
          <w:p>
            <w:pPr>
              <w:ind w:left="380"/>
              <w:spacing w:after="0"/>
              <w:rPr>
                <w:sz w:val="20"/>
                <w:szCs w:val="20"/>
                <w:color w:val="auto"/>
              </w:rPr>
            </w:pPr>
            <w:r>
              <w:rPr>
                <w:rFonts w:ascii="Arial" w:cs="Arial" w:eastAsia="Arial" w:hAnsi="Arial"/>
                <w:sz w:val="16"/>
                <w:szCs w:val="16"/>
                <w:b w:val="1"/>
                <w:bCs w:val="1"/>
                <w:color w:val="auto"/>
              </w:rPr>
              <w:t>Crossroads</w:t>
            </w:r>
          </w:p>
        </w:tc>
        <w:tc>
          <w:tcPr>
            <w:tcW w:w="2500" w:type="dxa"/>
            <w:vAlign w:val="bottom"/>
          </w:tcPr>
          <w:p>
            <w:pPr>
              <w:ind w:left="720"/>
              <w:spacing w:after="0"/>
              <w:rPr>
                <w:sz w:val="20"/>
                <w:szCs w:val="20"/>
                <w:color w:val="auto"/>
              </w:rPr>
            </w:pPr>
            <w:r>
              <w:rPr>
                <w:rFonts w:ascii="Arial" w:cs="Arial" w:eastAsia="Arial" w:hAnsi="Arial"/>
                <w:sz w:val="16"/>
                <w:szCs w:val="16"/>
                <w:color w:val="auto"/>
              </w:rPr>
              <w:t>Highland Park, IL</w:t>
            </w:r>
          </w:p>
        </w:tc>
        <w:tc>
          <w:tcPr>
            <w:tcW w:w="2720" w:type="dxa"/>
            <w:vAlign w:val="bottom"/>
          </w:tcPr>
          <w:p>
            <w:pPr>
              <w:ind w:left="520"/>
              <w:spacing w:after="0"/>
              <w:rPr>
                <w:sz w:val="20"/>
                <w:szCs w:val="20"/>
                <w:color w:val="auto"/>
              </w:rPr>
            </w:pPr>
            <w:r>
              <w:rPr>
                <w:rFonts w:ascii="Arial" w:cs="Arial" w:eastAsia="Arial" w:hAnsi="Arial"/>
                <w:sz w:val="16"/>
                <w:szCs w:val="16"/>
                <w:b w:val="1"/>
                <w:bCs w:val="1"/>
                <w:color w:val="auto"/>
              </w:rPr>
              <w:t>Troy</w:t>
            </w:r>
          </w:p>
        </w:tc>
        <w:tc>
          <w:tcPr>
            <w:tcW w:w="4020" w:type="dxa"/>
            <w:vAlign w:val="bottom"/>
          </w:tcPr>
          <w:p>
            <w:pPr>
              <w:ind w:left="420"/>
              <w:spacing w:after="0"/>
              <w:rPr>
                <w:sz w:val="20"/>
                <w:szCs w:val="20"/>
                <w:color w:val="auto"/>
              </w:rPr>
            </w:pPr>
            <w:r>
              <w:rPr>
                <w:rFonts w:ascii="Arial" w:cs="Arial" w:eastAsia="Arial" w:hAnsi="Arial"/>
                <w:sz w:val="16"/>
                <w:szCs w:val="16"/>
                <w:color w:val="auto"/>
              </w:rPr>
              <w:t>Parsippany, NJ</w:t>
            </w:r>
          </w:p>
        </w:tc>
      </w:tr>
      <w:tr>
        <w:trPr>
          <w:trHeight w:val="33"/>
        </w:trPr>
        <w:tc>
          <w:tcPr>
            <w:tcW w:w="21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20" w:type="dxa"/>
            <w:vAlign w:val="bottom"/>
          </w:tcPr>
          <w:p>
            <w:pPr>
              <w:spacing w:after="0"/>
              <w:rPr>
                <w:sz w:val="2"/>
                <w:szCs w:val="2"/>
                <w:color w:val="auto"/>
              </w:rPr>
            </w:pPr>
          </w:p>
        </w:tc>
      </w:tr>
      <w:tr>
        <w:trPr>
          <w:trHeight w:val="250"/>
        </w:trPr>
        <w:tc>
          <w:tcPr>
            <w:tcW w:w="2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Darien</w:t>
            </w:r>
          </w:p>
        </w:tc>
        <w:tc>
          <w:tcPr>
            <w:tcW w:w="25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Darien, CT</w:t>
            </w:r>
          </w:p>
        </w:tc>
        <w:tc>
          <w:tcPr>
            <w:tcW w:w="27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Wildwood</w:t>
            </w:r>
          </w:p>
        </w:tc>
        <w:tc>
          <w:tcPr>
            <w:tcW w:w="40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Bethesda, MD</w:t>
            </w:r>
          </w:p>
        </w:tc>
      </w:tr>
      <w:tr>
        <w:trPr>
          <w:trHeight w:val="237"/>
        </w:trPr>
        <w:tc>
          <w:tcPr>
            <w:tcW w:w="2180" w:type="dxa"/>
            <w:vAlign w:val="bottom"/>
          </w:tcPr>
          <w:p>
            <w:pPr>
              <w:ind w:left="380"/>
              <w:spacing w:after="0"/>
              <w:rPr>
                <w:sz w:val="20"/>
                <w:szCs w:val="20"/>
                <w:color w:val="auto"/>
              </w:rPr>
            </w:pPr>
            <w:r>
              <w:rPr>
                <w:rFonts w:ascii="Arial" w:cs="Arial" w:eastAsia="Arial" w:hAnsi="Arial"/>
                <w:sz w:val="16"/>
                <w:szCs w:val="16"/>
                <w:b w:val="1"/>
                <w:bCs w:val="1"/>
                <w:color w:val="auto"/>
              </w:rPr>
              <w:t>Fresh Meadows</w:t>
            </w:r>
          </w:p>
        </w:tc>
        <w:tc>
          <w:tcPr>
            <w:tcW w:w="2500" w:type="dxa"/>
            <w:vAlign w:val="bottom"/>
          </w:tcPr>
          <w:p>
            <w:pPr>
              <w:ind w:left="720"/>
              <w:spacing w:after="0"/>
              <w:rPr>
                <w:sz w:val="20"/>
                <w:szCs w:val="20"/>
                <w:color w:val="auto"/>
              </w:rPr>
            </w:pPr>
            <w:r>
              <w:rPr>
                <w:rFonts w:ascii="Arial" w:cs="Arial" w:eastAsia="Arial" w:hAnsi="Arial"/>
                <w:sz w:val="16"/>
                <w:szCs w:val="16"/>
                <w:color w:val="auto"/>
              </w:rPr>
              <w:t>Queens, NY</w:t>
            </w:r>
          </w:p>
        </w:tc>
        <w:tc>
          <w:tcPr>
            <w:tcW w:w="2720" w:type="dxa"/>
            <w:vAlign w:val="bottom"/>
          </w:tcPr>
          <w:p>
            <w:pPr>
              <w:spacing w:after="0"/>
              <w:rPr>
                <w:sz w:val="20"/>
                <w:szCs w:val="20"/>
                <w:color w:val="auto"/>
              </w:rPr>
            </w:pPr>
          </w:p>
        </w:tc>
        <w:tc>
          <w:tcPr>
            <w:tcW w:w="4020" w:type="dxa"/>
            <w:vAlign w:val="bottom"/>
          </w:tcPr>
          <w:p>
            <w:pPr>
              <w:spacing w:after="0"/>
              <w:rPr>
                <w:sz w:val="20"/>
                <w:szCs w:val="20"/>
                <w:color w:val="auto"/>
              </w:rPr>
            </w:pPr>
          </w:p>
        </w:tc>
      </w:tr>
      <w:tr>
        <w:trPr>
          <w:trHeight w:val="33"/>
        </w:trPr>
        <w:tc>
          <w:tcPr>
            <w:tcW w:w="21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020" w:type="dxa"/>
            <w:vAlign w:val="bottom"/>
          </w:tcPr>
          <w:p>
            <w:pPr>
              <w:spacing w:after="0"/>
              <w:rPr>
                <w:sz w:val="2"/>
                <w:szCs w:val="2"/>
                <w:color w:val="auto"/>
              </w:rPr>
            </w:pPr>
          </w:p>
        </w:tc>
      </w:tr>
      <w:tr>
        <w:trPr>
          <w:trHeight w:val="270"/>
        </w:trPr>
        <w:tc>
          <w:tcPr>
            <w:tcW w:w="2180" w:type="dxa"/>
            <w:vAlign w:val="bottom"/>
            <w:shd w:val="clear" w:color="auto" w:fill="CCEEFF"/>
          </w:tcPr>
          <w:p>
            <w:pPr>
              <w:spacing w:after="0"/>
              <w:rPr>
                <w:sz w:val="23"/>
                <w:szCs w:val="23"/>
                <w:color w:val="auto"/>
              </w:rPr>
            </w:pPr>
          </w:p>
        </w:tc>
        <w:tc>
          <w:tcPr>
            <w:tcW w:w="2500" w:type="dxa"/>
            <w:vAlign w:val="bottom"/>
            <w:shd w:val="clear" w:color="auto" w:fill="CCEEFF"/>
          </w:tcPr>
          <w:p>
            <w:pPr>
              <w:spacing w:after="0"/>
              <w:rPr>
                <w:sz w:val="23"/>
                <w:szCs w:val="23"/>
                <w:color w:val="auto"/>
              </w:rPr>
            </w:pPr>
          </w:p>
        </w:tc>
        <w:tc>
          <w:tcPr>
            <w:tcW w:w="2720" w:type="dxa"/>
            <w:vAlign w:val="bottom"/>
            <w:shd w:val="clear" w:color="auto" w:fill="CCEEFF"/>
          </w:tcPr>
          <w:p>
            <w:pPr>
              <w:spacing w:after="0"/>
              <w:rPr>
                <w:sz w:val="23"/>
                <w:szCs w:val="23"/>
                <w:color w:val="auto"/>
              </w:rPr>
            </w:pPr>
          </w:p>
        </w:tc>
        <w:tc>
          <w:tcPr>
            <w:tcW w:w="40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Residential Opportunities - Opportunity to add residential units to existing retail and mixed-use properties.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Barracks Road</w:t>
            </w:r>
          </w:p>
        </w:tc>
        <w:tc>
          <w:tcPr>
            <w:tcW w:w="1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Charlottesville, VA</w:t>
            </w:r>
          </w:p>
        </w:tc>
        <w:tc>
          <w:tcPr>
            <w:tcW w:w="3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Leesburg Plaza</w:t>
            </w:r>
          </w:p>
        </w:tc>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Leesburg, VA</w:t>
            </w:r>
          </w:p>
        </w:tc>
      </w:tr>
      <w:tr>
        <w:trPr>
          <w:trHeight w:val="237"/>
        </w:trPr>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auto"/>
              </w:rPr>
              <w:t>Graham Park Plaza</w:t>
            </w:r>
          </w:p>
        </w:tc>
        <w:tc>
          <w:tcPr>
            <w:tcW w:w="1900" w:type="dxa"/>
            <w:vAlign w:val="bottom"/>
          </w:tcPr>
          <w:p>
            <w:pPr>
              <w:ind w:left="80"/>
              <w:spacing w:after="0"/>
              <w:rPr>
                <w:sz w:val="20"/>
                <w:szCs w:val="20"/>
                <w:color w:val="auto"/>
              </w:rPr>
            </w:pPr>
            <w:r>
              <w:rPr>
                <w:rFonts w:ascii="Arial" w:cs="Arial" w:eastAsia="Arial" w:hAnsi="Arial"/>
                <w:sz w:val="16"/>
                <w:szCs w:val="16"/>
                <w:color w:val="auto"/>
              </w:rPr>
              <w:t>Falls Church, VA</w:t>
            </w:r>
          </w:p>
        </w:tc>
        <w:tc>
          <w:tcPr>
            <w:tcW w:w="3000" w:type="dxa"/>
            <w:vAlign w:val="bottom"/>
          </w:tcPr>
          <w:p>
            <w:pPr>
              <w:ind w:left="480"/>
              <w:spacing w:after="0"/>
              <w:rPr>
                <w:sz w:val="20"/>
                <w:szCs w:val="20"/>
                <w:color w:val="auto"/>
              </w:rPr>
            </w:pPr>
            <w:r>
              <w:rPr>
                <w:rFonts w:ascii="Arial" w:cs="Arial" w:eastAsia="Arial" w:hAnsi="Arial"/>
                <w:sz w:val="16"/>
                <w:szCs w:val="16"/>
                <w:b w:val="1"/>
                <w:bCs w:val="1"/>
                <w:color w:val="auto"/>
              </w:rPr>
              <w:t>Village at Shirlington</w:t>
            </w:r>
          </w:p>
        </w:tc>
        <w:tc>
          <w:tcPr>
            <w:tcW w:w="3700" w:type="dxa"/>
            <w:vAlign w:val="bottom"/>
          </w:tcPr>
          <w:p>
            <w:pPr>
              <w:ind w:left="100"/>
              <w:spacing w:after="0"/>
              <w:rPr>
                <w:sz w:val="20"/>
                <w:szCs w:val="20"/>
                <w:color w:val="auto"/>
              </w:rPr>
            </w:pPr>
            <w:r>
              <w:rPr>
                <w:rFonts w:ascii="Arial" w:cs="Arial" w:eastAsia="Arial" w:hAnsi="Arial"/>
                <w:sz w:val="16"/>
                <w:szCs w:val="16"/>
                <w:color w:val="auto"/>
              </w:rPr>
              <w:t>Arlington, VA</w:t>
            </w:r>
          </w:p>
        </w:tc>
      </w:tr>
      <w:tr>
        <w:trPr>
          <w:trHeight w:val="33"/>
        </w:trPr>
        <w:tc>
          <w:tcPr>
            <w:tcW w:w="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2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80" w:type="dxa"/>
            <w:vAlign w:val="bottom"/>
            <w:gridSpan w:val="2"/>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370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80" w:type="dxa"/>
            <w:vAlign w:val="bottom"/>
            <w:gridSpan w:val="2"/>
          </w:tcPr>
          <w:p>
            <w:pPr>
              <w:spacing w:after="0"/>
              <w:rPr>
                <w:sz w:val="23"/>
                <w:szCs w:val="23"/>
                <w:color w:val="auto"/>
              </w:rPr>
            </w:pPr>
          </w:p>
        </w:tc>
        <w:tc>
          <w:tcPr>
            <w:tcW w:w="24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3700" w:type="dxa"/>
            <w:vAlign w:val="bottom"/>
          </w:tcPr>
          <w:p>
            <w:pPr>
              <w:spacing w:after="0"/>
              <w:rPr>
                <w:sz w:val="23"/>
                <w:szCs w:val="23"/>
                <w:color w:val="auto"/>
              </w:rPr>
            </w:pPr>
          </w:p>
        </w:tc>
      </w:tr>
      <w:tr>
        <w:trPr>
          <w:trHeight w:val="237"/>
        </w:trPr>
        <w:tc>
          <w:tcPr>
            <w:tcW w:w="28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b w:val="1"/>
                <w:bCs w:val="1"/>
                <w:color w:val="auto"/>
                <w:w w:val="94"/>
              </w:rPr>
              <w:t>Longer Term Mixed-Use Opportunities</w:t>
            </w:r>
          </w:p>
        </w:tc>
        <w:tc>
          <w:tcPr>
            <w:tcW w:w="190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spacing w:after="0"/>
              <w:rPr>
                <w:sz w:val="20"/>
                <w:szCs w:val="20"/>
                <w:color w:val="auto"/>
              </w:rPr>
            </w:pPr>
          </w:p>
        </w:tc>
        <w:tc>
          <w:tcPr>
            <w:tcW w:w="3700" w:type="dxa"/>
            <w:vAlign w:val="bottom"/>
            <w:tcBorders>
              <w:bottom w:val="single" w:sz="8" w:color="CCEEFF"/>
            </w:tcBorders>
            <w:shd w:val="clear" w:color="auto" w:fill="CCEEFF"/>
          </w:tcPr>
          <w:p>
            <w:pPr>
              <w:spacing w:after="0"/>
              <w:rPr>
                <w:sz w:val="20"/>
                <w:szCs w:val="20"/>
                <w:color w:val="auto"/>
              </w:rPr>
            </w:pPr>
          </w:p>
        </w:tc>
      </w:tr>
      <w:tr>
        <w:trPr>
          <w:trHeight w:val="237"/>
        </w:trPr>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auto"/>
              </w:rPr>
              <w:t>Assembly Row (1)</w:t>
            </w:r>
          </w:p>
        </w:tc>
        <w:tc>
          <w:tcPr>
            <w:tcW w:w="1900" w:type="dxa"/>
            <w:vAlign w:val="bottom"/>
          </w:tcPr>
          <w:p>
            <w:pPr>
              <w:ind w:left="80"/>
              <w:spacing w:after="0"/>
              <w:rPr>
                <w:sz w:val="20"/>
                <w:szCs w:val="20"/>
                <w:color w:val="auto"/>
              </w:rPr>
            </w:pPr>
            <w:r>
              <w:rPr>
                <w:rFonts w:ascii="Arial" w:cs="Arial" w:eastAsia="Arial" w:hAnsi="Arial"/>
                <w:sz w:val="16"/>
                <w:szCs w:val="16"/>
                <w:color w:val="auto"/>
              </w:rPr>
              <w:t>Somerville, MA</w:t>
            </w:r>
          </w:p>
        </w:tc>
        <w:tc>
          <w:tcPr>
            <w:tcW w:w="3000" w:type="dxa"/>
            <w:vAlign w:val="bottom"/>
          </w:tcPr>
          <w:p>
            <w:pPr>
              <w:ind w:left="480"/>
              <w:spacing w:after="0"/>
              <w:rPr>
                <w:sz w:val="20"/>
                <w:szCs w:val="20"/>
                <w:color w:val="auto"/>
              </w:rPr>
            </w:pPr>
            <w:r>
              <w:rPr>
                <w:rFonts w:ascii="Arial" w:cs="Arial" w:eastAsia="Arial" w:hAnsi="Arial"/>
                <w:sz w:val="16"/>
                <w:szCs w:val="16"/>
                <w:b w:val="1"/>
                <w:bCs w:val="1"/>
                <w:color w:val="auto"/>
              </w:rPr>
              <w:t>San Antonio Center</w:t>
            </w:r>
          </w:p>
        </w:tc>
        <w:tc>
          <w:tcPr>
            <w:tcW w:w="3700" w:type="dxa"/>
            <w:vAlign w:val="bottom"/>
          </w:tcPr>
          <w:p>
            <w:pPr>
              <w:ind w:left="100"/>
              <w:spacing w:after="0"/>
              <w:rPr>
                <w:sz w:val="20"/>
                <w:szCs w:val="20"/>
                <w:color w:val="auto"/>
              </w:rPr>
            </w:pPr>
            <w:r>
              <w:rPr>
                <w:rFonts w:ascii="Arial" w:cs="Arial" w:eastAsia="Arial" w:hAnsi="Arial"/>
                <w:sz w:val="16"/>
                <w:szCs w:val="16"/>
                <w:color w:val="auto"/>
              </w:rPr>
              <w:t>Mountain View, CA</w:t>
            </w:r>
          </w:p>
        </w:tc>
      </w:tr>
      <w:tr>
        <w:trPr>
          <w:trHeight w:val="33"/>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Bala Cynwyd</w:t>
            </w:r>
          </w:p>
        </w:tc>
        <w:tc>
          <w:tcPr>
            <w:tcW w:w="1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Bala Cynwyd, PA</w:t>
            </w:r>
          </w:p>
        </w:tc>
        <w:tc>
          <w:tcPr>
            <w:tcW w:w="3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Santana Row (3)</w:t>
            </w:r>
          </w:p>
        </w:tc>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San Jose, CA</w:t>
            </w:r>
          </w:p>
        </w:tc>
      </w:tr>
      <w:tr>
        <w:trPr>
          <w:trHeight w:val="216"/>
        </w:trPr>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0" w:type="dxa"/>
            <w:vAlign w:val="bottom"/>
          </w:tcPr>
          <w:p>
            <w:pPr>
              <w:ind w:left="480"/>
              <w:spacing w:after="0"/>
              <w:rPr>
                <w:sz w:val="20"/>
                <w:szCs w:val="20"/>
                <w:color w:val="auto"/>
              </w:rPr>
            </w:pPr>
            <w:r>
              <w:rPr>
                <w:rFonts w:ascii="Arial" w:cs="Arial" w:eastAsia="Arial" w:hAnsi="Arial"/>
                <w:sz w:val="16"/>
                <w:szCs w:val="16"/>
                <w:b w:val="1"/>
                <w:bCs w:val="1"/>
                <w:color w:val="auto"/>
                <w:w w:val="94"/>
              </w:rPr>
              <w:t>Santana Row - Winchester Theater</w:t>
            </w:r>
          </w:p>
        </w:tc>
        <w:tc>
          <w:tcPr>
            <w:tcW w:w="3700" w:type="dxa"/>
            <w:vAlign w:val="bottom"/>
          </w:tcPr>
          <w:p>
            <w:pPr>
              <w:spacing w:after="0"/>
              <w:rPr>
                <w:sz w:val="18"/>
                <w:szCs w:val="18"/>
                <w:color w:val="auto"/>
              </w:rPr>
            </w:pPr>
          </w:p>
        </w:tc>
      </w:tr>
      <w:tr>
        <w:trPr>
          <w:trHeight w:val="210"/>
        </w:trPr>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auto"/>
              </w:rPr>
              <w:t>Pike 7 Plaza</w:t>
            </w:r>
          </w:p>
        </w:tc>
        <w:tc>
          <w:tcPr>
            <w:tcW w:w="1900" w:type="dxa"/>
            <w:vAlign w:val="bottom"/>
          </w:tcPr>
          <w:p>
            <w:pPr>
              <w:ind w:left="80"/>
              <w:spacing w:after="0"/>
              <w:rPr>
                <w:sz w:val="20"/>
                <w:szCs w:val="20"/>
                <w:color w:val="auto"/>
              </w:rPr>
            </w:pPr>
            <w:r>
              <w:rPr>
                <w:rFonts w:ascii="Arial" w:cs="Arial" w:eastAsia="Arial" w:hAnsi="Arial"/>
                <w:sz w:val="16"/>
                <w:szCs w:val="16"/>
                <w:color w:val="auto"/>
              </w:rPr>
              <w:t>Vienna, VA</w:t>
            </w:r>
          </w:p>
        </w:tc>
        <w:tc>
          <w:tcPr>
            <w:tcW w:w="3000" w:type="dxa"/>
            <w:vAlign w:val="bottom"/>
          </w:tcPr>
          <w:p>
            <w:pPr>
              <w:ind w:left="480"/>
              <w:spacing w:after="0"/>
              <w:rPr>
                <w:sz w:val="20"/>
                <w:szCs w:val="20"/>
                <w:color w:val="auto"/>
              </w:rPr>
            </w:pPr>
            <w:r>
              <w:rPr>
                <w:rFonts w:ascii="Arial" w:cs="Arial" w:eastAsia="Arial" w:hAnsi="Arial"/>
                <w:sz w:val="16"/>
                <w:szCs w:val="16"/>
                <w:b w:val="1"/>
                <w:bCs w:val="1"/>
                <w:color w:val="auto"/>
              </w:rPr>
              <w:t>site</w:t>
            </w:r>
          </w:p>
        </w:tc>
        <w:tc>
          <w:tcPr>
            <w:tcW w:w="3700" w:type="dxa"/>
            <w:vAlign w:val="bottom"/>
          </w:tcPr>
          <w:p>
            <w:pPr>
              <w:ind w:left="100"/>
              <w:spacing w:after="0"/>
              <w:rPr>
                <w:sz w:val="20"/>
                <w:szCs w:val="20"/>
                <w:color w:val="auto"/>
              </w:rPr>
            </w:pPr>
            <w:r>
              <w:rPr>
                <w:rFonts w:ascii="Arial" w:cs="Arial" w:eastAsia="Arial" w:hAnsi="Arial"/>
                <w:sz w:val="16"/>
                <w:szCs w:val="16"/>
                <w:color w:val="auto"/>
              </w:rPr>
              <w:t>San Jose, CA</w:t>
            </w:r>
          </w:p>
        </w:tc>
      </w:tr>
      <w:tr>
        <w:trPr>
          <w:trHeight w:val="33"/>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Pike &amp; Rose (2)</w:t>
            </w:r>
          </w:p>
        </w:tc>
        <w:tc>
          <w:tcPr>
            <w:tcW w:w="1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North Bethesda, MD</w:t>
            </w:r>
          </w:p>
        </w:tc>
        <w:tc>
          <w:tcPr>
            <w:tcW w:w="3000" w:type="dxa"/>
            <w:vAlign w:val="bottom"/>
            <w:tcBorders>
              <w:bottom w:val="single" w:sz="8" w:color="CCEEFF"/>
            </w:tcBorders>
            <w:shd w:val="clear" w:color="auto" w:fill="CCEEFF"/>
          </w:tcPr>
          <w:p>
            <w:pPr>
              <w:spacing w:after="0"/>
              <w:rPr>
                <w:sz w:val="21"/>
                <w:szCs w:val="21"/>
                <w:color w:val="auto"/>
              </w:rPr>
            </w:pPr>
          </w:p>
        </w:tc>
        <w:tc>
          <w:tcPr>
            <w:tcW w:w="370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380" w:type="dxa"/>
            <w:vAlign w:val="bottom"/>
            <w:gridSpan w:val="2"/>
          </w:tcPr>
          <w:p>
            <w:pPr>
              <w:spacing w:after="0"/>
              <w:rPr>
                <w:sz w:val="23"/>
                <w:szCs w:val="23"/>
                <w:color w:val="auto"/>
              </w:rPr>
            </w:pPr>
          </w:p>
        </w:tc>
        <w:tc>
          <w:tcPr>
            <w:tcW w:w="24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3700" w:type="dxa"/>
            <w:vAlign w:val="bottom"/>
          </w:tcPr>
          <w:p>
            <w:pPr>
              <w:spacing w:after="0"/>
              <w:rPr>
                <w:sz w:val="23"/>
                <w:szCs w:val="23"/>
                <w:color w:val="auto"/>
              </w:rPr>
            </w:pPr>
          </w:p>
        </w:tc>
      </w:tr>
      <w:tr>
        <w:trPr>
          <w:trHeight w:val="230"/>
        </w:trPr>
        <w:tc>
          <w:tcPr>
            <w:tcW w:w="28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Notes:</w:t>
            </w:r>
          </w:p>
        </w:tc>
        <w:tc>
          <w:tcPr>
            <w:tcW w:w="190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300" w:type="dxa"/>
            <w:vAlign w:val="bottom"/>
            <w:gridSpan w:val="2"/>
          </w:tcPr>
          <w:p>
            <w:pPr>
              <w:ind w:left="40"/>
              <w:spacing w:after="0"/>
              <w:rPr>
                <w:sz w:val="20"/>
                <w:szCs w:val="20"/>
                <w:color w:val="auto"/>
              </w:rPr>
            </w:pPr>
            <w:r>
              <w:rPr>
                <w:rFonts w:ascii="Arial" w:cs="Arial" w:eastAsia="Arial" w:hAnsi="Arial"/>
                <w:sz w:val="14"/>
                <w:szCs w:val="14"/>
                <w:color w:val="auto"/>
              </w:rPr>
              <w:t>(1)</w:t>
            </w:r>
          </w:p>
        </w:tc>
        <w:tc>
          <w:tcPr>
            <w:tcW w:w="2520" w:type="dxa"/>
            <w:vAlign w:val="bottom"/>
            <w:gridSpan w:val="2"/>
          </w:tcPr>
          <w:p>
            <w:pPr>
              <w:ind w:left="80"/>
              <w:spacing w:after="0"/>
              <w:rPr>
                <w:sz w:val="20"/>
                <w:szCs w:val="20"/>
                <w:color w:val="auto"/>
              </w:rPr>
            </w:pPr>
            <w:r>
              <w:rPr>
                <w:rFonts w:ascii="Arial" w:cs="Arial" w:eastAsia="Arial" w:hAnsi="Arial"/>
                <w:sz w:val="14"/>
                <w:szCs w:val="14"/>
                <w:color w:val="auto"/>
              </w:rPr>
              <w:t>Assembly Row</w:t>
            </w:r>
          </w:p>
        </w:tc>
        <w:tc>
          <w:tcPr>
            <w:tcW w:w="8600" w:type="dxa"/>
            <w:vAlign w:val="bottom"/>
            <w:gridSpan w:val="3"/>
          </w:tcPr>
          <w:p>
            <w:pPr>
              <w:ind w:left="80"/>
              <w:spacing w:after="0"/>
              <w:rPr>
                <w:sz w:val="20"/>
                <w:szCs w:val="20"/>
                <w:color w:val="auto"/>
              </w:rPr>
            </w:pPr>
            <w:r>
              <w:rPr>
                <w:rFonts w:ascii="Arial" w:cs="Arial" w:eastAsia="Arial" w:hAnsi="Arial"/>
                <w:sz w:val="14"/>
                <w:szCs w:val="14"/>
                <w:color w:val="auto"/>
              </w:rPr>
              <w:t>Remaining entitlements after Phase II include approximately 2 million square feet of commercial-use buildings and 834 residential units.</w:t>
            </w:r>
          </w:p>
        </w:tc>
      </w:tr>
      <w:tr>
        <w:trPr>
          <w:trHeight w:val="209"/>
        </w:trPr>
        <w:tc>
          <w:tcPr>
            <w:tcW w:w="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(2)</w:t>
            </w:r>
          </w:p>
        </w:tc>
        <w:tc>
          <w:tcPr>
            <w:tcW w:w="25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Pike &amp; Rose</w:t>
            </w:r>
          </w:p>
        </w:tc>
        <w:tc>
          <w:tcPr>
            <w:tcW w:w="86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Remaining entitlements after Phase II include 1 million square feet of commercial-use buildings and 736 residential units.</w:t>
            </w:r>
          </w:p>
        </w:tc>
      </w:tr>
      <w:tr>
        <w:trPr>
          <w:trHeight w:val="191"/>
        </w:trPr>
        <w:tc>
          <w:tcPr>
            <w:tcW w:w="300" w:type="dxa"/>
            <w:vAlign w:val="bottom"/>
            <w:gridSpan w:val="2"/>
          </w:tcPr>
          <w:p>
            <w:pPr>
              <w:ind w:left="40"/>
              <w:spacing w:after="0"/>
              <w:rPr>
                <w:sz w:val="20"/>
                <w:szCs w:val="20"/>
                <w:color w:val="auto"/>
              </w:rPr>
            </w:pPr>
            <w:r>
              <w:rPr>
                <w:rFonts w:ascii="Arial" w:cs="Arial" w:eastAsia="Arial" w:hAnsi="Arial"/>
                <w:sz w:val="14"/>
                <w:szCs w:val="14"/>
                <w:color w:val="auto"/>
              </w:rPr>
              <w:t>(3)</w:t>
            </w:r>
          </w:p>
        </w:tc>
        <w:tc>
          <w:tcPr>
            <w:tcW w:w="2520" w:type="dxa"/>
            <w:vAlign w:val="bottom"/>
            <w:gridSpan w:val="2"/>
          </w:tcPr>
          <w:p>
            <w:pPr>
              <w:ind w:left="80"/>
              <w:spacing w:after="0"/>
              <w:rPr>
                <w:sz w:val="20"/>
                <w:szCs w:val="20"/>
                <w:color w:val="auto"/>
              </w:rPr>
            </w:pPr>
            <w:r>
              <w:rPr>
                <w:rFonts w:ascii="Arial" w:cs="Arial" w:eastAsia="Arial" w:hAnsi="Arial"/>
                <w:sz w:val="14"/>
                <w:szCs w:val="14"/>
                <w:color w:val="auto"/>
              </w:rPr>
              <w:t>Santana Row</w:t>
            </w:r>
          </w:p>
        </w:tc>
        <w:tc>
          <w:tcPr>
            <w:tcW w:w="8600" w:type="dxa"/>
            <w:vAlign w:val="bottom"/>
            <w:gridSpan w:val="3"/>
          </w:tcPr>
          <w:p>
            <w:pPr>
              <w:ind w:left="80"/>
              <w:spacing w:after="0"/>
              <w:rPr>
                <w:sz w:val="20"/>
                <w:szCs w:val="20"/>
                <w:color w:val="auto"/>
              </w:rPr>
            </w:pPr>
            <w:r>
              <w:rPr>
                <w:rFonts w:ascii="Arial" w:cs="Arial" w:eastAsia="Arial" w:hAnsi="Arial"/>
                <w:sz w:val="14"/>
                <w:szCs w:val="14"/>
                <w:color w:val="auto"/>
              </w:rPr>
              <w:t>Remaining entitlements include approximately 634,000 square feet of commercial space and 395 residential units.</w:t>
            </w:r>
          </w:p>
        </w:tc>
      </w:tr>
      <w:tr>
        <w:trPr>
          <w:trHeight w:val="471"/>
        </w:trPr>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0" w:type="dxa"/>
            <w:vAlign w:val="bottom"/>
          </w:tcPr>
          <w:p>
            <w:pPr>
              <w:ind w:left="900"/>
              <w:spacing w:after="0"/>
              <w:rPr>
                <w:sz w:val="20"/>
                <w:szCs w:val="20"/>
                <w:color w:val="auto"/>
              </w:rPr>
            </w:pPr>
            <w:r>
              <w:rPr>
                <w:rFonts w:ascii="Arial" w:cs="Arial" w:eastAsia="Arial" w:hAnsi="Arial"/>
                <w:sz w:val="18"/>
                <w:szCs w:val="18"/>
                <w:color w:val="auto"/>
              </w:rPr>
              <w:t>17</w:t>
            </w:r>
          </w:p>
        </w:tc>
        <w:tc>
          <w:tcPr>
            <w:tcW w:w="3700" w:type="dxa"/>
            <w:vAlign w:val="bottom"/>
          </w:tcPr>
          <w:p>
            <w:pPr>
              <w:spacing w:after="0"/>
              <w:rPr>
                <w:sz w:val="24"/>
                <w:szCs w:val="24"/>
                <w:color w:val="auto"/>
              </w:rPr>
            </w:pPr>
          </w:p>
        </w:tc>
      </w:tr>
    </w:tbl>
    <w:p>
      <w:pPr>
        <w:sectPr>
          <w:pgSz w:w="11900" w:h="16838" w:orient="portrait"/>
          <w:cols w:equalWidth="0" w:num="1">
            <w:col w:w="11420"/>
          </w:cols>
          <w:pgMar w:left="240" w:top="747" w:right="239" w:bottom="1440" w:gutter="0" w:footer="0" w:header="0"/>
        </w:sectPr>
      </w:pPr>
    </w:p>
    <w:bookmarkStart w:id="20" w:name="page21"/>
    <w:bookmarkEnd w:id="2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2016 Significant Acquisitions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2016</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2016 Significant Acquisitions</w:t>
      </w:r>
    </w:p>
    <w:p>
      <w:pPr>
        <w:spacing w:after="0" w:line="185" w:lineRule="exact"/>
        <w:rPr>
          <w:sz w:val="20"/>
          <w:szCs w:val="20"/>
          <w:color w:val="auto"/>
        </w:rPr>
      </w:pPr>
    </w:p>
    <w:p>
      <w:pPr>
        <w:ind w:left="40" w:right="200"/>
        <w:spacing w:after="0" w:line="255" w:lineRule="auto"/>
        <w:rPr>
          <w:sz w:val="20"/>
          <w:szCs w:val="20"/>
          <w:color w:val="auto"/>
        </w:rPr>
      </w:pPr>
      <w:r>
        <w:rPr>
          <w:rFonts w:ascii="Arial" w:cs="Arial" w:eastAsia="Arial" w:hAnsi="Arial"/>
          <w:sz w:val="17"/>
          <w:szCs w:val="17"/>
          <w:color w:val="auto"/>
        </w:rPr>
        <w:t>On January 13, 2016, we acquired our partner's 70% interest in our joint venture arrangement (the "Partnership") with affiliates of a discretionary fund created and advised by Clarion Partners ("Clarion") for $153.7 million, which included $130 million of cash and the assumption of tmortgage loans totaling $34.4 million. As a result of the transaction, we gained control of the six underlying properties and effective January 13, 2016, have consolidated the properties. We also recognized a gain on acquisition of the controlling interest of $25.7 million related to the difference between the carrying value and fair value of the previously held equity interest.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Property</w:t>
            </w:r>
          </w:p>
        </w:tc>
        <w:tc>
          <w:tcPr>
            <w:tcW w:w="24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City/State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GLA</w:t>
            </w:r>
          </w:p>
        </w:tc>
        <w:tc>
          <w:tcPr>
            <w:tcW w:w="52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(in square feet)</w:t>
            </w:r>
          </w:p>
        </w:tc>
        <w:tc>
          <w:tcPr>
            <w:tcW w:w="5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24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Atlantic Plaza</w:t>
            </w:r>
          </w:p>
        </w:tc>
        <w:tc>
          <w:tcPr>
            <w:tcW w:w="24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North Reading, MA</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123,000</w:t>
            </w:r>
          </w:p>
        </w:tc>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Stop &amp; Shop</w:t>
            </w:r>
          </w:p>
        </w:tc>
        <w:tc>
          <w:tcPr>
            <w:tcW w:w="0" w:type="dxa"/>
            <w:vAlign w:val="bottom"/>
          </w:tcPr>
          <w:p>
            <w:pPr>
              <w:spacing w:after="0"/>
              <w:rPr>
                <w:sz w:val="1"/>
                <w:szCs w:val="1"/>
                <w:color w:val="auto"/>
              </w:rPr>
            </w:pPr>
          </w:p>
        </w:tc>
      </w:tr>
      <w:tr>
        <w:trPr>
          <w:trHeight w:val="224"/>
        </w:trPr>
        <w:tc>
          <w:tcPr>
            <w:tcW w:w="2240" w:type="dxa"/>
            <w:vAlign w:val="bottom"/>
          </w:tcPr>
          <w:p>
            <w:pPr>
              <w:ind w:left="40"/>
              <w:spacing w:after="0"/>
              <w:rPr>
                <w:sz w:val="20"/>
                <w:szCs w:val="20"/>
                <w:color w:val="auto"/>
              </w:rPr>
            </w:pPr>
            <w:r>
              <w:rPr>
                <w:rFonts w:ascii="Arial" w:cs="Arial" w:eastAsia="Arial" w:hAnsi="Arial"/>
                <w:sz w:val="16"/>
                <w:szCs w:val="16"/>
                <w:color w:val="auto"/>
              </w:rPr>
              <w:t>Barcroft Plaza</w:t>
            </w:r>
          </w:p>
        </w:tc>
        <w:tc>
          <w:tcPr>
            <w:tcW w:w="2460" w:type="dxa"/>
            <w:vAlign w:val="bottom"/>
          </w:tcPr>
          <w:p>
            <w:pPr>
              <w:ind w:left="420"/>
              <w:spacing w:after="0"/>
              <w:rPr>
                <w:sz w:val="20"/>
                <w:szCs w:val="20"/>
                <w:color w:val="auto"/>
              </w:rPr>
            </w:pPr>
            <w:r>
              <w:rPr>
                <w:rFonts w:ascii="Arial" w:cs="Arial" w:eastAsia="Arial" w:hAnsi="Arial"/>
                <w:sz w:val="16"/>
                <w:szCs w:val="16"/>
                <w:color w:val="auto"/>
              </w:rPr>
              <w:t>Falls Church, VA</w:t>
            </w: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100,000</w:t>
            </w:r>
          </w:p>
        </w:tc>
        <w:tc>
          <w:tcPr>
            <w:tcW w:w="5240" w:type="dxa"/>
            <w:vAlign w:val="bottom"/>
          </w:tcPr>
          <w:p>
            <w:pPr>
              <w:ind w:left="140"/>
              <w:spacing w:after="0"/>
              <w:rPr>
                <w:sz w:val="20"/>
                <w:szCs w:val="20"/>
                <w:color w:val="auto"/>
              </w:rPr>
            </w:pPr>
            <w:r>
              <w:rPr>
                <w:rFonts w:ascii="Arial" w:cs="Arial" w:eastAsia="Arial" w:hAnsi="Arial"/>
                <w:sz w:val="16"/>
                <w:szCs w:val="16"/>
                <w:color w:val="auto"/>
              </w:rPr>
              <w:t>Harris Teeter / Bank of America</w:t>
            </w:r>
          </w:p>
        </w:tc>
        <w:tc>
          <w:tcPr>
            <w:tcW w:w="0" w:type="dxa"/>
            <w:vAlign w:val="bottom"/>
          </w:tcPr>
          <w:p>
            <w:pPr>
              <w:spacing w:after="0"/>
              <w:rPr>
                <w:sz w:val="1"/>
                <w:szCs w:val="1"/>
                <w:color w:val="auto"/>
              </w:rPr>
            </w:pPr>
          </w:p>
        </w:tc>
      </w:tr>
      <w:tr>
        <w:trPr>
          <w:trHeight w:val="47"/>
        </w:trPr>
        <w:tc>
          <w:tcPr>
            <w:tcW w:w="224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5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Campus Plaza</w:t>
            </w:r>
          </w:p>
        </w:tc>
        <w:tc>
          <w:tcPr>
            <w:tcW w:w="24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Bridgewater, MA</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116,000</w:t>
            </w:r>
          </w:p>
        </w:tc>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Roche Bros. / Burlington Coat Factory</w:t>
            </w:r>
          </w:p>
        </w:tc>
        <w:tc>
          <w:tcPr>
            <w:tcW w:w="0" w:type="dxa"/>
            <w:vAlign w:val="bottom"/>
          </w:tcPr>
          <w:p>
            <w:pPr>
              <w:spacing w:after="0"/>
              <w:rPr>
                <w:sz w:val="1"/>
                <w:szCs w:val="1"/>
                <w:color w:val="auto"/>
              </w:rPr>
            </w:pPr>
          </w:p>
        </w:tc>
      </w:tr>
      <w:tr>
        <w:trPr>
          <w:trHeight w:val="224"/>
        </w:trPr>
        <w:tc>
          <w:tcPr>
            <w:tcW w:w="2240" w:type="dxa"/>
            <w:vAlign w:val="bottom"/>
          </w:tcPr>
          <w:p>
            <w:pPr>
              <w:ind w:left="40"/>
              <w:spacing w:after="0"/>
              <w:rPr>
                <w:sz w:val="20"/>
                <w:szCs w:val="20"/>
                <w:color w:val="auto"/>
              </w:rPr>
            </w:pPr>
            <w:r>
              <w:rPr>
                <w:rFonts w:ascii="Arial" w:cs="Arial" w:eastAsia="Arial" w:hAnsi="Arial"/>
                <w:sz w:val="16"/>
                <w:szCs w:val="16"/>
                <w:color w:val="auto"/>
              </w:rPr>
              <w:t>Free State Shopping Center</w:t>
            </w:r>
          </w:p>
        </w:tc>
        <w:tc>
          <w:tcPr>
            <w:tcW w:w="2460" w:type="dxa"/>
            <w:vAlign w:val="bottom"/>
          </w:tcPr>
          <w:p>
            <w:pPr>
              <w:ind w:left="420"/>
              <w:spacing w:after="0"/>
              <w:rPr>
                <w:sz w:val="20"/>
                <w:szCs w:val="20"/>
                <w:color w:val="auto"/>
              </w:rPr>
            </w:pPr>
            <w:r>
              <w:rPr>
                <w:rFonts w:ascii="Arial" w:cs="Arial" w:eastAsia="Arial" w:hAnsi="Arial"/>
                <w:sz w:val="16"/>
                <w:szCs w:val="16"/>
                <w:color w:val="auto"/>
              </w:rPr>
              <w:t>Bowie, MD</w:t>
            </w: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265,000</w:t>
            </w:r>
          </w:p>
        </w:tc>
        <w:tc>
          <w:tcPr>
            <w:tcW w:w="5240" w:type="dxa"/>
            <w:vAlign w:val="bottom"/>
          </w:tcPr>
          <w:p>
            <w:pPr>
              <w:ind w:left="140"/>
              <w:spacing w:after="0"/>
              <w:rPr>
                <w:sz w:val="20"/>
                <w:szCs w:val="20"/>
                <w:color w:val="auto"/>
              </w:rPr>
            </w:pPr>
            <w:r>
              <w:rPr>
                <w:rFonts w:ascii="Arial" w:cs="Arial" w:eastAsia="Arial" w:hAnsi="Arial"/>
                <w:sz w:val="16"/>
                <w:szCs w:val="16"/>
                <w:color w:val="auto"/>
              </w:rPr>
              <w:t>Giant Food / TJ Maxx / Ross Dress For Less / Office Depot</w:t>
            </w:r>
          </w:p>
        </w:tc>
        <w:tc>
          <w:tcPr>
            <w:tcW w:w="0" w:type="dxa"/>
            <w:vAlign w:val="bottom"/>
          </w:tcPr>
          <w:p>
            <w:pPr>
              <w:spacing w:after="0"/>
              <w:rPr>
                <w:sz w:val="1"/>
                <w:szCs w:val="1"/>
                <w:color w:val="auto"/>
              </w:rPr>
            </w:pPr>
          </w:p>
        </w:tc>
      </w:tr>
      <w:tr>
        <w:trPr>
          <w:trHeight w:val="47"/>
        </w:trPr>
        <w:tc>
          <w:tcPr>
            <w:tcW w:w="224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5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Greenlawn Plaza</w:t>
            </w:r>
          </w:p>
        </w:tc>
        <w:tc>
          <w:tcPr>
            <w:tcW w:w="24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Greenlawn, NY</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106,000</w:t>
            </w:r>
          </w:p>
        </w:tc>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Greenlawn Farms / Tuesday Morning</w:t>
            </w:r>
          </w:p>
        </w:tc>
        <w:tc>
          <w:tcPr>
            <w:tcW w:w="0" w:type="dxa"/>
            <w:vAlign w:val="bottom"/>
          </w:tcPr>
          <w:p>
            <w:pPr>
              <w:spacing w:after="0"/>
              <w:rPr>
                <w:sz w:val="1"/>
                <w:szCs w:val="1"/>
                <w:color w:val="auto"/>
              </w:rPr>
            </w:pPr>
          </w:p>
        </w:tc>
      </w:tr>
      <w:tr>
        <w:trPr>
          <w:trHeight w:val="224"/>
        </w:trPr>
        <w:tc>
          <w:tcPr>
            <w:tcW w:w="2240" w:type="dxa"/>
            <w:vAlign w:val="bottom"/>
          </w:tcPr>
          <w:p>
            <w:pPr>
              <w:ind w:left="40"/>
              <w:spacing w:after="0"/>
              <w:rPr>
                <w:sz w:val="20"/>
                <w:szCs w:val="20"/>
                <w:color w:val="auto"/>
              </w:rPr>
            </w:pPr>
            <w:r>
              <w:rPr>
                <w:rFonts w:ascii="Arial" w:cs="Arial" w:eastAsia="Arial" w:hAnsi="Arial"/>
                <w:sz w:val="16"/>
                <w:szCs w:val="16"/>
                <w:color w:val="auto"/>
              </w:rPr>
              <w:t>Plaza del Mercado</w:t>
            </w:r>
          </w:p>
        </w:tc>
        <w:tc>
          <w:tcPr>
            <w:tcW w:w="2460" w:type="dxa"/>
            <w:vAlign w:val="bottom"/>
          </w:tcPr>
          <w:p>
            <w:pPr>
              <w:ind w:left="420"/>
              <w:spacing w:after="0"/>
              <w:rPr>
                <w:sz w:val="20"/>
                <w:szCs w:val="20"/>
                <w:color w:val="auto"/>
              </w:rPr>
            </w:pPr>
            <w:r>
              <w:rPr>
                <w:rFonts w:ascii="Arial" w:cs="Arial" w:eastAsia="Arial" w:hAnsi="Arial"/>
                <w:sz w:val="16"/>
                <w:szCs w:val="16"/>
                <w:color w:val="auto"/>
              </w:rPr>
              <w:t>Silver Spring, MD</w:t>
            </w: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96,000</w:t>
            </w:r>
          </w:p>
        </w:tc>
        <w:tc>
          <w:tcPr>
            <w:tcW w:w="5240" w:type="dxa"/>
            <w:vAlign w:val="bottom"/>
          </w:tcPr>
          <w:p>
            <w:pPr>
              <w:ind w:left="140"/>
              <w:spacing w:after="0"/>
              <w:rPr>
                <w:sz w:val="20"/>
                <w:szCs w:val="20"/>
                <w:color w:val="auto"/>
              </w:rPr>
            </w:pPr>
            <w:r>
              <w:rPr>
                <w:rFonts w:ascii="Arial" w:cs="Arial" w:eastAsia="Arial" w:hAnsi="Arial"/>
                <w:sz w:val="16"/>
                <w:szCs w:val="16"/>
                <w:color w:val="auto"/>
              </w:rPr>
              <w:t>CVS</w:t>
            </w:r>
          </w:p>
        </w:tc>
        <w:tc>
          <w:tcPr>
            <w:tcW w:w="0" w:type="dxa"/>
            <w:vAlign w:val="bottom"/>
          </w:tcPr>
          <w:p>
            <w:pPr>
              <w:spacing w:after="0"/>
              <w:rPr>
                <w:sz w:val="1"/>
                <w:szCs w:val="1"/>
                <w:color w:val="auto"/>
              </w:rPr>
            </w:pPr>
          </w:p>
        </w:tc>
      </w:tr>
      <w:tr>
        <w:trPr>
          <w:trHeight w:val="47"/>
        </w:trPr>
        <w:tc>
          <w:tcPr>
            <w:tcW w:w="2240" w:type="dxa"/>
            <w:vAlign w:val="bottom"/>
          </w:tcPr>
          <w:p>
            <w:pPr>
              <w:spacing w:after="0"/>
              <w:rPr>
                <w:sz w:val="4"/>
                <w:szCs w:val="4"/>
                <w:color w:val="auto"/>
              </w:rPr>
            </w:pPr>
          </w:p>
        </w:tc>
        <w:tc>
          <w:tcPr>
            <w:tcW w:w="2460" w:type="dxa"/>
            <w:vAlign w:val="bottom"/>
            <w:vMerge w:val="restart"/>
          </w:tcPr>
          <w:p>
            <w:pPr>
              <w:ind w:left="1700"/>
              <w:spacing w:after="0"/>
              <w:rPr>
                <w:sz w:val="20"/>
                <w:szCs w:val="20"/>
                <w:color w:val="auto"/>
              </w:rPr>
            </w:pPr>
            <w:r>
              <w:rPr>
                <w:rFonts w:ascii="Arial" w:cs="Arial" w:eastAsia="Arial" w:hAnsi="Arial"/>
                <w:sz w:val="16"/>
                <w:szCs w:val="16"/>
                <w:b w:val="1"/>
                <w:bCs w:val="1"/>
                <w:color w:val="auto"/>
                <w:w w:val="96"/>
              </w:rPr>
              <w:t>Total GLA</w:t>
            </w:r>
          </w:p>
        </w:tc>
        <w:tc>
          <w:tcPr>
            <w:tcW w:w="1480" w:type="dxa"/>
            <w:vAlign w:val="bottom"/>
            <w:tcBorders>
              <w:bottom w:val="single" w:sz="8" w:color="auto"/>
            </w:tcBorders>
          </w:tcPr>
          <w:p>
            <w:pPr>
              <w:spacing w:after="0"/>
              <w:rPr>
                <w:sz w:val="4"/>
                <w:szCs w:val="4"/>
                <w:color w:val="auto"/>
              </w:rPr>
            </w:pPr>
          </w:p>
        </w:tc>
        <w:tc>
          <w:tcPr>
            <w:tcW w:w="5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2240" w:type="dxa"/>
            <w:vAlign w:val="bottom"/>
          </w:tcPr>
          <w:p>
            <w:pPr>
              <w:spacing w:after="0"/>
              <w:rPr>
                <w:sz w:val="18"/>
                <w:szCs w:val="18"/>
                <w:color w:val="auto"/>
              </w:rPr>
            </w:pPr>
          </w:p>
        </w:tc>
        <w:tc>
          <w:tcPr>
            <w:tcW w:w="2460" w:type="dxa"/>
            <w:vAlign w:val="bottom"/>
            <w:vMerge w:val="continue"/>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806,000</w:t>
            </w:r>
          </w:p>
        </w:tc>
        <w:tc>
          <w:tcPr>
            <w:tcW w:w="5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2" w:right="239" w:bottom="1440" w:gutter="0" w:footer="0" w:header="0"/>
        </w:sectPr>
      </w:pPr>
    </w:p>
    <w:bookmarkStart w:id="21" w:name="page22"/>
    <w:bookmarkEnd w:id="21"/>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2016</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Estate at</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4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Anchor</w:t>
            </w:r>
          </w:p>
        </w:tc>
        <w:tc>
          <w:tcPr>
            <w:tcW w:w="820" w:type="dxa"/>
            <w:vAlign w:val="bottom"/>
            <w:gridSpan w:val="4"/>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Property Name</w:t>
            </w:r>
          </w:p>
        </w:tc>
        <w:tc>
          <w:tcPr>
            <w:tcW w:w="3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MSA Description</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0"/>
              </w:rPr>
              <w:t>Year Acquired</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Leased</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GLA</w:t>
            </w:r>
          </w:p>
        </w:tc>
        <w:tc>
          <w:tcPr>
            <w:tcW w:w="820" w:type="dxa"/>
            <w:vAlign w:val="bottom"/>
            <w:tcBorders>
              <w:bottom w:val="single" w:sz="8" w:color="auto"/>
            </w:tcBorders>
            <w:gridSpan w:val="4"/>
          </w:tcPr>
          <w:p>
            <w:pPr>
              <w:ind w:left="80"/>
              <w:spacing w:after="0"/>
              <w:rPr>
                <w:sz w:val="20"/>
                <w:szCs w:val="20"/>
                <w:color w:val="auto"/>
              </w:rPr>
            </w:pPr>
            <w:r>
              <w:rPr>
                <w:rFonts w:ascii="Arial" w:cs="Arial" w:eastAsia="Arial" w:hAnsi="Arial"/>
                <w:sz w:val="13"/>
                <w:szCs w:val="13"/>
                <w:b w:val="1"/>
                <w:bCs w:val="1"/>
                <w:color w:val="auto"/>
              </w:rPr>
              <w:t>Anchor</w:t>
            </w:r>
          </w:p>
        </w:tc>
        <w:tc>
          <w:tcPr>
            <w:tcW w:w="3280" w:type="dxa"/>
            <w:vAlign w:val="bottom"/>
            <w:tcBorders>
              <w:bottom w:val="single" w:sz="8" w:color="auto"/>
            </w:tcBorders>
            <w:gridSpan w:val="11"/>
          </w:tcPr>
          <w:p>
            <w:pPr>
              <w:ind w:left="60"/>
              <w:spacing w:after="0"/>
              <w:rPr>
                <w:sz w:val="20"/>
                <w:szCs w:val="20"/>
                <w:color w:val="auto"/>
              </w:rPr>
            </w:pPr>
            <w:r>
              <w:rPr>
                <w:rFonts w:ascii="Arial" w:cs="Arial" w:eastAsia="Arial" w:hAnsi="Arial"/>
                <w:sz w:val="13"/>
                <w:szCs w:val="13"/>
                <w:b w:val="1"/>
                <w:bCs w:val="1"/>
                <w:color w:val="auto"/>
              </w:rPr>
              <w:t>Other Principal Tenants</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gridSpan w:val="3"/>
            <w:shd w:val="clear" w:color="auto" w:fill="CCEEFF"/>
          </w:tcPr>
          <w:p>
            <w:pPr>
              <w:ind w:left="60"/>
              <w:spacing w:after="0"/>
              <w:rPr>
                <w:sz w:val="20"/>
                <w:szCs w:val="20"/>
                <w:color w:val="auto"/>
              </w:rPr>
            </w:pPr>
            <w:r>
              <w:rPr>
                <w:rFonts w:ascii="Arial" w:cs="Arial" w:eastAsia="Arial" w:hAnsi="Arial"/>
                <w:sz w:val="13"/>
                <w:szCs w:val="13"/>
                <w:b w:val="1"/>
                <w:bCs w:val="1"/>
                <w:color w:val="auto"/>
                <w:w w:val="88"/>
              </w:rPr>
              <w:t>Washington Metropolitan Area</w:t>
            </w:r>
          </w:p>
        </w:tc>
        <w:tc>
          <w:tcPr>
            <w:tcW w:w="1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1380" w:type="dxa"/>
            <w:vAlign w:val="bottom"/>
            <w:tcBorders>
              <w:top w:val="single" w:sz="8" w:color="CCEEFF"/>
            </w:tcBorders>
            <w:gridSpan w:val="3"/>
          </w:tcPr>
          <w:p>
            <w:pPr>
              <w:ind w:left="20"/>
              <w:spacing w:after="0"/>
              <w:rPr>
                <w:sz w:val="20"/>
                <w:szCs w:val="20"/>
                <w:color w:val="auto"/>
              </w:rPr>
            </w:pPr>
            <w:r>
              <w:rPr>
                <w:rFonts w:ascii="Arial" w:cs="Arial" w:eastAsia="Arial" w:hAnsi="Arial"/>
                <w:sz w:val="13"/>
                <w:szCs w:val="13"/>
                <w:color w:val="auto"/>
              </w:rPr>
              <w:t>Barcroft Plaza</w:t>
            </w:r>
          </w:p>
        </w:tc>
        <w:tc>
          <w:tcPr>
            <w:tcW w:w="380" w:type="dxa"/>
            <w:vAlign w:val="bottom"/>
            <w:tcBorders>
              <w:top w:val="single" w:sz="8" w:color="CCEEFF"/>
            </w:tcBorders>
          </w:tcPr>
          <w:p>
            <w:pPr>
              <w:jc w:val="right"/>
              <w:ind w:right="77"/>
              <w:spacing w:after="0"/>
              <w:rPr>
                <w:sz w:val="20"/>
                <w:szCs w:val="20"/>
                <w:color w:val="auto"/>
              </w:rPr>
            </w:pPr>
            <w:r>
              <w:rPr>
                <w:rFonts w:ascii="Arial" w:cs="Arial" w:eastAsia="Arial" w:hAnsi="Arial"/>
                <w:sz w:val="13"/>
                <w:szCs w:val="13"/>
                <w:color w:val="auto"/>
              </w:rPr>
              <w:t>(8)</w:t>
            </w:r>
          </w:p>
        </w:tc>
        <w:tc>
          <w:tcPr>
            <w:tcW w:w="1600" w:type="dxa"/>
            <w:vAlign w:val="bottom"/>
            <w:tcBorders>
              <w:top w:val="single" w:sz="8" w:color="CCEEFF"/>
            </w:tcBorders>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2006-2007</w:t>
            </w:r>
          </w:p>
        </w:tc>
        <w:tc>
          <w:tcPr>
            <w:tcW w:w="680" w:type="dxa"/>
            <w:vAlign w:val="bottom"/>
            <w:tcBorders>
              <w:top w:val="single" w:sz="8" w:color="CCEEFF"/>
            </w:tcBorders>
          </w:tcPr>
          <w:p>
            <w:pPr>
              <w:jc w:val="right"/>
              <w:ind w:right="57"/>
              <w:spacing w:after="0"/>
              <w:rPr>
                <w:sz w:val="20"/>
                <w:szCs w:val="20"/>
                <w:color w:val="auto"/>
              </w:rPr>
            </w:pPr>
            <w:r>
              <w:rPr>
                <w:rFonts w:ascii="Arial" w:cs="Arial" w:eastAsia="Arial" w:hAnsi="Arial"/>
                <w:sz w:val="13"/>
                <w:szCs w:val="13"/>
                <w:color w:val="auto"/>
                <w:w w:val="99"/>
              </w:rPr>
              <w:t>$  37,094</w:t>
            </w:r>
          </w:p>
        </w:tc>
        <w:tc>
          <w:tcPr>
            <w:tcW w:w="660" w:type="dxa"/>
            <w:vAlign w:val="bottom"/>
            <w:tcBorders>
              <w:top w:val="single" w:sz="8" w:color="CCEEFF"/>
            </w:tcBorders>
          </w:tcPr>
          <w:p>
            <w:pPr>
              <w:jc w:val="right"/>
              <w:ind w:right="58"/>
              <w:spacing w:after="0"/>
              <w:rPr>
                <w:sz w:val="20"/>
                <w:szCs w:val="20"/>
                <w:color w:val="auto"/>
              </w:rPr>
            </w:pPr>
            <w:r>
              <w:rPr>
                <w:rFonts w:ascii="Arial" w:cs="Arial" w:eastAsia="Arial" w:hAnsi="Arial"/>
                <w:sz w:val="13"/>
                <w:szCs w:val="13"/>
                <w:color w:val="auto"/>
                <w:w w:val="95"/>
              </w:rPr>
              <w:t>$  20,785</w:t>
            </w:r>
          </w:p>
        </w:tc>
        <w:tc>
          <w:tcPr>
            <w:tcW w:w="640" w:type="dxa"/>
            <w:vAlign w:val="bottom"/>
            <w:tcBorders>
              <w:top w:val="single" w:sz="8" w:color="CCEEFF"/>
            </w:tcBorders>
          </w:tcPr>
          <w:p>
            <w:pPr>
              <w:jc w:val="right"/>
              <w:ind w:right="17"/>
              <w:spacing w:after="0"/>
              <w:rPr>
                <w:sz w:val="20"/>
                <w:szCs w:val="20"/>
                <w:color w:val="auto"/>
              </w:rPr>
            </w:pPr>
            <w:r>
              <w:rPr>
                <w:rFonts w:ascii="Arial" w:cs="Arial" w:eastAsia="Arial" w:hAnsi="Arial"/>
                <w:sz w:val="13"/>
                <w:szCs w:val="13"/>
                <w:color w:val="auto"/>
              </w:rPr>
              <w:t>100,000</w:t>
            </w:r>
          </w:p>
        </w:tc>
        <w:tc>
          <w:tcPr>
            <w:tcW w:w="50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82%</w:t>
            </w:r>
          </w:p>
        </w:tc>
        <w:tc>
          <w:tcPr>
            <w:tcW w:w="600" w:type="dxa"/>
            <w:vAlign w:val="bottom"/>
            <w:tcBorders>
              <w:top w:val="single" w:sz="8" w:color="CCEEFF"/>
            </w:tcBorders>
          </w:tcPr>
          <w:p>
            <w:pPr>
              <w:jc w:val="center"/>
              <w:spacing w:after="0"/>
              <w:rPr>
                <w:sz w:val="20"/>
                <w:szCs w:val="20"/>
                <w:color w:val="auto"/>
              </w:rPr>
            </w:pPr>
            <w:r>
              <w:rPr>
                <w:rFonts w:ascii="Arial" w:cs="Arial" w:eastAsia="Arial" w:hAnsi="Arial"/>
                <w:sz w:val="13"/>
                <w:szCs w:val="13"/>
                <w:color w:val="auto"/>
                <w:w w:val="85"/>
              </w:rPr>
              <w:t>46,000</w:t>
            </w:r>
          </w:p>
        </w:tc>
        <w:tc>
          <w:tcPr>
            <w:tcW w:w="820" w:type="dxa"/>
            <w:vAlign w:val="bottom"/>
            <w:tcBorders>
              <w:top w:val="single" w:sz="8" w:color="CCEEFF"/>
            </w:tcBorders>
            <w:gridSpan w:val="4"/>
          </w:tcPr>
          <w:p>
            <w:pPr>
              <w:ind w:left="80"/>
              <w:spacing w:after="0"/>
              <w:rPr>
                <w:sz w:val="20"/>
                <w:szCs w:val="20"/>
                <w:color w:val="auto"/>
              </w:rPr>
            </w:pPr>
            <w:r>
              <w:rPr>
                <w:rFonts w:ascii="Arial" w:cs="Arial" w:eastAsia="Arial" w:hAnsi="Arial"/>
                <w:sz w:val="13"/>
                <w:szCs w:val="13"/>
                <w:color w:val="auto"/>
                <w:w w:val="94"/>
              </w:rPr>
              <w:t>Harris Teeter</w:t>
            </w:r>
          </w:p>
        </w:tc>
        <w:tc>
          <w:tcPr>
            <w:tcW w:w="3280" w:type="dxa"/>
            <w:vAlign w:val="bottom"/>
            <w:tcBorders>
              <w:top w:val="single" w:sz="8" w:color="CCEEFF"/>
            </w:tcBorders>
            <w:gridSpan w:val="11"/>
          </w:tcPr>
          <w:p>
            <w:pPr>
              <w:ind w:left="60"/>
              <w:spacing w:after="0"/>
              <w:rPr>
                <w:sz w:val="20"/>
                <w:szCs w:val="20"/>
                <w:color w:val="auto"/>
              </w:rPr>
            </w:pPr>
            <w:r>
              <w:rPr>
                <w:rFonts w:ascii="Arial" w:cs="Arial" w:eastAsia="Arial" w:hAnsi="Arial"/>
                <w:sz w:val="13"/>
                <w:szCs w:val="13"/>
                <w:color w:val="auto"/>
              </w:rPr>
              <w:t>Bank of America</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shd w:val="clear" w:color="auto" w:fill="CCEEFF"/>
              </w:rPr>
              <w:t>Bethesda Row</w:t>
            </w:r>
          </w:p>
        </w:tc>
        <w:tc>
          <w:tcPr>
            <w:tcW w:w="380" w:type="dxa"/>
            <w:vAlign w:val="bottom"/>
            <w:shd w:val="clear" w:color="auto" w:fill="CCEEFF"/>
          </w:tcPr>
          <w:p>
            <w:pPr>
              <w:spacing w:after="0"/>
              <w:rPr>
                <w:sz w:val="12"/>
                <w:szCs w:val="12"/>
                <w:color w:val="auto"/>
              </w:rPr>
            </w:pPr>
          </w:p>
        </w:tc>
        <w:tc>
          <w:tcPr>
            <w:tcW w:w="160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shd w:val="clear" w:color="auto" w:fill="CCEEFF"/>
              </w:rPr>
              <w:t>Washington, DC-MD-VA</w:t>
            </w:r>
          </w:p>
        </w:tc>
        <w:tc>
          <w:tcPr>
            <w:tcW w:w="8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shd w:val="clear" w:color="auto" w:fill="CCEEFF"/>
              </w:rPr>
              <w:t>1993-</w:t>
            </w:r>
          </w:p>
        </w:tc>
        <w:tc>
          <w:tcPr>
            <w:tcW w:w="680" w:type="dxa"/>
            <w:vAlign w:val="bottom"/>
            <w:shd w:val="clear" w:color="auto" w:fill="CCEEFF"/>
          </w:tcPr>
          <w:p>
            <w:pPr>
              <w:jc w:val="right"/>
              <w:ind w:right="57"/>
              <w:spacing w:after="0" w:line="148" w:lineRule="exact"/>
              <w:rPr>
                <w:sz w:val="20"/>
                <w:szCs w:val="20"/>
                <w:color w:val="auto"/>
              </w:rPr>
            </w:pPr>
            <w:r>
              <w:rPr>
                <w:rFonts w:ascii="Arial" w:cs="Arial" w:eastAsia="Arial" w:hAnsi="Arial"/>
                <w:sz w:val="13"/>
                <w:szCs w:val="13"/>
                <w:color w:val="auto"/>
              </w:rPr>
              <w:t>223,262</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533,000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92%</w:t>
            </w:r>
          </w:p>
        </w:tc>
        <w:tc>
          <w:tcPr>
            <w:tcW w:w="6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40,000</w:t>
            </w:r>
          </w:p>
        </w:tc>
        <w:tc>
          <w:tcPr>
            <w:tcW w:w="820" w:type="dxa"/>
            <w:vAlign w:val="bottom"/>
            <w:gridSpan w:val="4"/>
            <w:shd w:val="clear" w:color="auto" w:fill="CCEEFF"/>
          </w:tcPr>
          <w:p>
            <w:pPr>
              <w:ind w:left="80"/>
              <w:spacing w:after="0" w:line="148" w:lineRule="exact"/>
              <w:rPr>
                <w:sz w:val="20"/>
                <w:szCs w:val="20"/>
                <w:color w:val="auto"/>
              </w:rPr>
            </w:pPr>
            <w:r>
              <w:rPr>
                <w:rFonts w:ascii="Arial" w:cs="Arial" w:eastAsia="Arial" w:hAnsi="Arial"/>
                <w:sz w:val="13"/>
                <w:szCs w:val="13"/>
                <w:color w:val="auto"/>
              </w:rPr>
              <w:t>Giant Food</w:t>
            </w:r>
          </w:p>
        </w:tc>
        <w:tc>
          <w:tcPr>
            <w:tcW w:w="3280" w:type="dxa"/>
            <w:vAlign w:val="bottom"/>
            <w:gridSpan w:val="11"/>
            <w:shd w:val="clear" w:color="auto" w:fill="CCEEFF"/>
          </w:tcPr>
          <w:p>
            <w:pPr>
              <w:ind w:left="60"/>
              <w:spacing w:after="0" w:line="148" w:lineRule="exact"/>
              <w:rPr>
                <w:sz w:val="20"/>
                <w:szCs w:val="20"/>
                <w:color w:val="auto"/>
              </w:rPr>
            </w:pPr>
            <w:r>
              <w:rPr>
                <w:rFonts w:ascii="Arial" w:cs="Arial" w:eastAsia="Arial" w:hAnsi="Arial"/>
                <w:sz w:val="13"/>
                <w:szCs w:val="13"/>
                <w:color w:val="auto"/>
                <w:w w:val="99"/>
              </w:rPr>
              <w:t>Apple Computer / Barnes &amp; Noble / Equinox / Landmark</w:t>
            </w: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6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7"/>
                <w:shd w:val="clear" w:color="auto" w:fill="CCEEFF"/>
              </w:rPr>
              <w:t>2006/2008/2010</w:t>
            </w:r>
          </w:p>
        </w:tc>
        <w:tc>
          <w:tcPr>
            <w:tcW w:w="6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3280" w:type="dxa"/>
            <w:vAlign w:val="bottom"/>
            <w:tcBorders>
              <w:bottom w:val="single" w:sz="8" w:color="CCEEFF"/>
            </w:tcBorders>
            <w:gridSpan w:val="11"/>
            <w:shd w:val="clear" w:color="auto" w:fill="CCEEFF"/>
          </w:tcPr>
          <w:p>
            <w:pPr>
              <w:ind w:left="60"/>
              <w:spacing w:after="0"/>
              <w:rPr>
                <w:sz w:val="20"/>
                <w:szCs w:val="20"/>
                <w:color w:val="auto"/>
              </w:rPr>
            </w:pPr>
            <w:r>
              <w:rPr>
                <w:rFonts w:ascii="Arial" w:cs="Arial" w:eastAsia="Arial" w:hAnsi="Arial"/>
                <w:sz w:val="13"/>
                <w:szCs w:val="13"/>
                <w:color w:val="auto"/>
              </w:rPr>
              <w:t>Theater</w:t>
            </w:r>
          </w:p>
        </w:tc>
        <w:tc>
          <w:tcPr>
            <w:tcW w:w="0" w:type="dxa"/>
            <w:vAlign w:val="bottom"/>
          </w:tcPr>
          <w:p>
            <w:pPr>
              <w:spacing w:after="0"/>
              <w:rPr>
                <w:sz w:val="1"/>
                <w:szCs w:val="1"/>
                <w:color w:val="auto"/>
              </w:rPr>
            </w:pPr>
          </w:p>
        </w:tc>
      </w:tr>
      <w:tr>
        <w:trPr>
          <w:trHeight w:val="148"/>
        </w:trPr>
        <w:tc>
          <w:tcPr>
            <w:tcW w:w="138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Congressional Plaza</w:t>
            </w:r>
          </w:p>
        </w:tc>
        <w:tc>
          <w:tcPr>
            <w:tcW w:w="3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(3)</w:t>
            </w:r>
          </w:p>
        </w:tc>
        <w:tc>
          <w:tcPr>
            <w:tcW w:w="1600" w:type="dxa"/>
            <w:vAlign w:val="bottom"/>
          </w:tcPr>
          <w:p>
            <w:pPr>
              <w:ind w:left="40"/>
              <w:spacing w:after="0" w:line="148" w:lineRule="exact"/>
              <w:rPr>
                <w:sz w:val="20"/>
                <w:szCs w:val="20"/>
                <w:color w:val="auto"/>
              </w:rPr>
            </w:pPr>
            <w:r>
              <w:rPr>
                <w:rFonts w:ascii="Arial" w:cs="Arial" w:eastAsia="Arial" w:hAnsi="Arial"/>
                <w:sz w:val="13"/>
                <w:szCs w:val="13"/>
                <w:color w:val="auto"/>
              </w:rPr>
              <w:t>Washington, DC-MD-VA</w:t>
            </w: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1965</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93,987</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325,000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25,000</w:t>
            </w:r>
          </w:p>
        </w:tc>
        <w:tc>
          <w:tcPr>
            <w:tcW w:w="820" w:type="dxa"/>
            <w:vAlign w:val="bottom"/>
            <w:gridSpan w:val="4"/>
          </w:tcPr>
          <w:p>
            <w:pPr>
              <w:ind w:left="80"/>
              <w:spacing w:after="0" w:line="148" w:lineRule="exact"/>
              <w:rPr>
                <w:sz w:val="20"/>
                <w:szCs w:val="20"/>
                <w:color w:val="auto"/>
              </w:rPr>
            </w:pPr>
            <w:r>
              <w:rPr>
                <w:rFonts w:ascii="Arial" w:cs="Arial" w:eastAsia="Arial" w:hAnsi="Arial"/>
                <w:sz w:val="13"/>
                <w:szCs w:val="13"/>
                <w:color w:val="auto"/>
              </w:rPr>
              <w:t>The Fresh</w:t>
            </w:r>
          </w:p>
        </w:tc>
        <w:tc>
          <w:tcPr>
            <w:tcW w:w="3280" w:type="dxa"/>
            <w:vAlign w:val="bottom"/>
            <w:gridSpan w:val="11"/>
          </w:tcPr>
          <w:p>
            <w:pPr>
              <w:ind w:left="60"/>
              <w:spacing w:after="0" w:line="148" w:lineRule="exact"/>
              <w:rPr>
                <w:sz w:val="20"/>
                <w:szCs w:val="20"/>
                <w:color w:val="auto"/>
              </w:rPr>
            </w:pPr>
            <w:r>
              <w:rPr>
                <w:rFonts w:ascii="Arial" w:cs="Arial" w:eastAsia="Arial" w:hAnsi="Arial"/>
                <w:sz w:val="13"/>
                <w:szCs w:val="13"/>
                <w:color w:val="auto"/>
                <w:w w:val="91"/>
              </w:rPr>
              <w:t>Buy Buy Baby / Container Store / Last Call Studio by Neiman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gridSpan w:val="4"/>
          </w:tcPr>
          <w:p>
            <w:pPr>
              <w:ind w:left="80"/>
              <w:spacing w:after="0"/>
              <w:rPr>
                <w:sz w:val="20"/>
                <w:szCs w:val="20"/>
                <w:color w:val="auto"/>
              </w:rPr>
            </w:pPr>
            <w:r>
              <w:rPr>
                <w:rFonts w:ascii="Arial" w:cs="Arial" w:eastAsia="Arial" w:hAnsi="Arial"/>
                <w:sz w:val="13"/>
                <w:szCs w:val="13"/>
                <w:color w:val="auto"/>
              </w:rPr>
              <w:t>Market</w:t>
            </w:r>
          </w:p>
        </w:tc>
        <w:tc>
          <w:tcPr>
            <w:tcW w:w="3280" w:type="dxa"/>
            <w:vAlign w:val="bottom"/>
            <w:gridSpan w:val="11"/>
          </w:tcPr>
          <w:p>
            <w:pPr>
              <w:ind w:left="60"/>
              <w:spacing w:after="0"/>
              <w:rPr>
                <w:sz w:val="20"/>
                <w:szCs w:val="20"/>
                <w:color w:val="auto"/>
              </w:rPr>
            </w:pPr>
            <w:r>
              <w:rPr>
                <w:rFonts w:ascii="Arial" w:cs="Arial" w:eastAsia="Arial" w:hAnsi="Arial"/>
                <w:sz w:val="13"/>
                <w:szCs w:val="13"/>
                <w:color w:val="auto"/>
              </w:rPr>
              <w:t>Marcus</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3"/>
                <w:szCs w:val="13"/>
                <w:color w:val="auto"/>
                <w:shd w:val="clear" w:color="auto" w:fill="CCEEFF"/>
              </w:rPr>
              <w:t>Courthouse Center</w:t>
            </w:r>
          </w:p>
        </w:tc>
        <w:tc>
          <w:tcPr>
            <w:tcW w:w="380" w:type="dxa"/>
            <w:vAlign w:val="bottom"/>
            <w:shd w:val="clear" w:color="auto" w:fill="CCEEFF"/>
          </w:tcPr>
          <w:p>
            <w:pPr>
              <w:spacing w:after="0"/>
              <w:rPr>
                <w:sz w:val="14"/>
                <w:szCs w:val="14"/>
                <w:color w:val="auto"/>
              </w:rPr>
            </w:pPr>
          </w:p>
        </w:tc>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Washington, DC-MD-VA</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4,777</w:t>
            </w:r>
          </w:p>
        </w:tc>
        <w:tc>
          <w:tcPr>
            <w:tcW w:w="6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380" w:type="dxa"/>
            <w:vAlign w:val="bottom"/>
            <w:gridSpan w:val="3"/>
          </w:tcPr>
          <w:p>
            <w:pPr>
              <w:ind w:left="20"/>
              <w:spacing w:after="0" w:line="148" w:lineRule="exact"/>
              <w:rPr>
                <w:sz w:val="20"/>
                <w:szCs w:val="20"/>
                <w:color w:val="auto"/>
              </w:rPr>
            </w:pPr>
            <w:r>
              <w:rPr>
                <w:rFonts w:ascii="Arial" w:cs="Arial" w:eastAsia="Arial" w:hAnsi="Arial"/>
                <w:sz w:val="13"/>
                <w:szCs w:val="13"/>
                <w:color w:val="auto"/>
                <w:w w:val="99"/>
              </w:rPr>
              <w:t>Falls Plaza/Falls Plaza-</w:t>
            </w:r>
          </w:p>
        </w:tc>
        <w:tc>
          <w:tcPr>
            <w:tcW w:w="380" w:type="dxa"/>
            <w:vAlign w:val="bottom"/>
          </w:tcPr>
          <w:p>
            <w:pPr>
              <w:spacing w:after="0"/>
              <w:rPr>
                <w:sz w:val="12"/>
                <w:szCs w:val="12"/>
                <w:color w:val="auto"/>
              </w:rPr>
            </w:pPr>
          </w:p>
        </w:tc>
        <w:tc>
          <w:tcPr>
            <w:tcW w:w="1600" w:type="dxa"/>
            <w:vAlign w:val="bottom"/>
          </w:tcPr>
          <w:p>
            <w:pPr>
              <w:ind w:left="40"/>
              <w:spacing w:after="0" w:line="148" w:lineRule="exact"/>
              <w:rPr>
                <w:sz w:val="20"/>
                <w:szCs w:val="20"/>
                <w:color w:val="auto"/>
              </w:rPr>
            </w:pPr>
            <w:r>
              <w:rPr>
                <w:rFonts w:ascii="Arial" w:cs="Arial" w:eastAsia="Arial" w:hAnsi="Arial"/>
                <w:sz w:val="13"/>
                <w:szCs w:val="13"/>
                <w:color w:val="auto"/>
              </w:rPr>
              <w:t>Washington, DC-MD-VA</w:t>
            </w: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1967/1972</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12,863</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144,000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51,000</w:t>
            </w:r>
          </w:p>
        </w:tc>
        <w:tc>
          <w:tcPr>
            <w:tcW w:w="820" w:type="dxa"/>
            <w:vAlign w:val="bottom"/>
            <w:gridSpan w:val="4"/>
          </w:tcPr>
          <w:p>
            <w:pPr>
              <w:ind w:left="80"/>
              <w:spacing w:after="0" w:line="148" w:lineRule="exact"/>
              <w:rPr>
                <w:sz w:val="20"/>
                <w:szCs w:val="20"/>
                <w:color w:val="auto"/>
              </w:rPr>
            </w:pPr>
            <w:r>
              <w:rPr>
                <w:rFonts w:ascii="Arial" w:cs="Arial" w:eastAsia="Arial" w:hAnsi="Arial"/>
                <w:sz w:val="13"/>
                <w:szCs w:val="13"/>
                <w:color w:val="auto"/>
              </w:rPr>
              <w:t>Giant Food</w:t>
            </w:r>
          </w:p>
        </w:tc>
        <w:tc>
          <w:tcPr>
            <w:tcW w:w="3280" w:type="dxa"/>
            <w:vAlign w:val="bottom"/>
            <w:gridSpan w:val="11"/>
          </w:tcPr>
          <w:p>
            <w:pPr>
              <w:ind w:left="60"/>
              <w:spacing w:after="0" w:line="148" w:lineRule="exact"/>
              <w:rPr>
                <w:sz w:val="20"/>
                <w:szCs w:val="20"/>
                <w:color w:val="auto"/>
              </w:rPr>
            </w:pPr>
            <w:r>
              <w:rPr>
                <w:rFonts w:ascii="Arial" w:cs="Arial" w:eastAsia="Arial" w:hAnsi="Arial"/>
                <w:sz w:val="13"/>
                <w:szCs w:val="13"/>
                <w:color w:val="auto"/>
              </w:rPr>
              <w:t>CVS / Staples</w:t>
            </w:r>
          </w:p>
        </w:tc>
        <w:tc>
          <w:tcPr>
            <w:tcW w:w="0" w:type="dxa"/>
            <w:vAlign w:val="bottom"/>
          </w:tcPr>
          <w:p>
            <w:pPr>
              <w:spacing w:after="0"/>
              <w:rPr>
                <w:sz w:val="1"/>
                <w:szCs w:val="1"/>
                <w:color w:val="auto"/>
              </w:rPr>
            </w:pPr>
          </w:p>
        </w:tc>
      </w:tr>
      <w:tr>
        <w:trPr>
          <w:trHeight w:val="168"/>
        </w:trPr>
        <w:tc>
          <w:tcPr>
            <w:tcW w:w="1380" w:type="dxa"/>
            <w:vAlign w:val="bottom"/>
            <w:gridSpan w:val="3"/>
          </w:tcPr>
          <w:p>
            <w:pPr>
              <w:ind w:left="20"/>
              <w:spacing w:after="0"/>
              <w:rPr>
                <w:sz w:val="20"/>
                <w:szCs w:val="20"/>
                <w:color w:val="auto"/>
              </w:rPr>
            </w:pPr>
            <w:r>
              <w:rPr>
                <w:rFonts w:ascii="Arial" w:cs="Arial" w:eastAsia="Arial" w:hAnsi="Arial"/>
                <w:sz w:val="13"/>
                <w:szCs w:val="13"/>
                <w:color w:val="auto"/>
              </w:rPr>
              <w:t>East</w:t>
            </w: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3"/>
                <w:szCs w:val="13"/>
                <w:color w:val="auto"/>
                <w:shd w:val="clear" w:color="auto" w:fill="CCEEFF"/>
              </w:rPr>
              <w:t>Federal Plaza</w:t>
            </w:r>
          </w:p>
        </w:tc>
        <w:tc>
          <w:tcPr>
            <w:tcW w:w="380" w:type="dxa"/>
            <w:vAlign w:val="bottom"/>
            <w:shd w:val="clear" w:color="auto" w:fill="CCEEFF"/>
          </w:tcPr>
          <w:p>
            <w:pPr>
              <w:spacing w:after="0"/>
              <w:rPr>
                <w:sz w:val="14"/>
                <w:szCs w:val="14"/>
                <w:color w:val="auto"/>
              </w:rPr>
            </w:pPr>
          </w:p>
        </w:tc>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Washington, DC-MD-VA</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65,936</w:t>
            </w:r>
          </w:p>
        </w:tc>
        <w:tc>
          <w:tcPr>
            <w:tcW w:w="6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14,000</w:t>
            </w:r>
          </w:p>
        </w:tc>
        <w:tc>
          <w:tcPr>
            <w:tcW w:w="820" w:type="dxa"/>
            <w:vAlign w:val="bottom"/>
            <w:gridSpan w:val="4"/>
            <w:shd w:val="clear" w:color="auto" w:fill="CCEEFF"/>
          </w:tcPr>
          <w:p>
            <w:pPr>
              <w:ind w:left="80"/>
              <w:spacing w:after="0"/>
              <w:rPr>
                <w:sz w:val="20"/>
                <w:szCs w:val="20"/>
                <w:color w:val="auto"/>
              </w:rPr>
            </w:pPr>
            <w:r>
              <w:rPr>
                <w:rFonts w:ascii="Arial" w:cs="Arial" w:eastAsia="Arial" w:hAnsi="Arial"/>
                <w:sz w:val="13"/>
                <w:szCs w:val="13"/>
                <w:color w:val="auto"/>
              </w:rPr>
              <w:t>Trader Joe's</w:t>
            </w:r>
          </w:p>
        </w:tc>
        <w:tc>
          <w:tcPr>
            <w:tcW w:w="3280" w:type="dxa"/>
            <w:vAlign w:val="bottom"/>
            <w:gridSpan w:val="11"/>
            <w:shd w:val="clear" w:color="auto" w:fill="CCEEFF"/>
          </w:tcPr>
          <w:p>
            <w:pPr>
              <w:ind w:left="60"/>
              <w:spacing w:after="0"/>
              <w:rPr>
                <w:sz w:val="20"/>
                <w:szCs w:val="20"/>
                <w:color w:val="auto"/>
              </w:rPr>
            </w:pPr>
            <w:r>
              <w:rPr>
                <w:rFonts w:ascii="Arial" w:cs="Arial" w:eastAsia="Arial" w:hAnsi="Arial"/>
                <w:sz w:val="13"/>
                <w:szCs w:val="13"/>
                <w:color w:val="auto"/>
              </w:rPr>
              <w:t>TJ Maxx / Micro Center / Ross Dress For Less</w:t>
            </w:r>
          </w:p>
        </w:tc>
        <w:tc>
          <w:tcPr>
            <w:tcW w:w="0" w:type="dxa"/>
            <w:vAlign w:val="bottom"/>
          </w:tcPr>
          <w:p>
            <w:pPr>
              <w:spacing w:after="0"/>
              <w:rPr>
                <w:sz w:val="1"/>
                <w:szCs w:val="1"/>
                <w:color w:val="auto"/>
              </w:rPr>
            </w:pPr>
          </w:p>
        </w:tc>
      </w:tr>
      <w:tr>
        <w:trPr>
          <w:trHeight w:val="108"/>
        </w:trPr>
        <w:tc>
          <w:tcPr>
            <w:tcW w:w="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38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Free State Shopping</w:t>
            </w:r>
          </w:p>
        </w:tc>
        <w:tc>
          <w:tcPr>
            <w:tcW w:w="3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(8)</w:t>
            </w:r>
          </w:p>
        </w:tc>
        <w:tc>
          <w:tcPr>
            <w:tcW w:w="1600" w:type="dxa"/>
            <w:vAlign w:val="bottom"/>
          </w:tcPr>
          <w:p>
            <w:pPr>
              <w:ind w:left="40"/>
              <w:spacing w:after="0" w:line="148" w:lineRule="exact"/>
              <w:rPr>
                <w:sz w:val="20"/>
                <w:szCs w:val="20"/>
                <w:color w:val="auto"/>
              </w:rPr>
            </w:pPr>
            <w:r>
              <w:rPr>
                <w:rFonts w:ascii="Arial" w:cs="Arial" w:eastAsia="Arial" w:hAnsi="Arial"/>
                <w:sz w:val="13"/>
                <w:szCs w:val="13"/>
                <w:color w:val="auto"/>
              </w:rPr>
              <w:t>Washington, DC-MD-VA</w:t>
            </w: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2007</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60,758</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265,000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73,000</w:t>
            </w:r>
          </w:p>
        </w:tc>
        <w:tc>
          <w:tcPr>
            <w:tcW w:w="820" w:type="dxa"/>
            <w:vAlign w:val="bottom"/>
            <w:gridSpan w:val="4"/>
          </w:tcPr>
          <w:p>
            <w:pPr>
              <w:ind w:left="80"/>
              <w:spacing w:after="0" w:line="148" w:lineRule="exact"/>
              <w:rPr>
                <w:sz w:val="20"/>
                <w:szCs w:val="20"/>
                <w:color w:val="auto"/>
              </w:rPr>
            </w:pPr>
            <w:r>
              <w:rPr>
                <w:rFonts w:ascii="Arial" w:cs="Arial" w:eastAsia="Arial" w:hAnsi="Arial"/>
                <w:sz w:val="13"/>
                <w:szCs w:val="13"/>
                <w:color w:val="auto"/>
              </w:rPr>
              <w:t>Giant Food</w:t>
            </w:r>
          </w:p>
        </w:tc>
        <w:tc>
          <w:tcPr>
            <w:tcW w:w="3280" w:type="dxa"/>
            <w:vAlign w:val="bottom"/>
            <w:gridSpan w:val="11"/>
          </w:tcPr>
          <w:p>
            <w:pPr>
              <w:ind w:left="60"/>
              <w:spacing w:after="0" w:line="148" w:lineRule="exact"/>
              <w:rPr>
                <w:sz w:val="20"/>
                <w:szCs w:val="20"/>
                <w:color w:val="auto"/>
              </w:rPr>
            </w:pPr>
            <w:r>
              <w:rPr>
                <w:rFonts w:ascii="Arial" w:cs="Arial" w:eastAsia="Arial" w:hAnsi="Arial"/>
                <w:sz w:val="13"/>
                <w:szCs w:val="13"/>
                <w:color w:val="auto"/>
              </w:rPr>
              <w:t>TJ Maxx / Ross Dress For Less / Office Depot</w:t>
            </w:r>
          </w:p>
        </w:tc>
        <w:tc>
          <w:tcPr>
            <w:tcW w:w="0" w:type="dxa"/>
            <w:vAlign w:val="bottom"/>
          </w:tcPr>
          <w:p>
            <w:pPr>
              <w:spacing w:after="0"/>
              <w:rPr>
                <w:sz w:val="1"/>
                <w:szCs w:val="1"/>
                <w:color w:val="auto"/>
              </w:rPr>
            </w:pPr>
          </w:p>
        </w:tc>
      </w:tr>
      <w:tr>
        <w:trPr>
          <w:trHeight w:val="168"/>
        </w:trPr>
        <w:tc>
          <w:tcPr>
            <w:tcW w:w="1380" w:type="dxa"/>
            <w:vAlign w:val="bottom"/>
            <w:gridSpan w:val="3"/>
          </w:tcPr>
          <w:p>
            <w:pPr>
              <w:ind w:left="20"/>
              <w:spacing w:after="0"/>
              <w:rPr>
                <w:sz w:val="20"/>
                <w:szCs w:val="20"/>
                <w:color w:val="auto"/>
              </w:rPr>
            </w:pPr>
            <w:r>
              <w:rPr>
                <w:rFonts w:ascii="Arial" w:cs="Arial" w:eastAsia="Arial" w:hAnsi="Arial"/>
                <w:sz w:val="13"/>
                <w:szCs w:val="13"/>
                <w:color w:val="auto"/>
              </w:rPr>
              <w:t>Center</w:t>
            </w: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Friendship Center</w:t>
            </w:r>
          </w:p>
        </w:tc>
        <w:tc>
          <w:tcPr>
            <w:tcW w:w="380" w:type="dxa"/>
            <w:vAlign w:val="bottom"/>
            <w:shd w:val="clear" w:color="auto" w:fill="CCEEFF"/>
          </w:tcPr>
          <w:p>
            <w:pPr>
              <w:spacing w:after="0"/>
              <w:rPr>
                <w:sz w:val="15"/>
                <w:szCs w:val="15"/>
                <w:color w:val="auto"/>
              </w:rPr>
            </w:pPr>
          </w:p>
        </w:tc>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37,519</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500" w:type="dxa"/>
            <w:vAlign w:val="bottom"/>
            <w:gridSpan w:val="8"/>
            <w:vMerge w:val="restart"/>
            <w:shd w:val="clear" w:color="auto" w:fill="CCEEFF"/>
          </w:tcPr>
          <w:p>
            <w:pPr>
              <w:spacing w:after="0"/>
              <w:rPr>
                <w:sz w:val="20"/>
                <w:szCs w:val="20"/>
                <w:color w:val="auto"/>
              </w:rPr>
            </w:pPr>
            <w:r>
              <w:rPr>
                <w:rFonts w:ascii="Arial" w:cs="Arial" w:eastAsia="Arial" w:hAnsi="Arial"/>
                <w:sz w:val="13"/>
                <w:szCs w:val="13"/>
                <w:color w:val="auto"/>
                <w:w w:val="89"/>
                <w:shd w:val="clear" w:color="auto" w:fill="CCEEFF"/>
              </w:rPr>
              <w:t>DSW / Maggiano's / Nordstrom Rack / Marshalls</w:t>
            </w: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2500" w:type="dxa"/>
            <w:vAlign w:val="bottom"/>
            <w:tcBorders>
              <w:bottom w:val="single" w:sz="8" w:color="CCEEFF"/>
            </w:tcBorders>
            <w:gridSpan w:val="8"/>
            <w:vMerge w:val="continue"/>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38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Gaithersburg Square</w:t>
            </w:r>
          </w:p>
        </w:tc>
        <w:tc>
          <w:tcPr>
            <w:tcW w:w="380" w:type="dxa"/>
            <w:vAlign w:val="bottom"/>
          </w:tcPr>
          <w:p>
            <w:pPr>
              <w:spacing w:after="0"/>
              <w:rPr>
                <w:sz w:val="12"/>
                <w:szCs w:val="12"/>
                <w:color w:val="auto"/>
              </w:rPr>
            </w:pPr>
          </w:p>
        </w:tc>
        <w:tc>
          <w:tcPr>
            <w:tcW w:w="1600" w:type="dxa"/>
            <w:vAlign w:val="bottom"/>
          </w:tcPr>
          <w:p>
            <w:pPr>
              <w:ind w:left="40"/>
              <w:spacing w:after="0" w:line="148" w:lineRule="exact"/>
              <w:rPr>
                <w:sz w:val="20"/>
                <w:szCs w:val="20"/>
                <w:color w:val="auto"/>
              </w:rPr>
            </w:pPr>
            <w:r>
              <w:rPr>
                <w:rFonts w:ascii="Arial" w:cs="Arial" w:eastAsia="Arial" w:hAnsi="Arial"/>
                <w:sz w:val="13"/>
                <w:szCs w:val="13"/>
                <w:color w:val="auto"/>
              </w:rPr>
              <w:t>Washington, DC-MD-VA</w:t>
            </w: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1993</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26,666</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207,000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91%</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80" w:type="dxa"/>
            <w:vAlign w:val="bottom"/>
            <w:gridSpan w:val="11"/>
          </w:tcPr>
          <w:p>
            <w:pPr>
              <w:ind w:left="60"/>
              <w:spacing w:after="0" w:line="148" w:lineRule="exact"/>
              <w:rPr>
                <w:sz w:val="20"/>
                <w:szCs w:val="20"/>
                <w:color w:val="auto"/>
              </w:rPr>
            </w:pPr>
            <w:r>
              <w:rPr>
                <w:rFonts w:ascii="Arial" w:cs="Arial" w:eastAsia="Arial" w:hAnsi="Arial"/>
                <w:sz w:val="13"/>
                <w:szCs w:val="13"/>
                <w:color w:val="auto"/>
                <w:w w:val="90"/>
              </w:rPr>
              <w:t>Bed, Bath &amp; Beyond / Ross Dress For Less / Ashley Furniture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80" w:type="dxa"/>
            <w:vAlign w:val="bottom"/>
            <w:gridSpan w:val="11"/>
          </w:tcPr>
          <w:p>
            <w:pPr>
              <w:ind w:left="60"/>
              <w:spacing w:after="0"/>
              <w:rPr>
                <w:sz w:val="20"/>
                <w:szCs w:val="20"/>
                <w:color w:val="auto"/>
              </w:rPr>
            </w:pPr>
            <w:r>
              <w:rPr>
                <w:rFonts w:ascii="Arial" w:cs="Arial" w:eastAsia="Arial" w:hAnsi="Arial"/>
                <w:sz w:val="13"/>
                <w:szCs w:val="13"/>
                <w:color w:val="auto"/>
              </w:rPr>
              <w:t>HomeStore</w:t>
            </w:r>
          </w:p>
        </w:tc>
        <w:tc>
          <w:tcPr>
            <w:tcW w:w="0" w:type="dxa"/>
            <w:vAlign w:val="bottom"/>
          </w:tcPr>
          <w:p>
            <w:pPr>
              <w:spacing w:after="0"/>
              <w:rPr>
                <w:sz w:val="1"/>
                <w:szCs w:val="1"/>
                <w:color w:val="auto"/>
              </w:rPr>
            </w:pPr>
          </w:p>
        </w:tc>
      </w:tr>
      <w:tr>
        <w:trPr>
          <w:trHeight w:val="181"/>
        </w:trPr>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Graham Park Plaza</w:t>
            </w:r>
          </w:p>
        </w:tc>
        <w:tc>
          <w:tcPr>
            <w:tcW w:w="380" w:type="dxa"/>
            <w:vAlign w:val="bottom"/>
            <w:shd w:val="clear" w:color="auto" w:fill="CCEEFF"/>
          </w:tcPr>
          <w:p>
            <w:pPr>
              <w:spacing w:after="0"/>
              <w:rPr>
                <w:sz w:val="15"/>
                <w:szCs w:val="15"/>
                <w:color w:val="auto"/>
              </w:rPr>
            </w:pPr>
          </w:p>
        </w:tc>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1983</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34,425</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58,000</w:t>
            </w:r>
          </w:p>
        </w:tc>
        <w:tc>
          <w:tcPr>
            <w:tcW w:w="820" w:type="dxa"/>
            <w:vAlign w:val="bottom"/>
            <w:gridSpan w:val="4"/>
            <w:vMerge w:val="restart"/>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60" w:type="dxa"/>
            <w:vAlign w:val="bottom"/>
            <w:shd w:val="clear" w:color="auto" w:fill="CCEEFF"/>
          </w:tcPr>
          <w:p>
            <w:pPr>
              <w:spacing w:after="0"/>
              <w:rPr>
                <w:sz w:val="15"/>
                <w:szCs w:val="15"/>
                <w:color w:val="auto"/>
              </w:rPr>
            </w:pPr>
          </w:p>
        </w:tc>
        <w:tc>
          <w:tcPr>
            <w:tcW w:w="1240" w:type="dxa"/>
            <w:vAlign w:val="bottom"/>
            <w:gridSpan w:val="3"/>
            <w:vMerge w:val="restart"/>
            <w:shd w:val="clear" w:color="auto" w:fill="CCEEFF"/>
          </w:tcPr>
          <w:p>
            <w:pPr>
              <w:spacing w:after="0"/>
              <w:rPr>
                <w:sz w:val="20"/>
                <w:szCs w:val="20"/>
                <w:color w:val="auto"/>
              </w:rPr>
            </w:pPr>
            <w:r>
              <w:rPr>
                <w:rFonts w:ascii="Arial" w:cs="Arial" w:eastAsia="Arial" w:hAnsi="Arial"/>
                <w:sz w:val="13"/>
                <w:szCs w:val="13"/>
                <w:color w:val="auto"/>
                <w:w w:val="87"/>
                <w:shd w:val="clear" w:color="auto" w:fill="CCEEFF"/>
              </w:rPr>
              <w:t>L.A. Fitness / Stein Mart</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shd w:val="clear" w:color="auto" w:fill="CCEEFF"/>
          </w:tcPr>
          <w:p>
            <w:pPr>
              <w:spacing w:after="0"/>
              <w:rPr>
                <w:sz w:val="6"/>
                <w:szCs w:val="6"/>
                <w:color w:val="auto"/>
              </w:rPr>
            </w:pPr>
          </w:p>
        </w:tc>
        <w:tc>
          <w:tcPr>
            <w:tcW w:w="820" w:type="dxa"/>
            <w:vAlign w:val="bottom"/>
            <w:tcBorders>
              <w:bottom w:val="single" w:sz="8" w:color="CCEEFF"/>
            </w:tcBorders>
            <w:gridSpan w:val="4"/>
            <w:vMerge w:val="continue"/>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1240" w:type="dxa"/>
            <w:vAlign w:val="bottom"/>
            <w:tcBorders>
              <w:bottom w:val="single" w:sz="8" w:color="CCEEFF"/>
            </w:tcBorders>
            <w:gridSpan w:val="3"/>
            <w:vMerge w:val="continue"/>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380" w:type="dxa"/>
            <w:vAlign w:val="bottom"/>
            <w:gridSpan w:val="3"/>
          </w:tcPr>
          <w:p>
            <w:pPr>
              <w:ind w:left="20"/>
              <w:spacing w:after="0"/>
              <w:rPr>
                <w:sz w:val="20"/>
                <w:szCs w:val="20"/>
                <w:color w:val="auto"/>
              </w:rPr>
            </w:pPr>
            <w:r>
              <w:rPr>
                <w:rFonts w:ascii="Arial" w:cs="Arial" w:eastAsia="Arial" w:hAnsi="Arial"/>
                <w:sz w:val="13"/>
                <w:szCs w:val="13"/>
                <w:color w:val="auto"/>
              </w:rPr>
              <w:t>Idylwood Plaza</w:t>
            </w:r>
          </w:p>
        </w:tc>
        <w:tc>
          <w:tcPr>
            <w:tcW w:w="380" w:type="dxa"/>
            <w:vAlign w:val="bottom"/>
          </w:tcPr>
          <w:p>
            <w:pPr>
              <w:spacing w:after="0"/>
              <w:rPr>
                <w:sz w:val="15"/>
                <w:szCs w:val="15"/>
                <w:color w:val="auto"/>
              </w:rPr>
            </w:pPr>
          </w:p>
        </w:tc>
        <w:tc>
          <w:tcPr>
            <w:tcW w:w="1600" w:type="dxa"/>
            <w:vAlign w:val="bottom"/>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tcPr>
          <w:p>
            <w:pPr>
              <w:jc w:val="right"/>
              <w:spacing w:after="0"/>
              <w:rPr>
                <w:sz w:val="20"/>
                <w:szCs w:val="20"/>
                <w:color w:val="auto"/>
              </w:rPr>
            </w:pPr>
            <w:r>
              <w:rPr>
                <w:rFonts w:ascii="Arial" w:cs="Arial" w:eastAsia="Arial" w:hAnsi="Arial"/>
                <w:sz w:val="13"/>
                <w:szCs w:val="13"/>
                <w:color w:val="auto"/>
              </w:rPr>
              <w:t>1994</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16,763</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73,000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30,000</w:t>
            </w:r>
          </w:p>
        </w:tc>
        <w:tc>
          <w:tcPr>
            <w:tcW w:w="820" w:type="dxa"/>
            <w:vAlign w:val="bottom"/>
            <w:gridSpan w:val="4"/>
            <w:vMerge w:val="restart"/>
          </w:tcPr>
          <w:p>
            <w:pPr>
              <w:ind w:left="80"/>
              <w:spacing w:after="0"/>
              <w:rPr>
                <w:sz w:val="20"/>
                <w:szCs w:val="20"/>
                <w:color w:val="auto"/>
              </w:rPr>
            </w:pPr>
            <w:r>
              <w:rPr>
                <w:rFonts w:ascii="Arial" w:cs="Arial" w:eastAsia="Arial" w:hAnsi="Arial"/>
                <w:sz w:val="13"/>
                <w:szCs w:val="13"/>
                <w:color w:val="auto"/>
                <w:w w:val="93"/>
              </w:rPr>
              <w:t>Whole Foods</w:t>
            </w: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Laurel</w:t>
            </w:r>
          </w:p>
        </w:tc>
        <w:tc>
          <w:tcPr>
            <w:tcW w:w="380" w:type="dxa"/>
            <w:vAlign w:val="bottom"/>
            <w:shd w:val="clear" w:color="auto" w:fill="CCEEFF"/>
          </w:tcPr>
          <w:p>
            <w:pPr>
              <w:spacing w:after="0"/>
              <w:rPr>
                <w:sz w:val="15"/>
                <w:szCs w:val="15"/>
                <w:color w:val="auto"/>
              </w:rPr>
            </w:pPr>
          </w:p>
        </w:tc>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1986</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55,484</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61,000</w:t>
            </w:r>
          </w:p>
        </w:tc>
        <w:tc>
          <w:tcPr>
            <w:tcW w:w="820" w:type="dxa"/>
            <w:vAlign w:val="bottom"/>
            <w:gridSpan w:val="4"/>
            <w:vMerge w:val="restart"/>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6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w w:val="87"/>
                <w:shd w:val="clear" w:color="auto" w:fill="CCEEFF"/>
              </w:rPr>
              <w:t>L.A. Fitness / Marshalls</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shd w:val="clear" w:color="auto" w:fill="CCEEFF"/>
          </w:tcPr>
          <w:p>
            <w:pPr>
              <w:spacing w:after="0"/>
              <w:rPr>
                <w:sz w:val="6"/>
                <w:szCs w:val="6"/>
                <w:color w:val="auto"/>
              </w:rPr>
            </w:pPr>
          </w:p>
        </w:tc>
        <w:tc>
          <w:tcPr>
            <w:tcW w:w="820" w:type="dxa"/>
            <w:vAlign w:val="bottom"/>
            <w:tcBorders>
              <w:bottom w:val="single" w:sz="8" w:color="CCEEFF"/>
            </w:tcBorders>
            <w:gridSpan w:val="4"/>
            <w:vMerge w:val="continue"/>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1200" w:type="dxa"/>
            <w:vAlign w:val="bottom"/>
            <w:tcBorders>
              <w:bottom w:val="single" w:sz="8" w:color="CCEEFF"/>
            </w:tcBorders>
            <w:gridSpan w:val="2"/>
            <w:vMerge w:val="continue"/>
            <w:shd w:val="clear" w:color="auto" w:fill="CCEEFF"/>
          </w:tcPr>
          <w:p>
            <w:pPr>
              <w:spacing w:after="0"/>
              <w:rPr>
                <w:sz w:val="6"/>
                <w:szCs w:val="6"/>
                <w:color w:val="auto"/>
              </w:rPr>
            </w:pPr>
          </w:p>
        </w:tc>
        <w:tc>
          <w:tcPr>
            <w:tcW w:w="80" w:type="dxa"/>
            <w:vAlign w:val="bottom"/>
            <w:tcBorders>
              <w:bottom w:val="single" w:sz="8" w:color="CCEEFF"/>
            </w:tcBorders>
            <w:gridSpan w:val="2"/>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380" w:type="dxa"/>
            <w:vAlign w:val="bottom"/>
            <w:gridSpan w:val="3"/>
          </w:tcPr>
          <w:p>
            <w:pPr>
              <w:ind w:left="20"/>
              <w:spacing w:after="0"/>
              <w:rPr>
                <w:sz w:val="20"/>
                <w:szCs w:val="20"/>
                <w:color w:val="auto"/>
              </w:rPr>
            </w:pPr>
            <w:r>
              <w:rPr>
                <w:rFonts w:ascii="Arial" w:cs="Arial" w:eastAsia="Arial" w:hAnsi="Arial"/>
                <w:sz w:val="13"/>
                <w:szCs w:val="13"/>
                <w:color w:val="auto"/>
              </w:rPr>
              <w:t>Leesburg Plaza</w:t>
            </w:r>
          </w:p>
        </w:tc>
        <w:tc>
          <w:tcPr>
            <w:tcW w:w="380" w:type="dxa"/>
            <w:vAlign w:val="bottom"/>
          </w:tcPr>
          <w:p>
            <w:pPr>
              <w:spacing w:after="0"/>
              <w:rPr>
                <w:sz w:val="15"/>
                <w:szCs w:val="15"/>
                <w:color w:val="auto"/>
              </w:rPr>
            </w:pPr>
          </w:p>
        </w:tc>
        <w:tc>
          <w:tcPr>
            <w:tcW w:w="1600" w:type="dxa"/>
            <w:vAlign w:val="bottom"/>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tcPr>
          <w:p>
            <w:pPr>
              <w:jc w:val="right"/>
              <w:spacing w:after="0"/>
              <w:rPr>
                <w:sz w:val="20"/>
                <w:szCs w:val="20"/>
                <w:color w:val="auto"/>
              </w:rPr>
            </w:pPr>
            <w:r>
              <w:rPr>
                <w:rFonts w:ascii="Arial" w:cs="Arial" w:eastAsia="Arial" w:hAnsi="Arial"/>
                <w:sz w:val="13"/>
                <w:szCs w:val="13"/>
                <w:color w:val="auto"/>
              </w:rPr>
              <w:t>1998</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36,301</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236,000</w:t>
            </w:r>
          </w:p>
        </w:tc>
        <w:tc>
          <w:tcPr>
            <w:tcW w:w="500" w:type="dxa"/>
            <w:vAlign w:val="bottom"/>
          </w:tcPr>
          <w:p>
            <w:pPr>
              <w:jc w:val="right"/>
              <w:spacing w:after="0"/>
              <w:rPr>
                <w:sz w:val="20"/>
                <w:szCs w:val="20"/>
                <w:color w:val="auto"/>
              </w:rPr>
            </w:pPr>
            <w:r>
              <w:rPr>
                <w:rFonts w:ascii="Arial" w:cs="Arial" w:eastAsia="Arial" w:hAnsi="Arial"/>
                <w:sz w:val="13"/>
                <w:szCs w:val="13"/>
                <w:color w:val="auto"/>
              </w:rPr>
              <w:t>92%</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55,000</w:t>
            </w:r>
          </w:p>
        </w:tc>
        <w:tc>
          <w:tcPr>
            <w:tcW w:w="820" w:type="dxa"/>
            <w:vAlign w:val="bottom"/>
            <w:gridSpan w:val="4"/>
            <w:vMerge w:val="restart"/>
          </w:tcPr>
          <w:p>
            <w:pPr>
              <w:ind w:left="80"/>
              <w:spacing w:after="0"/>
              <w:rPr>
                <w:sz w:val="20"/>
                <w:szCs w:val="20"/>
                <w:color w:val="auto"/>
              </w:rPr>
            </w:pPr>
            <w:r>
              <w:rPr>
                <w:rFonts w:ascii="Arial" w:cs="Arial" w:eastAsia="Arial" w:hAnsi="Arial"/>
                <w:sz w:val="13"/>
                <w:szCs w:val="13"/>
                <w:color w:val="auto"/>
              </w:rPr>
              <w:t>Giant Food</w:t>
            </w:r>
          </w:p>
        </w:tc>
        <w:tc>
          <w:tcPr>
            <w:tcW w:w="3280" w:type="dxa"/>
            <w:vAlign w:val="bottom"/>
            <w:gridSpan w:val="11"/>
            <w:vMerge w:val="restart"/>
          </w:tcPr>
          <w:p>
            <w:pPr>
              <w:ind w:left="60"/>
              <w:spacing w:after="0"/>
              <w:rPr>
                <w:sz w:val="20"/>
                <w:szCs w:val="20"/>
                <w:color w:val="auto"/>
              </w:rPr>
            </w:pPr>
            <w:r>
              <w:rPr>
                <w:rFonts w:ascii="Arial" w:cs="Arial" w:eastAsia="Arial" w:hAnsi="Arial"/>
                <w:sz w:val="13"/>
                <w:szCs w:val="13"/>
                <w:color w:val="auto"/>
              </w:rPr>
              <w:t>Petsmart / Pier 1 Imports / Office Depot</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gridSpan w:val="4"/>
            <w:vMerge w:val="continue"/>
          </w:tcPr>
          <w:p>
            <w:pPr>
              <w:spacing w:after="0"/>
              <w:rPr>
                <w:sz w:val="7"/>
                <w:szCs w:val="7"/>
                <w:color w:val="auto"/>
              </w:rPr>
            </w:pPr>
          </w:p>
        </w:tc>
        <w:tc>
          <w:tcPr>
            <w:tcW w:w="328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Montrose Crossing</w:t>
            </w:r>
          </w:p>
        </w:tc>
        <w:tc>
          <w:tcPr>
            <w:tcW w:w="3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w:t>
            </w:r>
          </w:p>
        </w:tc>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2011/2013</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153,586</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73,935</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73,000</w:t>
            </w:r>
          </w:p>
        </w:tc>
        <w:tc>
          <w:tcPr>
            <w:tcW w:w="80" w:type="dxa"/>
            <w:vAlign w:val="bottom"/>
            <w:shd w:val="clear" w:color="auto" w:fill="CCEEFF"/>
          </w:tcPr>
          <w:p>
            <w:pPr>
              <w:spacing w:after="0"/>
              <w:rPr>
                <w:sz w:val="15"/>
                <w:szCs w:val="15"/>
                <w:color w:val="auto"/>
              </w:rPr>
            </w:pPr>
          </w:p>
        </w:tc>
        <w:tc>
          <w:tcPr>
            <w:tcW w:w="58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w w:val="87"/>
                <w:shd w:val="clear" w:color="auto" w:fill="CCEEFF"/>
              </w:rPr>
              <w:t>Giant Food</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60" w:type="dxa"/>
            <w:vAlign w:val="bottom"/>
            <w:gridSpan w:val="9"/>
            <w:vMerge w:val="restart"/>
            <w:shd w:val="clear" w:color="auto" w:fill="CCEEFF"/>
          </w:tcPr>
          <w:p>
            <w:pPr>
              <w:spacing w:after="0"/>
              <w:rPr>
                <w:sz w:val="20"/>
                <w:szCs w:val="20"/>
                <w:color w:val="auto"/>
              </w:rPr>
            </w:pPr>
            <w:r>
              <w:rPr>
                <w:rFonts w:ascii="Arial" w:cs="Arial" w:eastAsia="Arial" w:hAnsi="Arial"/>
                <w:sz w:val="13"/>
                <w:szCs w:val="13"/>
                <w:color w:val="auto"/>
                <w:w w:val="90"/>
                <w:shd w:val="clear" w:color="auto" w:fill="CCEEFF"/>
              </w:rPr>
              <w:t>Marshalls / Sports Authority / Barnes &amp; Noble / A.C. Moore</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580" w:type="dxa"/>
            <w:vAlign w:val="bottom"/>
            <w:tcBorders>
              <w:bottom w:val="single" w:sz="8" w:color="CCEEFF"/>
            </w:tcBorders>
            <w:gridSpan w:val="2"/>
            <w:vMerge w:val="continue"/>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3060" w:type="dxa"/>
            <w:vAlign w:val="bottom"/>
            <w:tcBorders>
              <w:bottom w:val="single" w:sz="8" w:color="CCEEFF"/>
            </w:tcBorders>
            <w:gridSpan w:val="9"/>
            <w:vMerge w:val="continue"/>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38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Mount Vernon/South</w:t>
            </w:r>
          </w:p>
        </w:tc>
        <w:tc>
          <w:tcPr>
            <w:tcW w:w="3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(5)</w:t>
            </w:r>
          </w:p>
        </w:tc>
        <w:tc>
          <w:tcPr>
            <w:tcW w:w="1600" w:type="dxa"/>
            <w:vAlign w:val="bottom"/>
          </w:tcPr>
          <w:p>
            <w:pPr>
              <w:ind w:left="40"/>
              <w:spacing w:after="0" w:line="148" w:lineRule="exact"/>
              <w:rPr>
                <w:sz w:val="20"/>
                <w:szCs w:val="20"/>
                <w:color w:val="auto"/>
              </w:rPr>
            </w:pPr>
            <w:r>
              <w:rPr>
                <w:rFonts w:ascii="Arial" w:cs="Arial" w:eastAsia="Arial" w:hAnsi="Arial"/>
                <w:sz w:val="13"/>
                <w:szCs w:val="13"/>
                <w:color w:val="auto"/>
              </w:rPr>
              <w:t>Washington, DC-MD-VA</w:t>
            </w: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2003/2006</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82,876</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569,000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62,000</w:t>
            </w:r>
          </w:p>
        </w:tc>
        <w:tc>
          <w:tcPr>
            <w:tcW w:w="820" w:type="dxa"/>
            <w:vAlign w:val="bottom"/>
            <w:gridSpan w:val="4"/>
          </w:tcPr>
          <w:p>
            <w:pPr>
              <w:ind w:left="80"/>
              <w:spacing w:after="0" w:line="148" w:lineRule="exact"/>
              <w:rPr>
                <w:sz w:val="20"/>
                <w:szCs w:val="20"/>
                <w:color w:val="auto"/>
              </w:rPr>
            </w:pPr>
            <w:r>
              <w:rPr>
                <w:rFonts w:ascii="Arial" w:cs="Arial" w:eastAsia="Arial" w:hAnsi="Arial"/>
                <w:sz w:val="13"/>
                <w:szCs w:val="13"/>
                <w:color w:val="auto"/>
              </w:rPr>
              <w:t>Shoppers</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80" w:type="dxa"/>
            <w:vAlign w:val="bottom"/>
            <w:gridSpan w:val="3"/>
          </w:tcPr>
          <w:p>
            <w:pPr>
              <w:ind w:left="20"/>
              <w:spacing w:after="0" w:line="135" w:lineRule="exact"/>
              <w:rPr>
                <w:sz w:val="20"/>
                <w:szCs w:val="20"/>
                <w:color w:val="auto"/>
              </w:rPr>
            </w:pPr>
            <w:r>
              <w:rPr>
                <w:rFonts w:ascii="Arial" w:cs="Arial" w:eastAsia="Arial" w:hAnsi="Arial"/>
                <w:sz w:val="13"/>
                <w:szCs w:val="13"/>
                <w:color w:val="auto"/>
              </w:rPr>
              <w:t>Valley/7770 Richmond</w:t>
            </w:r>
          </w:p>
        </w:tc>
        <w:tc>
          <w:tcPr>
            <w:tcW w:w="3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4"/>
          </w:tcPr>
          <w:p>
            <w:pPr>
              <w:ind w:left="80"/>
              <w:spacing w:after="0" w:line="135" w:lineRule="exact"/>
              <w:rPr>
                <w:sz w:val="20"/>
                <w:szCs w:val="20"/>
                <w:color w:val="auto"/>
              </w:rPr>
            </w:pPr>
            <w:r>
              <w:rPr>
                <w:rFonts w:ascii="Arial" w:cs="Arial" w:eastAsia="Arial" w:hAnsi="Arial"/>
                <w:sz w:val="13"/>
                <w:szCs w:val="13"/>
                <w:color w:val="auto"/>
              </w:rPr>
              <w:t>Food</w:t>
            </w:r>
          </w:p>
        </w:tc>
        <w:tc>
          <w:tcPr>
            <w:tcW w:w="3280" w:type="dxa"/>
            <w:vAlign w:val="bottom"/>
            <w:gridSpan w:val="11"/>
          </w:tcPr>
          <w:p>
            <w:pPr>
              <w:ind w:left="60"/>
              <w:spacing w:after="0" w:line="135" w:lineRule="exact"/>
              <w:rPr>
                <w:sz w:val="20"/>
                <w:szCs w:val="20"/>
                <w:color w:val="auto"/>
              </w:rPr>
            </w:pPr>
            <w:r>
              <w:rPr>
                <w:rFonts w:ascii="Arial" w:cs="Arial" w:eastAsia="Arial" w:hAnsi="Arial"/>
                <w:sz w:val="13"/>
                <w:szCs w:val="13"/>
                <w:color w:val="auto"/>
                <w:w w:val="96"/>
              </w:rPr>
              <w:t>Bed, Bath &amp; Beyond / Michaels / Home Depot / TJ Maxx /</w:t>
            </w:r>
          </w:p>
        </w:tc>
        <w:tc>
          <w:tcPr>
            <w:tcW w:w="0" w:type="dxa"/>
            <w:vAlign w:val="bottom"/>
          </w:tcPr>
          <w:p>
            <w:pPr>
              <w:spacing w:after="0"/>
              <w:rPr>
                <w:sz w:val="1"/>
                <w:szCs w:val="1"/>
                <w:color w:val="auto"/>
              </w:rPr>
            </w:pPr>
          </w:p>
        </w:tc>
      </w:tr>
      <w:tr>
        <w:trPr>
          <w:trHeight w:val="168"/>
        </w:trPr>
        <w:tc>
          <w:tcPr>
            <w:tcW w:w="1380" w:type="dxa"/>
            <w:vAlign w:val="bottom"/>
            <w:gridSpan w:val="3"/>
          </w:tcPr>
          <w:p>
            <w:pPr>
              <w:ind w:left="20"/>
              <w:spacing w:after="0"/>
              <w:rPr>
                <w:sz w:val="20"/>
                <w:szCs w:val="20"/>
                <w:color w:val="auto"/>
              </w:rPr>
            </w:pPr>
            <w:r>
              <w:rPr>
                <w:rFonts w:ascii="Arial" w:cs="Arial" w:eastAsia="Arial" w:hAnsi="Arial"/>
                <w:sz w:val="13"/>
                <w:szCs w:val="13"/>
                <w:color w:val="auto"/>
              </w:rPr>
              <w:t>Hwy</w:t>
            </w: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gridSpan w:val="4"/>
          </w:tcPr>
          <w:p>
            <w:pPr>
              <w:ind w:left="80"/>
              <w:spacing w:after="0"/>
              <w:rPr>
                <w:sz w:val="20"/>
                <w:szCs w:val="20"/>
                <w:color w:val="auto"/>
              </w:rPr>
            </w:pPr>
            <w:r>
              <w:rPr>
                <w:rFonts w:ascii="Arial" w:cs="Arial" w:eastAsia="Arial" w:hAnsi="Arial"/>
                <w:sz w:val="13"/>
                <w:szCs w:val="13"/>
                <w:color w:val="auto"/>
              </w:rPr>
              <w:t>Warehouse</w:t>
            </w:r>
          </w:p>
        </w:tc>
        <w:tc>
          <w:tcPr>
            <w:tcW w:w="3280" w:type="dxa"/>
            <w:vAlign w:val="bottom"/>
            <w:gridSpan w:val="11"/>
          </w:tcPr>
          <w:p>
            <w:pPr>
              <w:ind w:left="60"/>
              <w:spacing w:after="0"/>
              <w:rPr>
                <w:sz w:val="20"/>
                <w:szCs w:val="20"/>
                <w:color w:val="auto"/>
              </w:rPr>
            </w:pPr>
            <w:r>
              <w:rPr>
                <w:rFonts w:ascii="Arial" w:cs="Arial" w:eastAsia="Arial" w:hAnsi="Arial"/>
                <w:sz w:val="13"/>
                <w:szCs w:val="13"/>
                <w:color w:val="auto"/>
              </w:rPr>
              <w:t>Gold's Gym / Staples / DSW</w:t>
            </w:r>
          </w:p>
        </w:tc>
        <w:tc>
          <w:tcPr>
            <w:tcW w:w="0" w:type="dxa"/>
            <w:vAlign w:val="bottom"/>
          </w:tcPr>
          <w:p>
            <w:pPr>
              <w:spacing w:after="0"/>
              <w:rPr>
                <w:sz w:val="1"/>
                <w:szCs w:val="1"/>
                <w:color w:val="auto"/>
              </w:rPr>
            </w:pPr>
          </w:p>
        </w:tc>
      </w:tr>
      <w:tr>
        <w:trPr>
          <w:trHeight w:val="181"/>
        </w:trPr>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Old Keene Mill</w:t>
            </w:r>
          </w:p>
        </w:tc>
        <w:tc>
          <w:tcPr>
            <w:tcW w:w="380" w:type="dxa"/>
            <w:vAlign w:val="bottom"/>
            <w:shd w:val="clear" w:color="auto" w:fill="CCEEFF"/>
          </w:tcPr>
          <w:p>
            <w:pPr>
              <w:spacing w:after="0"/>
              <w:rPr>
                <w:sz w:val="15"/>
                <w:szCs w:val="15"/>
                <w:color w:val="auto"/>
              </w:rPr>
            </w:pPr>
          </w:p>
        </w:tc>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1976</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6,419</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24,000</w:t>
            </w:r>
          </w:p>
        </w:tc>
        <w:tc>
          <w:tcPr>
            <w:tcW w:w="820" w:type="dxa"/>
            <w:vAlign w:val="bottom"/>
            <w:gridSpan w:val="4"/>
            <w:vMerge w:val="restart"/>
            <w:shd w:val="clear" w:color="auto" w:fill="CCEEFF"/>
          </w:tcPr>
          <w:p>
            <w:pPr>
              <w:ind w:left="80"/>
              <w:spacing w:after="0"/>
              <w:rPr>
                <w:sz w:val="20"/>
                <w:szCs w:val="20"/>
                <w:color w:val="auto"/>
              </w:rPr>
            </w:pPr>
            <w:r>
              <w:rPr>
                <w:rFonts w:ascii="Arial" w:cs="Arial" w:eastAsia="Arial" w:hAnsi="Arial"/>
                <w:sz w:val="13"/>
                <w:szCs w:val="13"/>
                <w:color w:val="auto"/>
                <w:w w:val="93"/>
              </w:rPr>
              <w:t>Whole Foods</w:t>
            </w:r>
          </w:p>
        </w:tc>
        <w:tc>
          <w:tcPr>
            <w:tcW w:w="6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spacing w:after="0"/>
              <w:rPr>
                <w:sz w:val="20"/>
                <w:szCs w:val="20"/>
                <w:color w:val="auto"/>
              </w:rPr>
            </w:pPr>
            <w:r>
              <w:rPr>
                <w:rFonts w:ascii="Arial" w:cs="Arial" w:eastAsia="Arial" w:hAnsi="Arial"/>
                <w:sz w:val="13"/>
                <w:szCs w:val="13"/>
                <w:color w:val="auto"/>
                <w:w w:val="83"/>
                <w:shd w:val="clear" w:color="auto" w:fill="CCEEFF"/>
              </w:rPr>
              <w:t>Walgreens</w:t>
            </w: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shd w:val="clear" w:color="auto" w:fill="CCEEFF"/>
          </w:tcPr>
          <w:p>
            <w:pPr>
              <w:spacing w:after="0"/>
              <w:rPr>
                <w:sz w:val="6"/>
                <w:szCs w:val="6"/>
                <w:color w:val="auto"/>
              </w:rPr>
            </w:pPr>
          </w:p>
        </w:tc>
        <w:tc>
          <w:tcPr>
            <w:tcW w:w="820" w:type="dxa"/>
            <w:vAlign w:val="bottom"/>
            <w:tcBorders>
              <w:bottom w:val="single" w:sz="8" w:color="CCEEFF"/>
            </w:tcBorders>
            <w:gridSpan w:val="4"/>
            <w:vMerge w:val="continue"/>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540" w:type="dxa"/>
            <w:vAlign w:val="bottom"/>
            <w:tcBorders>
              <w:bottom w:val="single" w:sz="8" w:color="CCEEFF"/>
            </w:tcBorders>
            <w:vMerge w:val="continue"/>
            <w:shd w:val="clear" w:color="auto" w:fill="CCEEFF"/>
          </w:tcPr>
          <w:p>
            <w:pPr>
              <w:spacing w:after="0"/>
              <w:rPr>
                <w:sz w:val="6"/>
                <w:szCs w:val="6"/>
                <w:color w:val="auto"/>
              </w:rPr>
            </w:pPr>
          </w:p>
        </w:tc>
        <w:tc>
          <w:tcPr>
            <w:tcW w:w="740" w:type="dxa"/>
            <w:vAlign w:val="bottom"/>
            <w:tcBorders>
              <w:bottom w:val="single" w:sz="8" w:color="CCEEFF"/>
            </w:tcBorders>
            <w:gridSpan w:val="3"/>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380" w:type="dxa"/>
            <w:vAlign w:val="bottom"/>
            <w:gridSpan w:val="3"/>
          </w:tcPr>
          <w:p>
            <w:pPr>
              <w:ind w:left="20"/>
              <w:spacing w:after="0"/>
              <w:rPr>
                <w:sz w:val="20"/>
                <w:szCs w:val="20"/>
                <w:color w:val="auto"/>
              </w:rPr>
            </w:pPr>
            <w:r>
              <w:rPr>
                <w:rFonts w:ascii="Arial" w:cs="Arial" w:eastAsia="Arial" w:hAnsi="Arial"/>
                <w:sz w:val="13"/>
                <w:szCs w:val="13"/>
                <w:color w:val="auto"/>
              </w:rPr>
              <w:t>Pan Am</w:t>
            </w:r>
          </w:p>
        </w:tc>
        <w:tc>
          <w:tcPr>
            <w:tcW w:w="380" w:type="dxa"/>
            <w:vAlign w:val="bottom"/>
          </w:tcPr>
          <w:p>
            <w:pPr>
              <w:spacing w:after="0"/>
              <w:rPr>
                <w:sz w:val="15"/>
                <w:szCs w:val="15"/>
                <w:color w:val="auto"/>
              </w:rPr>
            </w:pPr>
          </w:p>
        </w:tc>
        <w:tc>
          <w:tcPr>
            <w:tcW w:w="1600" w:type="dxa"/>
            <w:vAlign w:val="bottom"/>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tcPr>
          <w:p>
            <w:pPr>
              <w:jc w:val="right"/>
              <w:spacing w:after="0"/>
              <w:rPr>
                <w:sz w:val="20"/>
                <w:szCs w:val="20"/>
                <w:color w:val="auto"/>
              </w:rPr>
            </w:pPr>
            <w:r>
              <w:rPr>
                <w:rFonts w:ascii="Arial" w:cs="Arial" w:eastAsia="Arial" w:hAnsi="Arial"/>
                <w:sz w:val="13"/>
                <w:szCs w:val="13"/>
                <w:color w:val="auto"/>
              </w:rPr>
              <w:t>1993</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28,817</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227,000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65,000</w:t>
            </w:r>
          </w:p>
        </w:tc>
        <w:tc>
          <w:tcPr>
            <w:tcW w:w="820" w:type="dxa"/>
            <w:vAlign w:val="bottom"/>
            <w:gridSpan w:val="4"/>
            <w:vMerge w:val="restart"/>
          </w:tcPr>
          <w:p>
            <w:pPr>
              <w:ind w:left="80"/>
              <w:spacing w:after="0"/>
              <w:rPr>
                <w:sz w:val="20"/>
                <w:szCs w:val="20"/>
                <w:color w:val="auto"/>
              </w:rPr>
            </w:pPr>
            <w:r>
              <w:rPr>
                <w:rFonts w:ascii="Arial" w:cs="Arial" w:eastAsia="Arial" w:hAnsi="Arial"/>
                <w:sz w:val="13"/>
                <w:szCs w:val="13"/>
                <w:color w:val="auto"/>
              </w:rPr>
              <w:t>Safeway</w:t>
            </w:r>
          </w:p>
        </w:tc>
        <w:tc>
          <w:tcPr>
            <w:tcW w:w="3280" w:type="dxa"/>
            <w:vAlign w:val="bottom"/>
            <w:gridSpan w:val="11"/>
            <w:vMerge w:val="restart"/>
          </w:tcPr>
          <w:p>
            <w:pPr>
              <w:ind w:left="60"/>
              <w:spacing w:after="0"/>
              <w:rPr>
                <w:sz w:val="20"/>
                <w:szCs w:val="20"/>
                <w:color w:val="auto"/>
              </w:rPr>
            </w:pPr>
            <w:r>
              <w:rPr>
                <w:rFonts w:ascii="Arial" w:cs="Arial" w:eastAsia="Arial" w:hAnsi="Arial"/>
                <w:sz w:val="13"/>
                <w:szCs w:val="13"/>
                <w:color w:val="auto"/>
              </w:rPr>
              <w:t>Micro Center / Michaels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gridSpan w:val="4"/>
            <w:vMerge w:val="continue"/>
          </w:tcPr>
          <w:p>
            <w:pPr>
              <w:spacing w:after="0"/>
              <w:rPr>
                <w:sz w:val="7"/>
                <w:szCs w:val="7"/>
                <w:color w:val="auto"/>
              </w:rPr>
            </w:pPr>
          </w:p>
        </w:tc>
        <w:tc>
          <w:tcPr>
            <w:tcW w:w="328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Pentagon Row</w:t>
            </w:r>
          </w:p>
        </w:tc>
        <w:tc>
          <w:tcPr>
            <w:tcW w:w="380" w:type="dxa"/>
            <w:vAlign w:val="bottom"/>
            <w:shd w:val="clear" w:color="auto" w:fill="CCEEFF"/>
          </w:tcPr>
          <w:p>
            <w:pPr>
              <w:spacing w:after="0"/>
              <w:rPr>
                <w:sz w:val="15"/>
                <w:szCs w:val="15"/>
                <w:color w:val="auto"/>
              </w:rPr>
            </w:pPr>
          </w:p>
        </w:tc>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1998/2010</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96,598</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45,000</w:t>
            </w:r>
          </w:p>
        </w:tc>
        <w:tc>
          <w:tcPr>
            <w:tcW w:w="820" w:type="dxa"/>
            <w:vAlign w:val="bottom"/>
            <w:gridSpan w:val="4"/>
            <w:vMerge w:val="restart"/>
            <w:shd w:val="clear" w:color="auto" w:fill="CCEEFF"/>
          </w:tcPr>
          <w:p>
            <w:pPr>
              <w:ind w:left="80"/>
              <w:spacing w:after="0"/>
              <w:rPr>
                <w:sz w:val="20"/>
                <w:szCs w:val="20"/>
                <w:color w:val="auto"/>
              </w:rPr>
            </w:pPr>
            <w:r>
              <w:rPr>
                <w:rFonts w:ascii="Arial" w:cs="Arial" w:eastAsia="Arial" w:hAnsi="Arial"/>
                <w:sz w:val="13"/>
                <w:szCs w:val="13"/>
                <w:color w:val="auto"/>
                <w:w w:val="94"/>
              </w:rPr>
              <w:t>Harris Teeter</w:t>
            </w:r>
          </w:p>
        </w:tc>
        <w:tc>
          <w:tcPr>
            <w:tcW w:w="60" w:type="dxa"/>
            <w:vAlign w:val="bottom"/>
            <w:shd w:val="clear" w:color="auto" w:fill="CCEEFF"/>
          </w:tcPr>
          <w:p>
            <w:pPr>
              <w:spacing w:after="0"/>
              <w:rPr>
                <w:sz w:val="15"/>
                <w:szCs w:val="15"/>
                <w:color w:val="auto"/>
              </w:rPr>
            </w:pPr>
          </w:p>
        </w:tc>
        <w:tc>
          <w:tcPr>
            <w:tcW w:w="1460" w:type="dxa"/>
            <w:vAlign w:val="bottom"/>
            <w:gridSpan w:val="5"/>
            <w:vMerge w:val="restart"/>
            <w:shd w:val="clear" w:color="auto" w:fill="CCEEFF"/>
          </w:tcPr>
          <w:p>
            <w:pPr>
              <w:spacing w:after="0"/>
              <w:rPr>
                <w:sz w:val="20"/>
                <w:szCs w:val="20"/>
                <w:color w:val="auto"/>
              </w:rPr>
            </w:pPr>
            <w:r>
              <w:rPr>
                <w:rFonts w:ascii="Arial" w:cs="Arial" w:eastAsia="Arial" w:hAnsi="Arial"/>
                <w:sz w:val="13"/>
                <w:szCs w:val="13"/>
                <w:color w:val="auto"/>
                <w:w w:val="90"/>
                <w:shd w:val="clear" w:color="auto" w:fill="CCEEFF"/>
              </w:rPr>
              <w:t>Bed, Bath &amp; Beyond / DSW</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shd w:val="clear" w:color="auto" w:fill="CCEEFF"/>
          </w:tcPr>
          <w:p>
            <w:pPr>
              <w:spacing w:after="0"/>
              <w:rPr>
                <w:sz w:val="6"/>
                <w:szCs w:val="6"/>
                <w:color w:val="auto"/>
              </w:rPr>
            </w:pPr>
          </w:p>
        </w:tc>
        <w:tc>
          <w:tcPr>
            <w:tcW w:w="820" w:type="dxa"/>
            <w:vAlign w:val="bottom"/>
            <w:tcBorders>
              <w:bottom w:val="single" w:sz="8" w:color="CCEEFF"/>
            </w:tcBorders>
            <w:gridSpan w:val="4"/>
            <w:vMerge w:val="continue"/>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1460" w:type="dxa"/>
            <w:vAlign w:val="bottom"/>
            <w:tcBorders>
              <w:bottom w:val="single" w:sz="8" w:color="CCEEFF"/>
            </w:tcBorders>
            <w:gridSpan w:val="5"/>
            <w:vMerge w:val="continue"/>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380" w:type="dxa"/>
            <w:vAlign w:val="bottom"/>
            <w:gridSpan w:val="3"/>
          </w:tcPr>
          <w:p>
            <w:pPr>
              <w:ind w:left="20"/>
              <w:spacing w:after="0"/>
              <w:rPr>
                <w:sz w:val="20"/>
                <w:szCs w:val="20"/>
                <w:color w:val="auto"/>
              </w:rPr>
            </w:pPr>
            <w:r>
              <w:rPr>
                <w:rFonts w:ascii="Arial" w:cs="Arial" w:eastAsia="Arial" w:hAnsi="Arial"/>
                <w:sz w:val="13"/>
                <w:szCs w:val="13"/>
                <w:color w:val="auto"/>
              </w:rPr>
              <w:t>Pike &amp; Rose</w:t>
            </w:r>
          </w:p>
        </w:tc>
        <w:tc>
          <w:tcPr>
            <w:tcW w:w="380" w:type="dxa"/>
            <w:vAlign w:val="bottom"/>
          </w:tcPr>
          <w:p>
            <w:pPr>
              <w:jc w:val="right"/>
              <w:ind w:right="77"/>
              <w:spacing w:after="0"/>
              <w:rPr>
                <w:sz w:val="20"/>
                <w:szCs w:val="20"/>
                <w:color w:val="auto"/>
              </w:rPr>
            </w:pPr>
            <w:r>
              <w:rPr>
                <w:rFonts w:ascii="Arial" w:cs="Arial" w:eastAsia="Arial" w:hAnsi="Arial"/>
                <w:sz w:val="13"/>
                <w:szCs w:val="13"/>
                <w:color w:val="auto"/>
              </w:rPr>
              <w:t>(4)</w:t>
            </w:r>
          </w:p>
        </w:tc>
        <w:tc>
          <w:tcPr>
            <w:tcW w:w="1600" w:type="dxa"/>
            <w:vAlign w:val="bottom"/>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tcPr>
          <w:p>
            <w:pPr>
              <w:jc w:val="right"/>
              <w:spacing w:after="0"/>
              <w:rPr>
                <w:sz w:val="20"/>
                <w:szCs w:val="20"/>
                <w:color w:val="auto"/>
              </w:rPr>
            </w:pPr>
            <w:r>
              <w:rPr>
                <w:rFonts w:ascii="Arial" w:cs="Arial" w:eastAsia="Arial" w:hAnsi="Arial"/>
                <w:sz w:val="13"/>
                <w:szCs w:val="13"/>
                <w:color w:val="auto"/>
                <w:w w:val="87"/>
              </w:rPr>
              <w:t>1982/2007/2012</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381,384</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226,000</w:t>
            </w:r>
          </w:p>
        </w:tc>
        <w:tc>
          <w:tcPr>
            <w:tcW w:w="500" w:type="dxa"/>
            <w:vAlign w:val="bottom"/>
          </w:tcPr>
          <w:p>
            <w:pPr>
              <w:jc w:val="right"/>
              <w:spacing w:after="0"/>
              <w:rPr>
                <w:sz w:val="20"/>
                <w:szCs w:val="20"/>
                <w:color w:val="auto"/>
              </w:rPr>
            </w:pPr>
            <w:r>
              <w:rPr>
                <w:rFonts w:ascii="Arial" w:cs="Arial" w:eastAsia="Arial" w:hAnsi="Arial"/>
                <w:sz w:val="13"/>
                <w:szCs w:val="13"/>
                <w:color w:val="auto"/>
              </w:rPr>
              <w:t>96%</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80" w:type="dxa"/>
            <w:vAlign w:val="bottom"/>
            <w:gridSpan w:val="11"/>
          </w:tcPr>
          <w:p>
            <w:pPr>
              <w:ind w:left="60"/>
              <w:spacing w:after="0"/>
              <w:rPr>
                <w:sz w:val="20"/>
                <w:szCs w:val="20"/>
                <w:color w:val="auto"/>
              </w:rPr>
            </w:pPr>
            <w:r>
              <w:rPr>
                <w:rFonts w:ascii="Arial" w:cs="Arial" w:eastAsia="Arial" w:hAnsi="Arial"/>
                <w:sz w:val="13"/>
                <w:szCs w:val="13"/>
                <w:color w:val="auto"/>
              </w:rPr>
              <w:t>iPic Theater / Sport &amp; Health / Gap / Gap Kids</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Pike 7 Plaza</w:t>
            </w:r>
          </w:p>
        </w:tc>
        <w:tc>
          <w:tcPr>
            <w:tcW w:w="380" w:type="dxa"/>
            <w:vAlign w:val="bottom"/>
            <w:shd w:val="clear" w:color="auto" w:fill="CCEEFF"/>
          </w:tcPr>
          <w:p>
            <w:pPr>
              <w:spacing w:after="0"/>
              <w:rPr>
                <w:sz w:val="15"/>
                <w:szCs w:val="15"/>
                <w:color w:val="auto"/>
              </w:rPr>
            </w:pPr>
          </w:p>
        </w:tc>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1997/2015</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41,770</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80" w:type="dxa"/>
            <w:vAlign w:val="bottom"/>
            <w:gridSpan w:val="4"/>
            <w:vMerge w:val="restart"/>
            <w:shd w:val="clear" w:color="auto" w:fill="CCEEFF"/>
          </w:tcPr>
          <w:p>
            <w:pPr>
              <w:spacing w:after="0"/>
              <w:rPr>
                <w:sz w:val="20"/>
                <w:szCs w:val="20"/>
                <w:color w:val="auto"/>
              </w:rPr>
            </w:pPr>
            <w:r>
              <w:rPr>
                <w:rFonts w:ascii="Arial" w:cs="Arial" w:eastAsia="Arial" w:hAnsi="Arial"/>
                <w:sz w:val="13"/>
                <w:szCs w:val="13"/>
                <w:color w:val="auto"/>
                <w:w w:val="87"/>
                <w:shd w:val="clear" w:color="auto" w:fill="CCEEFF"/>
              </w:rPr>
              <w:t>DSW / Staples / TJ Maxx</w:t>
            </w: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1280" w:type="dxa"/>
            <w:vAlign w:val="bottom"/>
            <w:tcBorders>
              <w:bottom w:val="single" w:sz="8" w:color="CCEEFF"/>
            </w:tcBorders>
            <w:gridSpan w:val="4"/>
            <w:vMerge w:val="continue"/>
            <w:shd w:val="clear" w:color="auto" w:fill="CCEEFF"/>
          </w:tcPr>
          <w:p>
            <w:pPr>
              <w:spacing w:after="0"/>
              <w:rPr>
                <w:sz w:val="6"/>
                <w:szCs w:val="6"/>
                <w:color w:val="auto"/>
              </w:rPr>
            </w:pPr>
          </w:p>
        </w:tc>
        <w:tc>
          <w:tcPr>
            <w:tcW w:w="180" w:type="dxa"/>
            <w:vAlign w:val="bottom"/>
            <w:tcBorders>
              <w:bottom w:val="single" w:sz="8" w:color="CCEEFF"/>
            </w:tcBorders>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380" w:type="dxa"/>
            <w:vAlign w:val="bottom"/>
            <w:gridSpan w:val="3"/>
          </w:tcPr>
          <w:p>
            <w:pPr>
              <w:ind w:left="20"/>
              <w:spacing w:after="0"/>
              <w:rPr>
                <w:sz w:val="20"/>
                <w:szCs w:val="20"/>
                <w:color w:val="auto"/>
              </w:rPr>
            </w:pPr>
            <w:r>
              <w:rPr>
                <w:rFonts w:ascii="Arial" w:cs="Arial" w:eastAsia="Arial" w:hAnsi="Arial"/>
                <w:sz w:val="13"/>
                <w:szCs w:val="13"/>
                <w:color w:val="auto"/>
              </w:rPr>
              <w:t>Plaza del Mercado</w:t>
            </w:r>
          </w:p>
        </w:tc>
        <w:tc>
          <w:tcPr>
            <w:tcW w:w="380" w:type="dxa"/>
            <w:vAlign w:val="bottom"/>
          </w:tcPr>
          <w:p>
            <w:pPr>
              <w:jc w:val="right"/>
              <w:ind w:right="77"/>
              <w:spacing w:after="0"/>
              <w:rPr>
                <w:sz w:val="20"/>
                <w:szCs w:val="20"/>
                <w:color w:val="auto"/>
              </w:rPr>
            </w:pPr>
            <w:r>
              <w:rPr>
                <w:rFonts w:ascii="Arial" w:cs="Arial" w:eastAsia="Arial" w:hAnsi="Arial"/>
                <w:sz w:val="13"/>
                <w:szCs w:val="13"/>
                <w:color w:val="auto"/>
              </w:rPr>
              <w:t>(8)</w:t>
            </w:r>
          </w:p>
        </w:tc>
        <w:tc>
          <w:tcPr>
            <w:tcW w:w="1600" w:type="dxa"/>
            <w:vAlign w:val="bottom"/>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tcPr>
          <w:p>
            <w:pPr>
              <w:jc w:val="right"/>
              <w:spacing w:after="0"/>
              <w:rPr>
                <w:sz w:val="20"/>
                <w:szCs w:val="20"/>
                <w:color w:val="auto"/>
              </w:rPr>
            </w:pPr>
            <w:r>
              <w:rPr>
                <w:rFonts w:ascii="Arial" w:cs="Arial" w:eastAsia="Arial" w:hAnsi="Arial"/>
                <w:sz w:val="13"/>
                <w:szCs w:val="13"/>
                <w:color w:val="auto"/>
              </w:rPr>
              <w:t>2004</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33,396</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96,000</w:t>
            </w:r>
          </w:p>
        </w:tc>
        <w:tc>
          <w:tcPr>
            <w:tcW w:w="500" w:type="dxa"/>
            <w:vAlign w:val="bottom"/>
          </w:tcPr>
          <w:p>
            <w:pPr>
              <w:jc w:val="right"/>
              <w:spacing w:after="0"/>
              <w:rPr>
                <w:sz w:val="20"/>
                <w:szCs w:val="20"/>
                <w:color w:val="auto"/>
              </w:rPr>
            </w:pPr>
            <w:r>
              <w:rPr>
                <w:rFonts w:ascii="Arial" w:cs="Arial" w:eastAsia="Arial" w:hAnsi="Arial"/>
                <w:sz w:val="13"/>
                <w:szCs w:val="13"/>
                <w:color w:val="auto"/>
              </w:rPr>
              <w:t>92%</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80" w:type="dxa"/>
            <w:vAlign w:val="bottom"/>
            <w:gridSpan w:val="11"/>
          </w:tcPr>
          <w:p>
            <w:pPr>
              <w:ind w:left="60"/>
              <w:spacing w:after="0"/>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Quince Orchard</w:t>
            </w:r>
          </w:p>
        </w:tc>
        <w:tc>
          <w:tcPr>
            <w:tcW w:w="380" w:type="dxa"/>
            <w:vAlign w:val="bottom"/>
            <w:shd w:val="clear" w:color="auto" w:fill="CCEEFF"/>
          </w:tcPr>
          <w:p>
            <w:pPr>
              <w:spacing w:after="0"/>
              <w:rPr>
                <w:sz w:val="15"/>
                <w:szCs w:val="15"/>
                <w:color w:val="auto"/>
              </w:rPr>
            </w:pPr>
          </w:p>
        </w:tc>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36,378</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19,000</w:t>
            </w:r>
          </w:p>
        </w:tc>
        <w:tc>
          <w:tcPr>
            <w:tcW w:w="820" w:type="dxa"/>
            <w:vAlign w:val="bottom"/>
            <w:gridSpan w:val="4"/>
            <w:vMerge w:val="restart"/>
            <w:shd w:val="clear" w:color="auto" w:fill="CCEEFF"/>
          </w:tcPr>
          <w:p>
            <w:pPr>
              <w:ind w:left="80"/>
              <w:spacing w:after="0"/>
              <w:rPr>
                <w:sz w:val="20"/>
                <w:szCs w:val="20"/>
                <w:color w:val="auto"/>
              </w:rPr>
            </w:pPr>
            <w:r>
              <w:rPr>
                <w:rFonts w:ascii="Arial" w:cs="Arial" w:eastAsia="Arial" w:hAnsi="Arial"/>
                <w:sz w:val="13"/>
                <w:szCs w:val="13"/>
                <w:color w:val="auto"/>
              </w:rPr>
              <w:t>Aldi</w:t>
            </w:r>
          </w:p>
        </w:tc>
        <w:tc>
          <w:tcPr>
            <w:tcW w:w="60" w:type="dxa"/>
            <w:vAlign w:val="bottom"/>
            <w:shd w:val="clear" w:color="auto" w:fill="CCEEFF"/>
          </w:tcPr>
          <w:p>
            <w:pPr>
              <w:spacing w:after="0"/>
              <w:rPr>
                <w:sz w:val="15"/>
                <w:szCs w:val="15"/>
                <w:color w:val="auto"/>
              </w:rPr>
            </w:pPr>
          </w:p>
        </w:tc>
        <w:tc>
          <w:tcPr>
            <w:tcW w:w="1820" w:type="dxa"/>
            <w:vAlign w:val="bottom"/>
            <w:gridSpan w:val="7"/>
            <w:vMerge w:val="restart"/>
            <w:shd w:val="clear" w:color="auto" w:fill="CCEEFF"/>
          </w:tcPr>
          <w:p>
            <w:pPr>
              <w:spacing w:after="0"/>
              <w:rPr>
                <w:sz w:val="20"/>
                <w:szCs w:val="20"/>
                <w:color w:val="auto"/>
              </w:rPr>
            </w:pPr>
            <w:r>
              <w:rPr>
                <w:rFonts w:ascii="Arial" w:cs="Arial" w:eastAsia="Arial" w:hAnsi="Arial"/>
                <w:sz w:val="13"/>
                <w:szCs w:val="13"/>
                <w:color w:val="auto"/>
                <w:w w:val="87"/>
                <w:shd w:val="clear" w:color="auto" w:fill="CCEEFF"/>
              </w:rPr>
              <w:t>L.A. Fitness / HomeGoods / Staples</w:t>
            </w:r>
          </w:p>
        </w:tc>
        <w:tc>
          <w:tcPr>
            <w:tcW w:w="6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shd w:val="clear" w:color="auto" w:fill="CCEEFF"/>
          </w:tcPr>
          <w:p>
            <w:pPr>
              <w:spacing w:after="0"/>
              <w:rPr>
                <w:sz w:val="6"/>
                <w:szCs w:val="6"/>
                <w:color w:val="auto"/>
              </w:rPr>
            </w:pPr>
          </w:p>
        </w:tc>
        <w:tc>
          <w:tcPr>
            <w:tcW w:w="820" w:type="dxa"/>
            <w:vAlign w:val="bottom"/>
            <w:tcBorders>
              <w:bottom w:val="single" w:sz="8" w:color="CCEEFF"/>
            </w:tcBorders>
            <w:gridSpan w:val="4"/>
            <w:vMerge w:val="continue"/>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1820" w:type="dxa"/>
            <w:vAlign w:val="bottom"/>
            <w:tcBorders>
              <w:bottom w:val="single" w:sz="8" w:color="CCEEFF"/>
            </w:tcBorders>
            <w:gridSpan w:val="7"/>
            <w:vMerge w:val="continue"/>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38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Rockville Town Square</w:t>
            </w:r>
          </w:p>
        </w:tc>
        <w:tc>
          <w:tcPr>
            <w:tcW w:w="3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(6)</w:t>
            </w:r>
          </w:p>
        </w:tc>
        <w:tc>
          <w:tcPr>
            <w:tcW w:w="1600" w:type="dxa"/>
            <w:vAlign w:val="bottom"/>
          </w:tcPr>
          <w:p>
            <w:pPr>
              <w:ind w:left="40"/>
              <w:spacing w:after="0" w:line="148" w:lineRule="exact"/>
              <w:rPr>
                <w:sz w:val="20"/>
                <w:szCs w:val="20"/>
                <w:color w:val="auto"/>
              </w:rPr>
            </w:pPr>
            <w:r>
              <w:rPr>
                <w:rFonts w:ascii="Arial" w:cs="Arial" w:eastAsia="Arial" w:hAnsi="Arial"/>
                <w:sz w:val="13"/>
                <w:szCs w:val="13"/>
                <w:color w:val="auto"/>
              </w:rPr>
              <w:t>Washington, DC-MD-VA</w:t>
            </w: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2006-2007</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49,868</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4,487</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187,000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94%</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25,000</w:t>
            </w:r>
          </w:p>
        </w:tc>
        <w:tc>
          <w:tcPr>
            <w:tcW w:w="820" w:type="dxa"/>
            <w:vAlign w:val="bottom"/>
            <w:gridSpan w:val="4"/>
          </w:tcPr>
          <w:p>
            <w:pPr>
              <w:ind w:left="80"/>
              <w:spacing w:after="0" w:line="148" w:lineRule="exact"/>
              <w:rPr>
                <w:sz w:val="20"/>
                <w:szCs w:val="20"/>
                <w:color w:val="auto"/>
              </w:rPr>
            </w:pPr>
            <w:r>
              <w:rPr>
                <w:rFonts w:ascii="Arial" w:cs="Arial" w:eastAsia="Arial" w:hAnsi="Arial"/>
                <w:sz w:val="13"/>
                <w:szCs w:val="13"/>
                <w:color w:val="auto"/>
              </w:rPr>
              <w:t>Dawson's</w:t>
            </w:r>
          </w:p>
        </w:tc>
        <w:tc>
          <w:tcPr>
            <w:tcW w:w="3280" w:type="dxa"/>
            <w:vAlign w:val="bottom"/>
            <w:gridSpan w:val="11"/>
          </w:tcPr>
          <w:p>
            <w:pPr>
              <w:ind w:left="60"/>
              <w:spacing w:after="0" w:line="148" w:lineRule="exact"/>
              <w:rPr>
                <w:sz w:val="20"/>
                <w:szCs w:val="20"/>
                <w:color w:val="auto"/>
              </w:rPr>
            </w:pPr>
            <w:r>
              <w:rPr>
                <w:rFonts w:ascii="Arial" w:cs="Arial" w:eastAsia="Arial" w:hAnsi="Arial"/>
                <w:sz w:val="13"/>
                <w:szCs w:val="13"/>
                <w:color w:val="auto"/>
              </w:rPr>
              <w:t>CVS / Gold's Gym</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gridSpan w:val="4"/>
          </w:tcPr>
          <w:p>
            <w:pPr>
              <w:ind w:left="80"/>
              <w:spacing w:after="0"/>
              <w:rPr>
                <w:sz w:val="20"/>
                <w:szCs w:val="20"/>
                <w:color w:val="auto"/>
              </w:rPr>
            </w:pPr>
            <w:r>
              <w:rPr>
                <w:rFonts w:ascii="Arial" w:cs="Arial" w:eastAsia="Arial" w:hAnsi="Arial"/>
                <w:sz w:val="13"/>
                <w:szCs w:val="13"/>
                <w:color w:val="auto"/>
              </w:rPr>
              <w:t>Market</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Rollingwood</w:t>
            </w:r>
          </w:p>
        </w:tc>
        <w:tc>
          <w:tcPr>
            <w:tcW w:w="380" w:type="dxa"/>
            <w:vAlign w:val="bottom"/>
            <w:shd w:val="clear" w:color="auto" w:fill="CCEEFF"/>
          </w:tcPr>
          <w:p>
            <w:pPr>
              <w:spacing w:after="0"/>
              <w:rPr>
                <w:sz w:val="13"/>
                <w:szCs w:val="13"/>
                <w:color w:val="auto"/>
              </w:rPr>
            </w:pPr>
          </w:p>
        </w:tc>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1971</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10,229</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21,608</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N/A</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Apartments</w:t>
            </w:r>
          </w:p>
        </w:tc>
        <w:tc>
          <w:tcPr>
            <w:tcW w:w="3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80" w:type="dxa"/>
            <w:vAlign w:val="bottom"/>
            <w:gridSpan w:val="3"/>
          </w:tcPr>
          <w:p>
            <w:pPr>
              <w:ind w:left="20"/>
              <w:spacing w:after="0"/>
              <w:rPr>
                <w:sz w:val="20"/>
                <w:szCs w:val="20"/>
                <w:color w:val="auto"/>
              </w:rPr>
            </w:pPr>
            <w:r>
              <w:rPr>
                <w:rFonts w:ascii="Arial" w:cs="Arial" w:eastAsia="Arial" w:hAnsi="Arial"/>
                <w:sz w:val="13"/>
                <w:szCs w:val="13"/>
                <w:color w:val="auto"/>
              </w:rPr>
              <w:t>Sam's Park &amp; Shop</w:t>
            </w:r>
          </w:p>
        </w:tc>
        <w:tc>
          <w:tcPr>
            <w:tcW w:w="380" w:type="dxa"/>
            <w:vAlign w:val="bottom"/>
          </w:tcPr>
          <w:p>
            <w:pPr>
              <w:spacing w:after="0"/>
              <w:rPr>
                <w:sz w:val="15"/>
                <w:szCs w:val="15"/>
                <w:color w:val="auto"/>
              </w:rPr>
            </w:pPr>
          </w:p>
        </w:tc>
        <w:tc>
          <w:tcPr>
            <w:tcW w:w="1600" w:type="dxa"/>
            <w:vAlign w:val="bottom"/>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tcPr>
          <w:p>
            <w:pPr>
              <w:jc w:val="right"/>
              <w:spacing w:after="0"/>
              <w:rPr>
                <w:sz w:val="20"/>
                <w:szCs w:val="20"/>
                <w:color w:val="auto"/>
              </w:rPr>
            </w:pPr>
            <w:r>
              <w:rPr>
                <w:rFonts w:ascii="Arial" w:cs="Arial" w:eastAsia="Arial" w:hAnsi="Arial"/>
                <w:sz w:val="13"/>
                <w:szCs w:val="13"/>
                <w:color w:val="auto"/>
              </w:rPr>
              <w:t>1995</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12,678</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49,000</w:t>
            </w:r>
          </w:p>
        </w:tc>
        <w:tc>
          <w:tcPr>
            <w:tcW w:w="500" w:type="dxa"/>
            <w:vAlign w:val="bottom"/>
          </w:tcPr>
          <w:p>
            <w:pPr>
              <w:jc w:val="right"/>
              <w:spacing w:after="0"/>
              <w:rPr>
                <w:sz w:val="20"/>
                <w:szCs w:val="20"/>
                <w:color w:val="auto"/>
              </w:rPr>
            </w:pPr>
            <w:r>
              <w:rPr>
                <w:rFonts w:ascii="Arial" w:cs="Arial" w:eastAsia="Arial" w:hAnsi="Arial"/>
                <w:sz w:val="13"/>
                <w:szCs w:val="13"/>
                <w:color w:val="auto"/>
              </w:rPr>
              <w:t>86%</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80" w:type="dxa"/>
            <w:vAlign w:val="bottom"/>
            <w:gridSpan w:val="11"/>
            <w:vMerge w:val="restart"/>
          </w:tcPr>
          <w:p>
            <w:pPr>
              <w:ind w:left="60"/>
              <w:spacing w:after="0"/>
              <w:rPr>
                <w:sz w:val="20"/>
                <w:szCs w:val="20"/>
                <w:color w:val="auto"/>
              </w:rPr>
            </w:pPr>
            <w:r>
              <w:rPr>
                <w:rFonts w:ascii="Arial" w:cs="Arial" w:eastAsia="Arial" w:hAnsi="Arial"/>
                <w:sz w:val="13"/>
                <w:szCs w:val="13"/>
                <w:color w:val="auto"/>
              </w:rPr>
              <w:t>Petco</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8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w w:val="97"/>
              </w:rPr>
              <w:t>Tower Shopping Center</w:t>
            </w:r>
          </w:p>
        </w:tc>
        <w:tc>
          <w:tcPr>
            <w:tcW w:w="380" w:type="dxa"/>
            <w:vAlign w:val="bottom"/>
            <w:shd w:val="clear" w:color="auto" w:fill="CCEEFF"/>
          </w:tcPr>
          <w:p>
            <w:pPr>
              <w:spacing w:after="0"/>
              <w:rPr>
                <w:sz w:val="15"/>
                <w:szCs w:val="15"/>
                <w:color w:val="auto"/>
              </w:rPr>
            </w:pPr>
          </w:p>
        </w:tc>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21,469</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26,000</w:t>
            </w:r>
          </w:p>
        </w:tc>
        <w:tc>
          <w:tcPr>
            <w:tcW w:w="8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spacing w:after="0"/>
              <w:rPr>
                <w:sz w:val="20"/>
                <w:szCs w:val="20"/>
                <w:color w:val="auto"/>
              </w:rPr>
            </w:pPr>
            <w:r>
              <w:rPr>
                <w:rFonts w:ascii="Arial" w:cs="Arial" w:eastAsia="Arial" w:hAnsi="Arial"/>
                <w:sz w:val="13"/>
                <w:szCs w:val="13"/>
                <w:color w:val="auto"/>
                <w:w w:val="90"/>
                <w:shd w:val="clear" w:color="auto" w:fill="CCEEFF"/>
              </w:rPr>
              <w:t>L.A. Mart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60" w:type="dxa"/>
            <w:vAlign w:val="bottom"/>
            <w:gridSpan w:val="5"/>
            <w:vMerge w:val="restart"/>
            <w:shd w:val="clear" w:color="auto" w:fill="CCEEFF"/>
          </w:tcPr>
          <w:p>
            <w:pPr>
              <w:spacing w:after="0"/>
              <w:rPr>
                <w:sz w:val="20"/>
                <w:szCs w:val="20"/>
                <w:color w:val="auto"/>
              </w:rPr>
            </w:pPr>
            <w:r>
              <w:rPr>
                <w:rFonts w:ascii="Arial" w:cs="Arial" w:eastAsia="Arial" w:hAnsi="Arial"/>
                <w:sz w:val="13"/>
                <w:szCs w:val="13"/>
                <w:color w:val="auto"/>
                <w:w w:val="89"/>
                <w:shd w:val="clear" w:color="auto" w:fill="CCEEFF"/>
              </w:rPr>
              <w:t>Talbots / Total Wine &amp; More</w:t>
            </w: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vMerge w:val="continue"/>
            <w:shd w:val="clear" w:color="auto" w:fill="CCEEFF"/>
          </w:tcPr>
          <w:p>
            <w:pPr>
              <w:spacing w:after="0"/>
              <w:rPr>
                <w:sz w:val="6"/>
                <w:szCs w:val="6"/>
                <w:color w:val="auto"/>
              </w:rPr>
            </w:pPr>
          </w:p>
        </w:tc>
        <w:tc>
          <w:tcPr>
            <w:tcW w:w="240" w:type="dxa"/>
            <w:vAlign w:val="bottom"/>
            <w:tcBorders>
              <w:bottom w:val="single" w:sz="8" w:color="CCEEFF"/>
            </w:tcBorders>
            <w:gridSpan w:val="2"/>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1460" w:type="dxa"/>
            <w:vAlign w:val="bottom"/>
            <w:tcBorders>
              <w:bottom w:val="single" w:sz="8" w:color="CCEEFF"/>
            </w:tcBorders>
            <w:gridSpan w:val="5"/>
            <w:vMerge w:val="continue"/>
            <w:shd w:val="clear" w:color="auto" w:fill="CCEEFF"/>
          </w:tcPr>
          <w:p>
            <w:pPr>
              <w:spacing w:after="0"/>
              <w:rPr>
                <w:sz w:val="6"/>
                <w:szCs w:val="6"/>
                <w:color w:val="auto"/>
              </w:rPr>
            </w:pPr>
          </w:p>
        </w:tc>
        <w:tc>
          <w:tcPr>
            <w:tcW w:w="280" w:type="dxa"/>
            <w:vAlign w:val="bottom"/>
            <w:tcBorders>
              <w:bottom w:val="single" w:sz="8" w:color="CCEEFF"/>
            </w:tcBorders>
            <w:shd w:val="clear" w:color="auto" w:fill="CCEEFF"/>
          </w:tcPr>
          <w:p>
            <w:pPr>
              <w:spacing w:after="0"/>
              <w:rPr>
                <w:sz w:val="6"/>
                <w:szCs w:val="6"/>
                <w:color w:val="auto"/>
              </w:rPr>
            </w:pPr>
          </w:p>
        </w:tc>
        <w:tc>
          <w:tcPr>
            <w:tcW w:w="760" w:type="dxa"/>
            <w:vAlign w:val="bottom"/>
            <w:tcBorders>
              <w:bottom w:val="single" w:sz="8" w:color="CCEEFF"/>
            </w:tcBorders>
            <w:gridSpan w:val="2"/>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380" w:type="dxa"/>
            <w:vAlign w:val="bottom"/>
            <w:gridSpan w:val="3"/>
          </w:tcPr>
          <w:p>
            <w:pPr>
              <w:ind w:left="20"/>
              <w:spacing w:after="0"/>
              <w:rPr>
                <w:sz w:val="20"/>
                <w:szCs w:val="20"/>
                <w:color w:val="auto"/>
              </w:rPr>
            </w:pPr>
            <w:r>
              <w:rPr>
                <w:rFonts w:ascii="Arial" w:cs="Arial" w:eastAsia="Arial" w:hAnsi="Arial"/>
                <w:sz w:val="13"/>
                <w:szCs w:val="13"/>
                <w:color w:val="auto"/>
              </w:rPr>
              <w:t>Tyson's Station</w:t>
            </w:r>
          </w:p>
        </w:tc>
        <w:tc>
          <w:tcPr>
            <w:tcW w:w="380" w:type="dxa"/>
            <w:vAlign w:val="bottom"/>
          </w:tcPr>
          <w:p>
            <w:pPr>
              <w:spacing w:after="0"/>
              <w:rPr>
                <w:sz w:val="15"/>
                <w:szCs w:val="15"/>
                <w:color w:val="auto"/>
              </w:rPr>
            </w:pPr>
          </w:p>
        </w:tc>
        <w:tc>
          <w:tcPr>
            <w:tcW w:w="1600" w:type="dxa"/>
            <w:vAlign w:val="bottom"/>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tcPr>
          <w:p>
            <w:pPr>
              <w:jc w:val="right"/>
              <w:spacing w:after="0"/>
              <w:rPr>
                <w:sz w:val="20"/>
                <w:szCs w:val="20"/>
                <w:color w:val="auto"/>
              </w:rPr>
            </w:pPr>
            <w:r>
              <w:rPr>
                <w:rFonts w:ascii="Arial" w:cs="Arial" w:eastAsia="Arial" w:hAnsi="Arial"/>
                <w:sz w:val="13"/>
                <w:szCs w:val="13"/>
                <w:color w:val="auto"/>
              </w:rPr>
              <w:t>1978</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4,594</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49,000</w:t>
            </w:r>
          </w:p>
        </w:tc>
        <w:tc>
          <w:tcPr>
            <w:tcW w:w="500" w:type="dxa"/>
            <w:vAlign w:val="bottom"/>
          </w:tcPr>
          <w:p>
            <w:pPr>
              <w:jc w:val="right"/>
              <w:spacing w:after="0"/>
              <w:rPr>
                <w:sz w:val="20"/>
                <w:szCs w:val="20"/>
                <w:color w:val="auto"/>
              </w:rPr>
            </w:pPr>
            <w:r>
              <w:rPr>
                <w:rFonts w:ascii="Arial" w:cs="Arial" w:eastAsia="Arial" w:hAnsi="Arial"/>
                <w:sz w:val="13"/>
                <w:szCs w:val="13"/>
                <w:color w:val="auto"/>
              </w:rPr>
              <w:t>92%</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11,000</w:t>
            </w:r>
          </w:p>
        </w:tc>
        <w:tc>
          <w:tcPr>
            <w:tcW w:w="820" w:type="dxa"/>
            <w:vAlign w:val="bottom"/>
            <w:gridSpan w:val="4"/>
            <w:vMerge w:val="restart"/>
          </w:tcPr>
          <w:p>
            <w:pPr>
              <w:ind w:left="80"/>
              <w:spacing w:after="0"/>
              <w:rPr>
                <w:sz w:val="20"/>
                <w:szCs w:val="20"/>
                <w:color w:val="auto"/>
              </w:rPr>
            </w:pPr>
            <w:r>
              <w:rPr>
                <w:rFonts w:ascii="Arial" w:cs="Arial" w:eastAsia="Arial" w:hAnsi="Arial"/>
                <w:sz w:val="13"/>
                <w:szCs w:val="13"/>
                <w:color w:val="auto"/>
              </w:rPr>
              <w:t>Trader Joe's</w:t>
            </w: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gridSpan w:val="4"/>
            <w:vMerge w:val="continue"/>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Village at Shirlington</w:t>
            </w:r>
          </w:p>
        </w:tc>
        <w:tc>
          <w:tcPr>
            <w:tcW w:w="3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w:t>
            </w:r>
          </w:p>
        </w:tc>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62,738</w:t>
            </w:r>
          </w:p>
        </w:tc>
        <w:tc>
          <w:tcPr>
            <w:tcW w:w="66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6,552</w:t>
            </w: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28,000</w:t>
            </w:r>
          </w:p>
        </w:tc>
        <w:tc>
          <w:tcPr>
            <w:tcW w:w="820" w:type="dxa"/>
            <w:vAlign w:val="bottom"/>
            <w:gridSpan w:val="4"/>
            <w:vMerge w:val="restart"/>
            <w:shd w:val="clear" w:color="auto" w:fill="CCEEFF"/>
          </w:tcPr>
          <w:p>
            <w:pPr>
              <w:ind w:left="80"/>
              <w:spacing w:after="0"/>
              <w:rPr>
                <w:sz w:val="20"/>
                <w:szCs w:val="20"/>
                <w:color w:val="auto"/>
              </w:rPr>
            </w:pPr>
            <w:r>
              <w:rPr>
                <w:rFonts w:ascii="Arial" w:cs="Arial" w:eastAsia="Arial" w:hAnsi="Arial"/>
                <w:sz w:val="13"/>
                <w:szCs w:val="13"/>
                <w:color w:val="auto"/>
                <w:w w:val="94"/>
              </w:rPr>
              <w:t>Harris Teeter</w:t>
            </w:r>
          </w:p>
        </w:tc>
        <w:tc>
          <w:tcPr>
            <w:tcW w:w="60" w:type="dxa"/>
            <w:vAlign w:val="bottom"/>
            <w:shd w:val="clear" w:color="auto" w:fill="CCEEFF"/>
          </w:tcPr>
          <w:p>
            <w:pPr>
              <w:spacing w:after="0"/>
              <w:rPr>
                <w:sz w:val="15"/>
                <w:szCs w:val="15"/>
                <w:color w:val="auto"/>
              </w:rPr>
            </w:pPr>
          </w:p>
        </w:tc>
        <w:tc>
          <w:tcPr>
            <w:tcW w:w="1740" w:type="dxa"/>
            <w:vAlign w:val="bottom"/>
            <w:gridSpan w:val="6"/>
            <w:vMerge w:val="restart"/>
            <w:shd w:val="clear" w:color="auto" w:fill="CCEEFF"/>
          </w:tcPr>
          <w:p>
            <w:pPr>
              <w:spacing w:after="0"/>
              <w:rPr>
                <w:sz w:val="20"/>
                <w:szCs w:val="20"/>
                <w:color w:val="auto"/>
              </w:rPr>
            </w:pPr>
            <w:r>
              <w:rPr>
                <w:rFonts w:ascii="Arial" w:cs="Arial" w:eastAsia="Arial" w:hAnsi="Arial"/>
                <w:sz w:val="13"/>
                <w:szCs w:val="13"/>
                <w:color w:val="auto"/>
                <w:w w:val="89"/>
                <w:shd w:val="clear" w:color="auto" w:fill="CCEEFF"/>
              </w:rPr>
              <w:t>AMC Loews / Carlyle Grand Café</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74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1600" w:type="dxa"/>
            <w:vAlign w:val="bottom"/>
            <w:tcBorders>
              <w:bottom w:val="single" w:sz="8" w:color="CCEEFF"/>
            </w:tcBorders>
            <w:shd w:val="clear" w:color="auto" w:fill="CCEEFF"/>
          </w:tcPr>
          <w:p>
            <w:pPr>
              <w:spacing w:after="0"/>
              <w:rPr>
                <w:sz w:val="6"/>
                <w:szCs w:val="6"/>
                <w:color w:val="auto"/>
              </w:rPr>
            </w:pPr>
          </w:p>
        </w:tc>
        <w:tc>
          <w:tcPr>
            <w:tcW w:w="860" w:type="dxa"/>
            <w:vAlign w:val="bottom"/>
            <w:tcBorders>
              <w:bottom w:val="single" w:sz="8" w:color="CCEEFF"/>
            </w:tcBorders>
            <w:shd w:val="clear" w:color="auto" w:fill="CCEEFF"/>
          </w:tcPr>
          <w:p>
            <w:pPr>
              <w:spacing w:after="0"/>
              <w:rPr>
                <w:sz w:val="6"/>
                <w:szCs w:val="6"/>
                <w:color w:val="auto"/>
              </w:rPr>
            </w:pPr>
          </w:p>
        </w:tc>
        <w:tc>
          <w:tcPr>
            <w:tcW w:w="680" w:type="dxa"/>
            <w:vAlign w:val="bottom"/>
            <w:tcBorders>
              <w:bottom w:val="single" w:sz="8" w:color="CCEEFF"/>
            </w:tcBorders>
            <w:shd w:val="clear" w:color="auto" w:fill="CCEEFF"/>
          </w:tcPr>
          <w:p>
            <w:pPr>
              <w:spacing w:after="0"/>
              <w:rPr>
                <w:sz w:val="6"/>
                <w:szCs w:val="6"/>
                <w:color w:val="auto"/>
              </w:rPr>
            </w:pPr>
          </w:p>
        </w:tc>
        <w:tc>
          <w:tcPr>
            <w:tcW w:w="660" w:type="dxa"/>
            <w:vAlign w:val="bottom"/>
            <w:tcBorders>
              <w:bottom w:val="single" w:sz="8" w:color="CCEEFF"/>
            </w:tcBorders>
            <w:shd w:val="clear" w:color="auto" w:fill="CCEEFF"/>
          </w:tcPr>
          <w:p>
            <w:pPr>
              <w:spacing w:after="0"/>
              <w:rPr>
                <w:sz w:val="6"/>
                <w:szCs w:val="6"/>
                <w:color w:val="auto"/>
              </w:rPr>
            </w:pPr>
          </w:p>
        </w:tc>
        <w:tc>
          <w:tcPr>
            <w:tcW w:w="640" w:type="dxa"/>
            <w:vAlign w:val="bottom"/>
            <w:tcBorders>
              <w:bottom w:val="single" w:sz="8" w:color="CCEEFF"/>
            </w:tcBorders>
            <w:shd w:val="clear" w:color="auto" w:fill="CCEEFF"/>
          </w:tcPr>
          <w:p>
            <w:pPr>
              <w:spacing w:after="0"/>
              <w:rPr>
                <w:sz w:val="6"/>
                <w:szCs w:val="6"/>
                <w:color w:val="auto"/>
              </w:rPr>
            </w:pPr>
          </w:p>
        </w:tc>
        <w:tc>
          <w:tcPr>
            <w:tcW w:w="500" w:type="dxa"/>
            <w:vAlign w:val="bottom"/>
            <w:tcBorders>
              <w:bottom w:val="single" w:sz="8" w:color="CCEEFF"/>
            </w:tcBorders>
            <w:shd w:val="clear" w:color="auto" w:fill="CCEEFF"/>
          </w:tcPr>
          <w:p>
            <w:pPr>
              <w:spacing w:after="0"/>
              <w:rPr>
                <w:sz w:val="6"/>
                <w:szCs w:val="6"/>
                <w:color w:val="auto"/>
              </w:rPr>
            </w:pPr>
          </w:p>
        </w:tc>
        <w:tc>
          <w:tcPr>
            <w:tcW w:w="600" w:type="dxa"/>
            <w:vAlign w:val="bottom"/>
            <w:tcBorders>
              <w:bottom w:val="single" w:sz="8" w:color="CCEEFF"/>
            </w:tcBorders>
            <w:shd w:val="clear" w:color="auto" w:fill="CCEEFF"/>
          </w:tcPr>
          <w:p>
            <w:pPr>
              <w:spacing w:after="0"/>
              <w:rPr>
                <w:sz w:val="6"/>
                <w:szCs w:val="6"/>
                <w:color w:val="auto"/>
              </w:rPr>
            </w:pPr>
          </w:p>
        </w:tc>
        <w:tc>
          <w:tcPr>
            <w:tcW w:w="820" w:type="dxa"/>
            <w:vAlign w:val="bottom"/>
            <w:tcBorders>
              <w:bottom w:val="single" w:sz="8" w:color="CCEEFF"/>
            </w:tcBorders>
            <w:gridSpan w:val="4"/>
            <w:vMerge w:val="continue"/>
            <w:shd w:val="clear" w:color="auto" w:fill="CCEEFF"/>
          </w:tcPr>
          <w:p>
            <w:pPr>
              <w:spacing w:after="0"/>
              <w:rPr>
                <w:sz w:val="6"/>
                <w:szCs w:val="6"/>
                <w:color w:val="auto"/>
              </w:rPr>
            </w:pPr>
          </w:p>
        </w:tc>
        <w:tc>
          <w:tcPr>
            <w:tcW w:w="60" w:type="dxa"/>
            <w:vAlign w:val="bottom"/>
            <w:tcBorders>
              <w:bottom w:val="single" w:sz="8" w:color="CCEEFF"/>
            </w:tcBorders>
            <w:shd w:val="clear" w:color="auto" w:fill="CCEEFF"/>
          </w:tcPr>
          <w:p>
            <w:pPr>
              <w:spacing w:after="0"/>
              <w:rPr>
                <w:sz w:val="6"/>
                <w:szCs w:val="6"/>
                <w:color w:val="auto"/>
              </w:rPr>
            </w:pPr>
          </w:p>
        </w:tc>
        <w:tc>
          <w:tcPr>
            <w:tcW w:w="1740" w:type="dxa"/>
            <w:vAlign w:val="bottom"/>
            <w:tcBorders>
              <w:bottom w:val="single" w:sz="8" w:color="CCEEFF"/>
            </w:tcBorders>
            <w:gridSpan w:val="6"/>
            <w:vMerge w:val="continue"/>
            <w:shd w:val="clear" w:color="auto" w:fill="CCEEFF"/>
          </w:tcPr>
          <w:p>
            <w:pPr>
              <w:spacing w:after="0"/>
              <w:rPr>
                <w:sz w:val="6"/>
                <w:szCs w:val="6"/>
                <w:color w:val="auto"/>
              </w:rPr>
            </w:pPr>
          </w:p>
        </w:tc>
        <w:tc>
          <w:tcPr>
            <w:tcW w:w="760" w:type="dxa"/>
            <w:vAlign w:val="bottom"/>
            <w:tcBorders>
              <w:bottom w:val="single" w:sz="8" w:color="CCEEFF"/>
            </w:tcBorders>
            <w:gridSpan w:val="2"/>
            <w:shd w:val="clear" w:color="auto" w:fill="CCEEFF"/>
          </w:tcPr>
          <w:p>
            <w:pPr>
              <w:spacing w:after="0"/>
              <w:rPr>
                <w:sz w:val="6"/>
                <w:szCs w:val="6"/>
                <w:color w:val="auto"/>
              </w:rPr>
            </w:pPr>
          </w:p>
        </w:tc>
        <w:tc>
          <w:tcPr>
            <w:tcW w:w="560" w:type="dxa"/>
            <w:vAlign w:val="bottom"/>
            <w:tcBorders>
              <w:bottom w:val="single" w:sz="8" w:color="CCEEFF"/>
            </w:tcBorders>
            <w:shd w:val="clear" w:color="auto" w:fill="CCEEFF"/>
          </w:tcPr>
          <w:p>
            <w:pPr>
              <w:spacing w:after="0"/>
              <w:rPr>
                <w:sz w:val="6"/>
                <w:szCs w:val="6"/>
                <w:color w:val="auto"/>
              </w:rPr>
            </w:pPr>
          </w:p>
        </w:tc>
        <w:tc>
          <w:tcPr>
            <w:tcW w:w="16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1380" w:type="dxa"/>
            <w:vAlign w:val="bottom"/>
            <w:gridSpan w:val="3"/>
          </w:tcPr>
          <w:p>
            <w:pPr>
              <w:ind w:left="20"/>
              <w:spacing w:after="0"/>
              <w:rPr>
                <w:sz w:val="20"/>
                <w:szCs w:val="20"/>
                <w:color w:val="auto"/>
              </w:rPr>
            </w:pPr>
            <w:r>
              <w:rPr>
                <w:rFonts w:ascii="Arial" w:cs="Arial" w:eastAsia="Arial" w:hAnsi="Arial"/>
                <w:sz w:val="13"/>
                <w:szCs w:val="13"/>
                <w:color w:val="auto"/>
              </w:rPr>
              <w:t>Wildwood</w:t>
            </w:r>
          </w:p>
        </w:tc>
        <w:tc>
          <w:tcPr>
            <w:tcW w:w="380" w:type="dxa"/>
            <w:vAlign w:val="bottom"/>
          </w:tcPr>
          <w:p>
            <w:pPr>
              <w:spacing w:after="0"/>
              <w:rPr>
                <w:sz w:val="15"/>
                <w:szCs w:val="15"/>
                <w:color w:val="auto"/>
              </w:rPr>
            </w:pPr>
          </w:p>
        </w:tc>
        <w:tc>
          <w:tcPr>
            <w:tcW w:w="1600" w:type="dxa"/>
            <w:vAlign w:val="bottom"/>
          </w:tcPr>
          <w:p>
            <w:pPr>
              <w:ind w:left="40"/>
              <w:spacing w:after="0"/>
              <w:rPr>
                <w:sz w:val="20"/>
                <w:szCs w:val="20"/>
                <w:color w:val="auto"/>
              </w:rPr>
            </w:pPr>
            <w:r>
              <w:rPr>
                <w:rFonts w:ascii="Arial" w:cs="Arial" w:eastAsia="Arial" w:hAnsi="Arial"/>
                <w:sz w:val="13"/>
                <w:szCs w:val="13"/>
                <w:color w:val="auto"/>
              </w:rPr>
              <w:t>Washington, DC-MD-VA</w:t>
            </w:r>
          </w:p>
        </w:tc>
        <w:tc>
          <w:tcPr>
            <w:tcW w:w="860" w:type="dxa"/>
            <w:vAlign w:val="bottom"/>
          </w:tcPr>
          <w:p>
            <w:pPr>
              <w:jc w:val="right"/>
              <w:spacing w:after="0"/>
              <w:rPr>
                <w:sz w:val="20"/>
                <w:szCs w:val="20"/>
                <w:color w:val="auto"/>
              </w:rPr>
            </w:pPr>
            <w:r>
              <w:rPr>
                <w:rFonts w:ascii="Arial" w:cs="Arial" w:eastAsia="Arial" w:hAnsi="Arial"/>
                <w:sz w:val="13"/>
                <w:szCs w:val="13"/>
                <w:color w:val="auto"/>
              </w:rPr>
              <w:t>1969</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18,951</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83,000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20,000</w:t>
            </w:r>
          </w:p>
        </w:tc>
        <w:tc>
          <w:tcPr>
            <w:tcW w:w="820" w:type="dxa"/>
            <w:vAlign w:val="bottom"/>
            <w:gridSpan w:val="4"/>
            <w:vMerge w:val="restart"/>
          </w:tcPr>
          <w:p>
            <w:pPr>
              <w:ind w:left="80"/>
              <w:spacing w:after="0"/>
              <w:rPr>
                <w:sz w:val="20"/>
                <w:szCs w:val="20"/>
                <w:color w:val="auto"/>
              </w:rPr>
            </w:pPr>
            <w:r>
              <w:rPr>
                <w:rFonts w:ascii="Arial" w:cs="Arial" w:eastAsia="Arial" w:hAnsi="Arial"/>
                <w:sz w:val="13"/>
                <w:szCs w:val="13"/>
                <w:color w:val="auto"/>
              </w:rPr>
              <w:t>Balducci's</w:t>
            </w:r>
          </w:p>
        </w:tc>
        <w:tc>
          <w:tcPr>
            <w:tcW w:w="3280" w:type="dxa"/>
            <w:vAlign w:val="bottom"/>
            <w:gridSpan w:val="11"/>
            <w:vMerge w:val="restart"/>
          </w:tcPr>
          <w:p>
            <w:pPr>
              <w:ind w:left="60"/>
              <w:spacing w:after="0"/>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91"/>
        </w:trPr>
        <w:tc>
          <w:tcPr>
            <w:tcW w:w="20" w:type="dxa"/>
            <w:vAlign w:val="bottom"/>
            <w:tcBorders>
              <w:bottom w:val="single" w:sz="8" w:color="CCEEFF"/>
            </w:tcBorders>
          </w:tcPr>
          <w:p>
            <w:pPr>
              <w:spacing w:after="0"/>
              <w:rPr>
                <w:sz w:val="7"/>
                <w:szCs w:val="7"/>
                <w:color w:val="auto"/>
              </w:rPr>
            </w:pPr>
          </w:p>
        </w:tc>
        <w:tc>
          <w:tcPr>
            <w:tcW w:w="620" w:type="dxa"/>
            <w:vAlign w:val="bottom"/>
            <w:tcBorders>
              <w:bottom w:val="single" w:sz="8" w:color="CCEEFF"/>
            </w:tcBorders>
          </w:tcPr>
          <w:p>
            <w:pPr>
              <w:spacing w:after="0"/>
              <w:rPr>
                <w:sz w:val="7"/>
                <w:szCs w:val="7"/>
                <w:color w:val="auto"/>
              </w:rPr>
            </w:pPr>
          </w:p>
        </w:tc>
        <w:tc>
          <w:tcPr>
            <w:tcW w:w="740" w:type="dxa"/>
            <w:vAlign w:val="bottom"/>
            <w:tcBorders>
              <w:bottom w:val="single" w:sz="8" w:color="CCEEFF"/>
            </w:tcBorders>
          </w:tcPr>
          <w:p>
            <w:pPr>
              <w:spacing w:after="0"/>
              <w:rPr>
                <w:sz w:val="7"/>
                <w:szCs w:val="7"/>
                <w:color w:val="auto"/>
              </w:rPr>
            </w:pPr>
          </w:p>
        </w:tc>
        <w:tc>
          <w:tcPr>
            <w:tcW w:w="380" w:type="dxa"/>
            <w:vAlign w:val="bottom"/>
            <w:tcBorders>
              <w:bottom w:val="single" w:sz="8" w:color="CCEEFF"/>
            </w:tcBorders>
          </w:tcPr>
          <w:p>
            <w:pPr>
              <w:spacing w:after="0"/>
              <w:rPr>
                <w:sz w:val="7"/>
                <w:szCs w:val="7"/>
                <w:color w:val="auto"/>
              </w:rPr>
            </w:pPr>
          </w:p>
        </w:tc>
        <w:tc>
          <w:tcPr>
            <w:tcW w:w="1600" w:type="dxa"/>
            <w:vAlign w:val="bottom"/>
            <w:tcBorders>
              <w:bottom w:val="single" w:sz="8" w:color="CCEEFF"/>
            </w:tcBorders>
          </w:tcPr>
          <w:p>
            <w:pPr>
              <w:spacing w:after="0"/>
              <w:rPr>
                <w:sz w:val="7"/>
                <w:szCs w:val="7"/>
                <w:color w:val="auto"/>
              </w:rPr>
            </w:pPr>
          </w:p>
        </w:tc>
        <w:tc>
          <w:tcPr>
            <w:tcW w:w="860" w:type="dxa"/>
            <w:vAlign w:val="bottom"/>
            <w:tcBorders>
              <w:bottom w:val="single" w:sz="8" w:color="CCEEFF"/>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60" w:type="dxa"/>
            <w:vAlign w:val="bottom"/>
            <w:tcBorders>
              <w:bottom w:val="single" w:sz="8" w:color="CCEEFF"/>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600" w:type="dxa"/>
            <w:vAlign w:val="bottom"/>
            <w:tcBorders>
              <w:bottom w:val="single" w:sz="8" w:color="CCEEFF"/>
            </w:tcBorders>
          </w:tcPr>
          <w:p>
            <w:pPr>
              <w:spacing w:after="0"/>
              <w:rPr>
                <w:sz w:val="7"/>
                <w:szCs w:val="7"/>
                <w:color w:val="auto"/>
              </w:rPr>
            </w:pPr>
          </w:p>
        </w:tc>
        <w:tc>
          <w:tcPr>
            <w:tcW w:w="820" w:type="dxa"/>
            <w:vAlign w:val="bottom"/>
            <w:tcBorders>
              <w:bottom w:val="single" w:sz="8" w:color="CCEEFF"/>
            </w:tcBorders>
            <w:gridSpan w:val="4"/>
            <w:vMerge w:val="continue"/>
          </w:tcPr>
          <w:p>
            <w:pPr>
              <w:spacing w:after="0"/>
              <w:rPr>
                <w:sz w:val="7"/>
                <w:szCs w:val="7"/>
                <w:color w:val="auto"/>
              </w:rPr>
            </w:pPr>
          </w:p>
        </w:tc>
        <w:tc>
          <w:tcPr>
            <w:tcW w:w="3280" w:type="dxa"/>
            <w:vAlign w:val="bottom"/>
            <w:tcBorders>
              <w:bottom w:val="single" w:sz="8" w:color="CCEEFF"/>
            </w:tcBorders>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6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Total Washington Metropolitan Area</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3"/>
              </w:rPr>
              <w:t>1,747,586</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5,985,000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3"/>
                <w:szCs w:val="13"/>
                <w:b w:val="1"/>
                <w:bCs w:val="1"/>
                <w:color w:val="auto"/>
                <w:w w:val="89"/>
                <w:shd w:val="clear" w:color="auto" w:fill="CCEEFF"/>
              </w:rPr>
              <w:t>California</w:t>
            </w:r>
          </w:p>
        </w:tc>
        <w:tc>
          <w:tcPr>
            <w:tcW w:w="7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74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1600" w:type="dxa"/>
            <w:vAlign w:val="bottom"/>
            <w:tcBorders>
              <w:top w:val="single" w:sz="8" w:color="CCEEFF"/>
            </w:tcBorders>
          </w:tcPr>
          <w:p>
            <w:pPr>
              <w:ind w:left="40"/>
              <w:spacing w:after="0" w:line="148" w:lineRule="exact"/>
              <w:rPr>
                <w:sz w:val="20"/>
                <w:szCs w:val="20"/>
                <w:color w:val="auto"/>
              </w:rPr>
            </w:pPr>
            <w:r>
              <w:rPr>
                <w:rFonts w:ascii="Arial" w:cs="Arial" w:eastAsia="Arial" w:hAnsi="Arial"/>
                <w:sz w:val="13"/>
                <w:szCs w:val="13"/>
                <w:color w:val="auto"/>
              </w:rPr>
              <w:t>Los Angeles-Long Beach,</w:t>
            </w:r>
          </w:p>
        </w:tc>
        <w:tc>
          <w:tcPr>
            <w:tcW w:w="8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5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80" w:type="dxa"/>
            <w:vAlign w:val="bottom"/>
            <w:gridSpan w:val="3"/>
          </w:tcPr>
          <w:p>
            <w:pPr>
              <w:ind w:left="20"/>
              <w:spacing w:after="0"/>
              <w:rPr>
                <w:sz w:val="20"/>
                <w:szCs w:val="20"/>
                <w:color w:val="auto"/>
              </w:rPr>
            </w:pPr>
            <w:r>
              <w:rPr>
                <w:rFonts w:ascii="Arial" w:cs="Arial" w:eastAsia="Arial" w:hAnsi="Arial"/>
                <w:sz w:val="13"/>
                <w:szCs w:val="13"/>
                <w:color w:val="auto"/>
              </w:rPr>
              <w:t>Colorado Blvd</w:t>
            </w:r>
          </w:p>
        </w:tc>
        <w:tc>
          <w:tcPr>
            <w:tcW w:w="380" w:type="dxa"/>
            <w:vAlign w:val="bottom"/>
          </w:tcPr>
          <w:p>
            <w:pPr>
              <w:spacing w:after="0"/>
              <w:rPr>
                <w:sz w:val="14"/>
                <w:szCs w:val="14"/>
                <w:color w:val="auto"/>
              </w:rPr>
            </w:pPr>
          </w:p>
        </w:tc>
        <w:tc>
          <w:tcPr>
            <w:tcW w:w="1600" w:type="dxa"/>
            <w:vAlign w:val="bottom"/>
          </w:tcPr>
          <w:p>
            <w:pPr>
              <w:ind w:left="40"/>
              <w:spacing w:after="0"/>
              <w:rPr>
                <w:sz w:val="20"/>
                <w:szCs w:val="20"/>
                <w:color w:val="auto"/>
              </w:rPr>
            </w:pPr>
            <w:r>
              <w:rPr>
                <w:rFonts w:ascii="Arial" w:cs="Arial" w:eastAsia="Arial" w:hAnsi="Arial"/>
                <w:sz w:val="13"/>
                <w:szCs w:val="13"/>
                <w:color w:val="auto"/>
              </w:rPr>
              <w:t>CA</w:t>
            </w:r>
          </w:p>
        </w:tc>
        <w:tc>
          <w:tcPr>
            <w:tcW w:w="860" w:type="dxa"/>
            <w:vAlign w:val="bottom"/>
          </w:tcPr>
          <w:p>
            <w:pPr>
              <w:jc w:val="right"/>
              <w:spacing w:after="0"/>
              <w:rPr>
                <w:sz w:val="20"/>
                <w:szCs w:val="20"/>
                <w:color w:val="auto"/>
              </w:rPr>
            </w:pPr>
            <w:r>
              <w:rPr>
                <w:rFonts w:ascii="Arial" w:cs="Arial" w:eastAsia="Arial" w:hAnsi="Arial"/>
                <w:sz w:val="13"/>
                <w:szCs w:val="13"/>
                <w:color w:val="auto"/>
              </w:rPr>
              <w:t>1996/1998</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18,309</w:t>
            </w:r>
          </w:p>
        </w:tc>
        <w:tc>
          <w:tcPr>
            <w:tcW w:w="6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69,000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80" w:type="dxa"/>
            <w:vAlign w:val="bottom"/>
            <w:gridSpan w:val="11"/>
          </w:tcPr>
          <w:p>
            <w:pPr>
              <w:ind w:left="60"/>
              <w:spacing w:after="0"/>
              <w:rPr>
                <w:sz w:val="20"/>
                <w:szCs w:val="20"/>
                <w:color w:val="auto"/>
              </w:rPr>
            </w:pPr>
            <w:r>
              <w:rPr>
                <w:rFonts w:ascii="Arial" w:cs="Arial" w:eastAsia="Arial" w:hAnsi="Arial"/>
                <w:sz w:val="13"/>
                <w:szCs w:val="13"/>
                <w:color w:val="auto"/>
              </w:rPr>
              <w:t>Pottery Barn / Banana Republic</w:t>
            </w:r>
          </w:p>
        </w:tc>
        <w:tc>
          <w:tcPr>
            <w:tcW w:w="0" w:type="dxa"/>
            <w:vAlign w:val="bottom"/>
          </w:tcPr>
          <w:p>
            <w:pPr>
              <w:spacing w:after="0"/>
              <w:rPr>
                <w:sz w:val="1"/>
                <w:szCs w:val="1"/>
                <w:color w:val="auto"/>
              </w:rPr>
            </w:pPr>
          </w:p>
        </w:tc>
      </w:tr>
      <w:tr>
        <w:trPr>
          <w:trHeight w:val="258"/>
        </w:trPr>
        <w:tc>
          <w:tcPr>
            <w:tcW w:w="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w w:val="94"/>
                <w:shd w:val="clear" w:color="auto" w:fill="CCEEFF"/>
              </w:rPr>
              <w:t>Crow Canyon Commons</w:t>
            </w:r>
          </w:p>
        </w:tc>
        <w:tc>
          <w:tcPr>
            <w:tcW w:w="38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San Ramon, CA</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2005/2007</w:t>
            </w:r>
          </w:p>
        </w:tc>
        <w:tc>
          <w:tcPr>
            <w:tcW w:w="6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88,265</w:t>
            </w:r>
          </w:p>
        </w:tc>
        <w:tc>
          <w:tcPr>
            <w:tcW w:w="6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241,000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3"/>
                <w:szCs w:val="13"/>
                <w:color w:val="auto"/>
                <w:w w:val="85"/>
              </w:rPr>
              <w:t>32,000</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shd w:val="clear" w:color="auto" w:fill="CCEEFF"/>
              </w:rPr>
              <w:t>Sprouts</w:t>
            </w:r>
          </w:p>
        </w:tc>
        <w:tc>
          <w:tcPr>
            <w:tcW w:w="240" w:type="dxa"/>
            <w:vAlign w:val="bottom"/>
            <w:tcBorders>
              <w:bottom w:val="single" w:sz="8" w:color="CCEEFF"/>
            </w:tcBorders>
            <w:gridSpan w:val="2"/>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06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3"/>
                <w:szCs w:val="13"/>
                <w:color w:val="auto"/>
                <w:w w:val="98"/>
                <w:shd w:val="clear" w:color="auto" w:fill="CCEEFF"/>
              </w:rPr>
              <w:t>Orchard Supply Hardware / Rite Aid / Sports Authority</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138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East Bay Bridge</w:t>
            </w:r>
          </w:p>
        </w:tc>
        <w:tc>
          <w:tcPr>
            <w:tcW w:w="380" w:type="dxa"/>
            <w:vAlign w:val="bottom"/>
          </w:tcPr>
          <w:p>
            <w:pPr>
              <w:spacing w:after="0"/>
              <w:rPr>
                <w:sz w:val="12"/>
                <w:szCs w:val="12"/>
                <w:color w:val="auto"/>
              </w:rPr>
            </w:pPr>
          </w:p>
        </w:tc>
        <w:tc>
          <w:tcPr>
            <w:tcW w:w="1600" w:type="dxa"/>
            <w:vAlign w:val="bottom"/>
          </w:tcPr>
          <w:p>
            <w:pPr>
              <w:ind w:left="40"/>
              <w:spacing w:after="0" w:line="148" w:lineRule="exact"/>
              <w:rPr>
                <w:sz w:val="20"/>
                <w:szCs w:val="20"/>
                <w:color w:val="auto"/>
              </w:rPr>
            </w:pPr>
            <w:r>
              <w:rPr>
                <w:rFonts w:ascii="Arial" w:cs="Arial" w:eastAsia="Arial" w:hAnsi="Arial"/>
                <w:sz w:val="13"/>
                <w:szCs w:val="13"/>
                <w:color w:val="auto"/>
              </w:rPr>
              <w:t>San Francisco-Oakland-</w:t>
            </w: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2012</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176,451</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438,000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59,000</w:t>
            </w:r>
          </w:p>
        </w:tc>
        <w:tc>
          <w:tcPr>
            <w:tcW w:w="820" w:type="dxa"/>
            <w:vAlign w:val="bottom"/>
            <w:gridSpan w:val="4"/>
          </w:tcPr>
          <w:p>
            <w:pPr>
              <w:ind w:left="80"/>
              <w:spacing w:after="0" w:line="148" w:lineRule="exact"/>
              <w:rPr>
                <w:sz w:val="20"/>
                <w:szCs w:val="20"/>
                <w:color w:val="auto"/>
              </w:rPr>
            </w:pPr>
            <w:r>
              <w:rPr>
                <w:rFonts w:ascii="Arial" w:cs="Arial" w:eastAsia="Arial" w:hAnsi="Arial"/>
                <w:sz w:val="13"/>
                <w:szCs w:val="13"/>
                <w:color w:val="auto"/>
              </w:rPr>
              <w:t>Pak-N-Save</w:t>
            </w:r>
          </w:p>
        </w:tc>
        <w:tc>
          <w:tcPr>
            <w:tcW w:w="3280" w:type="dxa"/>
            <w:vAlign w:val="bottom"/>
            <w:gridSpan w:val="11"/>
          </w:tcPr>
          <w:p>
            <w:pPr>
              <w:ind w:left="60"/>
              <w:spacing w:after="0" w:line="148" w:lineRule="exact"/>
              <w:rPr>
                <w:sz w:val="20"/>
                <w:szCs w:val="20"/>
                <w:color w:val="auto"/>
              </w:rPr>
            </w:pPr>
            <w:r>
              <w:rPr>
                <w:rFonts w:ascii="Arial" w:cs="Arial" w:eastAsia="Arial" w:hAnsi="Arial"/>
                <w:sz w:val="13"/>
                <w:szCs w:val="13"/>
                <w:color w:val="auto"/>
              </w:rPr>
              <w:t>Home Depot / Michaels / Target / Nordstrom Rack</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ind w:left="40"/>
              <w:spacing w:after="0"/>
              <w:rPr>
                <w:sz w:val="20"/>
                <w:szCs w:val="20"/>
                <w:color w:val="auto"/>
              </w:rPr>
            </w:pPr>
            <w:r>
              <w:rPr>
                <w:rFonts w:ascii="Arial" w:cs="Arial" w:eastAsia="Arial" w:hAnsi="Arial"/>
                <w:sz w:val="13"/>
                <w:szCs w:val="13"/>
                <w:color w:val="auto"/>
              </w:rPr>
              <w:t>Fremont, CA</w:t>
            </w: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60" w:type="dxa"/>
            <w:vAlign w:val="bottom"/>
            <w:gridSpan w:val="9"/>
            <w:shd w:val="clear" w:color="auto" w:fill="CCEEFF"/>
          </w:tcPr>
          <w:p>
            <w:pPr>
              <w:spacing w:after="0"/>
              <w:rPr>
                <w:sz w:val="20"/>
                <w:szCs w:val="20"/>
                <w:color w:val="auto"/>
              </w:rPr>
            </w:pPr>
            <w:r>
              <w:rPr>
                <w:rFonts w:ascii="Arial" w:cs="Arial" w:eastAsia="Arial" w:hAnsi="Arial"/>
                <w:sz w:val="13"/>
                <w:szCs w:val="13"/>
                <w:color w:val="auto"/>
                <w:w w:val="89"/>
                <w:shd w:val="clear" w:color="auto" w:fill="CCEEFF"/>
              </w:rPr>
              <w:t>TJ Maxx / Toys R Us / Dick’s Sporting Goods / Ross Dress</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shd w:val="clear" w:color="auto" w:fill="CCEEFF"/>
              </w:rPr>
              <w:t>Escondido Promenade</w:t>
            </w:r>
          </w:p>
        </w:tc>
        <w:tc>
          <w:tcPr>
            <w:tcW w:w="3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(3)</w:t>
            </w:r>
          </w:p>
        </w:tc>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San Diego, CA</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1996/2010</w:t>
            </w:r>
          </w:p>
        </w:tc>
        <w:tc>
          <w:tcPr>
            <w:tcW w:w="6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46,956</w:t>
            </w:r>
          </w:p>
        </w:tc>
        <w:tc>
          <w:tcPr>
            <w:tcW w:w="6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298,000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shd w:val="clear" w:color="auto" w:fill="CCEEFF"/>
              </w:rPr>
              <w:t>For Less</w:t>
            </w:r>
          </w:p>
        </w:tc>
        <w:tc>
          <w:tcPr>
            <w:tcW w:w="1960" w:type="dxa"/>
            <w:vAlign w:val="bottom"/>
            <w:tcBorders>
              <w:bottom w:val="single" w:sz="8" w:color="CCEEFF"/>
            </w:tcBorders>
            <w:gridSpan w:val="7"/>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0" w:type="dxa"/>
            <w:vAlign w:val="bottom"/>
          </w:tcPr>
          <w:p>
            <w:pPr>
              <w:ind w:left="40"/>
              <w:spacing w:after="0" w:line="148" w:lineRule="exact"/>
              <w:rPr>
                <w:sz w:val="20"/>
                <w:szCs w:val="20"/>
                <w:color w:val="auto"/>
              </w:rPr>
            </w:pPr>
            <w:r>
              <w:rPr>
                <w:rFonts w:ascii="Arial" w:cs="Arial" w:eastAsia="Arial" w:hAnsi="Arial"/>
                <w:sz w:val="13"/>
                <w:szCs w:val="13"/>
                <w:color w:val="auto"/>
              </w:rPr>
              <w:t>Los Angeles-Long Beach,</w:t>
            </w:r>
          </w:p>
        </w:tc>
        <w:tc>
          <w:tcPr>
            <w:tcW w:w="8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380" w:type="dxa"/>
            <w:vAlign w:val="bottom"/>
            <w:gridSpan w:val="3"/>
          </w:tcPr>
          <w:p>
            <w:pPr>
              <w:ind w:left="20"/>
              <w:spacing w:after="0"/>
              <w:rPr>
                <w:sz w:val="20"/>
                <w:szCs w:val="20"/>
                <w:color w:val="auto"/>
              </w:rPr>
            </w:pPr>
            <w:r>
              <w:rPr>
                <w:rFonts w:ascii="Arial" w:cs="Arial" w:eastAsia="Arial" w:hAnsi="Arial"/>
                <w:sz w:val="13"/>
                <w:szCs w:val="13"/>
                <w:color w:val="auto"/>
              </w:rPr>
              <w:t>Hermosa Avenue</w:t>
            </w:r>
          </w:p>
        </w:tc>
        <w:tc>
          <w:tcPr>
            <w:tcW w:w="380" w:type="dxa"/>
            <w:vAlign w:val="bottom"/>
          </w:tcPr>
          <w:p>
            <w:pPr>
              <w:spacing w:after="0"/>
              <w:rPr>
                <w:sz w:val="14"/>
                <w:szCs w:val="14"/>
                <w:color w:val="auto"/>
              </w:rPr>
            </w:pPr>
          </w:p>
        </w:tc>
        <w:tc>
          <w:tcPr>
            <w:tcW w:w="1600" w:type="dxa"/>
            <w:vAlign w:val="bottom"/>
          </w:tcPr>
          <w:p>
            <w:pPr>
              <w:ind w:left="40"/>
              <w:spacing w:after="0"/>
              <w:rPr>
                <w:sz w:val="20"/>
                <w:szCs w:val="20"/>
                <w:color w:val="auto"/>
              </w:rPr>
            </w:pPr>
            <w:r>
              <w:rPr>
                <w:rFonts w:ascii="Arial" w:cs="Arial" w:eastAsia="Arial" w:hAnsi="Arial"/>
                <w:sz w:val="13"/>
                <w:szCs w:val="13"/>
                <w:color w:val="auto"/>
              </w:rPr>
              <w:t>CA</w:t>
            </w:r>
          </w:p>
        </w:tc>
        <w:tc>
          <w:tcPr>
            <w:tcW w:w="860" w:type="dxa"/>
            <w:vAlign w:val="bottom"/>
          </w:tcPr>
          <w:p>
            <w:pPr>
              <w:jc w:val="right"/>
              <w:spacing w:after="0"/>
              <w:rPr>
                <w:sz w:val="20"/>
                <w:szCs w:val="20"/>
                <w:color w:val="auto"/>
              </w:rPr>
            </w:pPr>
            <w:r>
              <w:rPr>
                <w:rFonts w:ascii="Arial" w:cs="Arial" w:eastAsia="Arial" w:hAnsi="Arial"/>
                <w:sz w:val="13"/>
                <w:szCs w:val="13"/>
                <w:color w:val="auto"/>
              </w:rPr>
              <w:t>1997</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5,905</w:t>
            </w:r>
          </w:p>
        </w:tc>
        <w:tc>
          <w:tcPr>
            <w:tcW w:w="6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24,000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Los Angeles-Long Beach,</w:t>
            </w:r>
          </w:p>
        </w:tc>
        <w:tc>
          <w:tcPr>
            <w:tcW w:w="8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shd w:val="clear" w:color="auto" w:fill="CCEEFF"/>
              </w:rPr>
              <w:t>Hollywood Blvd</w:t>
            </w:r>
          </w:p>
        </w:tc>
        <w:tc>
          <w:tcPr>
            <w:tcW w:w="380" w:type="dxa"/>
            <w:vAlign w:val="bottom"/>
            <w:tcBorders>
              <w:bottom w:val="single" w:sz="8" w:color="CCEEFF"/>
            </w:tcBorders>
            <w:shd w:val="clear" w:color="auto" w:fill="CCEEFF"/>
          </w:tcPr>
          <w:p>
            <w:pPr>
              <w:spacing w:after="0"/>
              <w:rPr>
                <w:sz w:val="13"/>
                <w:szCs w:val="13"/>
                <w:color w:val="auto"/>
              </w:rPr>
            </w:pPr>
          </w:p>
        </w:tc>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CA</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6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3"/>
                <w:szCs w:val="13"/>
                <w:color w:val="auto"/>
              </w:rPr>
              <w:t>46,700</w:t>
            </w:r>
          </w:p>
        </w:tc>
        <w:tc>
          <w:tcPr>
            <w:tcW w:w="6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179,000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50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3"/>
                <w:szCs w:val="13"/>
                <w:color w:val="auto"/>
                <w:w w:val="98"/>
                <w:shd w:val="clear" w:color="auto" w:fill="CCEEFF"/>
              </w:rPr>
              <w:t>DSW / L.A. Fitness / Marshalls / La La Land</w:t>
            </w:r>
          </w:p>
        </w:tc>
        <w:tc>
          <w:tcPr>
            <w:tcW w:w="720" w:type="dxa"/>
            <w:vAlign w:val="bottom"/>
            <w:tcBorders>
              <w:bottom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8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Kings Court</w:t>
            </w:r>
          </w:p>
        </w:tc>
        <w:tc>
          <w:tcPr>
            <w:tcW w:w="380" w:type="dxa"/>
            <w:vAlign w:val="bottom"/>
          </w:tcPr>
          <w:p>
            <w:pPr>
              <w:jc w:val="right"/>
              <w:ind w:right="77"/>
              <w:spacing w:after="0" w:line="148" w:lineRule="exact"/>
              <w:rPr>
                <w:sz w:val="20"/>
                <w:szCs w:val="20"/>
                <w:color w:val="auto"/>
              </w:rPr>
            </w:pPr>
            <w:r>
              <w:rPr>
                <w:rFonts w:ascii="Arial" w:cs="Arial" w:eastAsia="Arial" w:hAnsi="Arial"/>
                <w:sz w:val="13"/>
                <w:szCs w:val="13"/>
                <w:color w:val="auto"/>
              </w:rPr>
              <w:t>(5)</w:t>
            </w:r>
          </w:p>
        </w:tc>
        <w:tc>
          <w:tcPr>
            <w:tcW w:w="1600" w:type="dxa"/>
            <w:vAlign w:val="bottom"/>
          </w:tcPr>
          <w:p>
            <w:pPr>
              <w:ind w:left="40"/>
              <w:spacing w:after="0" w:line="148" w:lineRule="exact"/>
              <w:rPr>
                <w:sz w:val="20"/>
                <w:szCs w:val="20"/>
                <w:color w:val="auto"/>
              </w:rPr>
            </w:pPr>
            <w:r>
              <w:rPr>
                <w:rFonts w:ascii="Arial" w:cs="Arial" w:eastAsia="Arial" w:hAnsi="Arial"/>
                <w:sz w:val="13"/>
                <w:szCs w:val="13"/>
                <w:color w:val="auto"/>
              </w:rPr>
              <w:t>San Jose, CA</w:t>
            </w:r>
          </w:p>
        </w:tc>
        <w:tc>
          <w:tcPr>
            <w:tcW w:w="860" w:type="dxa"/>
            <w:vAlign w:val="bottom"/>
          </w:tcPr>
          <w:p>
            <w:pPr>
              <w:jc w:val="right"/>
              <w:spacing w:after="0" w:line="148" w:lineRule="exact"/>
              <w:rPr>
                <w:sz w:val="20"/>
                <w:szCs w:val="20"/>
                <w:color w:val="auto"/>
              </w:rPr>
            </w:pPr>
            <w:r>
              <w:rPr>
                <w:rFonts w:ascii="Arial" w:cs="Arial" w:eastAsia="Arial" w:hAnsi="Arial"/>
                <w:sz w:val="13"/>
                <w:szCs w:val="13"/>
                <w:color w:val="auto"/>
              </w:rPr>
              <w:t>1998</w:t>
            </w:r>
          </w:p>
        </w:tc>
        <w:tc>
          <w:tcPr>
            <w:tcW w:w="6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11,612</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80,000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25,000</w:t>
            </w:r>
          </w:p>
        </w:tc>
        <w:tc>
          <w:tcPr>
            <w:tcW w:w="820" w:type="dxa"/>
            <w:vAlign w:val="bottom"/>
            <w:gridSpan w:val="4"/>
          </w:tcPr>
          <w:p>
            <w:pPr>
              <w:ind w:left="80"/>
              <w:spacing w:after="0" w:line="148" w:lineRule="exact"/>
              <w:rPr>
                <w:sz w:val="20"/>
                <w:szCs w:val="20"/>
                <w:color w:val="auto"/>
              </w:rPr>
            </w:pPr>
            <w:r>
              <w:rPr>
                <w:rFonts w:ascii="Arial" w:cs="Arial" w:eastAsia="Arial" w:hAnsi="Arial"/>
                <w:sz w:val="13"/>
                <w:szCs w:val="13"/>
                <w:color w:val="auto"/>
              </w:rPr>
              <w:t>Lunardi's</w:t>
            </w:r>
          </w:p>
        </w:tc>
        <w:tc>
          <w:tcPr>
            <w:tcW w:w="3280" w:type="dxa"/>
            <w:vAlign w:val="bottom"/>
            <w:gridSpan w:val="11"/>
          </w:tcPr>
          <w:p>
            <w:pPr>
              <w:ind w:left="60"/>
              <w:spacing w:after="0" w:line="148" w:lineRule="exact"/>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gridSpan w:val="4"/>
          </w:tcPr>
          <w:p>
            <w:pPr>
              <w:ind w:left="80"/>
              <w:spacing w:after="0"/>
              <w:rPr>
                <w:sz w:val="20"/>
                <w:szCs w:val="20"/>
                <w:color w:val="auto"/>
              </w:rPr>
            </w:pPr>
            <w:r>
              <w:rPr>
                <w:rFonts w:ascii="Arial" w:cs="Arial" w:eastAsia="Arial" w:hAnsi="Arial"/>
                <w:sz w:val="13"/>
                <w:szCs w:val="13"/>
                <w:color w:val="auto"/>
                <w:w w:val="92"/>
              </w:rPr>
              <w:t>Super Market</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3"/>
                <w:szCs w:val="13"/>
                <w:color w:val="auto"/>
                <w:shd w:val="clear" w:color="auto" w:fill="CCEEFF"/>
              </w:rPr>
              <w:t>Old Town Center</w:t>
            </w:r>
          </w:p>
        </w:tc>
        <w:tc>
          <w:tcPr>
            <w:tcW w:w="380" w:type="dxa"/>
            <w:vAlign w:val="bottom"/>
            <w:shd w:val="clear" w:color="auto" w:fill="CCEEFF"/>
          </w:tcPr>
          <w:p>
            <w:pPr>
              <w:spacing w:after="0"/>
              <w:rPr>
                <w:sz w:val="21"/>
                <w:szCs w:val="21"/>
                <w:color w:val="auto"/>
              </w:rPr>
            </w:pPr>
          </w:p>
        </w:tc>
        <w:tc>
          <w:tcPr>
            <w:tcW w:w="1600" w:type="dxa"/>
            <w:vAlign w:val="bottom"/>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San Jose, CA</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37,817</w:t>
            </w:r>
          </w:p>
        </w:tc>
        <w:tc>
          <w:tcPr>
            <w:tcW w:w="6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500" w:type="dxa"/>
            <w:vAlign w:val="bottom"/>
            <w:gridSpan w:val="8"/>
            <w:shd w:val="clear" w:color="auto" w:fill="CCEEFF"/>
          </w:tcPr>
          <w:p>
            <w:pPr>
              <w:spacing w:after="0"/>
              <w:rPr>
                <w:sz w:val="20"/>
                <w:szCs w:val="20"/>
                <w:color w:val="auto"/>
              </w:rPr>
            </w:pPr>
            <w:r>
              <w:rPr>
                <w:rFonts w:ascii="Arial" w:cs="Arial" w:eastAsia="Arial" w:hAnsi="Arial"/>
                <w:sz w:val="13"/>
                <w:szCs w:val="13"/>
                <w:color w:val="auto"/>
                <w:shd w:val="clear" w:color="auto" w:fill="CCEEFF"/>
              </w:rPr>
              <w:t>Anthropologie / Banana Republic / Gap</w:t>
            </w:r>
          </w:p>
        </w:tc>
        <w:tc>
          <w:tcPr>
            <w:tcW w:w="720" w:type="dxa"/>
            <w:vAlign w:val="bottom"/>
            <w:gridSpan w:val="2"/>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747" w:right="23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00"/>
          </w:cols>
          <w:pgMar w:left="260" w:top="747" w:right="239" w:bottom="1440" w:gutter="0" w:footer="0" w:header="0"/>
          <w:type w:val="continuous"/>
        </w:sectPr>
      </w:pPr>
    </w:p>
    <w:bookmarkStart w:id="22" w:name="page23"/>
    <w:bookmarkEnd w:id="22"/>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2016</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30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3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3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Lease</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60" w:type="dxa"/>
            <w:vAlign w:val="bottom"/>
          </w:tcPr>
          <w:p>
            <w:pPr>
              <w:spacing w:after="0"/>
              <w:rPr>
                <w:sz w:val="11"/>
                <w:szCs w:val="11"/>
                <w:color w:val="auto"/>
              </w:rPr>
            </w:pPr>
          </w:p>
        </w:tc>
        <w:tc>
          <w:tcPr>
            <w:tcW w:w="33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8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Year</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Obligation</w:t>
            </w:r>
          </w:p>
        </w:tc>
        <w:tc>
          <w:tcPr>
            <w:tcW w:w="64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86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300" w:type="dxa"/>
            <w:vAlign w:val="bottom"/>
          </w:tcPr>
          <w:p>
            <w:pPr>
              <w:spacing w:after="0"/>
              <w:rPr>
                <w:sz w:val="11"/>
                <w:szCs w:val="11"/>
                <w:color w:val="auto"/>
              </w:rPr>
            </w:pPr>
          </w:p>
        </w:tc>
      </w:tr>
      <w:tr>
        <w:trPr>
          <w:trHeight w:val="174"/>
        </w:trPr>
        <w:tc>
          <w:tcPr>
            <w:tcW w:w="138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Property Name</w:t>
            </w: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MSA Description</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9"/>
              </w:rPr>
              <w:t>Acquired</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30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86"/>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300" w:type="dxa"/>
            <w:vAlign w:val="bottom"/>
          </w:tcPr>
          <w:p>
            <w:pPr>
              <w:spacing w:after="0"/>
              <w:rPr>
                <w:sz w:val="11"/>
                <w:szCs w:val="11"/>
                <w:color w:val="auto"/>
              </w:rPr>
            </w:pPr>
          </w:p>
        </w:tc>
      </w:tr>
      <w:tr>
        <w:trPr>
          <w:trHeight w:val="170"/>
        </w:trPr>
        <w:tc>
          <w:tcPr>
            <w:tcW w:w="1380" w:type="dxa"/>
            <w:vAlign w:val="bottom"/>
            <w:gridSpan w:val="3"/>
          </w:tcPr>
          <w:p>
            <w:pPr>
              <w:ind w:left="20"/>
              <w:spacing w:after="0"/>
              <w:rPr>
                <w:sz w:val="20"/>
                <w:szCs w:val="20"/>
                <w:color w:val="auto"/>
              </w:rPr>
            </w:pPr>
            <w:r>
              <w:rPr>
                <w:rFonts w:ascii="Arial" w:cs="Arial" w:eastAsia="Arial" w:hAnsi="Arial"/>
                <w:sz w:val="13"/>
                <w:szCs w:val="13"/>
                <w:color w:val="auto"/>
                <w:w w:val="98"/>
              </w:rPr>
              <w:t>Plaza El Segundo / The</w:t>
            </w:r>
          </w:p>
        </w:tc>
        <w:tc>
          <w:tcPr>
            <w:tcW w:w="420" w:type="dxa"/>
            <w:vAlign w:val="bottom"/>
          </w:tcPr>
          <w:p>
            <w:pPr>
              <w:jc w:val="center"/>
              <w:spacing w:after="0"/>
              <w:rPr>
                <w:sz w:val="20"/>
                <w:szCs w:val="20"/>
                <w:color w:val="auto"/>
              </w:rPr>
            </w:pPr>
            <w:r>
              <w:rPr>
                <w:rFonts w:ascii="Arial" w:cs="Arial" w:eastAsia="Arial" w:hAnsi="Arial"/>
                <w:sz w:val="13"/>
                <w:szCs w:val="13"/>
                <w:color w:val="auto"/>
              </w:rPr>
              <w:t>(3)</w:t>
            </w:r>
          </w:p>
        </w:tc>
        <w:tc>
          <w:tcPr>
            <w:tcW w:w="40" w:type="dxa"/>
            <w:vAlign w:val="bottom"/>
          </w:tcPr>
          <w:p>
            <w:pPr>
              <w:spacing w:after="0"/>
              <w:rPr>
                <w:sz w:val="14"/>
                <w:szCs w:val="14"/>
                <w:color w:val="auto"/>
              </w:rPr>
            </w:pPr>
          </w:p>
        </w:tc>
        <w:tc>
          <w:tcPr>
            <w:tcW w:w="1620" w:type="dxa"/>
            <w:vAlign w:val="bottom"/>
          </w:tcPr>
          <w:p>
            <w:pPr>
              <w:ind w:left="20"/>
              <w:spacing w:after="0"/>
              <w:rPr>
                <w:sz w:val="20"/>
                <w:szCs w:val="20"/>
                <w:color w:val="auto"/>
              </w:rPr>
            </w:pPr>
            <w:r>
              <w:rPr>
                <w:rFonts w:ascii="Arial" w:cs="Arial" w:eastAsia="Arial" w:hAnsi="Arial"/>
                <w:sz w:val="13"/>
                <w:szCs w:val="13"/>
                <w:color w:val="auto"/>
                <w:w w:val="92"/>
              </w:rPr>
              <w:t>Los Angeles-Long Beach, CA</w:t>
            </w:r>
          </w:p>
        </w:tc>
        <w:tc>
          <w:tcPr>
            <w:tcW w:w="680" w:type="dxa"/>
            <w:vAlign w:val="bottom"/>
          </w:tcPr>
          <w:p>
            <w:pPr>
              <w:jc w:val="right"/>
              <w:spacing w:after="0"/>
              <w:rPr>
                <w:sz w:val="20"/>
                <w:szCs w:val="20"/>
                <w:color w:val="auto"/>
              </w:rPr>
            </w:pPr>
            <w:r>
              <w:rPr>
                <w:rFonts w:ascii="Arial" w:cs="Arial" w:eastAsia="Arial" w:hAnsi="Arial"/>
                <w:sz w:val="13"/>
                <w:szCs w:val="13"/>
                <w:color w:val="auto"/>
              </w:rPr>
              <w:t>2011/2015</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273,464</w:t>
            </w:r>
          </w:p>
        </w:tc>
        <w:tc>
          <w:tcPr>
            <w:tcW w:w="660" w:type="dxa"/>
            <w:vAlign w:val="bottom"/>
          </w:tcPr>
          <w:p>
            <w:pPr>
              <w:jc w:val="right"/>
              <w:ind w:right="58"/>
              <w:spacing w:after="0"/>
              <w:rPr>
                <w:sz w:val="20"/>
                <w:szCs w:val="20"/>
                <w:color w:val="auto"/>
              </w:rPr>
            </w:pPr>
            <w:r>
              <w:rPr>
                <w:rFonts w:ascii="Arial" w:cs="Arial" w:eastAsia="Arial" w:hAnsi="Arial"/>
                <w:sz w:val="13"/>
                <w:szCs w:val="13"/>
                <w:color w:val="auto"/>
              </w:rPr>
              <w:t>175,000</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453,000</w:t>
            </w: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66,000</w:t>
            </w:r>
          </w:p>
        </w:tc>
        <w:tc>
          <w:tcPr>
            <w:tcW w:w="860" w:type="dxa"/>
            <w:vAlign w:val="bottom"/>
          </w:tcPr>
          <w:p>
            <w:pPr>
              <w:ind w:left="80"/>
              <w:spacing w:after="0"/>
              <w:rPr>
                <w:sz w:val="20"/>
                <w:szCs w:val="20"/>
                <w:color w:val="auto"/>
              </w:rPr>
            </w:pPr>
            <w:r>
              <w:rPr>
                <w:rFonts w:ascii="Arial" w:cs="Arial" w:eastAsia="Arial" w:hAnsi="Arial"/>
                <w:sz w:val="13"/>
                <w:szCs w:val="13"/>
                <w:color w:val="auto"/>
                <w:w w:val="99"/>
              </w:rPr>
              <w:t>Whole Foods</w:t>
            </w:r>
          </w:p>
        </w:tc>
        <w:tc>
          <w:tcPr>
            <w:tcW w:w="3300" w:type="dxa"/>
            <w:vAlign w:val="bottom"/>
          </w:tcPr>
          <w:p>
            <w:pPr>
              <w:ind w:left="20"/>
              <w:spacing w:after="0"/>
              <w:rPr>
                <w:sz w:val="20"/>
                <w:szCs w:val="20"/>
                <w:color w:val="auto"/>
              </w:rPr>
            </w:pPr>
            <w:r>
              <w:rPr>
                <w:rFonts w:ascii="Arial" w:cs="Arial" w:eastAsia="Arial" w:hAnsi="Arial"/>
                <w:sz w:val="13"/>
                <w:szCs w:val="13"/>
                <w:color w:val="auto"/>
                <w:w w:val="95"/>
              </w:rPr>
              <w:t>Anthropologie / Best Buy / Container Store / Dick's Sporting</w:t>
            </w:r>
          </w:p>
        </w:tc>
      </w:tr>
      <w:tr>
        <w:trPr>
          <w:trHeight w:val="168"/>
        </w:trPr>
        <w:tc>
          <w:tcPr>
            <w:tcW w:w="1380" w:type="dxa"/>
            <w:vAlign w:val="bottom"/>
            <w:gridSpan w:val="3"/>
          </w:tcPr>
          <w:p>
            <w:pPr>
              <w:ind w:left="20"/>
              <w:spacing w:after="0"/>
              <w:rPr>
                <w:sz w:val="20"/>
                <w:szCs w:val="20"/>
                <w:color w:val="auto"/>
              </w:rPr>
            </w:pPr>
            <w:r>
              <w:rPr>
                <w:rFonts w:ascii="Arial" w:cs="Arial" w:eastAsia="Arial" w:hAnsi="Arial"/>
                <w:sz w:val="13"/>
                <w:szCs w:val="13"/>
                <w:color w:val="auto"/>
              </w:rPr>
              <w:t>Point</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00" w:type="dxa"/>
            <w:vAlign w:val="bottom"/>
          </w:tcPr>
          <w:p>
            <w:pPr>
              <w:ind w:left="20"/>
              <w:spacing w:after="0"/>
              <w:rPr>
                <w:sz w:val="20"/>
                <w:szCs w:val="20"/>
                <w:color w:val="auto"/>
              </w:rPr>
            </w:pPr>
            <w:r>
              <w:rPr>
                <w:rFonts w:ascii="Arial" w:cs="Arial" w:eastAsia="Arial" w:hAnsi="Arial"/>
                <w:sz w:val="13"/>
                <w:szCs w:val="13"/>
                <w:color w:val="auto"/>
              </w:rPr>
              <w:t>Goods / H&amp;M / HomeGoods</w:t>
            </w:r>
          </w:p>
        </w:tc>
      </w:tr>
      <w:tr>
        <w:trPr>
          <w:trHeight w:val="156"/>
        </w:trPr>
        <w:tc>
          <w:tcPr>
            <w:tcW w:w="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3"/>
                <w:szCs w:val="13"/>
                <w:color w:val="auto"/>
                <w:shd w:val="clear" w:color="auto" w:fill="CCEEFF"/>
              </w:rPr>
              <w:t>Santana Row</w:t>
            </w: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San Jose,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748,696</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651,000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30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shd w:val="clear" w:color="auto" w:fill="CCEEFF"/>
              </w:rPr>
              <w:t>Crate &amp; Barrel / Container Store / Best Buy / CineArts Theatre /</w:t>
            </w: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shd w:val="clear" w:color="auto" w:fill="CCEEFF"/>
              </w:rPr>
              <w:t>Hotel Valencia / H&amp;M</w:t>
            </w:r>
          </w:p>
        </w:tc>
      </w:tr>
      <w:tr>
        <w:trPr>
          <w:trHeight w:val="148"/>
        </w:trPr>
        <w:tc>
          <w:tcPr>
            <w:tcW w:w="138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San Antonio Center</w:t>
            </w:r>
          </w:p>
        </w:tc>
        <w:tc>
          <w:tcPr>
            <w:tcW w:w="420" w:type="dxa"/>
            <w:vAlign w:val="bottom"/>
          </w:tcPr>
          <w:p>
            <w:pPr>
              <w:jc w:val="center"/>
              <w:spacing w:after="0" w:line="148" w:lineRule="exact"/>
              <w:rPr>
                <w:sz w:val="20"/>
                <w:szCs w:val="20"/>
                <w:color w:val="auto"/>
              </w:rPr>
            </w:pPr>
            <w:r>
              <w:rPr>
                <w:rFonts w:ascii="Arial" w:cs="Arial" w:eastAsia="Arial" w:hAnsi="Arial"/>
                <w:sz w:val="13"/>
                <w:szCs w:val="13"/>
                <w:color w:val="auto"/>
                <w:w w:val="90"/>
              </w:rPr>
              <w:t>(3) (5)</w:t>
            </w:r>
          </w:p>
        </w:tc>
        <w:tc>
          <w:tcPr>
            <w:tcW w:w="40" w:type="dxa"/>
            <w:vAlign w:val="bottom"/>
          </w:tcPr>
          <w:p>
            <w:pPr>
              <w:spacing w:after="0"/>
              <w:rPr>
                <w:sz w:val="12"/>
                <w:szCs w:val="12"/>
                <w:color w:val="auto"/>
              </w:rPr>
            </w:pPr>
          </w:p>
        </w:tc>
        <w:tc>
          <w:tcPr>
            <w:tcW w:w="1620" w:type="dxa"/>
            <w:vAlign w:val="bottom"/>
          </w:tcPr>
          <w:p>
            <w:pPr>
              <w:ind w:left="20"/>
              <w:spacing w:after="0" w:line="148" w:lineRule="exact"/>
              <w:rPr>
                <w:sz w:val="20"/>
                <w:szCs w:val="20"/>
                <w:color w:val="auto"/>
              </w:rPr>
            </w:pPr>
            <w:r>
              <w:rPr>
                <w:rFonts w:ascii="Arial" w:cs="Arial" w:eastAsia="Arial" w:hAnsi="Arial"/>
                <w:sz w:val="13"/>
                <w:szCs w:val="13"/>
                <w:color w:val="auto"/>
                <w:w w:val="96"/>
              </w:rPr>
              <w:t>San Francisco-Oakland-San</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2015</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72,940</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376,000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11,000</w:t>
            </w:r>
          </w:p>
        </w:tc>
        <w:tc>
          <w:tcPr>
            <w:tcW w:w="86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3300" w:type="dxa"/>
            <w:vAlign w:val="bottom"/>
          </w:tcPr>
          <w:p>
            <w:pPr>
              <w:ind w:left="20"/>
              <w:spacing w:after="0" w:line="148" w:lineRule="exact"/>
              <w:rPr>
                <w:sz w:val="20"/>
                <w:szCs w:val="20"/>
                <w:color w:val="auto"/>
              </w:rPr>
            </w:pPr>
            <w:r>
              <w:rPr>
                <w:rFonts w:ascii="Arial" w:cs="Arial" w:eastAsia="Arial" w:hAnsi="Arial"/>
                <w:sz w:val="13"/>
                <w:szCs w:val="13"/>
                <w:color w:val="auto"/>
              </w:rPr>
              <w:t>Kohl's / Wal-mart / 24 Hour Fitness / Jo-Ann Stores</w:t>
            </w:r>
          </w:p>
        </w:tc>
      </w:tr>
      <w:tr>
        <w:trPr>
          <w:trHeight w:val="168"/>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ind w:left="20"/>
              <w:spacing w:after="0"/>
              <w:rPr>
                <w:sz w:val="20"/>
                <w:szCs w:val="20"/>
                <w:color w:val="auto"/>
              </w:rPr>
            </w:pPr>
            <w:r>
              <w:rPr>
                <w:rFonts w:ascii="Arial" w:cs="Arial" w:eastAsia="Arial" w:hAnsi="Arial"/>
                <w:sz w:val="13"/>
                <w:szCs w:val="13"/>
                <w:color w:val="auto"/>
              </w:rPr>
              <w:t>Jose, CA</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258"/>
        </w:trPr>
        <w:tc>
          <w:tcPr>
            <w:tcW w:w="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w w:val="93"/>
                <w:shd w:val="clear" w:color="auto" w:fill="CCEEFF"/>
              </w:rPr>
              <w:t>Third Street Promenade</w:t>
            </w:r>
          </w:p>
        </w:tc>
        <w:tc>
          <w:tcPr>
            <w:tcW w:w="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2"/>
                <w:shd w:val="clear" w:color="auto" w:fill="CCEEFF"/>
              </w:rPr>
              <w:t>Los Angeles-Long Beach, CA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9"/>
              </w:rPr>
              <w:t>1996-2000</w:t>
            </w:r>
          </w:p>
        </w:tc>
        <w:tc>
          <w:tcPr>
            <w:tcW w:w="7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78,626</w:t>
            </w:r>
          </w:p>
        </w:tc>
        <w:tc>
          <w:tcPr>
            <w:tcW w:w="6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209,000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w w:val="93"/>
                <w:shd w:val="clear" w:color="auto" w:fill="CCEEFF"/>
              </w:rPr>
              <w:t>J. Crew / Banana Republic / Old Navy / Abercrombie &amp; Fitch</w:t>
            </w:r>
          </w:p>
        </w:tc>
      </w:tr>
      <w:tr>
        <w:trPr>
          <w:trHeight w:val="148"/>
        </w:trPr>
        <w:tc>
          <w:tcPr>
            <w:tcW w:w="138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Westgate Center</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ind w:left="20"/>
              <w:spacing w:after="0" w:line="148" w:lineRule="exact"/>
              <w:rPr>
                <w:sz w:val="20"/>
                <w:szCs w:val="20"/>
                <w:color w:val="auto"/>
              </w:rPr>
            </w:pPr>
            <w:r>
              <w:rPr>
                <w:rFonts w:ascii="Arial" w:cs="Arial" w:eastAsia="Arial" w:hAnsi="Arial"/>
                <w:sz w:val="13"/>
                <w:szCs w:val="13"/>
                <w:color w:val="auto"/>
              </w:rPr>
              <w:t>San Jose, CA</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2004</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146,608</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638,000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38,000</w:t>
            </w:r>
          </w:p>
        </w:tc>
        <w:tc>
          <w:tcPr>
            <w:tcW w:w="860" w:type="dxa"/>
            <w:vAlign w:val="bottom"/>
          </w:tcPr>
          <w:p>
            <w:pPr>
              <w:ind w:left="80"/>
              <w:spacing w:after="0" w:line="148" w:lineRule="exact"/>
              <w:rPr>
                <w:sz w:val="20"/>
                <w:szCs w:val="20"/>
                <w:color w:val="auto"/>
              </w:rPr>
            </w:pPr>
            <w:r>
              <w:rPr>
                <w:rFonts w:ascii="Arial" w:cs="Arial" w:eastAsia="Arial" w:hAnsi="Arial"/>
                <w:sz w:val="13"/>
                <w:szCs w:val="13"/>
                <w:color w:val="auto"/>
              </w:rPr>
              <w:t>Walmart</w:t>
            </w:r>
          </w:p>
        </w:tc>
        <w:tc>
          <w:tcPr>
            <w:tcW w:w="3300" w:type="dxa"/>
            <w:vAlign w:val="bottom"/>
          </w:tcPr>
          <w:p>
            <w:pPr>
              <w:ind w:left="20"/>
              <w:spacing w:after="0" w:line="148" w:lineRule="exact"/>
              <w:rPr>
                <w:sz w:val="20"/>
                <w:szCs w:val="20"/>
                <w:color w:val="auto"/>
              </w:rPr>
            </w:pPr>
            <w:r>
              <w:rPr>
                <w:rFonts w:ascii="Arial" w:cs="Arial" w:eastAsia="Arial" w:hAnsi="Arial"/>
                <w:sz w:val="13"/>
                <w:szCs w:val="13"/>
                <w:color w:val="auto"/>
              </w:rPr>
              <w:t>Target / Burlington Coat Factory / Ross Dress For Less /</w:t>
            </w: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3"/>
                <w:szCs w:val="13"/>
                <w:color w:val="auto"/>
                <w:w w:val="93"/>
              </w:rPr>
              <w:t>Neighborhood</w:t>
            </w:r>
          </w:p>
        </w:tc>
        <w:tc>
          <w:tcPr>
            <w:tcW w:w="3300" w:type="dxa"/>
            <w:vAlign w:val="bottom"/>
          </w:tcPr>
          <w:p>
            <w:pPr>
              <w:ind w:left="20"/>
              <w:spacing w:after="0" w:line="135" w:lineRule="exact"/>
              <w:rPr>
                <w:sz w:val="20"/>
                <w:szCs w:val="20"/>
                <w:color w:val="auto"/>
              </w:rPr>
            </w:pPr>
            <w:r>
              <w:rPr>
                <w:rFonts w:ascii="Arial" w:cs="Arial" w:eastAsia="Arial" w:hAnsi="Arial"/>
                <w:sz w:val="13"/>
                <w:szCs w:val="13"/>
                <w:color w:val="auto"/>
                <w:w w:val="98"/>
              </w:rPr>
              <w:t>Michaels / Nordstrom Rack / Nike Factory / J. Crew / Gap</w:t>
            </w:r>
          </w:p>
        </w:tc>
      </w:tr>
      <w:tr>
        <w:trPr>
          <w:trHeight w:val="168"/>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3"/>
                <w:szCs w:val="13"/>
                <w:color w:val="auto"/>
              </w:rPr>
              <w:t>Market</w:t>
            </w:r>
          </w:p>
        </w:tc>
        <w:tc>
          <w:tcPr>
            <w:tcW w:w="3300" w:type="dxa"/>
            <w:vAlign w:val="bottom"/>
          </w:tcPr>
          <w:p>
            <w:pPr>
              <w:ind w:left="20"/>
              <w:spacing w:after="0"/>
              <w:rPr>
                <w:sz w:val="20"/>
                <w:szCs w:val="20"/>
                <w:color w:val="auto"/>
              </w:rPr>
            </w:pPr>
            <w:r>
              <w:rPr>
                <w:rFonts w:ascii="Arial" w:cs="Arial" w:eastAsia="Arial" w:hAnsi="Arial"/>
                <w:sz w:val="13"/>
                <w:szCs w:val="13"/>
                <w:color w:val="auto"/>
              </w:rPr>
              <w:t>Factory Store</w:t>
            </w:r>
          </w:p>
        </w:tc>
      </w:tr>
      <w:tr>
        <w:trPr>
          <w:trHeight w:val="278"/>
        </w:trPr>
        <w:tc>
          <w:tcPr>
            <w:tcW w:w="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shd w:val="clear" w:color="auto" w:fill="CCEEFF"/>
              </w:rPr>
              <w:t>150 Post Street</w:t>
            </w:r>
          </w:p>
        </w:tc>
        <w:tc>
          <w:tcPr>
            <w:tcW w:w="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shd w:val="clear" w:color="auto" w:fill="CCEEFF"/>
              </w:rPr>
              <w:t>San Francisco, CA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7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3"/>
                <w:szCs w:val="13"/>
                <w:color w:val="auto"/>
              </w:rPr>
              <w:t>35,628</w:t>
            </w:r>
          </w:p>
        </w:tc>
        <w:tc>
          <w:tcPr>
            <w:tcW w:w="6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105,000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6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3300" w:type="dxa"/>
            <w:vAlign w:val="bottom"/>
            <w:tcBorders>
              <w:bottom w:val="single" w:sz="8" w:color="CCEEFF"/>
            </w:tcBorders>
            <w:shd w:val="clear" w:color="auto" w:fill="CCEEFF"/>
          </w:tcPr>
          <w:p>
            <w:pPr>
              <w:spacing w:after="0"/>
              <w:rPr>
                <w:sz w:val="24"/>
                <w:szCs w:val="24"/>
                <w:color w:val="auto"/>
              </w:rPr>
            </w:pPr>
          </w:p>
        </w:tc>
      </w:tr>
      <w:tr>
        <w:trPr>
          <w:trHeight w:val="242"/>
        </w:trPr>
        <w:tc>
          <w:tcPr>
            <w:tcW w:w="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20" w:type="dxa"/>
            <w:vAlign w:val="bottom"/>
          </w:tcPr>
          <w:p>
            <w:pPr>
              <w:ind w:left="20"/>
              <w:spacing w:after="0"/>
              <w:rPr>
                <w:sz w:val="20"/>
                <w:szCs w:val="20"/>
                <w:color w:val="auto"/>
              </w:rPr>
            </w:pPr>
            <w:r>
              <w:rPr>
                <w:rFonts w:ascii="Arial" w:cs="Arial" w:eastAsia="Arial" w:hAnsi="Arial"/>
                <w:sz w:val="13"/>
                <w:szCs w:val="13"/>
                <w:b w:val="1"/>
                <w:bCs w:val="1"/>
                <w:color w:val="auto"/>
              </w:rPr>
              <w:t>Total California</w:t>
            </w:r>
          </w:p>
        </w:tc>
        <w:tc>
          <w:tcPr>
            <w:tcW w:w="680" w:type="dxa"/>
            <w:vAlign w:val="bottom"/>
          </w:tcPr>
          <w:p>
            <w:pPr>
              <w:spacing w:after="0"/>
              <w:rPr>
                <w:sz w:val="21"/>
                <w:szCs w:val="21"/>
                <w:color w:val="auto"/>
              </w:rPr>
            </w:pPr>
          </w:p>
        </w:tc>
        <w:tc>
          <w:tcPr>
            <w:tcW w:w="70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w w:val="93"/>
              </w:rPr>
              <w:t>1,787,977</w:t>
            </w:r>
          </w:p>
        </w:tc>
        <w:tc>
          <w:tcPr>
            <w:tcW w:w="660" w:type="dxa"/>
            <w:vAlign w:val="bottom"/>
          </w:tcPr>
          <w:p>
            <w:pPr>
              <w:spacing w:after="0"/>
              <w:rPr>
                <w:sz w:val="21"/>
                <w:szCs w:val="21"/>
                <w:color w:val="auto"/>
              </w:rPr>
            </w:pPr>
          </w:p>
        </w:tc>
        <w:tc>
          <w:tcPr>
            <w:tcW w:w="6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93"/>
              </w:rPr>
              <w:t>3,856,000</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300" w:type="dxa"/>
            <w:vAlign w:val="bottom"/>
          </w:tcPr>
          <w:p>
            <w:pPr>
              <w:spacing w:after="0"/>
              <w:rPr>
                <w:sz w:val="21"/>
                <w:szCs w:val="21"/>
                <w:color w:val="auto"/>
              </w:rPr>
            </w:pPr>
          </w:p>
        </w:tc>
      </w:tr>
      <w:tr>
        <w:trPr>
          <w:trHeight w:val="251"/>
        </w:trPr>
        <w:tc>
          <w:tcPr>
            <w:tcW w:w="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300" w:type="dxa"/>
            <w:vAlign w:val="bottom"/>
            <w:shd w:val="clear" w:color="auto" w:fill="CCEEFF"/>
          </w:tcPr>
          <w:p>
            <w:pPr>
              <w:spacing w:after="0"/>
              <w:rPr>
                <w:sz w:val="21"/>
                <w:szCs w:val="21"/>
                <w:color w:val="auto"/>
              </w:rPr>
            </w:pPr>
          </w:p>
        </w:tc>
      </w:tr>
      <w:tr>
        <w:trPr>
          <w:trHeight w:val="149"/>
        </w:trPr>
        <w:tc>
          <w:tcPr>
            <w:tcW w:w="20" w:type="dxa"/>
            <w:vAlign w:val="bottom"/>
          </w:tcPr>
          <w:p>
            <w:pPr>
              <w:spacing w:after="0"/>
              <w:rPr>
                <w:sz w:val="12"/>
                <w:szCs w:val="12"/>
                <w:color w:val="auto"/>
              </w:rPr>
            </w:pPr>
          </w:p>
        </w:tc>
        <w:tc>
          <w:tcPr>
            <w:tcW w:w="1360" w:type="dxa"/>
            <w:vAlign w:val="bottom"/>
            <w:gridSpan w:val="2"/>
          </w:tcPr>
          <w:p>
            <w:pPr>
              <w:ind w:left="60"/>
              <w:spacing w:after="0"/>
              <w:rPr>
                <w:sz w:val="20"/>
                <w:szCs w:val="20"/>
                <w:color w:val="auto"/>
              </w:rPr>
            </w:pPr>
            <w:r>
              <w:rPr>
                <w:rFonts w:ascii="Arial" w:cs="Arial" w:eastAsia="Arial" w:hAnsi="Arial"/>
                <w:sz w:val="13"/>
                <w:szCs w:val="13"/>
                <w:b w:val="1"/>
                <w:bCs w:val="1"/>
                <w:color w:val="auto"/>
                <w:w w:val="91"/>
              </w:rPr>
              <w:t>NY Metro / New Jersey</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300" w:type="dxa"/>
            <w:vAlign w:val="bottom"/>
          </w:tcPr>
          <w:p>
            <w:pPr>
              <w:spacing w:after="0"/>
              <w:rPr>
                <w:sz w:val="12"/>
                <w:szCs w:val="12"/>
                <w:color w:val="auto"/>
              </w:rPr>
            </w:pPr>
          </w:p>
        </w:tc>
      </w:tr>
      <w:tr>
        <w:trPr>
          <w:trHeight w:val="102"/>
        </w:trPr>
        <w:tc>
          <w:tcPr>
            <w:tcW w:w="20" w:type="dxa"/>
            <w:vAlign w:val="bottom"/>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300" w:type="dxa"/>
            <w:vAlign w:val="bottom"/>
          </w:tcPr>
          <w:p>
            <w:pPr>
              <w:spacing w:after="0"/>
              <w:rPr>
                <w:sz w:val="8"/>
                <w:szCs w:val="8"/>
                <w:color w:val="auto"/>
              </w:rPr>
            </w:pPr>
          </w:p>
        </w:tc>
      </w:tr>
      <w:tr>
        <w:trPr>
          <w:trHeight w:val="173"/>
        </w:trPr>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Brick Plaza</w:t>
            </w: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Monmouth-Ocean, NJ</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1989</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61,773</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422,000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AMC Loews / Barnes &amp; Noble / Sports Authority</w:t>
            </w:r>
          </w:p>
        </w:tc>
      </w:tr>
      <w:tr>
        <w:trPr>
          <w:trHeight w:val="97"/>
        </w:trPr>
        <w:tc>
          <w:tcPr>
            <w:tcW w:w="2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300" w:type="dxa"/>
            <w:vAlign w:val="bottom"/>
            <w:shd w:val="clear" w:color="auto" w:fill="CCEEFF"/>
          </w:tcPr>
          <w:p>
            <w:pPr>
              <w:spacing w:after="0"/>
              <w:rPr>
                <w:sz w:val="8"/>
                <w:szCs w:val="8"/>
                <w:color w:val="auto"/>
              </w:rPr>
            </w:pPr>
          </w:p>
        </w:tc>
      </w:tr>
      <w:tr>
        <w:trPr>
          <w:trHeight w:val="148"/>
        </w:trPr>
        <w:tc>
          <w:tcPr>
            <w:tcW w:w="138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Brook 35</w:t>
            </w:r>
          </w:p>
        </w:tc>
        <w:tc>
          <w:tcPr>
            <w:tcW w:w="420" w:type="dxa"/>
            <w:vAlign w:val="bottom"/>
          </w:tcPr>
          <w:p>
            <w:pPr>
              <w:jc w:val="center"/>
              <w:spacing w:after="0" w:line="148" w:lineRule="exact"/>
              <w:rPr>
                <w:sz w:val="20"/>
                <w:szCs w:val="20"/>
                <w:color w:val="auto"/>
              </w:rPr>
            </w:pPr>
            <w:r>
              <w:rPr>
                <w:rFonts w:ascii="Arial" w:cs="Arial" w:eastAsia="Arial" w:hAnsi="Arial"/>
                <w:sz w:val="13"/>
                <w:szCs w:val="13"/>
                <w:color w:val="auto"/>
                <w:w w:val="90"/>
              </w:rPr>
              <w:t>(3) (5)</w:t>
            </w:r>
          </w:p>
        </w:tc>
        <w:tc>
          <w:tcPr>
            <w:tcW w:w="40" w:type="dxa"/>
            <w:vAlign w:val="bottom"/>
          </w:tcPr>
          <w:p>
            <w:pPr>
              <w:spacing w:after="0"/>
              <w:rPr>
                <w:sz w:val="12"/>
                <w:szCs w:val="12"/>
                <w:color w:val="auto"/>
              </w:rPr>
            </w:pPr>
          </w:p>
        </w:tc>
        <w:tc>
          <w:tcPr>
            <w:tcW w:w="1620" w:type="dxa"/>
            <w:vAlign w:val="bottom"/>
          </w:tcPr>
          <w:p>
            <w:pPr>
              <w:ind w:left="20"/>
              <w:spacing w:after="0" w:line="148" w:lineRule="exact"/>
              <w:rPr>
                <w:sz w:val="20"/>
                <w:szCs w:val="20"/>
                <w:color w:val="auto"/>
              </w:rPr>
            </w:pPr>
            <w:r>
              <w:rPr>
                <w:rFonts w:ascii="Arial" w:cs="Arial" w:eastAsia="Arial" w:hAnsi="Arial"/>
                <w:sz w:val="13"/>
                <w:szCs w:val="13"/>
                <w:color w:val="auto"/>
              </w:rPr>
              <w:t>New York-Northern New</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2014</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46,819</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11,500</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98,000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300" w:type="dxa"/>
            <w:vAlign w:val="bottom"/>
          </w:tcPr>
          <w:p>
            <w:pPr>
              <w:ind w:left="20"/>
              <w:spacing w:after="0" w:line="148" w:lineRule="exact"/>
              <w:rPr>
                <w:sz w:val="20"/>
                <w:szCs w:val="20"/>
                <w:color w:val="auto"/>
              </w:rPr>
            </w:pPr>
            <w:r>
              <w:rPr>
                <w:rFonts w:ascii="Arial" w:cs="Arial" w:eastAsia="Arial" w:hAnsi="Arial"/>
                <w:sz w:val="13"/>
                <w:szCs w:val="13"/>
                <w:color w:val="auto"/>
                <w:w w:val="97"/>
              </w:rPr>
              <w:t>Ann Taylor / Banana Republic / Coach / Williams-Sonoma</w:t>
            </w: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tcPr>
          <w:p>
            <w:pPr>
              <w:ind w:left="20"/>
              <w:spacing w:after="0" w:line="135" w:lineRule="exact"/>
              <w:rPr>
                <w:sz w:val="20"/>
                <w:szCs w:val="20"/>
                <w:color w:val="auto"/>
              </w:rPr>
            </w:pPr>
            <w:r>
              <w:rPr>
                <w:rFonts w:ascii="Arial" w:cs="Arial" w:eastAsia="Arial" w:hAnsi="Arial"/>
                <w:sz w:val="13"/>
                <w:szCs w:val="13"/>
                <w:color w:val="auto"/>
                <w:w w:val="98"/>
              </w:rPr>
              <w:t>Jersey-Long Island, NY-NJ-</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300" w:type="dxa"/>
            <w:vAlign w:val="bottom"/>
          </w:tcPr>
          <w:p>
            <w:pPr>
              <w:spacing w:after="0"/>
              <w:rPr>
                <w:sz w:val="11"/>
                <w:szCs w:val="11"/>
                <w:color w:val="auto"/>
              </w:rPr>
            </w:pPr>
          </w:p>
        </w:tc>
      </w:tr>
      <w:tr>
        <w:trPr>
          <w:trHeight w:val="168"/>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ind w:left="20"/>
              <w:spacing w:after="0"/>
              <w:rPr>
                <w:sz w:val="20"/>
                <w:szCs w:val="20"/>
                <w:color w:val="auto"/>
              </w:rPr>
            </w:pPr>
            <w:r>
              <w:rPr>
                <w:rFonts w:ascii="Arial" w:cs="Arial" w:eastAsia="Arial" w:hAnsi="Arial"/>
                <w:sz w:val="13"/>
                <w:szCs w:val="13"/>
                <w:color w:val="auto"/>
              </w:rPr>
              <w:t>PA</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56"/>
        </w:trPr>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Darien</w:t>
            </w:r>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 Haven-Bridgeport-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2013</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48,529</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45,000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Stop &amp; Shop</w:t>
            </w:r>
          </w:p>
        </w:tc>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Equinox</w:t>
            </w:r>
          </w:p>
        </w:tc>
      </w:tr>
      <w:tr>
        <w:trPr>
          <w:trHeight w:val="176"/>
        </w:trPr>
        <w:tc>
          <w:tcPr>
            <w:tcW w:w="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Stamford-Waterbury</w:t>
            </w:r>
          </w:p>
        </w:tc>
        <w:tc>
          <w:tcPr>
            <w:tcW w:w="6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300" w:type="dxa"/>
            <w:vAlign w:val="bottom"/>
            <w:shd w:val="clear" w:color="auto" w:fill="CCEEFF"/>
          </w:tcPr>
          <w:p>
            <w:pPr>
              <w:spacing w:after="0"/>
              <w:rPr>
                <w:sz w:val="15"/>
                <w:szCs w:val="15"/>
                <w:color w:val="auto"/>
              </w:rPr>
            </w:pPr>
          </w:p>
        </w:tc>
      </w:tr>
      <w:tr>
        <w:trPr>
          <w:trHeight w:val="173"/>
        </w:trPr>
        <w:tc>
          <w:tcPr>
            <w:tcW w:w="1380" w:type="dxa"/>
            <w:vAlign w:val="bottom"/>
            <w:gridSpan w:val="3"/>
          </w:tcPr>
          <w:p>
            <w:pPr>
              <w:ind w:left="20"/>
              <w:spacing w:after="0"/>
              <w:rPr>
                <w:sz w:val="20"/>
                <w:szCs w:val="20"/>
                <w:color w:val="auto"/>
              </w:rPr>
            </w:pPr>
            <w:r>
              <w:rPr>
                <w:rFonts w:ascii="Arial" w:cs="Arial" w:eastAsia="Arial" w:hAnsi="Arial"/>
                <w:sz w:val="13"/>
                <w:szCs w:val="13"/>
                <w:color w:val="auto"/>
              </w:rPr>
              <w:t>Fresh Meadows</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ind w:left="20"/>
              <w:spacing w:after="0"/>
              <w:rPr>
                <w:sz w:val="20"/>
                <w:szCs w:val="20"/>
                <w:color w:val="auto"/>
              </w:rPr>
            </w:pPr>
            <w:r>
              <w:rPr>
                <w:rFonts w:ascii="Arial" w:cs="Arial" w:eastAsia="Arial" w:hAnsi="Arial"/>
                <w:sz w:val="13"/>
                <w:szCs w:val="13"/>
                <w:color w:val="auto"/>
              </w:rPr>
              <w:t>New York, NY</w:t>
            </w:r>
          </w:p>
        </w:tc>
        <w:tc>
          <w:tcPr>
            <w:tcW w:w="680" w:type="dxa"/>
            <w:vAlign w:val="bottom"/>
          </w:tcPr>
          <w:p>
            <w:pPr>
              <w:jc w:val="right"/>
              <w:spacing w:after="0"/>
              <w:rPr>
                <w:sz w:val="20"/>
                <w:szCs w:val="20"/>
                <w:color w:val="auto"/>
              </w:rPr>
            </w:pPr>
            <w:r>
              <w:rPr>
                <w:rFonts w:ascii="Arial" w:cs="Arial" w:eastAsia="Arial" w:hAnsi="Arial"/>
                <w:sz w:val="13"/>
                <w:szCs w:val="13"/>
                <w:color w:val="auto"/>
              </w:rPr>
              <w:t>1997</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81,743</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404,000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15,000</w:t>
            </w:r>
          </w:p>
        </w:tc>
        <w:tc>
          <w:tcPr>
            <w:tcW w:w="860" w:type="dxa"/>
            <w:vAlign w:val="bottom"/>
          </w:tcPr>
          <w:p>
            <w:pPr>
              <w:ind w:left="80"/>
              <w:spacing w:after="0"/>
              <w:rPr>
                <w:sz w:val="20"/>
                <w:szCs w:val="20"/>
                <w:color w:val="auto"/>
              </w:rPr>
            </w:pPr>
            <w:r>
              <w:rPr>
                <w:rFonts w:ascii="Arial" w:cs="Arial" w:eastAsia="Arial" w:hAnsi="Arial"/>
                <w:sz w:val="13"/>
                <w:szCs w:val="13"/>
                <w:color w:val="auto"/>
                <w:w w:val="94"/>
              </w:rPr>
              <w:t>Island of Gold</w:t>
            </w:r>
          </w:p>
        </w:tc>
        <w:tc>
          <w:tcPr>
            <w:tcW w:w="3300" w:type="dxa"/>
            <w:vAlign w:val="bottom"/>
          </w:tcPr>
          <w:p>
            <w:pPr>
              <w:ind w:left="20"/>
              <w:spacing w:after="0"/>
              <w:rPr>
                <w:sz w:val="20"/>
                <w:szCs w:val="20"/>
                <w:color w:val="auto"/>
              </w:rPr>
            </w:pPr>
            <w:r>
              <w:rPr>
                <w:rFonts w:ascii="Arial" w:cs="Arial" w:eastAsia="Arial" w:hAnsi="Arial"/>
                <w:sz w:val="13"/>
                <w:szCs w:val="13"/>
                <w:color w:val="auto"/>
              </w:rPr>
              <w:t>AMC Loews / Kohl's / Michaels / Modell's</w:t>
            </w:r>
          </w:p>
        </w:tc>
      </w:tr>
      <w:tr>
        <w:trPr>
          <w:trHeight w:val="97"/>
        </w:trPr>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300" w:type="dxa"/>
            <w:vAlign w:val="bottom"/>
          </w:tcPr>
          <w:p>
            <w:pPr>
              <w:spacing w:after="0"/>
              <w:rPr>
                <w:sz w:val="8"/>
                <w:szCs w:val="8"/>
                <w:color w:val="auto"/>
              </w:rPr>
            </w:pPr>
          </w:p>
        </w:tc>
      </w:tr>
      <w:tr>
        <w:trPr>
          <w:trHeight w:val="148"/>
        </w:trPr>
        <w:tc>
          <w:tcPr>
            <w:tcW w:w="138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Greenlawn Plaza</w:t>
            </w:r>
          </w:p>
        </w:tc>
        <w:tc>
          <w:tcPr>
            <w:tcW w:w="4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(8)</w:t>
            </w:r>
          </w:p>
        </w:tc>
        <w:tc>
          <w:tcPr>
            <w:tcW w:w="40" w:type="dxa"/>
            <w:vAlign w:val="bottom"/>
            <w:shd w:val="clear" w:color="auto" w:fill="CCEEFF"/>
          </w:tcPr>
          <w:p>
            <w:pPr>
              <w:spacing w:after="0"/>
              <w:rPr>
                <w:sz w:val="12"/>
                <w:szCs w:val="12"/>
                <w:color w:val="auto"/>
              </w:rPr>
            </w:pPr>
          </w:p>
        </w:tc>
        <w:tc>
          <w:tcPr>
            <w:tcW w:w="16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Nassau-Suffolk, NY</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2006</w:t>
            </w:r>
          </w:p>
        </w:tc>
        <w:tc>
          <w:tcPr>
            <w:tcW w:w="7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31,567</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13,600</w:t>
            </w: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106,000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46,000</w:t>
            </w:r>
          </w:p>
        </w:tc>
        <w:tc>
          <w:tcPr>
            <w:tcW w:w="86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Greenlawn</w:t>
            </w:r>
          </w:p>
        </w:tc>
        <w:tc>
          <w:tcPr>
            <w:tcW w:w="3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Tuesday Morning</w:t>
            </w:r>
          </w:p>
        </w:tc>
      </w:tr>
      <w:tr>
        <w:trPr>
          <w:trHeight w:val="176"/>
        </w:trPr>
        <w:tc>
          <w:tcPr>
            <w:tcW w:w="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Farms</w:t>
            </w:r>
          </w:p>
        </w:tc>
        <w:tc>
          <w:tcPr>
            <w:tcW w:w="3300" w:type="dxa"/>
            <w:vAlign w:val="bottom"/>
            <w:shd w:val="clear" w:color="auto" w:fill="CCEEFF"/>
          </w:tcPr>
          <w:p>
            <w:pPr>
              <w:spacing w:after="0"/>
              <w:rPr>
                <w:sz w:val="15"/>
                <w:szCs w:val="15"/>
                <w:color w:val="auto"/>
              </w:rPr>
            </w:pPr>
          </w:p>
        </w:tc>
      </w:tr>
      <w:tr>
        <w:trPr>
          <w:trHeight w:val="148"/>
        </w:trPr>
        <w:tc>
          <w:tcPr>
            <w:tcW w:w="138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Greenwich Avenue</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ind w:left="20"/>
              <w:spacing w:after="0" w:line="148" w:lineRule="exact"/>
              <w:rPr>
                <w:sz w:val="20"/>
                <w:szCs w:val="20"/>
                <w:color w:val="auto"/>
              </w:rPr>
            </w:pPr>
            <w:r>
              <w:rPr>
                <w:rFonts w:ascii="Arial" w:cs="Arial" w:eastAsia="Arial" w:hAnsi="Arial"/>
                <w:sz w:val="13"/>
                <w:szCs w:val="13"/>
                <w:color w:val="auto"/>
              </w:rPr>
              <w:t>New Haven-Bridgeport-</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1995</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14,127</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36,000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300" w:type="dxa"/>
            <w:vAlign w:val="bottom"/>
          </w:tcPr>
          <w:p>
            <w:pPr>
              <w:ind w:left="20"/>
              <w:spacing w:after="0" w:line="148" w:lineRule="exact"/>
              <w:rPr>
                <w:sz w:val="20"/>
                <w:szCs w:val="20"/>
                <w:color w:val="auto"/>
              </w:rPr>
            </w:pPr>
            <w:r>
              <w:rPr>
                <w:rFonts w:ascii="Arial" w:cs="Arial" w:eastAsia="Arial" w:hAnsi="Arial"/>
                <w:sz w:val="13"/>
                <w:szCs w:val="13"/>
                <w:color w:val="auto"/>
              </w:rPr>
              <w:t>Saks Fifth Avenue</w:t>
            </w:r>
          </w:p>
        </w:tc>
      </w:tr>
      <w:tr>
        <w:trPr>
          <w:trHeight w:val="168"/>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ind w:left="20"/>
              <w:spacing w:after="0"/>
              <w:rPr>
                <w:sz w:val="20"/>
                <w:szCs w:val="20"/>
                <w:color w:val="auto"/>
              </w:rPr>
            </w:pPr>
            <w:r>
              <w:rPr>
                <w:rFonts w:ascii="Arial" w:cs="Arial" w:eastAsia="Arial" w:hAnsi="Arial"/>
                <w:sz w:val="13"/>
                <w:szCs w:val="13"/>
                <w:color w:val="auto"/>
              </w:rPr>
              <w:t>Stamford-Waterbury</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81"/>
        </w:trPr>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Hauppauge</w:t>
            </w: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Nassau-Suffolk, NY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28,676</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61,000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 Rite</w:t>
            </w:r>
          </w:p>
        </w:tc>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A.C. Moore</w:t>
            </w:r>
          </w:p>
        </w:tc>
      </w:tr>
      <w:tr>
        <w:trPr>
          <w:trHeight w:val="97"/>
        </w:trPr>
        <w:tc>
          <w:tcPr>
            <w:tcW w:w="2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300" w:type="dxa"/>
            <w:vAlign w:val="bottom"/>
            <w:shd w:val="clear" w:color="auto" w:fill="CCEEFF"/>
          </w:tcPr>
          <w:p>
            <w:pPr>
              <w:spacing w:after="0"/>
              <w:rPr>
                <w:sz w:val="8"/>
                <w:szCs w:val="8"/>
                <w:color w:val="auto"/>
              </w:rPr>
            </w:pPr>
          </w:p>
        </w:tc>
      </w:tr>
      <w:tr>
        <w:trPr>
          <w:trHeight w:val="148"/>
        </w:trPr>
        <w:tc>
          <w:tcPr>
            <w:tcW w:w="138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Huntington</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ind w:left="20"/>
              <w:spacing w:after="0" w:line="148" w:lineRule="exact"/>
              <w:rPr>
                <w:sz w:val="20"/>
                <w:szCs w:val="20"/>
                <w:color w:val="auto"/>
              </w:rPr>
            </w:pPr>
            <w:r>
              <w:rPr>
                <w:rFonts w:ascii="Arial" w:cs="Arial" w:eastAsia="Arial" w:hAnsi="Arial"/>
                <w:sz w:val="13"/>
                <w:szCs w:val="13"/>
                <w:color w:val="auto"/>
              </w:rPr>
              <w:t>Nassau-Suffolk, NY</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1988/2007</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43,852</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279,000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300" w:type="dxa"/>
            <w:vAlign w:val="bottom"/>
          </w:tcPr>
          <w:p>
            <w:pPr>
              <w:ind w:left="20"/>
              <w:spacing w:after="0" w:line="148" w:lineRule="exact"/>
              <w:rPr>
                <w:sz w:val="20"/>
                <w:szCs w:val="20"/>
                <w:color w:val="auto"/>
              </w:rPr>
            </w:pPr>
            <w:r>
              <w:rPr>
                <w:rFonts w:ascii="Arial" w:cs="Arial" w:eastAsia="Arial" w:hAnsi="Arial"/>
                <w:sz w:val="13"/>
                <w:szCs w:val="13"/>
                <w:color w:val="auto"/>
                <w:w w:val="94"/>
              </w:rPr>
              <w:t>Buy Buy Baby / Bed, Bath &amp; Beyond / Michaels / Nordstrom</w:t>
            </w:r>
          </w:p>
        </w:tc>
      </w:tr>
      <w:tr>
        <w:trPr>
          <w:trHeight w:val="168"/>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00" w:type="dxa"/>
            <w:vAlign w:val="bottom"/>
          </w:tcPr>
          <w:p>
            <w:pPr>
              <w:ind w:left="20"/>
              <w:spacing w:after="0"/>
              <w:rPr>
                <w:sz w:val="20"/>
                <w:szCs w:val="20"/>
                <w:color w:val="auto"/>
              </w:rPr>
            </w:pPr>
            <w:r>
              <w:rPr>
                <w:rFonts w:ascii="Arial" w:cs="Arial" w:eastAsia="Arial" w:hAnsi="Arial"/>
                <w:sz w:val="13"/>
                <w:szCs w:val="13"/>
                <w:color w:val="auto"/>
              </w:rPr>
              <w:t>Rack</w:t>
            </w:r>
          </w:p>
        </w:tc>
      </w:tr>
      <w:tr>
        <w:trPr>
          <w:trHeight w:val="181"/>
        </w:trPr>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Huntington Square</w:t>
            </w: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Nassau-Suffolk, NY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2010</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12,980</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Barnes &amp; Noble</w:t>
            </w:r>
          </w:p>
        </w:tc>
      </w:tr>
      <w:tr>
        <w:trPr>
          <w:trHeight w:val="97"/>
        </w:trPr>
        <w:tc>
          <w:tcPr>
            <w:tcW w:w="2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300" w:type="dxa"/>
            <w:vAlign w:val="bottom"/>
            <w:shd w:val="clear" w:color="auto" w:fill="CCEEFF"/>
          </w:tcPr>
          <w:p>
            <w:pPr>
              <w:spacing w:after="0"/>
              <w:rPr>
                <w:sz w:val="8"/>
                <w:szCs w:val="8"/>
                <w:color w:val="auto"/>
              </w:rPr>
            </w:pPr>
          </w:p>
        </w:tc>
      </w:tr>
      <w:tr>
        <w:trPr>
          <w:trHeight w:val="173"/>
        </w:trPr>
        <w:tc>
          <w:tcPr>
            <w:tcW w:w="1380" w:type="dxa"/>
            <w:vAlign w:val="bottom"/>
            <w:gridSpan w:val="3"/>
          </w:tcPr>
          <w:p>
            <w:pPr>
              <w:ind w:left="20"/>
              <w:spacing w:after="0"/>
              <w:rPr>
                <w:sz w:val="20"/>
                <w:szCs w:val="20"/>
                <w:color w:val="auto"/>
              </w:rPr>
            </w:pPr>
            <w:r>
              <w:rPr>
                <w:rFonts w:ascii="Arial" w:cs="Arial" w:eastAsia="Arial" w:hAnsi="Arial"/>
                <w:sz w:val="13"/>
                <w:szCs w:val="13"/>
                <w:color w:val="auto"/>
              </w:rPr>
              <w:t>Melville Mall</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ind w:left="20"/>
              <w:spacing w:after="0"/>
              <w:rPr>
                <w:sz w:val="20"/>
                <w:szCs w:val="20"/>
                <w:color w:val="auto"/>
              </w:rPr>
            </w:pPr>
            <w:r>
              <w:rPr>
                <w:rFonts w:ascii="Arial" w:cs="Arial" w:eastAsia="Arial" w:hAnsi="Arial"/>
                <w:sz w:val="13"/>
                <w:szCs w:val="13"/>
                <w:color w:val="auto"/>
              </w:rPr>
              <w:t>Nassau-Suffolk, NY</w:t>
            </w:r>
          </w:p>
        </w:tc>
        <w:tc>
          <w:tcPr>
            <w:tcW w:w="680" w:type="dxa"/>
            <w:vAlign w:val="bottom"/>
          </w:tcPr>
          <w:p>
            <w:pPr>
              <w:jc w:val="right"/>
              <w:spacing w:after="0"/>
              <w:rPr>
                <w:sz w:val="20"/>
                <w:szCs w:val="20"/>
                <w:color w:val="auto"/>
              </w:rPr>
            </w:pPr>
            <w:r>
              <w:rPr>
                <w:rFonts w:ascii="Arial" w:cs="Arial" w:eastAsia="Arial" w:hAnsi="Arial"/>
                <w:sz w:val="13"/>
                <w:szCs w:val="13"/>
                <w:color w:val="auto"/>
              </w:rPr>
              <w:t>2006</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74,451</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247,000</w:t>
            </w:r>
          </w:p>
        </w:tc>
        <w:tc>
          <w:tcPr>
            <w:tcW w:w="500" w:type="dxa"/>
            <w:vAlign w:val="bottom"/>
          </w:tcPr>
          <w:p>
            <w:pPr>
              <w:jc w:val="right"/>
              <w:spacing w:after="0"/>
              <w:rPr>
                <w:sz w:val="20"/>
                <w:szCs w:val="20"/>
                <w:color w:val="auto"/>
              </w:rPr>
            </w:pPr>
            <w:r>
              <w:rPr>
                <w:rFonts w:ascii="Arial" w:cs="Arial" w:eastAsia="Arial" w:hAnsi="Arial"/>
                <w:sz w:val="13"/>
                <w:szCs w:val="13"/>
                <w:color w:val="auto"/>
              </w:rPr>
              <w:t>73%</w:t>
            </w: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300" w:type="dxa"/>
            <w:vAlign w:val="bottom"/>
          </w:tcPr>
          <w:p>
            <w:pPr>
              <w:ind w:left="20"/>
              <w:spacing w:after="0"/>
              <w:rPr>
                <w:sz w:val="20"/>
                <w:szCs w:val="20"/>
                <w:color w:val="auto"/>
              </w:rPr>
            </w:pPr>
            <w:r>
              <w:rPr>
                <w:rFonts w:ascii="Arial" w:cs="Arial" w:eastAsia="Arial" w:hAnsi="Arial"/>
                <w:sz w:val="13"/>
                <w:szCs w:val="13"/>
                <w:color w:val="auto"/>
              </w:rPr>
              <w:t>Dick’s Sporting Goods / Marshalls / Macy's Backstage</w:t>
            </w:r>
          </w:p>
        </w:tc>
      </w:tr>
      <w:tr>
        <w:trPr>
          <w:trHeight w:val="97"/>
        </w:trPr>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300" w:type="dxa"/>
            <w:vAlign w:val="bottom"/>
          </w:tcPr>
          <w:p>
            <w:pPr>
              <w:spacing w:after="0"/>
              <w:rPr>
                <w:sz w:val="8"/>
                <w:szCs w:val="8"/>
                <w:color w:val="auto"/>
              </w:rPr>
            </w:pPr>
          </w:p>
        </w:tc>
      </w:tr>
      <w:tr>
        <w:trPr>
          <w:trHeight w:val="148"/>
        </w:trPr>
        <w:tc>
          <w:tcPr>
            <w:tcW w:w="138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Mercer Mall</w:t>
            </w:r>
          </w:p>
        </w:tc>
        <w:tc>
          <w:tcPr>
            <w:tcW w:w="42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(6)</w:t>
            </w:r>
          </w:p>
        </w:tc>
        <w:tc>
          <w:tcPr>
            <w:tcW w:w="40" w:type="dxa"/>
            <w:vAlign w:val="bottom"/>
            <w:shd w:val="clear" w:color="auto" w:fill="CCEEFF"/>
          </w:tcPr>
          <w:p>
            <w:pPr>
              <w:spacing w:after="0"/>
              <w:rPr>
                <w:sz w:val="12"/>
                <w:szCs w:val="12"/>
                <w:color w:val="auto"/>
              </w:rPr>
            </w:pPr>
          </w:p>
        </w:tc>
        <w:tc>
          <w:tcPr>
            <w:tcW w:w="16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Trenton, NJ</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2003</w:t>
            </w:r>
          </w:p>
        </w:tc>
        <w:tc>
          <w:tcPr>
            <w:tcW w:w="7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119,184</w:t>
            </w:r>
          </w:p>
        </w:tc>
        <w:tc>
          <w:tcPr>
            <w:tcW w:w="660" w:type="dxa"/>
            <w:vAlign w:val="bottom"/>
            <w:shd w:val="clear" w:color="auto" w:fill="CCEEFF"/>
          </w:tcPr>
          <w:p>
            <w:pPr>
              <w:jc w:val="right"/>
              <w:ind w:right="58"/>
              <w:spacing w:after="0" w:line="148" w:lineRule="exact"/>
              <w:rPr>
                <w:sz w:val="20"/>
                <w:szCs w:val="20"/>
                <w:color w:val="auto"/>
              </w:rPr>
            </w:pPr>
            <w:r>
              <w:rPr>
                <w:rFonts w:ascii="Arial" w:cs="Arial" w:eastAsia="Arial" w:hAnsi="Arial"/>
                <w:sz w:val="13"/>
                <w:szCs w:val="13"/>
                <w:color w:val="auto"/>
              </w:rPr>
              <w:t>55,666</w:t>
            </w: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527,000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75,000</w:t>
            </w:r>
          </w:p>
        </w:tc>
        <w:tc>
          <w:tcPr>
            <w:tcW w:w="86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Shop Rite</w:t>
            </w:r>
          </w:p>
        </w:tc>
        <w:tc>
          <w:tcPr>
            <w:tcW w:w="3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w w:val="91"/>
              </w:rPr>
              <w:t>Bed, Bath &amp; Beyond / DSW / TJ Maxx / Raymour &amp; Flanigan /</w:t>
            </w:r>
          </w:p>
        </w:tc>
      </w:tr>
      <w:tr>
        <w:trPr>
          <w:trHeight w:val="176"/>
        </w:trPr>
        <w:tc>
          <w:tcPr>
            <w:tcW w:w="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Nordstrom Rack / REI</w:t>
            </w:r>
          </w:p>
        </w:tc>
      </w:tr>
      <w:tr>
        <w:trPr>
          <w:trHeight w:val="148"/>
        </w:trPr>
        <w:tc>
          <w:tcPr>
            <w:tcW w:w="1380" w:type="dxa"/>
            <w:vAlign w:val="bottom"/>
            <w:gridSpan w:val="3"/>
          </w:tcPr>
          <w:p>
            <w:pPr>
              <w:ind w:left="20"/>
              <w:spacing w:after="0" w:line="148" w:lineRule="exact"/>
              <w:rPr>
                <w:sz w:val="20"/>
                <w:szCs w:val="20"/>
                <w:color w:val="auto"/>
              </w:rPr>
            </w:pPr>
            <w:r>
              <w:rPr>
                <w:rFonts w:ascii="Arial" w:cs="Arial" w:eastAsia="Arial" w:hAnsi="Arial"/>
                <w:sz w:val="13"/>
                <w:szCs w:val="13"/>
                <w:color w:val="auto"/>
                <w:w w:val="90"/>
              </w:rPr>
              <w:t>The Grove at Shrewsbury</w:t>
            </w:r>
          </w:p>
        </w:tc>
        <w:tc>
          <w:tcPr>
            <w:tcW w:w="420" w:type="dxa"/>
            <w:vAlign w:val="bottom"/>
          </w:tcPr>
          <w:p>
            <w:pPr>
              <w:jc w:val="right"/>
              <w:ind w:right="17"/>
              <w:spacing w:after="0" w:line="148" w:lineRule="exact"/>
              <w:rPr>
                <w:sz w:val="20"/>
                <w:szCs w:val="20"/>
                <w:color w:val="auto"/>
              </w:rPr>
            </w:pPr>
            <w:r>
              <w:rPr>
                <w:rFonts w:ascii="Arial" w:cs="Arial" w:eastAsia="Arial" w:hAnsi="Arial"/>
                <w:sz w:val="13"/>
                <w:szCs w:val="13"/>
                <w:color w:val="auto"/>
                <w:w w:val="90"/>
              </w:rPr>
              <w:t>(3) (5)</w:t>
            </w:r>
          </w:p>
        </w:tc>
        <w:tc>
          <w:tcPr>
            <w:tcW w:w="40" w:type="dxa"/>
            <w:vAlign w:val="bottom"/>
          </w:tcPr>
          <w:p>
            <w:pPr>
              <w:spacing w:after="0"/>
              <w:rPr>
                <w:sz w:val="12"/>
                <w:szCs w:val="12"/>
                <w:color w:val="auto"/>
              </w:rPr>
            </w:pPr>
          </w:p>
        </w:tc>
        <w:tc>
          <w:tcPr>
            <w:tcW w:w="1620" w:type="dxa"/>
            <w:vAlign w:val="bottom"/>
          </w:tcPr>
          <w:p>
            <w:pPr>
              <w:ind w:left="20"/>
              <w:spacing w:after="0" w:line="148" w:lineRule="exact"/>
              <w:rPr>
                <w:sz w:val="20"/>
                <w:szCs w:val="20"/>
                <w:color w:val="auto"/>
              </w:rPr>
            </w:pPr>
            <w:r>
              <w:rPr>
                <w:rFonts w:ascii="Arial" w:cs="Arial" w:eastAsia="Arial" w:hAnsi="Arial"/>
                <w:sz w:val="13"/>
                <w:szCs w:val="13"/>
                <w:color w:val="auto"/>
              </w:rPr>
              <w:t>New York-Northern New</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2014</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122,918</w:t>
            </w:r>
          </w:p>
        </w:tc>
        <w:tc>
          <w:tcPr>
            <w:tcW w:w="660" w:type="dxa"/>
            <w:vAlign w:val="bottom"/>
          </w:tcPr>
          <w:p>
            <w:pPr>
              <w:jc w:val="right"/>
              <w:ind w:right="58"/>
              <w:spacing w:after="0" w:line="148" w:lineRule="exact"/>
              <w:rPr>
                <w:sz w:val="20"/>
                <w:szCs w:val="20"/>
                <w:color w:val="auto"/>
              </w:rPr>
            </w:pPr>
            <w:r>
              <w:rPr>
                <w:rFonts w:ascii="Arial" w:cs="Arial" w:eastAsia="Arial" w:hAnsi="Arial"/>
                <w:sz w:val="13"/>
                <w:szCs w:val="13"/>
                <w:color w:val="auto"/>
              </w:rPr>
              <w:t>54,275</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192,000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300" w:type="dxa"/>
            <w:vAlign w:val="bottom"/>
          </w:tcPr>
          <w:p>
            <w:pPr>
              <w:ind w:left="20"/>
              <w:spacing w:after="0" w:line="148" w:lineRule="exact"/>
              <w:rPr>
                <w:sz w:val="20"/>
                <w:szCs w:val="20"/>
                <w:color w:val="auto"/>
              </w:rPr>
            </w:pPr>
            <w:r>
              <w:rPr>
                <w:rFonts w:ascii="Arial" w:cs="Arial" w:eastAsia="Arial" w:hAnsi="Arial"/>
                <w:sz w:val="13"/>
                <w:szCs w:val="13"/>
                <w:color w:val="auto"/>
                <w:w w:val="90"/>
              </w:rPr>
              <w:t>Lululemon / Brooks Brothers / Anthropologie / Pottery Barn / J.</w:t>
            </w: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20" w:type="dxa"/>
            <w:vAlign w:val="bottom"/>
          </w:tcPr>
          <w:p>
            <w:pPr>
              <w:ind w:left="20"/>
              <w:spacing w:after="0" w:line="135" w:lineRule="exact"/>
              <w:rPr>
                <w:sz w:val="20"/>
                <w:szCs w:val="20"/>
                <w:color w:val="auto"/>
              </w:rPr>
            </w:pPr>
            <w:r>
              <w:rPr>
                <w:rFonts w:ascii="Arial" w:cs="Arial" w:eastAsia="Arial" w:hAnsi="Arial"/>
                <w:sz w:val="13"/>
                <w:szCs w:val="13"/>
                <w:color w:val="auto"/>
                <w:w w:val="98"/>
              </w:rPr>
              <w:t>Jersey-Long Island, NY-NJ-</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300" w:type="dxa"/>
            <w:vAlign w:val="bottom"/>
          </w:tcPr>
          <w:p>
            <w:pPr>
              <w:ind w:left="20"/>
              <w:spacing w:after="0" w:line="135" w:lineRule="exact"/>
              <w:rPr>
                <w:sz w:val="20"/>
                <w:szCs w:val="20"/>
                <w:color w:val="auto"/>
              </w:rPr>
            </w:pPr>
            <w:r>
              <w:rPr>
                <w:rFonts w:ascii="Arial" w:cs="Arial" w:eastAsia="Arial" w:hAnsi="Arial"/>
                <w:sz w:val="13"/>
                <w:szCs w:val="13"/>
                <w:color w:val="auto"/>
              </w:rPr>
              <w:t>Crew / Banana Republic / Williams-Sonoma</w:t>
            </w:r>
          </w:p>
        </w:tc>
      </w:tr>
      <w:tr>
        <w:trPr>
          <w:trHeight w:val="168"/>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ind w:left="20"/>
              <w:spacing w:after="0"/>
              <w:rPr>
                <w:sz w:val="20"/>
                <w:szCs w:val="20"/>
                <w:color w:val="auto"/>
              </w:rPr>
            </w:pPr>
            <w:r>
              <w:rPr>
                <w:rFonts w:ascii="Arial" w:cs="Arial" w:eastAsia="Arial" w:hAnsi="Arial"/>
                <w:sz w:val="13"/>
                <w:szCs w:val="13"/>
                <w:color w:val="auto"/>
              </w:rPr>
              <w:t>PA</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81"/>
        </w:trPr>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Troy</w:t>
            </w: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Newark, NJ</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34,955</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L.A. Fitness</w:t>
            </w:r>
          </w:p>
        </w:tc>
      </w:tr>
      <w:tr>
        <w:trPr>
          <w:trHeight w:val="97"/>
        </w:trPr>
        <w:tc>
          <w:tcPr>
            <w:tcW w:w="2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300" w:type="dxa"/>
            <w:vAlign w:val="bottom"/>
            <w:shd w:val="clear" w:color="auto" w:fill="CCEEFF"/>
          </w:tcPr>
          <w:p>
            <w:pPr>
              <w:spacing w:after="0"/>
              <w:rPr>
                <w:sz w:val="8"/>
                <w:szCs w:val="8"/>
                <w:color w:val="auto"/>
              </w:rPr>
            </w:pPr>
          </w:p>
        </w:tc>
      </w:tr>
      <w:tr>
        <w:trPr>
          <w:trHeight w:val="167"/>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ind w:left="20"/>
              <w:spacing w:after="0"/>
              <w:rPr>
                <w:sz w:val="20"/>
                <w:szCs w:val="20"/>
                <w:color w:val="auto"/>
              </w:rPr>
            </w:pPr>
            <w:r>
              <w:rPr>
                <w:rFonts w:ascii="Arial" w:cs="Arial" w:eastAsia="Arial" w:hAnsi="Arial"/>
                <w:sz w:val="13"/>
                <w:szCs w:val="13"/>
                <w:b w:val="1"/>
                <w:bCs w:val="1"/>
                <w:color w:val="auto"/>
                <w:w w:val="94"/>
              </w:rPr>
              <w:t>Total NY Metro/New Jersey</w:t>
            </w:r>
          </w:p>
        </w:tc>
        <w:tc>
          <w:tcPr>
            <w:tcW w:w="68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721,574</w:t>
            </w:r>
          </w:p>
        </w:tc>
        <w:tc>
          <w:tcPr>
            <w:tcW w:w="6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w w:val="93"/>
              </w:rPr>
              <w:t>2,825,000</w:t>
            </w:r>
          </w:p>
        </w:tc>
        <w:tc>
          <w:tcPr>
            <w:tcW w:w="500" w:type="dxa"/>
            <w:vAlign w:val="bottom"/>
          </w:tcPr>
          <w:p>
            <w:pPr>
              <w:jc w:val="right"/>
              <w:spacing w:after="0"/>
              <w:rPr>
                <w:sz w:val="20"/>
                <w:szCs w:val="20"/>
                <w:color w:val="auto"/>
              </w:rPr>
            </w:pPr>
            <w:r>
              <w:rPr>
                <w:rFonts w:ascii="Arial" w:cs="Arial" w:eastAsia="Arial" w:hAnsi="Arial"/>
                <w:sz w:val="13"/>
                <w:szCs w:val="13"/>
                <w:color w:val="auto"/>
              </w:rPr>
              <w:t>90%</w:t>
            </w: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46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3300" w:type="dxa"/>
            <w:vAlign w:val="bottom"/>
          </w:tcPr>
          <w:p>
            <w:pPr>
              <w:spacing w:after="0"/>
              <w:rPr>
                <w:sz w:val="7"/>
                <w:szCs w:val="7"/>
                <w:color w:val="auto"/>
              </w:rPr>
            </w:pPr>
          </w:p>
        </w:tc>
      </w:tr>
      <w:tr>
        <w:trPr>
          <w:trHeight w:val="243"/>
        </w:trPr>
        <w:tc>
          <w:tcPr>
            <w:tcW w:w="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300" w:type="dxa"/>
            <w:vAlign w:val="bottom"/>
            <w:shd w:val="clear" w:color="auto" w:fill="CCEEFF"/>
          </w:tcPr>
          <w:p>
            <w:pPr>
              <w:spacing w:after="0"/>
              <w:rPr>
                <w:sz w:val="21"/>
                <w:szCs w:val="21"/>
                <w:color w:val="auto"/>
              </w:rPr>
            </w:pPr>
          </w:p>
        </w:tc>
      </w:tr>
      <w:tr>
        <w:trPr>
          <w:trHeight w:val="149"/>
        </w:trPr>
        <w:tc>
          <w:tcPr>
            <w:tcW w:w="20" w:type="dxa"/>
            <w:vAlign w:val="bottom"/>
          </w:tcPr>
          <w:p>
            <w:pPr>
              <w:spacing w:after="0"/>
              <w:rPr>
                <w:sz w:val="12"/>
                <w:szCs w:val="12"/>
                <w:color w:val="auto"/>
              </w:rPr>
            </w:pPr>
          </w:p>
        </w:tc>
        <w:tc>
          <w:tcPr>
            <w:tcW w:w="1820" w:type="dxa"/>
            <w:vAlign w:val="bottom"/>
            <w:gridSpan w:val="4"/>
          </w:tcPr>
          <w:p>
            <w:pPr>
              <w:ind w:left="60"/>
              <w:spacing w:after="0"/>
              <w:rPr>
                <w:sz w:val="20"/>
                <w:szCs w:val="20"/>
                <w:color w:val="auto"/>
              </w:rPr>
            </w:pPr>
            <w:r>
              <w:rPr>
                <w:rFonts w:ascii="Arial" w:cs="Arial" w:eastAsia="Arial" w:hAnsi="Arial"/>
                <w:sz w:val="13"/>
                <w:szCs w:val="13"/>
                <w:b w:val="1"/>
                <w:bCs w:val="1"/>
                <w:color w:val="auto"/>
                <w:w w:val="91"/>
              </w:rPr>
              <w:t>Philadelphia Metropolitan Area</w:t>
            </w:r>
          </w:p>
        </w:tc>
        <w:tc>
          <w:tcPr>
            <w:tcW w:w="1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300" w:type="dxa"/>
            <w:vAlign w:val="bottom"/>
          </w:tcPr>
          <w:p>
            <w:pPr>
              <w:spacing w:after="0"/>
              <w:rPr>
                <w:sz w:val="12"/>
                <w:szCs w:val="12"/>
                <w:color w:val="auto"/>
              </w:rPr>
            </w:pPr>
          </w:p>
        </w:tc>
      </w:tr>
      <w:tr>
        <w:trPr>
          <w:trHeight w:val="102"/>
        </w:trPr>
        <w:tc>
          <w:tcPr>
            <w:tcW w:w="20" w:type="dxa"/>
            <w:vAlign w:val="bottom"/>
          </w:tcPr>
          <w:p>
            <w:pPr>
              <w:spacing w:after="0"/>
              <w:rPr>
                <w:sz w:val="8"/>
                <w:szCs w:val="8"/>
                <w:color w:val="auto"/>
              </w:rPr>
            </w:pPr>
          </w:p>
        </w:tc>
        <w:tc>
          <w:tcPr>
            <w:tcW w:w="13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300" w:type="dxa"/>
            <w:vAlign w:val="bottom"/>
          </w:tcPr>
          <w:p>
            <w:pPr>
              <w:spacing w:after="0"/>
              <w:rPr>
                <w:sz w:val="8"/>
                <w:szCs w:val="8"/>
                <w:color w:val="auto"/>
              </w:rPr>
            </w:pPr>
          </w:p>
        </w:tc>
      </w:tr>
      <w:tr>
        <w:trPr>
          <w:trHeight w:val="148"/>
        </w:trPr>
        <w:tc>
          <w:tcPr>
            <w:tcW w:w="138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Andorra</w:t>
            </w: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Philadelphia, PA-NJ</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1988</w:t>
            </w:r>
          </w:p>
        </w:tc>
        <w:tc>
          <w:tcPr>
            <w:tcW w:w="7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25,735</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265,000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24,000</w:t>
            </w:r>
          </w:p>
        </w:tc>
        <w:tc>
          <w:tcPr>
            <w:tcW w:w="86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Acme</w:t>
            </w:r>
          </w:p>
        </w:tc>
        <w:tc>
          <w:tcPr>
            <w:tcW w:w="3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Kohl's / Staples / L.A. Fitness</w:t>
            </w:r>
          </w:p>
        </w:tc>
      </w:tr>
      <w:tr>
        <w:trPr>
          <w:trHeight w:val="176"/>
        </w:trPr>
        <w:tc>
          <w:tcPr>
            <w:tcW w:w="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Markets</w:t>
            </w:r>
          </w:p>
        </w:tc>
        <w:tc>
          <w:tcPr>
            <w:tcW w:w="3300" w:type="dxa"/>
            <w:vAlign w:val="bottom"/>
            <w:shd w:val="clear" w:color="auto" w:fill="CCEEFF"/>
          </w:tcPr>
          <w:p>
            <w:pPr>
              <w:spacing w:after="0"/>
              <w:rPr>
                <w:sz w:val="15"/>
                <w:szCs w:val="15"/>
                <w:color w:val="auto"/>
              </w:rPr>
            </w:pPr>
          </w:p>
        </w:tc>
      </w:tr>
      <w:tr>
        <w:trPr>
          <w:trHeight w:val="148"/>
        </w:trPr>
        <w:tc>
          <w:tcPr>
            <w:tcW w:w="138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Bala Cynwyd</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ind w:left="20"/>
              <w:spacing w:after="0" w:line="148" w:lineRule="exact"/>
              <w:rPr>
                <w:sz w:val="20"/>
                <w:szCs w:val="20"/>
                <w:color w:val="auto"/>
              </w:rPr>
            </w:pPr>
            <w:r>
              <w:rPr>
                <w:rFonts w:ascii="Arial" w:cs="Arial" w:eastAsia="Arial" w:hAnsi="Arial"/>
                <w:sz w:val="13"/>
                <w:szCs w:val="13"/>
                <w:color w:val="auto"/>
              </w:rPr>
              <w:t>Philadelphia, PA-NJ</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1993</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41,457</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294,000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45,000</w:t>
            </w:r>
          </w:p>
        </w:tc>
        <w:tc>
          <w:tcPr>
            <w:tcW w:w="860" w:type="dxa"/>
            <w:vAlign w:val="bottom"/>
          </w:tcPr>
          <w:p>
            <w:pPr>
              <w:ind w:left="80"/>
              <w:spacing w:after="0" w:line="148" w:lineRule="exact"/>
              <w:rPr>
                <w:sz w:val="20"/>
                <w:szCs w:val="20"/>
                <w:color w:val="auto"/>
              </w:rPr>
            </w:pPr>
            <w:r>
              <w:rPr>
                <w:rFonts w:ascii="Arial" w:cs="Arial" w:eastAsia="Arial" w:hAnsi="Arial"/>
                <w:sz w:val="13"/>
                <w:szCs w:val="13"/>
                <w:color w:val="auto"/>
              </w:rPr>
              <w:t>Acme</w:t>
            </w:r>
          </w:p>
        </w:tc>
        <w:tc>
          <w:tcPr>
            <w:tcW w:w="3300" w:type="dxa"/>
            <w:vAlign w:val="bottom"/>
          </w:tcPr>
          <w:p>
            <w:pPr>
              <w:ind w:left="20"/>
              <w:spacing w:after="0" w:line="148" w:lineRule="exact"/>
              <w:rPr>
                <w:sz w:val="20"/>
                <w:szCs w:val="20"/>
                <w:color w:val="auto"/>
              </w:rPr>
            </w:pPr>
            <w:r>
              <w:rPr>
                <w:rFonts w:ascii="Arial" w:cs="Arial" w:eastAsia="Arial" w:hAnsi="Arial"/>
                <w:sz w:val="13"/>
                <w:szCs w:val="13"/>
                <w:color w:val="auto"/>
              </w:rPr>
              <w:t>Lord &amp; Taylor / L.A. Fitness / Michaels</w:t>
            </w:r>
          </w:p>
        </w:tc>
      </w:tr>
      <w:tr>
        <w:trPr>
          <w:trHeight w:val="168"/>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3"/>
                <w:szCs w:val="13"/>
                <w:color w:val="auto"/>
              </w:rPr>
              <w:t>Markets</w:t>
            </w:r>
          </w:p>
        </w:tc>
        <w:tc>
          <w:tcPr>
            <w:tcW w:w="3300" w:type="dxa"/>
            <w:vAlign w:val="bottom"/>
          </w:tcPr>
          <w:p>
            <w:pPr>
              <w:spacing w:after="0"/>
              <w:rPr>
                <w:sz w:val="14"/>
                <w:szCs w:val="14"/>
                <w:color w:val="auto"/>
              </w:rPr>
            </w:pPr>
          </w:p>
        </w:tc>
      </w:tr>
      <w:tr>
        <w:trPr>
          <w:trHeight w:val="181"/>
        </w:trPr>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Ellisburg</w:t>
            </w: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Philadelphia, PA-NJ</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1992</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34,931</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47,000</w:t>
            </w: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Whole Foods</w:t>
            </w:r>
          </w:p>
        </w:tc>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Buy Buy Baby / Stein Mart</w:t>
            </w:r>
          </w:p>
        </w:tc>
      </w:tr>
      <w:tr>
        <w:trPr>
          <w:trHeight w:val="97"/>
        </w:trPr>
        <w:tc>
          <w:tcPr>
            <w:tcW w:w="2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300" w:type="dxa"/>
            <w:vAlign w:val="bottom"/>
            <w:shd w:val="clear" w:color="auto" w:fill="CCEEFF"/>
          </w:tcPr>
          <w:p>
            <w:pPr>
              <w:spacing w:after="0"/>
              <w:rPr>
                <w:sz w:val="8"/>
                <w:szCs w:val="8"/>
                <w:color w:val="auto"/>
              </w:rPr>
            </w:pPr>
          </w:p>
        </w:tc>
      </w:tr>
      <w:tr>
        <w:trPr>
          <w:trHeight w:val="173"/>
        </w:trPr>
        <w:tc>
          <w:tcPr>
            <w:tcW w:w="1380" w:type="dxa"/>
            <w:vAlign w:val="bottom"/>
            <w:gridSpan w:val="3"/>
          </w:tcPr>
          <w:p>
            <w:pPr>
              <w:ind w:left="20"/>
              <w:spacing w:after="0"/>
              <w:rPr>
                <w:sz w:val="20"/>
                <w:szCs w:val="20"/>
                <w:color w:val="auto"/>
              </w:rPr>
            </w:pPr>
            <w:r>
              <w:rPr>
                <w:rFonts w:ascii="Arial" w:cs="Arial" w:eastAsia="Arial" w:hAnsi="Arial"/>
                <w:sz w:val="13"/>
                <w:szCs w:val="13"/>
                <w:color w:val="auto"/>
              </w:rPr>
              <w:t>Flourtown</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ind w:left="20"/>
              <w:spacing w:after="0"/>
              <w:rPr>
                <w:sz w:val="20"/>
                <w:szCs w:val="20"/>
                <w:color w:val="auto"/>
              </w:rPr>
            </w:pPr>
            <w:r>
              <w:rPr>
                <w:rFonts w:ascii="Arial" w:cs="Arial" w:eastAsia="Arial" w:hAnsi="Arial"/>
                <w:sz w:val="13"/>
                <w:szCs w:val="13"/>
                <w:color w:val="auto"/>
              </w:rPr>
              <w:t>Philadelphia, PA-NJ</w:t>
            </w:r>
          </w:p>
        </w:tc>
        <w:tc>
          <w:tcPr>
            <w:tcW w:w="680" w:type="dxa"/>
            <w:vAlign w:val="bottom"/>
          </w:tcPr>
          <w:p>
            <w:pPr>
              <w:jc w:val="right"/>
              <w:spacing w:after="0"/>
              <w:rPr>
                <w:sz w:val="20"/>
                <w:szCs w:val="20"/>
                <w:color w:val="auto"/>
              </w:rPr>
            </w:pPr>
            <w:r>
              <w:rPr>
                <w:rFonts w:ascii="Arial" w:cs="Arial" w:eastAsia="Arial" w:hAnsi="Arial"/>
                <w:sz w:val="13"/>
                <w:szCs w:val="13"/>
                <w:color w:val="auto"/>
              </w:rPr>
              <w:t>1980</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16,799</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156,000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75,000</w:t>
            </w:r>
          </w:p>
        </w:tc>
        <w:tc>
          <w:tcPr>
            <w:tcW w:w="86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3300" w:type="dxa"/>
            <w:vAlign w:val="bottom"/>
          </w:tcPr>
          <w:p>
            <w:pPr>
              <w:ind w:left="20"/>
              <w:spacing w:after="0"/>
              <w:rPr>
                <w:sz w:val="20"/>
                <w:szCs w:val="20"/>
                <w:color w:val="auto"/>
              </w:rPr>
            </w:pPr>
            <w:r>
              <w:rPr>
                <w:rFonts w:ascii="Arial" w:cs="Arial" w:eastAsia="Arial" w:hAnsi="Arial"/>
                <w:sz w:val="13"/>
                <w:szCs w:val="13"/>
                <w:color w:val="auto"/>
              </w:rPr>
              <w:t>Movie Tavern</w:t>
            </w:r>
          </w:p>
        </w:tc>
      </w:tr>
      <w:tr>
        <w:trPr>
          <w:trHeight w:val="97"/>
        </w:trPr>
        <w:tc>
          <w:tcPr>
            <w:tcW w:w="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300" w:type="dxa"/>
            <w:vAlign w:val="bottom"/>
          </w:tcPr>
          <w:p>
            <w:pPr>
              <w:spacing w:after="0"/>
              <w:rPr>
                <w:sz w:val="8"/>
                <w:szCs w:val="8"/>
                <w:color w:val="auto"/>
              </w:rPr>
            </w:pPr>
          </w:p>
        </w:tc>
      </w:tr>
      <w:tr>
        <w:trPr>
          <w:trHeight w:val="148"/>
        </w:trPr>
        <w:tc>
          <w:tcPr>
            <w:tcW w:w="138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Langhorne Square</w:t>
            </w: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2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Philadelphia, PA-NJ</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1985</w:t>
            </w:r>
          </w:p>
        </w:tc>
        <w:tc>
          <w:tcPr>
            <w:tcW w:w="7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21,848</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219,000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55,000</w:t>
            </w:r>
          </w:p>
        </w:tc>
        <w:tc>
          <w:tcPr>
            <w:tcW w:w="86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Redner's</w:t>
            </w:r>
          </w:p>
        </w:tc>
        <w:tc>
          <w:tcPr>
            <w:tcW w:w="330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Marshalls</w:t>
            </w:r>
          </w:p>
        </w:tc>
      </w:tr>
      <w:tr>
        <w:trPr>
          <w:trHeight w:val="135"/>
        </w:trPr>
        <w:tc>
          <w:tcPr>
            <w:tcW w:w="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Warehouse</w:t>
            </w:r>
          </w:p>
        </w:tc>
        <w:tc>
          <w:tcPr>
            <w:tcW w:w="3300" w:type="dxa"/>
            <w:vAlign w:val="bottom"/>
            <w:shd w:val="clear" w:color="auto" w:fill="CCEEFF"/>
          </w:tcPr>
          <w:p>
            <w:pPr>
              <w:spacing w:after="0"/>
              <w:rPr>
                <w:sz w:val="11"/>
                <w:szCs w:val="11"/>
                <w:color w:val="auto"/>
              </w:rPr>
            </w:pPr>
          </w:p>
        </w:tc>
      </w:tr>
      <w:tr>
        <w:trPr>
          <w:trHeight w:val="176"/>
        </w:trPr>
        <w:tc>
          <w:tcPr>
            <w:tcW w:w="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ind w:left="80"/>
              <w:spacing w:after="0"/>
              <w:rPr>
                <w:sz w:val="20"/>
                <w:szCs w:val="20"/>
                <w:color w:val="auto"/>
              </w:rPr>
            </w:pPr>
            <w:r>
              <w:rPr>
                <w:rFonts w:ascii="Arial" w:cs="Arial" w:eastAsia="Arial" w:hAnsi="Arial"/>
                <w:sz w:val="13"/>
                <w:szCs w:val="13"/>
                <w:color w:val="auto"/>
              </w:rPr>
              <w:t>Mkts.</w:t>
            </w:r>
          </w:p>
        </w:tc>
        <w:tc>
          <w:tcPr>
            <w:tcW w:w="3300" w:type="dxa"/>
            <w:vAlign w:val="bottom"/>
            <w:shd w:val="clear" w:color="auto" w:fill="CCEEFF"/>
          </w:tcPr>
          <w:p>
            <w:pPr>
              <w:spacing w:after="0"/>
              <w:rPr>
                <w:sz w:val="15"/>
                <w:szCs w:val="15"/>
                <w:color w:val="auto"/>
              </w:rPr>
            </w:pPr>
          </w:p>
        </w:tc>
      </w:tr>
      <w:tr>
        <w:trPr>
          <w:trHeight w:val="148"/>
        </w:trPr>
        <w:tc>
          <w:tcPr>
            <w:tcW w:w="138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Lawrence Park</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ind w:left="20"/>
              <w:spacing w:after="0" w:line="148" w:lineRule="exact"/>
              <w:rPr>
                <w:sz w:val="20"/>
                <w:szCs w:val="20"/>
                <w:color w:val="auto"/>
              </w:rPr>
            </w:pPr>
            <w:r>
              <w:rPr>
                <w:rFonts w:ascii="Arial" w:cs="Arial" w:eastAsia="Arial" w:hAnsi="Arial"/>
                <w:sz w:val="13"/>
                <w:szCs w:val="13"/>
                <w:color w:val="auto"/>
              </w:rPr>
              <w:t>Philadelphia, PA-NJ</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1980</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32,478</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364,000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53,000</w:t>
            </w:r>
          </w:p>
        </w:tc>
        <w:tc>
          <w:tcPr>
            <w:tcW w:w="860" w:type="dxa"/>
            <w:vAlign w:val="bottom"/>
          </w:tcPr>
          <w:p>
            <w:pPr>
              <w:ind w:left="80"/>
              <w:spacing w:after="0" w:line="148" w:lineRule="exact"/>
              <w:rPr>
                <w:sz w:val="20"/>
                <w:szCs w:val="20"/>
                <w:color w:val="auto"/>
              </w:rPr>
            </w:pPr>
            <w:r>
              <w:rPr>
                <w:rFonts w:ascii="Arial" w:cs="Arial" w:eastAsia="Arial" w:hAnsi="Arial"/>
                <w:sz w:val="13"/>
                <w:szCs w:val="13"/>
                <w:color w:val="auto"/>
              </w:rPr>
              <w:t>Acme</w:t>
            </w:r>
          </w:p>
        </w:tc>
        <w:tc>
          <w:tcPr>
            <w:tcW w:w="3300" w:type="dxa"/>
            <w:vAlign w:val="bottom"/>
          </w:tcPr>
          <w:p>
            <w:pPr>
              <w:ind w:left="20"/>
              <w:spacing w:after="0" w:line="148" w:lineRule="exact"/>
              <w:rPr>
                <w:sz w:val="20"/>
                <w:szCs w:val="20"/>
                <w:color w:val="auto"/>
              </w:rPr>
            </w:pPr>
            <w:r>
              <w:rPr>
                <w:rFonts w:ascii="Arial" w:cs="Arial" w:eastAsia="Arial" w:hAnsi="Arial"/>
                <w:sz w:val="13"/>
                <w:szCs w:val="13"/>
                <w:color w:val="auto"/>
              </w:rPr>
              <w:t>Brightwood Career Institute / TJ Maxx / HomeGoods</w:t>
            </w:r>
          </w:p>
        </w:tc>
      </w:tr>
      <w:tr>
        <w:trPr>
          <w:trHeight w:val="168"/>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3"/>
                <w:szCs w:val="13"/>
                <w:color w:val="auto"/>
              </w:rPr>
              <w:t>Markets</w:t>
            </w:r>
          </w:p>
        </w:tc>
        <w:tc>
          <w:tcPr>
            <w:tcW w:w="3300" w:type="dxa"/>
            <w:vAlign w:val="bottom"/>
          </w:tcPr>
          <w:p>
            <w:pPr>
              <w:spacing w:after="0"/>
              <w:rPr>
                <w:sz w:val="14"/>
                <w:szCs w:val="14"/>
                <w:color w:val="auto"/>
              </w:rPr>
            </w:pPr>
          </w:p>
        </w:tc>
      </w:tr>
      <w:tr>
        <w:trPr>
          <w:trHeight w:val="181"/>
        </w:trPr>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Northeast</w:t>
            </w: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Philadelphia, PA-NJ</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1983</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25,685</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Burlington Coat Factory / Home Gallery / Marshalls</w:t>
            </w:r>
          </w:p>
        </w:tc>
      </w:tr>
      <w:tr>
        <w:trPr>
          <w:trHeight w:val="97"/>
        </w:trPr>
        <w:tc>
          <w:tcPr>
            <w:tcW w:w="2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300" w:type="dxa"/>
            <w:vAlign w:val="bottom"/>
            <w:shd w:val="clear" w:color="auto" w:fill="CCEEFF"/>
          </w:tcPr>
          <w:p>
            <w:pPr>
              <w:spacing w:after="0"/>
              <w:rPr>
                <w:sz w:val="8"/>
                <w:szCs w:val="8"/>
                <w:color w:val="auto"/>
              </w:rPr>
            </w:pPr>
          </w:p>
        </w:tc>
      </w:tr>
      <w:tr>
        <w:trPr>
          <w:trHeight w:val="148"/>
        </w:trPr>
        <w:tc>
          <w:tcPr>
            <w:tcW w:w="138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Town Center of New</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ind w:left="20"/>
              <w:spacing w:after="0" w:line="148" w:lineRule="exact"/>
              <w:rPr>
                <w:sz w:val="20"/>
                <w:szCs w:val="20"/>
                <w:color w:val="auto"/>
              </w:rPr>
            </w:pPr>
            <w:r>
              <w:rPr>
                <w:rFonts w:ascii="Arial" w:cs="Arial" w:eastAsia="Arial" w:hAnsi="Arial"/>
                <w:sz w:val="13"/>
                <w:szCs w:val="13"/>
                <w:color w:val="auto"/>
              </w:rPr>
              <w:t>Philadelphia, PA-NJ</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2006</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14,972</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124,000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88%</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36,000</w:t>
            </w:r>
          </w:p>
        </w:tc>
        <w:tc>
          <w:tcPr>
            <w:tcW w:w="860" w:type="dxa"/>
            <w:vAlign w:val="bottom"/>
          </w:tcPr>
          <w:p>
            <w:pPr>
              <w:ind w:left="80"/>
              <w:spacing w:after="0" w:line="148" w:lineRule="exact"/>
              <w:rPr>
                <w:sz w:val="20"/>
                <w:szCs w:val="20"/>
                <w:color w:val="auto"/>
              </w:rPr>
            </w:pPr>
            <w:r>
              <w:rPr>
                <w:rFonts w:ascii="Arial" w:cs="Arial" w:eastAsia="Arial" w:hAnsi="Arial"/>
                <w:sz w:val="13"/>
                <w:szCs w:val="13"/>
                <w:color w:val="auto"/>
              </w:rPr>
              <w:t>Giant Food</w:t>
            </w:r>
          </w:p>
        </w:tc>
        <w:tc>
          <w:tcPr>
            <w:tcW w:w="3300" w:type="dxa"/>
            <w:vAlign w:val="bottom"/>
          </w:tcPr>
          <w:p>
            <w:pPr>
              <w:ind w:left="20"/>
              <w:spacing w:after="0" w:line="148" w:lineRule="exact"/>
              <w:rPr>
                <w:sz w:val="20"/>
                <w:szCs w:val="20"/>
                <w:color w:val="auto"/>
              </w:rPr>
            </w:pPr>
            <w:r>
              <w:rPr>
                <w:rFonts w:ascii="Arial" w:cs="Arial" w:eastAsia="Arial" w:hAnsi="Arial"/>
                <w:sz w:val="13"/>
                <w:szCs w:val="13"/>
                <w:color w:val="auto"/>
              </w:rPr>
              <w:t>Rite Aid</w:t>
            </w:r>
          </w:p>
        </w:tc>
      </w:tr>
      <w:tr>
        <w:trPr>
          <w:trHeight w:val="168"/>
        </w:trPr>
        <w:tc>
          <w:tcPr>
            <w:tcW w:w="1380" w:type="dxa"/>
            <w:vAlign w:val="bottom"/>
            <w:gridSpan w:val="3"/>
          </w:tcPr>
          <w:p>
            <w:pPr>
              <w:ind w:left="20"/>
              <w:spacing w:after="0"/>
              <w:rPr>
                <w:sz w:val="20"/>
                <w:szCs w:val="20"/>
                <w:color w:val="auto"/>
              </w:rPr>
            </w:pPr>
            <w:r>
              <w:rPr>
                <w:rFonts w:ascii="Arial" w:cs="Arial" w:eastAsia="Arial" w:hAnsi="Arial"/>
                <w:sz w:val="13"/>
                <w:szCs w:val="13"/>
                <w:color w:val="auto"/>
              </w:rPr>
              <w:t>Britain</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81"/>
        </w:trPr>
        <w:tc>
          <w:tcPr>
            <w:tcW w:w="13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Willow Grove</w:t>
            </w: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Philadelphia, PA-NJ</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1984</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30,001</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HomeGoods / Marshalls / Barnes &amp; Noble</w:t>
            </w:r>
          </w:p>
        </w:tc>
      </w:tr>
      <w:tr>
        <w:trPr>
          <w:trHeight w:val="97"/>
        </w:trPr>
        <w:tc>
          <w:tcPr>
            <w:tcW w:w="2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300" w:type="dxa"/>
            <w:vAlign w:val="bottom"/>
            <w:shd w:val="clear" w:color="auto" w:fill="CCEEFF"/>
          </w:tcPr>
          <w:p>
            <w:pPr>
              <w:spacing w:after="0"/>
              <w:rPr>
                <w:sz w:val="8"/>
                <w:szCs w:val="8"/>
                <w:color w:val="auto"/>
              </w:rPr>
            </w:pPr>
          </w:p>
        </w:tc>
      </w:tr>
      <w:tr>
        <w:trPr>
          <w:trHeight w:val="173"/>
        </w:trPr>
        <w:tc>
          <w:tcPr>
            <w:tcW w:w="1380" w:type="dxa"/>
            <w:vAlign w:val="bottom"/>
            <w:gridSpan w:val="3"/>
          </w:tcPr>
          <w:p>
            <w:pPr>
              <w:ind w:left="20"/>
              <w:spacing w:after="0"/>
              <w:rPr>
                <w:sz w:val="20"/>
                <w:szCs w:val="20"/>
                <w:color w:val="auto"/>
              </w:rPr>
            </w:pPr>
            <w:r>
              <w:rPr>
                <w:rFonts w:ascii="Arial" w:cs="Arial" w:eastAsia="Arial" w:hAnsi="Arial"/>
                <w:sz w:val="13"/>
                <w:szCs w:val="13"/>
                <w:color w:val="auto"/>
              </w:rPr>
              <w:t>Wynnewood</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Pr>
          <w:p>
            <w:pPr>
              <w:ind w:left="20"/>
              <w:spacing w:after="0"/>
              <w:rPr>
                <w:sz w:val="20"/>
                <w:szCs w:val="20"/>
                <w:color w:val="auto"/>
              </w:rPr>
            </w:pPr>
            <w:r>
              <w:rPr>
                <w:rFonts w:ascii="Arial" w:cs="Arial" w:eastAsia="Arial" w:hAnsi="Arial"/>
                <w:sz w:val="13"/>
                <w:szCs w:val="13"/>
                <w:color w:val="auto"/>
              </w:rPr>
              <w:t>Philadelphia, PA-NJ</w:t>
            </w:r>
          </w:p>
        </w:tc>
        <w:tc>
          <w:tcPr>
            <w:tcW w:w="680" w:type="dxa"/>
            <w:vAlign w:val="bottom"/>
          </w:tcPr>
          <w:p>
            <w:pPr>
              <w:jc w:val="right"/>
              <w:spacing w:after="0"/>
              <w:rPr>
                <w:sz w:val="20"/>
                <w:szCs w:val="20"/>
                <w:color w:val="auto"/>
              </w:rPr>
            </w:pPr>
            <w:r>
              <w:rPr>
                <w:rFonts w:ascii="Arial" w:cs="Arial" w:eastAsia="Arial" w:hAnsi="Arial"/>
                <w:sz w:val="13"/>
                <w:szCs w:val="13"/>
                <w:color w:val="auto"/>
              </w:rPr>
              <w:t>1996</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41,793</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251,000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98,000</w:t>
            </w:r>
          </w:p>
        </w:tc>
        <w:tc>
          <w:tcPr>
            <w:tcW w:w="86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3300" w:type="dxa"/>
            <w:vAlign w:val="bottom"/>
          </w:tcPr>
          <w:p>
            <w:pPr>
              <w:ind w:left="20"/>
              <w:spacing w:after="0"/>
              <w:rPr>
                <w:sz w:val="20"/>
                <w:szCs w:val="20"/>
                <w:color w:val="auto"/>
              </w:rPr>
            </w:pPr>
            <w:r>
              <w:rPr>
                <w:rFonts w:ascii="Arial" w:cs="Arial" w:eastAsia="Arial" w:hAnsi="Arial"/>
                <w:sz w:val="13"/>
                <w:szCs w:val="13"/>
                <w:color w:val="auto"/>
              </w:rPr>
              <w:t>Bed, Bath &amp; Beyond / Old Navy / DSW</w:t>
            </w:r>
          </w:p>
        </w:tc>
      </w:tr>
      <w:tr>
        <w:trPr>
          <w:trHeight w:val="97"/>
        </w:trPr>
        <w:tc>
          <w:tcPr>
            <w:tcW w:w="20" w:type="dxa"/>
            <w:vAlign w:val="bottom"/>
            <w:tcBorders>
              <w:bottom w:val="single" w:sz="8" w:color="CCEEFF"/>
            </w:tcBorders>
          </w:tcPr>
          <w:p>
            <w:pPr>
              <w:spacing w:after="0"/>
              <w:rPr>
                <w:sz w:val="8"/>
                <w:szCs w:val="8"/>
                <w:color w:val="auto"/>
              </w:rPr>
            </w:pPr>
          </w:p>
        </w:tc>
        <w:tc>
          <w:tcPr>
            <w:tcW w:w="132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42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1620" w:type="dxa"/>
            <w:vAlign w:val="bottom"/>
            <w:tcBorders>
              <w:bottom w:val="single" w:sz="8" w:color="CCEEFF"/>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860" w:type="dxa"/>
            <w:vAlign w:val="bottom"/>
            <w:tcBorders>
              <w:bottom w:val="single" w:sz="8" w:color="CCEEFF"/>
            </w:tcBorders>
          </w:tcPr>
          <w:p>
            <w:pPr>
              <w:spacing w:after="0"/>
              <w:rPr>
                <w:sz w:val="8"/>
                <w:szCs w:val="8"/>
                <w:color w:val="auto"/>
              </w:rPr>
            </w:pPr>
          </w:p>
        </w:tc>
        <w:tc>
          <w:tcPr>
            <w:tcW w:w="3300" w:type="dxa"/>
            <w:vAlign w:val="bottom"/>
            <w:tcBorders>
              <w:bottom w:val="single" w:sz="8" w:color="CCEEFF"/>
            </w:tcBorders>
          </w:tcPr>
          <w:p>
            <w:pPr>
              <w:spacing w:after="0"/>
              <w:rPr>
                <w:sz w:val="8"/>
                <w:szCs w:val="8"/>
                <w:color w:val="auto"/>
              </w:rPr>
            </w:pPr>
          </w:p>
        </w:tc>
      </w:tr>
      <w:tr>
        <w:trPr>
          <w:trHeight w:val="167"/>
        </w:trPr>
        <w:tc>
          <w:tcPr>
            <w:tcW w:w="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Philadelphia Metropolitan Area</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285,699</w:t>
            </w:r>
          </w:p>
        </w:tc>
        <w:tc>
          <w:tcPr>
            <w:tcW w:w="66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2,440,000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300" w:type="dxa"/>
            <w:vAlign w:val="bottom"/>
            <w:shd w:val="clear" w:color="auto" w:fill="CCEEFF"/>
          </w:tcPr>
          <w:p>
            <w:pPr>
              <w:spacing w:after="0"/>
              <w:rPr>
                <w:sz w:val="14"/>
                <w:szCs w:val="14"/>
                <w:color w:val="auto"/>
              </w:rPr>
            </w:pPr>
          </w:p>
        </w:tc>
      </w:tr>
      <w:tr>
        <w:trPr>
          <w:trHeight w:val="84"/>
        </w:trPr>
        <w:tc>
          <w:tcPr>
            <w:tcW w:w="2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3300" w:type="dxa"/>
            <w:vAlign w:val="bottom"/>
            <w:shd w:val="clear" w:color="auto" w:fill="CCEEFF"/>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1">
            <w:col w:w="11400"/>
          </w:cols>
          <w:pgMar w:left="260" w:top="747" w:right="23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60" w:top="747" w:right="239" w:bottom="1440" w:gutter="0" w:footer="0" w:header="0"/>
          <w:type w:val="continuous"/>
        </w:sectPr>
      </w:pPr>
    </w:p>
    <w:bookmarkStart w:id="23" w:name="page24"/>
    <w:bookmarkEnd w:id="23"/>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2016</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34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3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3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Lease</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1"/>
                <w:szCs w:val="11"/>
                <w:color w:val="auto"/>
              </w:rPr>
            </w:pPr>
          </w:p>
        </w:tc>
        <w:tc>
          <w:tcPr>
            <w:tcW w:w="33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74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Year</w:t>
            </w:r>
          </w:p>
        </w:tc>
        <w:tc>
          <w:tcPr>
            <w:tcW w:w="7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Obligation</w:t>
            </w:r>
          </w:p>
        </w:tc>
        <w:tc>
          <w:tcPr>
            <w:tcW w:w="64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8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340" w:type="dxa"/>
            <w:vAlign w:val="bottom"/>
          </w:tcPr>
          <w:p>
            <w:pPr>
              <w:spacing w:after="0"/>
              <w:rPr>
                <w:sz w:val="11"/>
                <w:szCs w:val="11"/>
                <w:color w:val="auto"/>
              </w:rPr>
            </w:pPr>
          </w:p>
        </w:tc>
      </w:tr>
      <w:tr>
        <w:trPr>
          <w:trHeight w:val="174"/>
        </w:trPr>
        <w:tc>
          <w:tcPr>
            <w:tcW w:w="136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b w:val="1"/>
                <w:bCs w:val="1"/>
                <w:color w:val="auto"/>
              </w:rPr>
              <w:t>Property Name</w:t>
            </w:r>
          </w:p>
        </w:tc>
        <w:tc>
          <w:tcPr>
            <w:tcW w:w="4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MSA Description</w:t>
            </w:r>
          </w:p>
        </w:tc>
        <w:tc>
          <w:tcPr>
            <w:tcW w:w="7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Acquired</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3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34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Arial" w:cs="Arial" w:eastAsia="Arial" w:hAnsi="Arial"/>
                <w:sz w:val="11"/>
                <w:szCs w:val="11"/>
                <w:color w:val="auto"/>
                <w:w w:val="86"/>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340" w:type="dxa"/>
            <w:vAlign w:val="bottom"/>
          </w:tcPr>
          <w:p>
            <w:pPr>
              <w:spacing w:after="0"/>
              <w:rPr>
                <w:sz w:val="11"/>
                <w:szCs w:val="11"/>
                <w:color w:val="auto"/>
              </w:rPr>
            </w:pPr>
          </w:p>
        </w:tc>
      </w:tr>
      <w:tr>
        <w:trPr>
          <w:trHeight w:val="171"/>
        </w:trPr>
        <w:tc>
          <w:tcPr>
            <w:tcW w:w="20" w:type="dxa"/>
            <w:vAlign w:val="bottom"/>
          </w:tcPr>
          <w:p>
            <w:pPr>
              <w:spacing w:after="0"/>
              <w:rPr>
                <w:sz w:val="14"/>
                <w:szCs w:val="14"/>
                <w:color w:val="auto"/>
              </w:rPr>
            </w:pPr>
          </w:p>
        </w:tc>
        <w:tc>
          <w:tcPr>
            <w:tcW w:w="1340" w:type="dxa"/>
            <w:vAlign w:val="bottom"/>
            <w:gridSpan w:val="5"/>
          </w:tcPr>
          <w:p>
            <w:pPr>
              <w:ind w:left="60"/>
              <w:spacing w:after="0"/>
              <w:rPr>
                <w:sz w:val="20"/>
                <w:szCs w:val="20"/>
                <w:color w:val="auto"/>
              </w:rPr>
            </w:pPr>
            <w:r>
              <w:rPr>
                <w:rFonts w:ascii="Arial" w:cs="Arial" w:eastAsia="Arial" w:hAnsi="Arial"/>
                <w:sz w:val="13"/>
                <w:szCs w:val="13"/>
                <w:b w:val="1"/>
                <w:bCs w:val="1"/>
                <w:color w:val="auto"/>
              </w:rPr>
              <w:t>New England</w:t>
            </w:r>
          </w:p>
        </w:tc>
        <w:tc>
          <w:tcPr>
            <w:tcW w:w="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40" w:type="dxa"/>
            <w:vAlign w:val="bottom"/>
          </w:tcPr>
          <w:p>
            <w:pPr>
              <w:spacing w:after="0"/>
              <w:rPr>
                <w:sz w:val="14"/>
                <w:szCs w:val="14"/>
                <w:color w:val="auto"/>
              </w:rPr>
            </w:pPr>
          </w:p>
        </w:tc>
      </w:tr>
      <w:tr>
        <w:trPr>
          <w:trHeight w:val="102"/>
        </w:trPr>
        <w:tc>
          <w:tcPr>
            <w:tcW w:w="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40" w:type="dxa"/>
            <w:vAlign w:val="bottom"/>
          </w:tcPr>
          <w:p>
            <w:pPr>
              <w:spacing w:after="0"/>
              <w:rPr>
                <w:sz w:val="8"/>
                <w:szCs w:val="8"/>
                <w:color w:val="auto"/>
              </w:rPr>
            </w:pPr>
          </w:p>
        </w:tc>
      </w:tr>
      <w:tr>
        <w:trPr>
          <w:trHeight w:val="148"/>
        </w:trPr>
        <w:tc>
          <w:tcPr>
            <w:tcW w:w="1360" w:type="dxa"/>
            <w:vAlign w:val="bottom"/>
            <w:gridSpan w:val="6"/>
            <w:shd w:val="clear" w:color="auto" w:fill="CCEEFF"/>
          </w:tcPr>
          <w:p>
            <w:pPr>
              <w:ind w:left="20"/>
              <w:spacing w:after="0" w:line="148" w:lineRule="exact"/>
              <w:rPr>
                <w:sz w:val="20"/>
                <w:szCs w:val="20"/>
                <w:color w:val="auto"/>
              </w:rPr>
            </w:pPr>
            <w:r>
              <w:rPr>
                <w:rFonts w:ascii="Arial" w:cs="Arial" w:eastAsia="Arial" w:hAnsi="Arial"/>
                <w:sz w:val="13"/>
                <w:szCs w:val="13"/>
                <w:color w:val="auto"/>
              </w:rPr>
              <w:t>Assembly Row /</w:t>
            </w:r>
          </w:p>
        </w:tc>
        <w:tc>
          <w:tcPr>
            <w:tcW w:w="46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(4)</w:t>
            </w:r>
          </w:p>
        </w:tc>
        <w:tc>
          <w:tcPr>
            <w:tcW w:w="15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6"/>
              </w:rPr>
              <w:t>Boston-Cambridge-Quincy,</w:t>
            </w:r>
          </w:p>
        </w:tc>
        <w:tc>
          <w:tcPr>
            <w:tcW w:w="74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2005-2011,</w:t>
            </w:r>
          </w:p>
        </w:tc>
        <w:tc>
          <w:tcPr>
            <w:tcW w:w="7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498,015</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761,000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34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6"/>
              </w:rPr>
              <w:t>AMC Theatres / LEGOLAND Discovery Center / Saks Fifth</w:t>
            </w:r>
          </w:p>
        </w:tc>
      </w:tr>
      <w:tr>
        <w:trPr>
          <w:trHeight w:val="135"/>
        </w:trPr>
        <w:tc>
          <w:tcPr>
            <w:tcW w:w="1360" w:type="dxa"/>
            <w:vAlign w:val="bottom"/>
            <w:gridSpan w:val="6"/>
            <w:shd w:val="clear" w:color="auto" w:fill="CCEEFF"/>
          </w:tcPr>
          <w:p>
            <w:pPr>
              <w:ind w:left="20"/>
              <w:spacing w:after="0" w:line="135" w:lineRule="exact"/>
              <w:rPr>
                <w:sz w:val="20"/>
                <w:szCs w:val="20"/>
                <w:color w:val="auto"/>
              </w:rPr>
            </w:pPr>
            <w:r>
              <w:rPr>
                <w:rFonts w:ascii="Arial" w:cs="Arial" w:eastAsia="Arial" w:hAnsi="Arial"/>
                <w:sz w:val="13"/>
                <w:szCs w:val="13"/>
                <w:color w:val="auto"/>
              </w:rPr>
              <w:t>Assembly Square</w:t>
            </w:r>
          </w:p>
        </w:tc>
        <w:tc>
          <w:tcPr>
            <w:tcW w:w="460" w:type="dxa"/>
            <w:vAlign w:val="bottom"/>
            <w:shd w:val="clear" w:color="auto" w:fill="CCEEFF"/>
          </w:tcPr>
          <w:p>
            <w:pPr>
              <w:spacing w:after="0"/>
              <w:rPr>
                <w:sz w:val="11"/>
                <w:szCs w:val="11"/>
                <w:color w:val="auto"/>
              </w:rPr>
            </w:pPr>
          </w:p>
        </w:tc>
        <w:tc>
          <w:tcPr>
            <w:tcW w:w="158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MA-NH</w:t>
            </w:r>
          </w:p>
        </w:tc>
        <w:tc>
          <w:tcPr>
            <w:tcW w:w="74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2013</w:t>
            </w: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34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w w:val="92"/>
              </w:rPr>
              <w:t>Avenue Off 5th / J. Crew / Nike Factory / Bed, Bath &amp; Beyond</w:t>
            </w:r>
          </w:p>
        </w:tc>
      </w:tr>
      <w:tr>
        <w:trPr>
          <w:trHeight w:val="176"/>
        </w:trPr>
        <w:tc>
          <w:tcPr>
            <w:tcW w:w="136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Marketplace</w:t>
            </w: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 TJ Maxx / Legal on the Mystic</w:t>
            </w:r>
          </w:p>
        </w:tc>
      </w:tr>
      <w:tr>
        <w:trPr>
          <w:trHeight w:val="148"/>
        </w:trPr>
        <w:tc>
          <w:tcPr>
            <w:tcW w:w="1360" w:type="dxa"/>
            <w:vAlign w:val="bottom"/>
            <w:gridSpan w:val="6"/>
          </w:tcPr>
          <w:p>
            <w:pPr>
              <w:ind w:left="20"/>
              <w:spacing w:after="0" w:line="148" w:lineRule="exact"/>
              <w:rPr>
                <w:sz w:val="20"/>
                <w:szCs w:val="20"/>
                <w:color w:val="auto"/>
              </w:rPr>
            </w:pPr>
            <w:r>
              <w:rPr>
                <w:rFonts w:ascii="Arial" w:cs="Arial" w:eastAsia="Arial" w:hAnsi="Arial"/>
                <w:sz w:val="13"/>
                <w:szCs w:val="13"/>
                <w:color w:val="auto"/>
              </w:rPr>
              <w:t>Atlantic Plaza</w:t>
            </w:r>
          </w:p>
        </w:tc>
        <w:tc>
          <w:tcPr>
            <w:tcW w:w="460" w:type="dxa"/>
            <w:vAlign w:val="bottom"/>
          </w:tcPr>
          <w:p>
            <w:pPr>
              <w:jc w:val="center"/>
              <w:spacing w:after="0" w:line="148" w:lineRule="exact"/>
              <w:rPr>
                <w:sz w:val="20"/>
                <w:szCs w:val="20"/>
                <w:color w:val="auto"/>
              </w:rPr>
            </w:pPr>
            <w:r>
              <w:rPr>
                <w:rFonts w:ascii="Arial" w:cs="Arial" w:eastAsia="Arial" w:hAnsi="Arial"/>
                <w:sz w:val="13"/>
                <w:szCs w:val="13"/>
                <w:color w:val="auto"/>
              </w:rPr>
              <w:t>(8)</w:t>
            </w: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w w:val="89"/>
              </w:rPr>
              <w:t>Boston-Worcester-Lawrence-</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2004</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23,589</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123,000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89%</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64,000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w w:val="98"/>
              </w:rPr>
              <w:t>Stop &amp; Shop</w:t>
            </w:r>
          </w:p>
        </w:tc>
        <w:tc>
          <w:tcPr>
            <w:tcW w:w="3340" w:type="dxa"/>
            <w:vAlign w:val="bottom"/>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Lowell-Brockton, MA</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40" w:type="dxa"/>
            <w:vAlign w:val="bottom"/>
          </w:tcPr>
          <w:p>
            <w:pPr>
              <w:spacing w:after="0"/>
              <w:rPr>
                <w:sz w:val="14"/>
                <w:szCs w:val="14"/>
                <w:color w:val="auto"/>
              </w:rPr>
            </w:pPr>
          </w:p>
        </w:tc>
      </w:tr>
      <w:tr>
        <w:trPr>
          <w:trHeight w:val="156"/>
        </w:trPr>
        <w:tc>
          <w:tcPr>
            <w:tcW w:w="136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Campus Plaza</w:t>
            </w: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(8)</w:t>
            </w: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rPr>
              <w:t>Boston-Worcester-Lawrence-</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30,124</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46,000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Roche Bros.</w:t>
            </w:r>
          </w:p>
        </w:tc>
        <w:tc>
          <w:tcPr>
            <w:tcW w:w="3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Burlington Coat Factory</w:t>
            </w: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Lowell-Brockton, MA</w:t>
            </w: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r>
      <w:tr>
        <w:trPr>
          <w:trHeight w:val="148"/>
        </w:trPr>
        <w:tc>
          <w:tcPr>
            <w:tcW w:w="1360" w:type="dxa"/>
            <w:vAlign w:val="bottom"/>
            <w:gridSpan w:val="6"/>
          </w:tcPr>
          <w:p>
            <w:pPr>
              <w:ind w:left="20"/>
              <w:spacing w:after="0" w:line="148" w:lineRule="exact"/>
              <w:rPr>
                <w:sz w:val="20"/>
                <w:szCs w:val="20"/>
                <w:color w:val="auto"/>
              </w:rPr>
            </w:pPr>
            <w:r>
              <w:rPr>
                <w:rFonts w:ascii="Arial" w:cs="Arial" w:eastAsia="Arial" w:hAnsi="Arial"/>
                <w:sz w:val="13"/>
                <w:szCs w:val="13"/>
                <w:color w:val="auto"/>
              </w:rPr>
              <w:t>Chelsea Commons</w:t>
            </w:r>
          </w:p>
        </w:tc>
        <w:tc>
          <w:tcPr>
            <w:tcW w:w="460" w:type="dxa"/>
            <w:vAlign w:val="bottom"/>
          </w:tcPr>
          <w:p>
            <w:pPr>
              <w:spacing w:after="0"/>
              <w:rPr>
                <w:sz w:val="12"/>
                <w:szCs w:val="12"/>
                <w:color w:val="auto"/>
              </w:rPr>
            </w:pP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w w:val="96"/>
              </w:rPr>
              <w:t>Boston-Cambridge-Quincy,</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2006-2008</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42,736</w:t>
            </w:r>
          </w:p>
        </w:tc>
        <w:tc>
          <w:tcPr>
            <w:tcW w:w="660" w:type="dxa"/>
            <w:vAlign w:val="bottom"/>
          </w:tcPr>
          <w:p>
            <w:pPr>
              <w:jc w:val="right"/>
              <w:ind w:right="59"/>
              <w:spacing w:after="0" w:line="148" w:lineRule="exact"/>
              <w:rPr>
                <w:sz w:val="20"/>
                <w:szCs w:val="20"/>
                <w:color w:val="auto"/>
              </w:rPr>
            </w:pPr>
            <w:r>
              <w:rPr>
                <w:rFonts w:ascii="Arial" w:cs="Arial" w:eastAsia="Arial" w:hAnsi="Arial"/>
                <w:sz w:val="13"/>
                <w:szCs w:val="13"/>
                <w:color w:val="auto"/>
              </w:rPr>
              <w:t>6,796</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222,000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16,000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Sav-A-Lot</w:t>
            </w:r>
          </w:p>
        </w:tc>
        <w:tc>
          <w:tcPr>
            <w:tcW w:w="3340" w:type="dxa"/>
            <w:vAlign w:val="bottom"/>
          </w:tcPr>
          <w:p>
            <w:pPr>
              <w:ind w:left="60"/>
              <w:spacing w:after="0" w:line="148" w:lineRule="exact"/>
              <w:rPr>
                <w:sz w:val="20"/>
                <w:szCs w:val="20"/>
                <w:color w:val="auto"/>
              </w:rPr>
            </w:pPr>
            <w:r>
              <w:rPr>
                <w:rFonts w:ascii="Arial" w:cs="Arial" w:eastAsia="Arial" w:hAnsi="Arial"/>
                <w:sz w:val="13"/>
                <w:szCs w:val="13"/>
                <w:color w:val="auto"/>
              </w:rPr>
              <w:t>Home Depot / Planet Fitness</w:t>
            </w:r>
          </w:p>
        </w:tc>
      </w:tr>
      <w:tr>
        <w:trPr>
          <w:trHeight w:val="168"/>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MA-NH</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40" w:type="dxa"/>
            <w:vAlign w:val="bottom"/>
          </w:tcPr>
          <w:p>
            <w:pPr>
              <w:spacing w:after="0"/>
              <w:rPr>
                <w:sz w:val="14"/>
                <w:szCs w:val="14"/>
                <w:color w:val="auto"/>
              </w:rPr>
            </w:pPr>
          </w:p>
        </w:tc>
      </w:tr>
      <w:tr>
        <w:trPr>
          <w:trHeight w:val="156"/>
        </w:trPr>
        <w:tc>
          <w:tcPr>
            <w:tcW w:w="136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Dedham Plaza</w:t>
            </w:r>
          </w:p>
        </w:tc>
        <w:tc>
          <w:tcPr>
            <w:tcW w:w="460" w:type="dxa"/>
            <w:vAlign w:val="bottom"/>
            <w:shd w:val="clear" w:color="auto" w:fill="CCEEFF"/>
          </w:tcPr>
          <w:p>
            <w:pPr>
              <w:spacing w:after="0"/>
              <w:rPr>
                <w:sz w:val="13"/>
                <w:szCs w:val="13"/>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Boston-Cambridge-Quincy,</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35,184</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80,000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Star Market</w:t>
            </w:r>
          </w:p>
        </w:tc>
        <w:tc>
          <w:tcPr>
            <w:tcW w:w="3340" w:type="dxa"/>
            <w:vAlign w:val="bottom"/>
            <w:shd w:val="clear" w:color="auto" w:fill="CCEEFF"/>
          </w:tcPr>
          <w:p>
            <w:pPr>
              <w:spacing w:after="0"/>
              <w:rPr>
                <w:sz w:val="13"/>
                <w:szCs w:val="13"/>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MA-NH</w:t>
            </w: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r>
      <w:tr>
        <w:trPr>
          <w:trHeight w:val="148"/>
        </w:trPr>
        <w:tc>
          <w:tcPr>
            <w:tcW w:w="1360" w:type="dxa"/>
            <w:vAlign w:val="bottom"/>
            <w:gridSpan w:val="6"/>
          </w:tcPr>
          <w:p>
            <w:pPr>
              <w:ind w:left="20"/>
              <w:spacing w:after="0" w:line="148" w:lineRule="exact"/>
              <w:rPr>
                <w:sz w:val="20"/>
                <w:szCs w:val="20"/>
                <w:color w:val="auto"/>
              </w:rPr>
            </w:pPr>
            <w:r>
              <w:rPr>
                <w:rFonts w:ascii="Arial" w:cs="Arial" w:eastAsia="Arial" w:hAnsi="Arial"/>
                <w:sz w:val="13"/>
                <w:szCs w:val="13"/>
                <w:color w:val="auto"/>
              </w:rPr>
              <w:t>Linden Square</w:t>
            </w:r>
          </w:p>
        </w:tc>
        <w:tc>
          <w:tcPr>
            <w:tcW w:w="460" w:type="dxa"/>
            <w:vAlign w:val="bottom"/>
          </w:tcPr>
          <w:p>
            <w:pPr>
              <w:spacing w:after="0"/>
              <w:rPr>
                <w:sz w:val="12"/>
                <w:szCs w:val="12"/>
                <w:color w:val="auto"/>
              </w:rPr>
            </w:pP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w w:val="96"/>
              </w:rPr>
              <w:t>Boston-Cambridge-Quincy,</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2006</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147,916</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223,000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50,000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Roche Bros.</w:t>
            </w:r>
          </w:p>
        </w:tc>
        <w:tc>
          <w:tcPr>
            <w:tcW w:w="3340" w:type="dxa"/>
            <w:vAlign w:val="bottom"/>
          </w:tcPr>
          <w:p>
            <w:pPr>
              <w:ind w:left="6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MA-NH</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40" w:type="dxa"/>
            <w:vAlign w:val="bottom"/>
          </w:tcPr>
          <w:p>
            <w:pPr>
              <w:spacing w:after="0"/>
              <w:rPr>
                <w:sz w:val="14"/>
                <w:szCs w:val="14"/>
                <w:color w:val="auto"/>
              </w:rPr>
            </w:pPr>
          </w:p>
        </w:tc>
      </w:tr>
      <w:tr>
        <w:trPr>
          <w:trHeight w:val="156"/>
        </w:trPr>
        <w:tc>
          <w:tcPr>
            <w:tcW w:w="136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North Dartmouth</w:t>
            </w:r>
          </w:p>
        </w:tc>
        <w:tc>
          <w:tcPr>
            <w:tcW w:w="460" w:type="dxa"/>
            <w:vAlign w:val="bottom"/>
            <w:shd w:val="clear" w:color="auto" w:fill="CCEEFF"/>
          </w:tcPr>
          <w:p>
            <w:pPr>
              <w:spacing w:after="0"/>
              <w:rPr>
                <w:sz w:val="13"/>
                <w:szCs w:val="13"/>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Boston-Cambridge-Quincy,</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9,367</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48,000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8"/>
              </w:rPr>
              <w:t>Stop &amp; Shop</w:t>
            </w:r>
          </w:p>
        </w:tc>
        <w:tc>
          <w:tcPr>
            <w:tcW w:w="3340" w:type="dxa"/>
            <w:vAlign w:val="bottom"/>
            <w:shd w:val="clear" w:color="auto" w:fill="CCEEFF"/>
          </w:tcPr>
          <w:p>
            <w:pPr>
              <w:spacing w:after="0"/>
              <w:rPr>
                <w:sz w:val="13"/>
                <w:szCs w:val="13"/>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MA-NH</w:t>
            </w: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r>
      <w:tr>
        <w:trPr>
          <w:trHeight w:val="148"/>
        </w:trPr>
        <w:tc>
          <w:tcPr>
            <w:tcW w:w="1360" w:type="dxa"/>
            <w:vAlign w:val="bottom"/>
            <w:gridSpan w:val="6"/>
          </w:tcPr>
          <w:p>
            <w:pPr>
              <w:ind w:left="20"/>
              <w:spacing w:after="0" w:line="148" w:lineRule="exact"/>
              <w:rPr>
                <w:sz w:val="20"/>
                <w:szCs w:val="20"/>
                <w:color w:val="auto"/>
              </w:rPr>
            </w:pPr>
            <w:r>
              <w:rPr>
                <w:rFonts w:ascii="Arial" w:cs="Arial" w:eastAsia="Arial" w:hAnsi="Arial"/>
                <w:sz w:val="13"/>
                <w:szCs w:val="13"/>
                <w:color w:val="auto"/>
              </w:rPr>
              <w:t>Queen Anne Plaza</w:t>
            </w:r>
          </w:p>
        </w:tc>
        <w:tc>
          <w:tcPr>
            <w:tcW w:w="460" w:type="dxa"/>
            <w:vAlign w:val="bottom"/>
          </w:tcPr>
          <w:p>
            <w:pPr>
              <w:spacing w:after="0"/>
              <w:rPr>
                <w:sz w:val="12"/>
                <w:szCs w:val="12"/>
                <w:color w:val="auto"/>
              </w:rPr>
            </w:pP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w w:val="96"/>
              </w:rPr>
              <w:t>Boston-Cambridge-Quincy,</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1994</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18,343</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149,000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50,000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Hannaford</w:t>
            </w:r>
          </w:p>
        </w:tc>
        <w:tc>
          <w:tcPr>
            <w:tcW w:w="3340" w:type="dxa"/>
            <w:vAlign w:val="bottom"/>
          </w:tcPr>
          <w:p>
            <w:pPr>
              <w:ind w:left="60"/>
              <w:spacing w:after="0" w:line="148" w:lineRule="exact"/>
              <w:rPr>
                <w:sz w:val="20"/>
                <w:szCs w:val="20"/>
                <w:color w:val="auto"/>
              </w:rPr>
            </w:pPr>
            <w:r>
              <w:rPr>
                <w:rFonts w:ascii="Arial" w:cs="Arial" w:eastAsia="Arial" w:hAnsi="Arial"/>
                <w:sz w:val="13"/>
                <w:szCs w:val="13"/>
                <w:color w:val="auto"/>
              </w:rPr>
              <w:t>TJ Maxx / HomeGoods</w:t>
            </w:r>
          </w:p>
        </w:tc>
      </w:tr>
      <w:tr>
        <w:trPr>
          <w:trHeight w:val="168"/>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MA-NH</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40" w:type="dxa"/>
            <w:vAlign w:val="bottom"/>
          </w:tcPr>
          <w:p>
            <w:pPr>
              <w:spacing w:after="0"/>
              <w:rPr>
                <w:sz w:val="14"/>
                <w:szCs w:val="14"/>
                <w:color w:val="auto"/>
              </w:rPr>
            </w:pPr>
          </w:p>
        </w:tc>
      </w:tr>
      <w:tr>
        <w:trPr>
          <w:trHeight w:val="156"/>
        </w:trPr>
        <w:tc>
          <w:tcPr>
            <w:tcW w:w="136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Saugus Plaza</w:t>
            </w:r>
          </w:p>
        </w:tc>
        <w:tc>
          <w:tcPr>
            <w:tcW w:w="460" w:type="dxa"/>
            <w:vAlign w:val="bottom"/>
            <w:shd w:val="clear" w:color="auto" w:fill="CCEEFF"/>
          </w:tcPr>
          <w:p>
            <w:pPr>
              <w:spacing w:after="0"/>
              <w:rPr>
                <w:sz w:val="13"/>
                <w:szCs w:val="13"/>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Boston-Cambridge-Quincy,</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15,256</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55,000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rPr>
              <w:t>Super Stop &amp;</w:t>
            </w:r>
          </w:p>
        </w:tc>
        <w:tc>
          <w:tcPr>
            <w:tcW w:w="3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Kmart</w:t>
            </w: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MA-NH</w:t>
            </w:r>
          </w:p>
        </w:tc>
        <w:tc>
          <w:tcPr>
            <w:tcW w:w="74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Shop</w:t>
            </w:r>
          </w:p>
        </w:tc>
        <w:tc>
          <w:tcPr>
            <w:tcW w:w="3340" w:type="dxa"/>
            <w:vAlign w:val="bottom"/>
            <w:shd w:val="clear" w:color="auto" w:fill="CCEEFF"/>
          </w:tcPr>
          <w:p>
            <w:pPr>
              <w:spacing w:after="0"/>
              <w:rPr>
                <w:sz w:val="15"/>
                <w:szCs w:val="15"/>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b w:val="1"/>
                <w:bCs w:val="1"/>
                <w:color w:val="auto"/>
              </w:rPr>
              <w:t>Total New England</w:t>
            </w:r>
          </w:p>
        </w:tc>
        <w:tc>
          <w:tcPr>
            <w:tcW w:w="74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820,530</w:t>
            </w:r>
          </w:p>
        </w:tc>
        <w:tc>
          <w:tcPr>
            <w:tcW w:w="6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w w:val="93"/>
              </w:rPr>
              <w:t>2,052,000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4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340" w:type="dxa"/>
            <w:vAlign w:val="bottom"/>
          </w:tcPr>
          <w:p>
            <w:pPr>
              <w:spacing w:after="0"/>
              <w:rPr>
                <w:sz w:val="7"/>
                <w:szCs w:val="7"/>
                <w:color w:val="auto"/>
              </w:rPr>
            </w:pPr>
          </w:p>
        </w:tc>
      </w:tr>
      <w:tr>
        <w:trPr>
          <w:trHeight w:val="216"/>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r>
      <w:tr>
        <w:trPr>
          <w:trHeight w:val="149"/>
        </w:trPr>
        <w:tc>
          <w:tcPr>
            <w:tcW w:w="20" w:type="dxa"/>
            <w:vAlign w:val="bottom"/>
          </w:tcPr>
          <w:p>
            <w:pPr>
              <w:spacing w:after="0"/>
              <w:rPr>
                <w:sz w:val="12"/>
                <w:szCs w:val="12"/>
                <w:color w:val="auto"/>
              </w:rPr>
            </w:pPr>
          </w:p>
        </w:tc>
        <w:tc>
          <w:tcPr>
            <w:tcW w:w="1340" w:type="dxa"/>
            <w:vAlign w:val="bottom"/>
            <w:gridSpan w:val="5"/>
          </w:tcPr>
          <w:p>
            <w:pPr>
              <w:ind w:left="60"/>
              <w:spacing w:after="0"/>
              <w:rPr>
                <w:sz w:val="20"/>
                <w:szCs w:val="20"/>
                <w:color w:val="auto"/>
              </w:rPr>
            </w:pPr>
            <w:r>
              <w:rPr>
                <w:rFonts w:ascii="Arial" w:cs="Arial" w:eastAsia="Arial" w:hAnsi="Arial"/>
                <w:sz w:val="13"/>
                <w:szCs w:val="13"/>
                <w:b w:val="1"/>
                <w:bCs w:val="1"/>
                <w:color w:val="auto"/>
              </w:rPr>
              <w:t>South Florida</w:t>
            </w:r>
          </w:p>
        </w:tc>
        <w:tc>
          <w:tcPr>
            <w:tcW w:w="4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340" w:type="dxa"/>
            <w:vAlign w:val="bottom"/>
          </w:tcPr>
          <w:p>
            <w:pPr>
              <w:spacing w:after="0"/>
              <w:rPr>
                <w:sz w:val="12"/>
                <w:szCs w:val="12"/>
                <w:color w:val="auto"/>
              </w:rPr>
            </w:pPr>
          </w:p>
        </w:tc>
      </w:tr>
      <w:tr>
        <w:trPr>
          <w:trHeight w:val="102"/>
        </w:trPr>
        <w:tc>
          <w:tcPr>
            <w:tcW w:w="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40" w:type="dxa"/>
            <w:vAlign w:val="bottom"/>
          </w:tcPr>
          <w:p>
            <w:pPr>
              <w:spacing w:after="0"/>
              <w:rPr>
                <w:sz w:val="8"/>
                <w:szCs w:val="8"/>
                <w:color w:val="auto"/>
              </w:rPr>
            </w:pPr>
          </w:p>
        </w:tc>
      </w:tr>
      <w:tr>
        <w:trPr>
          <w:trHeight w:val="173"/>
        </w:trPr>
        <w:tc>
          <w:tcPr>
            <w:tcW w:w="136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Cocowalk</w:t>
            </w:r>
          </w:p>
        </w:tc>
        <w:tc>
          <w:tcPr>
            <w:tcW w:w="4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(3) (7)</w:t>
            </w: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Miami-Ft Lauderdale</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2015</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99,279</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216,000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Cinepolis Theaters / Gap / Youfit Health Club</w:t>
            </w:r>
          </w:p>
        </w:tc>
      </w:tr>
      <w:tr>
        <w:trPr>
          <w:trHeight w:val="97"/>
        </w:trPr>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40" w:type="dxa"/>
            <w:vAlign w:val="bottom"/>
            <w:shd w:val="clear" w:color="auto" w:fill="CCEEFF"/>
          </w:tcPr>
          <w:p>
            <w:pPr>
              <w:spacing w:after="0"/>
              <w:rPr>
                <w:sz w:val="8"/>
                <w:szCs w:val="8"/>
                <w:color w:val="auto"/>
              </w:rPr>
            </w:pPr>
          </w:p>
        </w:tc>
      </w:tr>
      <w:tr>
        <w:trPr>
          <w:trHeight w:val="173"/>
        </w:trPr>
        <w:tc>
          <w:tcPr>
            <w:tcW w:w="1360" w:type="dxa"/>
            <w:vAlign w:val="bottom"/>
            <w:gridSpan w:val="6"/>
          </w:tcPr>
          <w:p>
            <w:pPr>
              <w:ind w:left="20"/>
              <w:spacing w:after="0"/>
              <w:rPr>
                <w:sz w:val="20"/>
                <w:szCs w:val="20"/>
                <w:color w:val="auto"/>
              </w:rPr>
            </w:pPr>
            <w:r>
              <w:rPr>
                <w:rFonts w:ascii="Arial" w:cs="Arial" w:eastAsia="Arial" w:hAnsi="Arial"/>
                <w:sz w:val="13"/>
                <w:szCs w:val="13"/>
                <w:color w:val="auto"/>
              </w:rPr>
              <w:t>Del Mar Village</w:t>
            </w:r>
          </w:p>
        </w:tc>
        <w:tc>
          <w:tcPr>
            <w:tcW w:w="460" w:type="dxa"/>
            <w:vAlign w:val="bottom"/>
          </w:tcPr>
          <w:p>
            <w:pPr>
              <w:spacing w:after="0"/>
              <w:rPr>
                <w:sz w:val="15"/>
                <w:szCs w:val="15"/>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Miami-Ft Lauderdale</w:t>
            </w:r>
          </w:p>
        </w:tc>
        <w:tc>
          <w:tcPr>
            <w:tcW w:w="740" w:type="dxa"/>
            <w:vAlign w:val="bottom"/>
          </w:tcPr>
          <w:p>
            <w:pPr>
              <w:jc w:val="right"/>
              <w:spacing w:after="0"/>
              <w:rPr>
                <w:sz w:val="20"/>
                <w:szCs w:val="20"/>
                <w:color w:val="auto"/>
              </w:rPr>
            </w:pPr>
            <w:r>
              <w:rPr>
                <w:rFonts w:ascii="Arial" w:cs="Arial" w:eastAsia="Arial" w:hAnsi="Arial"/>
                <w:sz w:val="13"/>
                <w:szCs w:val="13"/>
                <w:color w:val="auto"/>
              </w:rPr>
              <w:t>2008/2014</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60,497</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196,000</w:t>
            </w:r>
          </w:p>
        </w:tc>
        <w:tc>
          <w:tcPr>
            <w:tcW w:w="500" w:type="dxa"/>
            <w:vAlign w:val="bottom"/>
          </w:tcPr>
          <w:p>
            <w:pPr>
              <w:jc w:val="right"/>
              <w:spacing w:after="0"/>
              <w:rPr>
                <w:sz w:val="20"/>
                <w:szCs w:val="20"/>
                <w:color w:val="auto"/>
              </w:rPr>
            </w:pPr>
            <w:r>
              <w:rPr>
                <w:rFonts w:ascii="Arial" w:cs="Arial" w:eastAsia="Arial" w:hAnsi="Arial"/>
                <w:sz w:val="13"/>
                <w:szCs w:val="13"/>
                <w:color w:val="auto"/>
              </w:rPr>
              <w:t>86%</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44,000</w:t>
            </w:r>
          </w:p>
        </w:tc>
        <w:tc>
          <w:tcPr>
            <w:tcW w:w="820" w:type="dxa"/>
            <w:vAlign w:val="bottom"/>
          </w:tcPr>
          <w:p>
            <w:pPr>
              <w:ind w:left="80"/>
              <w:spacing w:after="0"/>
              <w:rPr>
                <w:sz w:val="20"/>
                <w:szCs w:val="20"/>
                <w:color w:val="auto"/>
              </w:rPr>
            </w:pPr>
            <w:r>
              <w:rPr>
                <w:rFonts w:ascii="Arial" w:cs="Arial" w:eastAsia="Arial" w:hAnsi="Arial"/>
                <w:sz w:val="13"/>
                <w:szCs w:val="13"/>
                <w:color w:val="auto"/>
              </w:rPr>
              <w:t>Winn Dixie</w:t>
            </w:r>
          </w:p>
        </w:tc>
        <w:tc>
          <w:tcPr>
            <w:tcW w:w="3340" w:type="dxa"/>
            <w:vAlign w:val="bottom"/>
          </w:tcPr>
          <w:p>
            <w:pPr>
              <w:ind w:left="60"/>
              <w:spacing w:after="0"/>
              <w:rPr>
                <w:sz w:val="20"/>
                <w:szCs w:val="20"/>
                <w:color w:val="auto"/>
              </w:rPr>
            </w:pPr>
            <w:r>
              <w:rPr>
                <w:rFonts w:ascii="Arial" w:cs="Arial" w:eastAsia="Arial" w:hAnsi="Arial"/>
                <w:sz w:val="13"/>
                <w:szCs w:val="13"/>
                <w:color w:val="auto"/>
              </w:rPr>
              <w:t>CVS</w:t>
            </w:r>
          </w:p>
        </w:tc>
      </w:tr>
      <w:tr>
        <w:trPr>
          <w:trHeight w:val="97"/>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40" w:type="dxa"/>
            <w:vAlign w:val="bottom"/>
          </w:tcPr>
          <w:p>
            <w:pPr>
              <w:spacing w:after="0"/>
              <w:rPr>
                <w:sz w:val="8"/>
                <w:szCs w:val="8"/>
                <w:color w:val="auto"/>
              </w:rPr>
            </w:pPr>
          </w:p>
        </w:tc>
      </w:tr>
      <w:tr>
        <w:trPr>
          <w:trHeight w:val="148"/>
        </w:trPr>
        <w:tc>
          <w:tcPr>
            <w:tcW w:w="1360" w:type="dxa"/>
            <w:vAlign w:val="bottom"/>
            <w:gridSpan w:val="6"/>
            <w:shd w:val="clear" w:color="auto" w:fill="CCEEFF"/>
          </w:tcPr>
          <w:p>
            <w:pPr>
              <w:ind w:left="20"/>
              <w:spacing w:after="0" w:line="148" w:lineRule="exact"/>
              <w:rPr>
                <w:sz w:val="20"/>
                <w:szCs w:val="20"/>
                <w:color w:val="auto"/>
              </w:rPr>
            </w:pPr>
            <w:r>
              <w:rPr>
                <w:rFonts w:ascii="Arial" w:cs="Arial" w:eastAsia="Arial" w:hAnsi="Arial"/>
                <w:sz w:val="13"/>
                <w:szCs w:val="13"/>
                <w:color w:val="auto"/>
              </w:rPr>
              <w:t>The Shops at Sunset</w:t>
            </w:r>
          </w:p>
        </w:tc>
        <w:tc>
          <w:tcPr>
            <w:tcW w:w="46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rPr>
              <w:t>(3)</w:t>
            </w:r>
          </w:p>
        </w:tc>
        <w:tc>
          <w:tcPr>
            <w:tcW w:w="15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Miami-Ft Lauderdale</w:t>
            </w: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2015</w:t>
            </w:r>
          </w:p>
        </w:tc>
        <w:tc>
          <w:tcPr>
            <w:tcW w:w="7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116,861</w:t>
            </w:r>
          </w:p>
        </w:tc>
        <w:tc>
          <w:tcPr>
            <w:tcW w:w="660" w:type="dxa"/>
            <w:vAlign w:val="bottom"/>
            <w:shd w:val="clear" w:color="auto" w:fill="CCEEFF"/>
          </w:tcPr>
          <w:p>
            <w:pPr>
              <w:jc w:val="right"/>
              <w:ind w:right="59"/>
              <w:spacing w:after="0" w:line="148" w:lineRule="exact"/>
              <w:rPr>
                <w:sz w:val="20"/>
                <w:szCs w:val="20"/>
                <w:color w:val="auto"/>
              </w:rPr>
            </w:pPr>
            <w:r>
              <w:rPr>
                <w:rFonts w:ascii="Arial" w:cs="Arial" w:eastAsia="Arial" w:hAnsi="Arial"/>
                <w:sz w:val="13"/>
                <w:szCs w:val="13"/>
                <w:color w:val="auto"/>
              </w:rPr>
              <w:t>70,070</w:t>
            </w: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515,000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80%</w:t>
            </w: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34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5"/>
              </w:rPr>
              <w:t>AMC Theatres / L.A. Fitness / Barnes &amp; Noble / GameTime</w:t>
            </w:r>
          </w:p>
        </w:tc>
      </w:tr>
      <w:tr>
        <w:trPr>
          <w:trHeight w:val="176"/>
        </w:trPr>
        <w:tc>
          <w:tcPr>
            <w:tcW w:w="136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Place</w:t>
            </w: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r>
      <w:tr>
        <w:trPr>
          <w:trHeight w:val="148"/>
        </w:trPr>
        <w:tc>
          <w:tcPr>
            <w:tcW w:w="1360" w:type="dxa"/>
            <w:vAlign w:val="bottom"/>
            <w:gridSpan w:val="6"/>
          </w:tcPr>
          <w:p>
            <w:pPr>
              <w:ind w:left="20"/>
              <w:spacing w:after="0" w:line="148" w:lineRule="exact"/>
              <w:rPr>
                <w:sz w:val="20"/>
                <w:szCs w:val="20"/>
                <w:color w:val="auto"/>
              </w:rPr>
            </w:pPr>
            <w:r>
              <w:rPr>
                <w:rFonts w:ascii="Arial" w:cs="Arial" w:eastAsia="Arial" w:hAnsi="Arial"/>
                <w:sz w:val="13"/>
                <w:szCs w:val="13"/>
                <w:color w:val="auto"/>
              </w:rPr>
              <w:t>Tower Shops</w:t>
            </w:r>
          </w:p>
        </w:tc>
        <w:tc>
          <w:tcPr>
            <w:tcW w:w="460" w:type="dxa"/>
            <w:vAlign w:val="bottom"/>
          </w:tcPr>
          <w:p>
            <w:pPr>
              <w:spacing w:after="0"/>
              <w:rPr>
                <w:sz w:val="12"/>
                <w:szCs w:val="12"/>
                <w:color w:val="auto"/>
              </w:rPr>
            </w:pP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rPr>
              <w:t>Miami-Ft Lauderdale</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2011/2014</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93,863</w:t>
            </w:r>
          </w:p>
        </w:tc>
        <w:tc>
          <w:tcPr>
            <w:tcW w:w="660" w:type="dxa"/>
            <w:vAlign w:val="bottom"/>
          </w:tcPr>
          <w:p>
            <w:pPr>
              <w:spacing w:after="0"/>
              <w:rPr>
                <w:sz w:val="12"/>
                <w:szCs w:val="12"/>
                <w:color w:val="auto"/>
              </w:rPr>
            </w:pP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390,000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12,000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3340" w:type="dxa"/>
            <w:vAlign w:val="bottom"/>
          </w:tcPr>
          <w:p>
            <w:pPr>
              <w:ind w:left="60"/>
              <w:spacing w:after="0" w:line="148" w:lineRule="exact"/>
              <w:rPr>
                <w:sz w:val="20"/>
                <w:szCs w:val="20"/>
                <w:color w:val="auto"/>
              </w:rPr>
            </w:pPr>
            <w:r>
              <w:rPr>
                <w:rFonts w:ascii="Arial" w:cs="Arial" w:eastAsia="Arial" w:hAnsi="Arial"/>
                <w:sz w:val="13"/>
                <w:szCs w:val="13"/>
                <w:color w:val="auto"/>
                <w:w w:val="91"/>
              </w:rPr>
              <w:t>Best Buy / DSW / Old Navy / Ross Dress For Less / TJ Maxx /</w:t>
            </w:r>
          </w:p>
        </w:tc>
      </w:tr>
      <w:tr>
        <w:trPr>
          <w:trHeight w:val="170"/>
        </w:trPr>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334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Ulta</w:t>
            </w:r>
          </w:p>
        </w:tc>
      </w:tr>
      <w:tr>
        <w:trPr>
          <w:trHeight w:val="173"/>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South Florida</w:t>
            </w: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370,500</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3"/>
              </w:rPr>
              <w:t>1,317,000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r>
      <w:tr>
        <w:trPr>
          <w:trHeight w:val="84"/>
        </w:trPr>
        <w:tc>
          <w:tcPr>
            <w:tcW w:w="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340" w:type="dxa"/>
            <w:vAlign w:val="bottom"/>
            <w:shd w:val="clear" w:color="auto" w:fill="CCEEFF"/>
          </w:tcPr>
          <w:p>
            <w:pPr>
              <w:spacing w:after="0"/>
              <w:rPr>
                <w:sz w:val="7"/>
                <w:szCs w:val="7"/>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149"/>
        </w:trPr>
        <w:tc>
          <w:tcPr>
            <w:tcW w:w="20" w:type="dxa"/>
            <w:vAlign w:val="bottom"/>
            <w:shd w:val="clear" w:color="auto" w:fill="CCEEFF"/>
          </w:tcPr>
          <w:p>
            <w:pPr>
              <w:spacing w:after="0"/>
              <w:rPr>
                <w:sz w:val="12"/>
                <w:szCs w:val="12"/>
                <w:color w:val="auto"/>
              </w:rPr>
            </w:pPr>
          </w:p>
        </w:tc>
        <w:tc>
          <w:tcPr>
            <w:tcW w:w="1340" w:type="dxa"/>
            <w:vAlign w:val="bottom"/>
            <w:gridSpan w:val="5"/>
            <w:shd w:val="clear" w:color="auto" w:fill="CCEEFF"/>
          </w:tcPr>
          <w:p>
            <w:pPr>
              <w:ind w:left="60"/>
              <w:spacing w:after="0"/>
              <w:rPr>
                <w:sz w:val="20"/>
                <w:szCs w:val="20"/>
                <w:color w:val="auto"/>
              </w:rPr>
            </w:pPr>
            <w:r>
              <w:rPr>
                <w:rFonts w:ascii="Arial" w:cs="Arial" w:eastAsia="Arial" w:hAnsi="Arial"/>
                <w:sz w:val="13"/>
                <w:szCs w:val="13"/>
                <w:b w:val="1"/>
                <w:bCs w:val="1"/>
                <w:color w:val="auto"/>
              </w:rPr>
              <w:t>Baltimore</w:t>
            </w:r>
          </w:p>
        </w:tc>
        <w:tc>
          <w:tcPr>
            <w:tcW w:w="4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34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15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3340" w:type="dxa"/>
            <w:vAlign w:val="bottom"/>
            <w:tcBorders>
              <w:top w:val="single" w:sz="8" w:color="CCEEFF"/>
            </w:tcBorders>
            <w:shd w:val="clear" w:color="auto" w:fill="CCEEFF"/>
          </w:tcPr>
          <w:p>
            <w:pPr>
              <w:spacing w:after="0"/>
              <w:rPr>
                <w:sz w:val="8"/>
                <w:szCs w:val="8"/>
                <w:color w:val="auto"/>
              </w:rPr>
            </w:pPr>
          </w:p>
        </w:tc>
      </w:tr>
      <w:tr>
        <w:trPr>
          <w:trHeight w:val="173"/>
        </w:trPr>
        <w:tc>
          <w:tcPr>
            <w:tcW w:w="1360" w:type="dxa"/>
            <w:vAlign w:val="bottom"/>
            <w:gridSpan w:val="6"/>
          </w:tcPr>
          <w:p>
            <w:pPr>
              <w:ind w:left="20"/>
              <w:spacing w:after="0"/>
              <w:rPr>
                <w:sz w:val="20"/>
                <w:szCs w:val="20"/>
                <w:color w:val="auto"/>
              </w:rPr>
            </w:pPr>
            <w:r>
              <w:rPr>
                <w:rFonts w:ascii="Arial" w:cs="Arial" w:eastAsia="Arial" w:hAnsi="Arial"/>
                <w:sz w:val="13"/>
                <w:szCs w:val="13"/>
                <w:color w:val="auto"/>
              </w:rPr>
              <w:t>Governor Plaza</w:t>
            </w:r>
          </w:p>
        </w:tc>
        <w:tc>
          <w:tcPr>
            <w:tcW w:w="460" w:type="dxa"/>
            <w:vAlign w:val="bottom"/>
          </w:tcPr>
          <w:p>
            <w:pPr>
              <w:spacing w:after="0"/>
              <w:rPr>
                <w:sz w:val="15"/>
                <w:szCs w:val="15"/>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Baltimore, MD</w:t>
            </w:r>
          </w:p>
        </w:tc>
        <w:tc>
          <w:tcPr>
            <w:tcW w:w="740" w:type="dxa"/>
            <w:vAlign w:val="bottom"/>
          </w:tcPr>
          <w:p>
            <w:pPr>
              <w:jc w:val="right"/>
              <w:spacing w:after="0"/>
              <w:rPr>
                <w:sz w:val="20"/>
                <w:szCs w:val="20"/>
                <w:color w:val="auto"/>
              </w:rPr>
            </w:pPr>
            <w:r>
              <w:rPr>
                <w:rFonts w:ascii="Arial" w:cs="Arial" w:eastAsia="Arial" w:hAnsi="Arial"/>
                <w:sz w:val="13"/>
                <w:szCs w:val="13"/>
                <w:color w:val="auto"/>
              </w:rPr>
              <w:t>1985</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27,152</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243,000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16,500</w:t>
            </w:r>
          </w:p>
        </w:tc>
        <w:tc>
          <w:tcPr>
            <w:tcW w:w="820" w:type="dxa"/>
            <w:vAlign w:val="bottom"/>
          </w:tcPr>
          <w:p>
            <w:pPr>
              <w:ind w:left="80"/>
              <w:spacing w:after="0"/>
              <w:rPr>
                <w:sz w:val="20"/>
                <w:szCs w:val="20"/>
                <w:color w:val="auto"/>
              </w:rPr>
            </w:pPr>
            <w:r>
              <w:rPr>
                <w:rFonts w:ascii="Arial" w:cs="Arial" w:eastAsia="Arial" w:hAnsi="Arial"/>
                <w:sz w:val="13"/>
                <w:szCs w:val="13"/>
                <w:color w:val="auto"/>
              </w:rPr>
              <w:t>Aldi</w:t>
            </w:r>
          </w:p>
        </w:tc>
        <w:tc>
          <w:tcPr>
            <w:tcW w:w="3340" w:type="dxa"/>
            <w:vAlign w:val="bottom"/>
          </w:tcPr>
          <w:p>
            <w:pPr>
              <w:ind w:left="60"/>
              <w:spacing w:after="0"/>
              <w:rPr>
                <w:sz w:val="20"/>
                <w:szCs w:val="20"/>
                <w:color w:val="auto"/>
              </w:rPr>
            </w:pPr>
            <w:r>
              <w:rPr>
                <w:rFonts w:ascii="Arial" w:cs="Arial" w:eastAsia="Arial" w:hAnsi="Arial"/>
                <w:sz w:val="13"/>
                <w:szCs w:val="13"/>
                <w:color w:val="auto"/>
              </w:rPr>
              <w:t>Dick’s Sporting Goods</w:t>
            </w:r>
          </w:p>
        </w:tc>
      </w:tr>
      <w:tr>
        <w:trPr>
          <w:trHeight w:val="97"/>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40" w:type="dxa"/>
            <w:vAlign w:val="bottom"/>
          </w:tcPr>
          <w:p>
            <w:pPr>
              <w:spacing w:after="0"/>
              <w:rPr>
                <w:sz w:val="8"/>
                <w:szCs w:val="8"/>
                <w:color w:val="auto"/>
              </w:rPr>
            </w:pPr>
          </w:p>
        </w:tc>
      </w:tr>
      <w:tr>
        <w:trPr>
          <w:trHeight w:val="148"/>
        </w:trPr>
        <w:tc>
          <w:tcPr>
            <w:tcW w:w="1360" w:type="dxa"/>
            <w:vAlign w:val="bottom"/>
            <w:gridSpan w:val="6"/>
            <w:shd w:val="clear" w:color="auto" w:fill="CCEEFF"/>
          </w:tcPr>
          <w:p>
            <w:pPr>
              <w:ind w:left="20"/>
              <w:spacing w:after="0" w:line="148" w:lineRule="exact"/>
              <w:rPr>
                <w:sz w:val="20"/>
                <w:szCs w:val="20"/>
                <w:color w:val="auto"/>
              </w:rPr>
            </w:pPr>
            <w:r>
              <w:rPr>
                <w:rFonts w:ascii="Arial" w:cs="Arial" w:eastAsia="Arial" w:hAnsi="Arial"/>
                <w:sz w:val="13"/>
                <w:szCs w:val="13"/>
                <w:color w:val="auto"/>
              </w:rPr>
              <w:t>Perring Plaza</w:t>
            </w:r>
          </w:p>
        </w:tc>
        <w:tc>
          <w:tcPr>
            <w:tcW w:w="460" w:type="dxa"/>
            <w:vAlign w:val="bottom"/>
            <w:shd w:val="clear" w:color="auto" w:fill="CCEEFF"/>
          </w:tcPr>
          <w:p>
            <w:pPr>
              <w:spacing w:after="0"/>
              <w:rPr>
                <w:sz w:val="12"/>
                <w:szCs w:val="12"/>
                <w:color w:val="auto"/>
              </w:rPr>
            </w:pPr>
          </w:p>
        </w:tc>
        <w:tc>
          <w:tcPr>
            <w:tcW w:w="15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Baltimore, MD</w:t>
            </w: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1985</w:t>
            </w:r>
          </w:p>
        </w:tc>
        <w:tc>
          <w:tcPr>
            <w:tcW w:w="7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30,432</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395,000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58,000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Shoppers</w:t>
            </w:r>
          </w:p>
        </w:tc>
        <w:tc>
          <w:tcPr>
            <w:tcW w:w="334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w w:val="91"/>
              </w:rPr>
              <w:t>Home Depot / Burlington Coat Factory / Jo-Ann Stores / Micro</w:t>
            </w:r>
          </w:p>
        </w:tc>
      </w:tr>
      <w:tr>
        <w:trPr>
          <w:trHeight w:val="135"/>
        </w:trPr>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2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Food</w:t>
            </w:r>
          </w:p>
        </w:tc>
        <w:tc>
          <w:tcPr>
            <w:tcW w:w="334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Center</w:t>
            </w: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Warehouse</w:t>
            </w:r>
          </w:p>
        </w:tc>
        <w:tc>
          <w:tcPr>
            <w:tcW w:w="3340" w:type="dxa"/>
            <w:vAlign w:val="bottom"/>
            <w:shd w:val="clear" w:color="auto" w:fill="CCEEFF"/>
          </w:tcPr>
          <w:p>
            <w:pPr>
              <w:spacing w:after="0"/>
              <w:rPr>
                <w:sz w:val="15"/>
                <w:szCs w:val="15"/>
                <w:color w:val="auto"/>
              </w:rPr>
            </w:pPr>
          </w:p>
        </w:tc>
      </w:tr>
      <w:tr>
        <w:trPr>
          <w:trHeight w:val="148"/>
        </w:trPr>
        <w:tc>
          <w:tcPr>
            <w:tcW w:w="1360" w:type="dxa"/>
            <w:vAlign w:val="bottom"/>
            <w:gridSpan w:val="6"/>
          </w:tcPr>
          <w:p>
            <w:pPr>
              <w:ind w:left="20"/>
              <w:spacing w:after="0" w:line="148" w:lineRule="exact"/>
              <w:rPr>
                <w:sz w:val="20"/>
                <w:szCs w:val="20"/>
                <w:color w:val="auto"/>
              </w:rPr>
            </w:pPr>
            <w:r>
              <w:rPr>
                <w:rFonts w:ascii="Arial" w:cs="Arial" w:eastAsia="Arial" w:hAnsi="Arial"/>
                <w:sz w:val="13"/>
                <w:szCs w:val="13"/>
                <w:color w:val="auto"/>
                <w:w w:val="98"/>
              </w:rPr>
              <w:t>THE AVENUE at White</w:t>
            </w:r>
          </w:p>
        </w:tc>
        <w:tc>
          <w:tcPr>
            <w:tcW w:w="460" w:type="dxa"/>
            <w:vAlign w:val="bottom"/>
          </w:tcPr>
          <w:p>
            <w:pPr>
              <w:jc w:val="center"/>
              <w:spacing w:after="0" w:line="148" w:lineRule="exact"/>
              <w:rPr>
                <w:sz w:val="20"/>
                <w:szCs w:val="20"/>
                <w:color w:val="auto"/>
              </w:rPr>
            </w:pPr>
            <w:r>
              <w:rPr>
                <w:rFonts w:ascii="Arial" w:cs="Arial" w:eastAsia="Arial" w:hAnsi="Arial"/>
                <w:sz w:val="13"/>
                <w:szCs w:val="13"/>
                <w:color w:val="auto"/>
              </w:rPr>
              <w:t>(5)</w:t>
            </w: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rPr>
              <w:t>Baltimore, MD</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2007</w:t>
            </w:r>
          </w:p>
        </w:tc>
        <w:tc>
          <w:tcPr>
            <w:tcW w:w="700" w:type="dxa"/>
            <w:vAlign w:val="bottom"/>
          </w:tcPr>
          <w:p>
            <w:pPr>
              <w:jc w:val="right"/>
              <w:ind w:right="77"/>
              <w:spacing w:after="0" w:line="148" w:lineRule="exact"/>
              <w:rPr>
                <w:sz w:val="20"/>
                <w:szCs w:val="20"/>
                <w:color w:val="auto"/>
              </w:rPr>
            </w:pPr>
            <w:r>
              <w:rPr>
                <w:rFonts w:ascii="Arial" w:cs="Arial" w:eastAsia="Arial" w:hAnsi="Arial"/>
                <w:sz w:val="13"/>
                <w:szCs w:val="13"/>
                <w:color w:val="auto"/>
              </w:rPr>
              <w:t>100,309</w:t>
            </w:r>
          </w:p>
        </w:tc>
        <w:tc>
          <w:tcPr>
            <w:tcW w:w="660" w:type="dxa"/>
            <w:vAlign w:val="bottom"/>
          </w:tcPr>
          <w:p>
            <w:pPr>
              <w:jc w:val="right"/>
              <w:ind w:right="59"/>
              <w:spacing w:after="0" w:line="148" w:lineRule="exact"/>
              <w:rPr>
                <w:sz w:val="20"/>
                <w:szCs w:val="20"/>
                <w:color w:val="auto"/>
              </w:rPr>
            </w:pPr>
            <w:r>
              <w:rPr>
                <w:rFonts w:ascii="Arial" w:cs="Arial" w:eastAsia="Arial" w:hAnsi="Arial"/>
                <w:sz w:val="13"/>
                <w:szCs w:val="13"/>
                <w:color w:val="auto"/>
              </w:rPr>
              <w:t>52,705</w:t>
            </w:r>
          </w:p>
        </w:tc>
        <w:tc>
          <w:tcPr>
            <w:tcW w:w="64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305,000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340" w:type="dxa"/>
            <w:vAlign w:val="bottom"/>
          </w:tcPr>
          <w:p>
            <w:pPr>
              <w:ind w:left="60"/>
              <w:spacing w:after="0" w:line="148" w:lineRule="exact"/>
              <w:rPr>
                <w:sz w:val="20"/>
                <w:szCs w:val="20"/>
                <w:color w:val="auto"/>
              </w:rPr>
            </w:pPr>
            <w:r>
              <w:rPr>
                <w:rFonts w:ascii="Arial" w:cs="Arial" w:eastAsia="Arial" w:hAnsi="Arial"/>
                <w:sz w:val="13"/>
                <w:szCs w:val="13"/>
                <w:color w:val="auto"/>
              </w:rPr>
              <w:t>AMC Loews / Old Navy / Barnes &amp; Noble / A.C. Moore</w:t>
            </w:r>
          </w:p>
        </w:tc>
      </w:tr>
      <w:tr>
        <w:trPr>
          <w:trHeight w:val="168"/>
        </w:trPr>
        <w:tc>
          <w:tcPr>
            <w:tcW w:w="1360" w:type="dxa"/>
            <w:vAlign w:val="bottom"/>
            <w:gridSpan w:val="6"/>
          </w:tcPr>
          <w:p>
            <w:pPr>
              <w:ind w:left="20"/>
              <w:spacing w:after="0"/>
              <w:rPr>
                <w:sz w:val="20"/>
                <w:szCs w:val="20"/>
                <w:color w:val="auto"/>
              </w:rPr>
            </w:pPr>
            <w:r>
              <w:rPr>
                <w:rFonts w:ascii="Arial" w:cs="Arial" w:eastAsia="Arial" w:hAnsi="Arial"/>
                <w:sz w:val="13"/>
                <w:szCs w:val="13"/>
                <w:color w:val="auto"/>
              </w:rPr>
              <w:t>Marsh</w:t>
            </w:r>
          </w:p>
        </w:tc>
        <w:tc>
          <w:tcPr>
            <w:tcW w:w="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40" w:type="dxa"/>
            <w:vAlign w:val="bottom"/>
          </w:tcPr>
          <w:p>
            <w:pPr>
              <w:spacing w:after="0"/>
              <w:rPr>
                <w:sz w:val="14"/>
                <w:szCs w:val="14"/>
                <w:color w:val="auto"/>
              </w:rPr>
            </w:pPr>
          </w:p>
        </w:tc>
      </w:tr>
      <w:tr>
        <w:trPr>
          <w:trHeight w:val="156"/>
        </w:trPr>
        <w:tc>
          <w:tcPr>
            <w:tcW w:w="136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The Shoppes at</w:t>
            </w:r>
          </w:p>
        </w:tc>
        <w:tc>
          <w:tcPr>
            <w:tcW w:w="460" w:type="dxa"/>
            <w:vAlign w:val="bottom"/>
            <w:shd w:val="clear" w:color="auto" w:fill="CCEEFF"/>
          </w:tcPr>
          <w:p>
            <w:pPr>
              <w:spacing w:after="0"/>
              <w:rPr>
                <w:sz w:val="13"/>
                <w:szCs w:val="13"/>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Baltimore, MD</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17,454</w:t>
            </w:r>
          </w:p>
        </w:tc>
        <w:tc>
          <w:tcPr>
            <w:tcW w:w="6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340" w:type="dxa"/>
            <w:vAlign w:val="bottom"/>
            <w:shd w:val="clear" w:color="auto" w:fill="CCEEFF"/>
          </w:tcPr>
          <w:p>
            <w:pPr>
              <w:spacing w:after="0"/>
              <w:rPr>
                <w:sz w:val="13"/>
                <w:szCs w:val="13"/>
                <w:color w:val="auto"/>
              </w:rPr>
            </w:pPr>
          </w:p>
        </w:tc>
      </w:tr>
      <w:tr>
        <w:trPr>
          <w:trHeight w:val="176"/>
        </w:trPr>
        <w:tc>
          <w:tcPr>
            <w:tcW w:w="136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Nottingham Square</w:t>
            </w: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r>
      <w:tr>
        <w:trPr>
          <w:trHeight w:val="173"/>
        </w:trPr>
        <w:tc>
          <w:tcPr>
            <w:tcW w:w="1360" w:type="dxa"/>
            <w:vAlign w:val="bottom"/>
            <w:gridSpan w:val="6"/>
          </w:tcPr>
          <w:p>
            <w:pPr>
              <w:ind w:left="20"/>
              <w:spacing w:after="0"/>
              <w:rPr>
                <w:sz w:val="20"/>
                <w:szCs w:val="20"/>
                <w:color w:val="auto"/>
              </w:rPr>
            </w:pPr>
            <w:r>
              <w:rPr>
                <w:rFonts w:ascii="Arial" w:cs="Arial" w:eastAsia="Arial" w:hAnsi="Arial"/>
                <w:sz w:val="13"/>
                <w:szCs w:val="13"/>
                <w:color w:val="auto"/>
              </w:rPr>
              <w:t>White Marsh Plaza</w:t>
            </w:r>
          </w:p>
        </w:tc>
        <w:tc>
          <w:tcPr>
            <w:tcW w:w="460" w:type="dxa"/>
            <w:vAlign w:val="bottom"/>
          </w:tcPr>
          <w:p>
            <w:pPr>
              <w:spacing w:after="0"/>
              <w:rPr>
                <w:sz w:val="15"/>
                <w:szCs w:val="15"/>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Baltimore, MD</w:t>
            </w:r>
          </w:p>
        </w:tc>
        <w:tc>
          <w:tcPr>
            <w:tcW w:w="740" w:type="dxa"/>
            <w:vAlign w:val="bottom"/>
          </w:tcPr>
          <w:p>
            <w:pPr>
              <w:jc w:val="right"/>
              <w:spacing w:after="0"/>
              <w:rPr>
                <w:sz w:val="20"/>
                <w:szCs w:val="20"/>
                <w:color w:val="auto"/>
              </w:rPr>
            </w:pPr>
            <w:r>
              <w:rPr>
                <w:rFonts w:ascii="Arial" w:cs="Arial" w:eastAsia="Arial" w:hAnsi="Arial"/>
                <w:sz w:val="13"/>
                <w:szCs w:val="13"/>
                <w:color w:val="auto"/>
              </w:rPr>
              <w:t>2007</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25,154</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80,000</w:t>
            </w:r>
          </w:p>
        </w:tc>
        <w:tc>
          <w:tcPr>
            <w:tcW w:w="500" w:type="dxa"/>
            <w:vAlign w:val="bottom"/>
          </w:tcPr>
          <w:p>
            <w:pPr>
              <w:jc w:val="right"/>
              <w:spacing w:after="0"/>
              <w:rPr>
                <w:sz w:val="20"/>
                <w:szCs w:val="20"/>
                <w:color w:val="auto"/>
              </w:rPr>
            </w:pPr>
            <w:r>
              <w:rPr>
                <w:rFonts w:ascii="Arial" w:cs="Arial" w:eastAsia="Arial" w:hAnsi="Arial"/>
                <w:sz w:val="13"/>
                <w:szCs w:val="13"/>
                <w:color w:val="auto"/>
              </w:rPr>
              <w:t>96%</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54,000</w:t>
            </w:r>
          </w:p>
        </w:tc>
        <w:tc>
          <w:tcPr>
            <w:tcW w:w="82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3340" w:type="dxa"/>
            <w:vAlign w:val="bottom"/>
          </w:tcPr>
          <w:p>
            <w:pPr>
              <w:spacing w:after="0"/>
              <w:rPr>
                <w:sz w:val="15"/>
                <w:szCs w:val="15"/>
                <w:color w:val="auto"/>
              </w:rPr>
            </w:pPr>
          </w:p>
        </w:tc>
      </w:tr>
      <w:tr>
        <w:trPr>
          <w:trHeight w:val="97"/>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40" w:type="dxa"/>
            <w:vAlign w:val="bottom"/>
          </w:tcPr>
          <w:p>
            <w:pPr>
              <w:spacing w:after="0"/>
              <w:rPr>
                <w:sz w:val="8"/>
                <w:szCs w:val="8"/>
                <w:color w:val="auto"/>
              </w:rPr>
            </w:pPr>
          </w:p>
        </w:tc>
      </w:tr>
      <w:tr>
        <w:trPr>
          <w:trHeight w:val="173"/>
        </w:trPr>
        <w:tc>
          <w:tcPr>
            <w:tcW w:w="136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White Marsh Other</w:t>
            </w: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Baltimore, MD</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37,319</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r>
      <w:tr>
        <w:trPr>
          <w:trHeight w:val="97"/>
        </w:trPr>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40" w:type="dxa"/>
            <w:vAlign w:val="bottom"/>
            <w:shd w:val="clear" w:color="auto" w:fill="CCEEFF"/>
          </w:tcPr>
          <w:p>
            <w:pPr>
              <w:spacing w:after="0"/>
              <w:rPr>
                <w:sz w:val="8"/>
                <w:szCs w:val="8"/>
                <w:color w:val="auto"/>
              </w:rPr>
            </w:pPr>
          </w:p>
        </w:tc>
      </w:tr>
      <w:tr>
        <w:trPr>
          <w:trHeight w:val="167"/>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b w:val="1"/>
                <w:bCs w:val="1"/>
                <w:color w:val="auto"/>
              </w:rPr>
              <w:t>Total Baltimore</w:t>
            </w:r>
          </w:p>
        </w:tc>
        <w:tc>
          <w:tcPr>
            <w:tcW w:w="74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237,820</w:t>
            </w:r>
          </w:p>
        </w:tc>
        <w:tc>
          <w:tcPr>
            <w:tcW w:w="660" w:type="dxa"/>
            <w:vAlign w:val="bottom"/>
          </w:tcPr>
          <w:p>
            <w:pPr>
              <w:spacing w:after="0"/>
              <w:rPr>
                <w:sz w:val="14"/>
                <w:szCs w:val="1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w w:val="93"/>
              </w:rPr>
              <w:t>1,128,000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40" w:type="dxa"/>
            <w:vAlign w:val="bottom"/>
          </w:tcPr>
          <w:p>
            <w:pPr>
              <w:spacing w:after="0"/>
              <w:rPr>
                <w:sz w:val="14"/>
                <w:szCs w:val="14"/>
                <w:color w:val="auto"/>
              </w:rPr>
            </w:pPr>
          </w:p>
        </w:tc>
      </w:tr>
      <w:tr>
        <w:trPr>
          <w:trHeight w:val="84"/>
        </w:trPr>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340" w:type="dxa"/>
            <w:vAlign w:val="bottom"/>
          </w:tcPr>
          <w:p>
            <w:pPr>
              <w:spacing w:after="0"/>
              <w:rPr>
                <w:sz w:val="7"/>
                <w:szCs w:val="7"/>
                <w:color w:val="auto"/>
              </w:rPr>
            </w:pP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r>
      <w:tr>
        <w:trPr>
          <w:trHeight w:val="149"/>
        </w:trPr>
        <w:tc>
          <w:tcPr>
            <w:tcW w:w="20" w:type="dxa"/>
            <w:vAlign w:val="bottom"/>
          </w:tcPr>
          <w:p>
            <w:pPr>
              <w:spacing w:after="0"/>
              <w:rPr>
                <w:sz w:val="12"/>
                <w:szCs w:val="12"/>
                <w:color w:val="auto"/>
              </w:rPr>
            </w:pPr>
          </w:p>
        </w:tc>
        <w:tc>
          <w:tcPr>
            <w:tcW w:w="1340" w:type="dxa"/>
            <w:vAlign w:val="bottom"/>
            <w:gridSpan w:val="5"/>
          </w:tcPr>
          <w:p>
            <w:pPr>
              <w:ind w:left="60"/>
              <w:spacing w:after="0"/>
              <w:rPr>
                <w:sz w:val="20"/>
                <w:szCs w:val="20"/>
                <w:color w:val="auto"/>
              </w:rPr>
            </w:pPr>
            <w:r>
              <w:rPr>
                <w:rFonts w:ascii="Arial" w:cs="Arial" w:eastAsia="Arial" w:hAnsi="Arial"/>
                <w:sz w:val="13"/>
                <w:szCs w:val="13"/>
                <w:b w:val="1"/>
                <w:bCs w:val="1"/>
                <w:color w:val="auto"/>
              </w:rPr>
              <w:t>Chicago</w:t>
            </w:r>
          </w:p>
        </w:tc>
        <w:tc>
          <w:tcPr>
            <w:tcW w:w="4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340" w:type="dxa"/>
            <w:vAlign w:val="bottom"/>
          </w:tcPr>
          <w:p>
            <w:pPr>
              <w:spacing w:after="0"/>
              <w:rPr>
                <w:sz w:val="12"/>
                <w:szCs w:val="12"/>
                <w:color w:val="auto"/>
              </w:rPr>
            </w:pPr>
          </w:p>
        </w:tc>
      </w:tr>
      <w:tr>
        <w:trPr>
          <w:trHeight w:val="102"/>
        </w:trPr>
        <w:tc>
          <w:tcPr>
            <w:tcW w:w="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40" w:type="dxa"/>
            <w:vAlign w:val="bottom"/>
          </w:tcPr>
          <w:p>
            <w:pPr>
              <w:spacing w:after="0"/>
              <w:rPr>
                <w:sz w:val="8"/>
                <w:szCs w:val="8"/>
                <w:color w:val="auto"/>
              </w:rPr>
            </w:pPr>
          </w:p>
        </w:tc>
      </w:tr>
      <w:tr>
        <w:trPr>
          <w:trHeight w:val="173"/>
        </w:trPr>
        <w:tc>
          <w:tcPr>
            <w:tcW w:w="1360" w:type="dxa"/>
            <w:vAlign w:val="bottom"/>
            <w:gridSpan w:val="6"/>
            <w:shd w:val="clear" w:color="auto" w:fill="CCEEFF"/>
          </w:tcPr>
          <w:p>
            <w:pPr>
              <w:ind w:left="20"/>
              <w:spacing w:after="0"/>
              <w:rPr>
                <w:sz w:val="20"/>
                <w:szCs w:val="20"/>
                <w:color w:val="auto"/>
              </w:rPr>
            </w:pPr>
            <w:r>
              <w:rPr>
                <w:rFonts w:ascii="Arial" w:cs="Arial" w:eastAsia="Arial" w:hAnsi="Arial"/>
                <w:sz w:val="13"/>
                <w:szCs w:val="13"/>
                <w:color w:val="auto"/>
              </w:rPr>
              <w:t>Crossroads</w:t>
            </w: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Chicago, IL</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31,653</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Golfsmith / Guitar Center / L.A. Fitness</w:t>
            </w:r>
          </w:p>
        </w:tc>
      </w:tr>
      <w:tr>
        <w:trPr>
          <w:trHeight w:val="97"/>
        </w:trPr>
        <w:tc>
          <w:tcPr>
            <w:tcW w:w="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40" w:type="dxa"/>
            <w:vAlign w:val="bottom"/>
            <w:shd w:val="clear" w:color="auto" w:fill="CCEEFF"/>
          </w:tcPr>
          <w:p>
            <w:pPr>
              <w:spacing w:after="0"/>
              <w:rPr>
                <w:sz w:val="8"/>
                <w:szCs w:val="8"/>
                <w:color w:val="auto"/>
              </w:rPr>
            </w:pPr>
          </w:p>
        </w:tc>
      </w:tr>
      <w:tr>
        <w:trPr>
          <w:trHeight w:val="173"/>
        </w:trPr>
        <w:tc>
          <w:tcPr>
            <w:tcW w:w="1360" w:type="dxa"/>
            <w:vAlign w:val="bottom"/>
            <w:gridSpan w:val="6"/>
          </w:tcPr>
          <w:p>
            <w:pPr>
              <w:ind w:left="20"/>
              <w:spacing w:after="0"/>
              <w:rPr>
                <w:sz w:val="20"/>
                <w:szCs w:val="20"/>
                <w:color w:val="auto"/>
              </w:rPr>
            </w:pPr>
            <w:r>
              <w:rPr>
                <w:rFonts w:ascii="Arial" w:cs="Arial" w:eastAsia="Arial" w:hAnsi="Arial"/>
                <w:sz w:val="13"/>
                <w:szCs w:val="13"/>
                <w:color w:val="auto"/>
              </w:rPr>
              <w:t>Finley Square</w:t>
            </w:r>
          </w:p>
        </w:tc>
        <w:tc>
          <w:tcPr>
            <w:tcW w:w="460" w:type="dxa"/>
            <w:vAlign w:val="bottom"/>
          </w:tcPr>
          <w:p>
            <w:pPr>
              <w:spacing w:after="0"/>
              <w:rPr>
                <w:sz w:val="15"/>
                <w:szCs w:val="15"/>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Chicago, IL</w:t>
            </w:r>
          </w:p>
        </w:tc>
        <w:tc>
          <w:tcPr>
            <w:tcW w:w="740" w:type="dxa"/>
            <w:vAlign w:val="bottom"/>
          </w:tcPr>
          <w:p>
            <w:pPr>
              <w:jc w:val="right"/>
              <w:spacing w:after="0"/>
              <w:rPr>
                <w:sz w:val="20"/>
                <w:szCs w:val="20"/>
                <w:color w:val="auto"/>
              </w:rPr>
            </w:pPr>
            <w:r>
              <w:rPr>
                <w:rFonts w:ascii="Arial" w:cs="Arial" w:eastAsia="Arial" w:hAnsi="Arial"/>
                <w:sz w:val="13"/>
                <w:szCs w:val="13"/>
                <w:color w:val="auto"/>
              </w:rPr>
              <w:t>1995</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34,879</w:t>
            </w:r>
          </w:p>
        </w:tc>
        <w:tc>
          <w:tcPr>
            <w:tcW w:w="660" w:type="dxa"/>
            <w:vAlign w:val="bottom"/>
          </w:tcPr>
          <w:p>
            <w:pPr>
              <w:spacing w:after="0"/>
              <w:rPr>
                <w:sz w:val="15"/>
                <w:szCs w:val="15"/>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316,000</w:t>
            </w: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340" w:type="dxa"/>
            <w:vAlign w:val="bottom"/>
          </w:tcPr>
          <w:p>
            <w:pPr>
              <w:ind w:left="60"/>
              <w:spacing w:after="0"/>
              <w:rPr>
                <w:sz w:val="20"/>
                <w:szCs w:val="20"/>
                <w:color w:val="auto"/>
              </w:rPr>
            </w:pPr>
            <w:r>
              <w:rPr>
                <w:rFonts w:ascii="Arial" w:cs="Arial" w:eastAsia="Arial" w:hAnsi="Arial"/>
                <w:sz w:val="13"/>
                <w:szCs w:val="13"/>
                <w:color w:val="auto"/>
                <w:w w:val="97"/>
              </w:rPr>
              <w:t>Bed, Bath &amp; Beyond / Buy Buy Baby / Petsmart / Michaels</w:t>
            </w:r>
          </w:p>
        </w:tc>
      </w:tr>
      <w:tr>
        <w:trPr>
          <w:trHeight w:val="97"/>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40" w:type="dxa"/>
            <w:vAlign w:val="bottom"/>
          </w:tcPr>
          <w:p>
            <w:pPr>
              <w:spacing w:after="0"/>
              <w:rPr>
                <w:sz w:val="8"/>
                <w:szCs w:val="8"/>
                <w:color w:val="auto"/>
              </w:rPr>
            </w:pPr>
          </w:p>
        </w:tc>
      </w:tr>
      <w:tr>
        <w:trPr>
          <w:trHeight w:val="148"/>
        </w:trPr>
        <w:tc>
          <w:tcPr>
            <w:tcW w:w="1360" w:type="dxa"/>
            <w:vAlign w:val="bottom"/>
            <w:gridSpan w:val="6"/>
            <w:shd w:val="clear" w:color="auto" w:fill="CCEEFF"/>
          </w:tcPr>
          <w:p>
            <w:pPr>
              <w:ind w:left="20"/>
              <w:spacing w:after="0" w:line="148" w:lineRule="exact"/>
              <w:rPr>
                <w:sz w:val="20"/>
                <w:szCs w:val="20"/>
                <w:color w:val="auto"/>
              </w:rPr>
            </w:pPr>
            <w:r>
              <w:rPr>
                <w:rFonts w:ascii="Arial" w:cs="Arial" w:eastAsia="Arial" w:hAnsi="Arial"/>
                <w:sz w:val="13"/>
                <w:szCs w:val="13"/>
                <w:color w:val="auto"/>
              </w:rPr>
              <w:t>Garden Market</w:t>
            </w:r>
          </w:p>
        </w:tc>
        <w:tc>
          <w:tcPr>
            <w:tcW w:w="460" w:type="dxa"/>
            <w:vAlign w:val="bottom"/>
            <w:shd w:val="clear" w:color="auto" w:fill="CCEEFF"/>
          </w:tcPr>
          <w:p>
            <w:pPr>
              <w:spacing w:after="0"/>
              <w:rPr>
                <w:sz w:val="12"/>
                <w:szCs w:val="12"/>
                <w:color w:val="auto"/>
              </w:rPr>
            </w:pPr>
          </w:p>
        </w:tc>
        <w:tc>
          <w:tcPr>
            <w:tcW w:w="15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Chicago, IL</w:t>
            </w: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1994</w:t>
            </w:r>
          </w:p>
        </w:tc>
        <w:tc>
          <w:tcPr>
            <w:tcW w:w="700" w:type="dxa"/>
            <w:vAlign w:val="bottom"/>
            <w:shd w:val="clear" w:color="auto" w:fill="CCEEFF"/>
          </w:tcPr>
          <w:p>
            <w:pPr>
              <w:jc w:val="right"/>
              <w:ind w:right="77"/>
              <w:spacing w:after="0" w:line="148" w:lineRule="exact"/>
              <w:rPr>
                <w:sz w:val="20"/>
                <w:szCs w:val="20"/>
                <w:color w:val="auto"/>
              </w:rPr>
            </w:pPr>
            <w:r>
              <w:rPr>
                <w:rFonts w:ascii="Arial" w:cs="Arial" w:eastAsia="Arial" w:hAnsi="Arial"/>
                <w:sz w:val="13"/>
                <w:szCs w:val="13"/>
                <w:color w:val="auto"/>
              </w:rPr>
              <w:t>13,085</w:t>
            </w:r>
          </w:p>
        </w:tc>
        <w:tc>
          <w:tcPr>
            <w:tcW w:w="6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140,000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85"/>
              </w:rPr>
              <w:t>63,000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Mariano's</w:t>
            </w:r>
          </w:p>
        </w:tc>
        <w:tc>
          <w:tcPr>
            <w:tcW w:w="334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Walgreens</w:t>
            </w:r>
          </w:p>
        </w:tc>
      </w:tr>
      <w:tr>
        <w:trPr>
          <w:trHeight w:val="176"/>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rPr>
              <w:t>Fresh Market</w:t>
            </w:r>
          </w:p>
        </w:tc>
        <w:tc>
          <w:tcPr>
            <w:tcW w:w="3340" w:type="dxa"/>
            <w:vAlign w:val="bottom"/>
            <w:shd w:val="clear" w:color="auto" w:fill="CCEEFF"/>
          </w:tcPr>
          <w:p>
            <w:pPr>
              <w:spacing w:after="0"/>
              <w:rPr>
                <w:sz w:val="15"/>
                <w:szCs w:val="15"/>
                <w:color w:val="auto"/>
              </w:rPr>
            </w:pPr>
          </w:p>
        </w:tc>
      </w:tr>
      <w:tr>
        <w:trPr>
          <w:trHeight w:val="264"/>
        </w:trPr>
        <w:tc>
          <w:tcPr>
            <w:tcW w:w="1360" w:type="dxa"/>
            <w:vAlign w:val="bottom"/>
            <w:tcBorders>
              <w:bottom w:val="single" w:sz="8" w:color="CCEEFF"/>
            </w:tcBorders>
            <w:gridSpan w:val="6"/>
          </w:tcPr>
          <w:p>
            <w:pPr>
              <w:ind w:left="20"/>
              <w:spacing w:after="0"/>
              <w:rPr>
                <w:sz w:val="20"/>
                <w:szCs w:val="20"/>
                <w:color w:val="auto"/>
              </w:rPr>
            </w:pPr>
            <w:r>
              <w:rPr>
                <w:rFonts w:ascii="Arial" w:cs="Arial" w:eastAsia="Arial" w:hAnsi="Arial"/>
                <w:sz w:val="13"/>
                <w:szCs w:val="13"/>
                <w:color w:val="auto"/>
              </w:rPr>
              <w:t>North Lake Commons</w:t>
            </w:r>
          </w:p>
        </w:tc>
        <w:tc>
          <w:tcPr>
            <w:tcW w:w="46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Chicago, IL</w:t>
            </w: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1994</w:t>
            </w: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16,454</w:t>
            </w:r>
          </w:p>
        </w:tc>
        <w:tc>
          <w:tcPr>
            <w:tcW w:w="66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129,000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w:t>
            </w:r>
          </w:p>
        </w:tc>
        <w:tc>
          <w:tcPr>
            <w:tcW w:w="60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85"/>
              </w:rPr>
              <w:t>77,000</w:t>
            </w:r>
          </w:p>
        </w:tc>
        <w:tc>
          <w:tcPr>
            <w:tcW w:w="82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Jewel Osco</w:t>
            </w:r>
          </w:p>
        </w:tc>
        <w:tc>
          <w:tcPr>
            <w:tcW w:w="3340" w:type="dxa"/>
            <w:vAlign w:val="bottom"/>
            <w:tcBorders>
              <w:bottom w:val="single" w:sz="8" w:color="CCEEFF"/>
            </w:tcBorders>
          </w:tcPr>
          <w:p>
            <w:pPr>
              <w:spacing w:after="0"/>
              <w:rPr>
                <w:sz w:val="22"/>
                <w:szCs w:val="22"/>
                <w:color w:val="auto"/>
              </w:rPr>
            </w:pPr>
          </w:p>
        </w:tc>
      </w:tr>
      <w:tr>
        <w:trPr>
          <w:trHeight w:val="173"/>
        </w:trPr>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Total Chicago</w:t>
            </w:r>
          </w:p>
        </w:tc>
        <w:tc>
          <w:tcPr>
            <w:tcW w:w="7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96,071</w:t>
            </w:r>
          </w:p>
        </w:tc>
        <w:tc>
          <w:tcPr>
            <w:tcW w:w="66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753,000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rPr>
                <w:sz w:val="15"/>
                <w:szCs w:val="15"/>
                <w:color w:val="auto"/>
              </w:rPr>
            </w:pPr>
          </w:p>
        </w:tc>
      </w:tr>
      <w:tr>
        <w:trPr>
          <w:trHeight w:val="84"/>
        </w:trPr>
        <w:tc>
          <w:tcPr>
            <w:tcW w:w="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340" w:type="dxa"/>
            <w:vAlign w:val="bottom"/>
            <w:shd w:val="clear" w:color="auto" w:fill="CCEEFF"/>
          </w:tcPr>
          <w:p>
            <w:pPr>
              <w:spacing w:after="0"/>
              <w:rPr>
                <w:sz w:val="7"/>
                <w:szCs w:val="7"/>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60" w:top="747" w:right="239" w:bottom="1440" w:gutter="0" w:footer="0" w:header="0"/>
        </w:sectPr>
      </w:pPr>
    </w:p>
    <w:bookmarkStart w:id="24" w:name="page25"/>
    <w:bookmarkEnd w:id="24"/>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2016</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34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3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3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1"/>
                <w:szCs w:val="11"/>
                <w:color w:val="auto"/>
              </w:rPr>
            </w:pPr>
          </w:p>
        </w:tc>
        <w:tc>
          <w:tcPr>
            <w:tcW w:w="334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68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Year</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80" w:type="dxa"/>
            <w:vAlign w:val="bottom"/>
          </w:tcPr>
          <w:p>
            <w:pPr>
              <w:spacing w:after="0"/>
              <w:rPr>
                <w:sz w:val="11"/>
                <w:szCs w:val="11"/>
                <w:color w:val="auto"/>
              </w:rPr>
            </w:pPr>
          </w:p>
        </w:tc>
        <w:tc>
          <w:tcPr>
            <w:tcW w:w="5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8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340" w:type="dxa"/>
            <w:vAlign w:val="bottom"/>
          </w:tcPr>
          <w:p>
            <w:pPr>
              <w:spacing w:after="0"/>
              <w:rPr>
                <w:sz w:val="11"/>
                <w:szCs w:val="11"/>
                <w:color w:val="auto"/>
              </w:rPr>
            </w:pPr>
          </w:p>
        </w:tc>
      </w:tr>
      <w:tr>
        <w:trPr>
          <w:trHeight w:val="174"/>
        </w:trPr>
        <w:tc>
          <w:tcPr>
            <w:tcW w:w="11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Property Name</w:t>
            </w:r>
          </w:p>
        </w:tc>
        <w:tc>
          <w:tcPr>
            <w:tcW w:w="2220" w:type="dxa"/>
            <w:vAlign w:val="bottom"/>
            <w:tcBorders>
              <w:bottom w:val="single" w:sz="8" w:color="auto"/>
            </w:tcBorders>
          </w:tcPr>
          <w:p>
            <w:pPr>
              <w:ind w:left="640"/>
              <w:spacing w:after="0"/>
              <w:rPr>
                <w:sz w:val="20"/>
                <w:szCs w:val="20"/>
                <w:color w:val="auto"/>
              </w:rPr>
            </w:pPr>
            <w:r>
              <w:rPr>
                <w:rFonts w:ascii="Arial" w:cs="Arial" w:eastAsia="Arial" w:hAnsi="Arial"/>
                <w:sz w:val="13"/>
                <w:szCs w:val="13"/>
                <w:b w:val="1"/>
                <w:bCs w:val="1"/>
                <w:color w:val="auto"/>
              </w:rPr>
              <w:t>MSA Description</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9"/>
              </w:rPr>
              <w:t>Acquired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GLA (2)</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3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34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w w:val="88"/>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340" w:type="dxa"/>
            <w:vAlign w:val="bottom"/>
          </w:tcPr>
          <w:p>
            <w:pPr>
              <w:spacing w:after="0"/>
              <w:rPr>
                <w:sz w:val="11"/>
                <w:szCs w:val="11"/>
                <w:color w:val="auto"/>
              </w:rPr>
            </w:pPr>
          </w:p>
        </w:tc>
      </w:tr>
      <w:tr>
        <w:trPr>
          <w:trHeight w:val="22"/>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Other</w:t>
            </w:r>
          </w:p>
        </w:tc>
        <w:tc>
          <w:tcPr>
            <w:tcW w:w="2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340" w:type="dxa"/>
            <w:vAlign w:val="bottom"/>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CCEEFF"/>
            </w:tcBorders>
            <w:shd w:val="clear" w:color="auto" w:fill="CCEEFF"/>
          </w:tcPr>
          <w:p>
            <w:pPr>
              <w:spacing w:after="0"/>
              <w:rPr>
                <w:sz w:val="8"/>
                <w:szCs w:val="8"/>
                <w:color w:val="auto"/>
              </w:rPr>
            </w:pPr>
          </w:p>
        </w:tc>
        <w:tc>
          <w:tcPr>
            <w:tcW w:w="222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3340" w:type="dxa"/>
            <w:vAlign w:val="bottom"/>
            <w:tcBorders>
              <w:top w:val="single" w:sz="8" w:color="CCEEFF"/>
            </w:tcBorders>
            <w:shd w:val="clear" w:color="auto" w:fill="CCEEFF"/>
          </w:tcPr>
          <w:p>
            <w:pPr>
              <w:spacing w:after="0"/>
              <w:rPr>
                <w:sz w:val="8"/>
                <w:szCs w:val="8"/>
                <w:color w:val="auto"/>
              </w:rPr>
            </w:pPr>
          </w:p>
        </w:tc>
      </w:tr>
      <w:tr>
        <w:trPr>
          <w:trHeight w:val="148"/>
        </w:trPr>
        <w:tc>
          <w:tcPr>
            <w:tcW w:w="116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Barracks Road</w:t>
            </w:r>
          </w:p>
        </w:tc>
        <w:tc>
          <w:tcPr>
            <w:tcW w:w="2220" w:type="dxa"/>
            <w:vAlign w:val="bottom"/>
          </w:tcPr>
          <w:p>
            <w:pPr>
              <w:ind w:left="640"/>
              <w:spacing w:after="0" w:line="148" w:lineRule="exact"/>
              <w:rPr>
                <w:sz w:val="20"/>
                <w:szCs w:val="20"/>
                <w:color w:val="auto"/>
              </w:rPr>
            </w:pPr>
            <w:r>
              <w:rPr>
                <w:rFonts w:ascii="Arial" w:cs="Arial" w:eastAsia="Arial" w:hAnsi="Arial"/>
                <w:sz w:val="13"/>
                <w:szCs w:val="13"/>
                <w:color w:val="auto"/>
              </w:rPr>
              <w:t>Charlottesville, VA</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1985</w:t>
            </w:r>
          </w:p>
        </w:tc>
        <w:tc>
          <w:tcPr>
            <w:tcW w:w="720" w:type="dxa"/>
            <w:vAlign w:val="bottom"/>
          </w:tcPr>
          <w:p>
            <w:pPr>
              <w:jc w:val="right"/>
              <w:ind w:right="58"/>
              <w:spacing w:after="0" w:line="148" w:lineRule="exact"/>
              <w:rPr>
                <w:sz w:val="20"/>
                <w:szCs w:val="20"/>
                <w:color w:val="auto"/>
              </w:rPr>
            </w:pPr>
            <w:r>
              <w:rPr>
                <w:rFonts w:ascii="Arial" w:cs="Arial" w:eastAsia="Arial" w:hAnsi="Arial"/>
                <w:sz w:val="13"/>
                <w:szCs w:val="13"/>
                <w:color w:val="auto"/>
              </w:rPr>
              <w:t>61,629</w:t>
            </w:r>
          </w:p>
        </w:tc>
        <w:tc>
          <w:tcPr>
            <w:tcW w:w="660" w:type="dxa"/>
            <w:vAlign w:val="bottom"/>
          </w:tcPr>
          <w:p>
            <w:pPr>
              <w:spacing w:after="0"/>
              <w:rPr>
                <w:sz w:val="12"/>
                <w:szCs w:val="12"/>
                <w:color w:val="auto"/>
              </w:rPr>
            </w:pP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497,000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99,000</w:t>
            </w:r>
          </w:p>
        </w:tc>
        <w:tc>
          <w:tcPr>
            <w:tcW w:w="4160" w:type="dxa"/>
            <w:vAlign w:val="bottom"/>
            <w:gridSpan w:val="2"/>
          </w:tcPr>
          <w:p>
            <w:pPr>
              <w:ind w:left="80"/>
              <w:spacing w:after="0" w:line="148" w:lineRule="exact"/>
              <w:rPr>
                <w:sz w:val="20"/>
                <w:szCs w:val="20"/>
                <w:color w:val="auto"/>
              </w:rPr>
            </w:pPr>
            <w:r>
              <w:rPr>
                <w:rFonts w:ascii="Arial" w:cs="Arial" w:eastAsia="Arial" w:hAnsi="Arial"/>
                <w:sz w:val="13"/>
                <w:szCs w:val="13"/>
                <w:color w:val="auto"/>
                <w:w w:val="94"/>
              </w:rPr>
              <w:t>Harris Teeter / Anthropologie / Bed, Bath &amp; Beyond / Barnes &amp; Noble / Old</w:t>
            </w:r>
          </w:p>
        </w:tc>
      </w:tr>
      <w:tr>
        <w:trPr>
          <w:trHeight w:val="168"/>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Kroger</w:t>
            </w:r>
          </w:p>
        </w:tc>
        <w:tc>
          <w:tcPr>
            <w:tcW w:w="3340" w:type="dxa"/>
            <w:vAlign w:val="bottom"/>
          </w:tcPr>
          <w:p>
            <w:pPr>
              <w:ind w:left="60"/>
              <w:spacing w:after="0"/>
              <w:rPr>
                <w:sz w:val="20"/>
                <w:szCs w:val="20"/>
                <w:color w:val="auto"/>
              </w:rPr>
            </w:pPr>
            <w:r>
              <w:rPr>
                <w:rFonts w:ascii="Arial" w:cs="Arial" w:eastAsia="Arial" w:hAnsi="Arial"/>
                <w:sz w:val="13"/>
                <w:szCs w:val="13"/>
                <w:color w:val="auto"/>
              </w:rPr>
              <w:t>Navy / Michaels / Ulta</w:t>
            </w:r>
          </w:p>
        </w:tc>
      </w:tr>
      <w:tr>
        <w:trPr>
          <w:trHeight w:val="181"/>
        </w:trPr>
        <w:tc>
          <w:tcPr>
            <w:tcW w:w="11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Bristol Plaza</w:t>
            </w:r>
          </w:p>
        </w:tc>
        <w:tc>
          <w:tcPr>
            <w:tcW w:w="2220" w:type="dxa"/>
            <w:vAlign w:val="bottom"/>
            <w:shd w:val="clear" w:color="auto" w:fill="CCEEFF"/>
          </w:tcPr>
          <w:p>
            <w:pPr>
              <w:ind w:left="640"/>
              <w:spacing w:after="0"/>
              <w:rPr>
                <w:sz w:val="20"/>
                <w:szCs w:val="20"/>
                <w:color w:val="auto"/>
              </w:rPr>
            </w:pPr>
            <w:r>
              <w:rPr>
                <w:rFonts w:ascii="Arial" w:cs="Arial" w:eastAsia="Arial" w:hAnsi="Arial"/>
                <w:sz w:val="13"/>
                <w:szCs w:val="13"/>
                <w:color w:val="auto"/>
              </w:rPr>
              <w:t>Hartford, CT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29,878</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266,000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74,000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8"/>
              </w:rPr>
              <w:t>Stop &amp; Shop</w:t>
            </w:r>
          </w:p>
        </w:tc>
        <w:tc>
          <w:tcPr>
            <w:tcW w:w="3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TJ Maxx</w:t>
            </w:r>
          </w:p>
        </w:tc>
      </w:tr>
      <w:tr>
        <w:trPr>
          <w:trHeight w:val="97"/>
        </w:trPr>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40" w:type="dxa"/>
            <w:vAlign w:val="bottom"/>
            <w:shd w:val="clear" w:color="auto" w:fill="CCEEFF"/>
          </w:tcPr>
          <w:p>
            <w:pPr>
              <w:spacing w:after="0"/>
              <w:rPr>
                <w:sz w:val="8"/>
                <w:szCs w:val="8"/>
                <w:color w:val="auto"/>
              </w:rPr>
            </w:pPr>
          </w:p>
        </w:tc>
      </w:tr>
      <w:tr>
        <w:trPr>
          <w:trHeight w:val="148"/>
        </w:trPr>
        <w:tc>
          <w:tcPr>
            <w:tcW w:w="1160" w:type="dxa"/>
            <w:vAlign w:val="bottom"/>
            <w:gridSpan w:val="3"/>
          </w:tcPr>
          <w:p>
            <w:pPr>
              <w:ind w:left="20"/>
              <w:spacing w:after="0" w:line="148" w:lineRule="exact"/>
              <w:rPr>
                <w:sz w:val="20"/>
                <w:szCs w:val="20"/>
                <w:color w:val="auto"/>
              </w:rPr>
            </w:pPr>
            <w:r>
              <w:rPr>
                <w:rFonts w:ascii="Arial" w:cs="Arial" w:eastAsia="Arial" w:hAnsi="Arial"/>
                <w:sz w:val="13"/>
                <w:szCs w:val="13"/>
                <w:color w:val="auto"/>
              </w:rPr>
              <w:t>Eastgate</w:t>
            </w:r>
          </w:p>
        </w:tc>
        <w:tc>
          <w:tcPr>
            <w:tcW w:w="2220" w:type="dxa"/>
            <w:vAlign w:val="bottom"/>
          </w:tcPr>
          <w:p>
            <w:pPr>
              <w:ind w:left="640"/>
              <w:spacing w:after="0" w:line="148" w:lineRule="exact"/>
              <w:rPr>
                <w:sz w:val="20"/>
                <w:szCs w:val="20"/>
                <w:color w:val="auto"/>
              </w:rPr>
            </w:pPr>
            <w:r>
              <w:rPr>
                <w:rFonts w:ascii="Arial" w:cs="Arial" w:eastAsia="Arial" w:hAnsi="Arial"/>
                <w:sz w:val="13"/>
                <w:szCs w:val="13"/>
                <w:color w:val="auto"/>
                <w:w w:val="94"/>
              </w:rPr>
              <w:t>Raleigh-Durham-Chapel Hill,</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1986</w:t>
            </w:r>
          </w:p>
        </w:tc>
        <w:tc>
          <w:tcPr>
            <w:tcW w:w="720" w:type="dxa"/>
            <w:vAlign w:val="bottom"/>
          </w:tcPr>
          <w:p>
            <w:pPr>
              <w:jc w:val="right"/>
              <w:ind w:right="58"/>
              <w:spacing w:after="0" w:line="148" w:lineRule="exact"/>
              <w:rPr>
                <w:sz w:val="20"/>
                <w:szCs w:val="20"/>
                <w:color w:val="auto"/>
              </w:rPr>
            </w:pPr>
            <w:r>
              <w:rPr>
                <w:rFonts w:ascii="Arial" w:cs="Arial" w:eastAsia="Arial" w:hAnsi="Arial"/>
                <w:sz w:val="13"/>
                <w:szCs w:val="13"/>
                <w:color w:val="auto"/>
              </w:rPr>
              <w:t>28,260</w:t>
            </w:r>
          </w:p>
        </w:tc>
        <w:tc>
          <w:tcPr>
            <w:tcW w:w="660" w:type="dxa"/>
            <w:vAlign w:val="bottom"/>
          </w:tcPr>
          <w:p>
            <w:pPr>
              <w:spacing w:after="0"/>
              <w:rPr>
                <w:sz w:val="12"/>
                <w:szCs w:val="12"/>
                <w:color w:val="auto"/>
              </w:rPr>
            </w:pP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153,000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90%</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13,000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3340" w:type="dxa"/>
            <w:vAlign w:val="bottom"/>
          </w:tcPr>
          <w:p>
            <w:pPr>
              <w:ind w:left="60"/>
              <w:spacing w:after="0" w:line="148" w:lineRule="exact"/>
              <w:rPr>
                <w:sz w:val="20"/>
                <w:szCs w:val="20"/>
                <w:color w:val="auto"/>
              </w:rPr>
            </w:pPr>
            <w:r>
              <w:rPr>
                <w:rFonts w:ascii="Arial" w:cs="Arial" w:eastAsia="Arial" w:hAnsi="Arial"/>
                <w:sz w:val="13"/>
                <w:szCs w:val="13"/>
                <w:color w:val="auto"/>
              </w:rPr>
              <w:t>Stein Mart</w:t>
            </w:r>
          </w:p>
        </w:tc>
      </w:tr>
      <w:tr>
        <w:trPr>
          <w:trHeight w:val="168"/>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20" w:type="dxa"/>
            <w:vAlign w:val="bottom"/>
          </w:tcPr>
          <w:p>
            <w:pPr>
              <w:ind w:left="640"/>
              <w:spacing w:after="0"/>
              <w:rPr>
                <w:sz w:val="20"/>
                <w:szCs w:val="20"/>
                <w:color w:val="auto"/>
              </w:rPr>
            </w:pPr>
            <w:r>
              <w:rPr>
                <w:rFonts w:ascii="Arial" w:cs="Arial" w:eastAsia="Arial" w:hAnsi="Arial"/>
                <w:sz w:val="13"/>
                <w:szCs w:val="13"/>
                <w:color w:val="auto"/>
              </w:rPr>
              <w:t>NC</w:t>
            </w: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340" w:type="dxa"/>
            <w:vAlign w:val="bottom"/>
          </w:tcPr>
          <w:p>
            <w:pPr>
              <w:spacing w:after="0"/>
              <w:rPr>
                <w:sz w:val="14"/>
                <w:szCs w:val="14"/>
                <w:color w:val="auto"/>
              </w:rPr>
            </w:pPr>
          </w:p>
        </w:tc>
      </w:tr>
      <w:tr>
        <w:trPr>
          <w:trHeight w:val="181"/>
        </w:trPr>
        <w:tc>
          <w:tcPr>
            <w:tcW w:w="11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Gratiot Plaza</w:t>
            </w:r>
          </w:p>
        </w:tc>
        <w:tc>
          <w:tcPr>
            <w:tcW w:w="2220" w:type="dxa"/>
            <w:vAlign w:val="bottom"/>
            <w:shd w:val="clear" w:color="auto" w:fill="CCEEFF"/>
          </w:tcPr>
          <w:p>
            <w:pPr>
              <w:ind w:left="640"/>
              <w:spacing w:after="0"/>
              <w:rPr>
                <w:sz w:val="20"/>
                <w:szCs w:val="20"/>
                <w:color w:val="auto"/>
              </w:rPr>
            </w:pPr>
            <w:r>
              <w:rPr>
                <w:rFonts w:ascii="Arial" w:cs="Arial" w:eastAsia="Arial" w:hAnsi="Arial"/>
                <w:sz w:val="13"/>
                <w:szCs w:val="13"/>
                <w:color w:val="auto"/>
              </w:rPr>
              <w:t>Detroit, MI</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1973</w:t>
            </w: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19,572</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217,000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69,000</w:t>
            </w: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Kroger</w:t>
            </w:r>
          </w:p>
        </w:tc>
        <w:tc>
          <w:tcPr>
            <w:tcW w:w="3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Bed, Bath &amp; Beyond / Best Buy / DSW</w:t>
            </w:r>
          </w:p>
        </w:tc>
      </w:tr>
      <w:tr>
        <w:trPr>
          <w:trHeight w:val="97"/>
        </w:trPr>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40" w:type="dxa"/>
            <w:vAlign w:val="bottom"/>
            <w:shd w:val="clear" w:color="auto" w:fill="CCEEFF"/>
          </w:tcPr>
          <w:p>
            <w:pPr>
              <w:spacing w:after="0"/>
              <w:rPr>
                <w:sz w:val="8"/>
                <w:szCs w:val="8"/>
                <w:color w:val="auto"/>
              </w:rPr>
            </w:pPr>
          </w:p>
        </w:tc>
      </w:tr>
      <w:tr>
        <w:trPr>
          <w:trHeight w:val="173"/>
        </w:trPr>
        <w:tc>
          <w:tcPr>
            <w:tcW w:w="1160" w:type="dxa"/>
            <w:vAlign w:val="bottom"/>
            <w:gridSpan w:val="3"/>
          </w:tcPr>
          <w:p>
            <w:pPr>
              <w:ind w:left="20"/>
              <w:spacing w:after="0"/>
              <w:rPr>
                <w:sz w:val="20"/>
                <w:szCs w:val="20"/>
                <w:color w:val="auto"/>
              </w:rPr>
            </w:pPr>
            <w:r>
              <w:rPr>
                <w:rFonts w:ascii="Arial" w:cs="Arial" w:eastAsia="Arial" w:hAnsi="Arial"/>
                <w:sz w:val="13"/>
                <w:szCs w:val="13"/>
                <w:color w:val="auto"/>
              </w:rPr>
              <w:t>Lancaster</w:t>
            </w:r>
          </w:p>
        </w:tc>
        <w:tc>
          <w:tcPr>
            <w:tcW w:w="2220" w:type="dxa"/>
            <w:vAlign w:val="bottom"/>
          </w:tcPr>
          <w:p>
            <w:pPr>
              <w:ind w:left="320"/>
              <w:spacing w:after="0"/>
              <w:rPr>
                <w:sz w:val="20"/>
                <w:szCs w:val="20"/>
                <w:color w:val="auto"/>
              </w:rPr>
            </w:pPr>
            <w:r>
              <w:rPr>
                <w:rFonts w:ascii="Arial" w:cs="Arial" w:eastAsia="Arial" w:hAnsi="Arial"/>
                <w:sz w:val="13"/>
                <w:szCs w:val="13"/>
                <w:color w:val="auto"/>
              </w:rPr>
              <w:t>(6)   Lancaster, PA</w:t>
            </w:r>
          </w:p>
        </w:tc>
        <w:tc>
          <w:tcPr>
            <w:tcW w:w="680" w:type="dxa"/>
            <w:vAlign w:val="bottom"/>
          </w:tcPr>
          <w:p>
            <w:pPr>
              <w:jc w:val="right"/>
              <w:spacing w:after="0"/>
              <w:rPr>
                <w:sz w:val="20"/>
                <w:szCs w:val="20"/>
                <w:color w:val="auto"/>
              </w:rPr>
            </w:pPr>
            <w:r>
              <w:rPr>
                <w:rFonts w:ascii="Arial" w:cs="Arial" w:eastAsia="Arial" w:hAnsi="Arial"/>
                <w:sz w:val="13"/>
                <w:szCs w:val="13"/>
                <w:color w:val="auto"/>
              </w:rPr>
              <w:t>1980</w:t>
            </w: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13,591</w:t>
            </w:r>
          </w:p>
        </w:tc>
        <w:tc>
          <w:tcPr>
            <w:tcW w:w="660" w:type="dxa"/>
            <w:vAlign w:val="bottom"/>
          </w:tcPr>
          <w:p>
            <w:pPr>
              <w:jc w:val="right"/>
              <w:ind w:right="59"/>
              <w:spacing w:after="0"/>
              <w:rPr>
                <w:sz w:val="20"/>
                <w:szCs w:val="20"/>
                <w:color w:val="auto"/>
              </w:rPr>
            </w:pPr>
            <w:r>
              <w:rPr>
                <w:rFonts w:ascii="Arial" w:cs="Arial" w:eastAsia="Arial" w:hAnsi="Arial"/>
                <w:sz w:val="13"/>
                <w:szCs w:val="13"/>
                <w:color w:val="auto"/>
              </w:rPr>
              <w:t>4,907</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127,000</w:t>
            </w:r>
          </w:p>
        </w:tc>
        <w:tc>
          <w:tcPr>
            <w:tcW w:w="520" w:type="dxa"/>
            <w:vAlign w:val="bottom"/>
          </w:tcPr>
          <w:p>
            <w:pPr>
              <w:jc w:val="right"/>
              <w:spacing w:after="0"/>
              <w:rPr>
                <w:sz w:val="20"/>
                <w:szCs w:val="20"/>
                <w:color w:val="auto"/>
              </w:rPr>
            </w:pPr>
            <w:r>
              <w:rPr>
                <w:rFonts w:ascii="Arial" w:cs="Arial" w:eastAsia="Arial" w:hAnsi="Arial"/>
                <w:sz w:val="13"/>
                <w:szCs w:val="13"/>
                <w:color w:val="auto"/>
              </w:rPr>
              <w:t>95%</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75,000</w:t>
            </w:r>
          </w:p>
        </w:tc>
        <w:tc>
          <w:tcPr>
            <w:tcW w:w="820" w:type="dxa"/>
            <w:vAlign w:val="bottom"/>
          </w:tcPr>
          <w:p>
            <w:pPr>
              <w:ind w:left="80"/>
              <w:spacing w:after="0"/>
              <w:rPr>
                <w:sz w:val="20"/>
                <w:szCs w:val="20"/>
                <w:color w:val="auto"/>
              </w:rPr>
            </w:pPr>
            <w:r>
              <w:rPr>
                <w:rFonts w:ascii="Arial" w:cs="Arial" w:eastAsia="Arial" w:hAnsi="Arial"/>
                <w:sz w:val="13"/>
                <w:szCs w:val="13"/>
                <w:color w:val="auto"/>
              </w:rPr>
              <w:t>Giant Food</w:t>
            </w:r>
          </w:p>
        </w:tc>
        <w:tc>
          <w:tcPr>
            <w:tcW w:w="3340" w:type="dxa"/>
            <w:vAlign w:val="bottom"/>
          </w:tcPr>
          <w:p>
            <w:pPr>
              <w:ind w:left="60"/>
              <w:spacing w:after="0"/>
              <w:rPr>
                <w:sz w:val="20"/>
                <w:szCs w:val="20"/>
                <w:color w:val="auto"/>
              </w:rPr>
            </w:pPr>
            <w:r>
              <w:rPr>
                <w:rFonts w:ascii="Arial" w:cs="Arial" w:eastAsia="Arial" w:hAnsi="Arial"/>
                <w:sz w:val="13"/>
                <w:szCs w:val="13"/>
                <w:color w:val="auto"/>
              </w:rPr>
              <w:t>Michaels</w:t>
            </w:r>
          </w:p>
        </w:tc>
      </w:tr>
      <w:tr>
        <w:trPr>
          <w:trHeight w:val="97"/>
        </w:trPr>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340" w:type="dxa"/>
            <w:vAlign w:val="bottom"/>
          </w:tcPr>
          <w:p>
            <w:pPr>
              <w:spacing w:after="0"/>
              <w:rPr>
                <w:sz w:val="8"/>
                <w:szCs w:val="8"/>
                <w:color w:val="auto"/>
              </w:rPr>
            </w:pPr>
          </w:p>
        </w:tc>
      </w:tr>
      <w:tr>
        <w:trPr>
          <w:trHeight w:val="173"/>
        </w:trPr>
        <w:tc>
          <w:tcPr>
            <w:tcW w:w="116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29th Place</w:t>
            </w:r>
          </w:p>
        </w:tc>
        <w:tc>
          <w:tcPr>
            <w:tcW w:w="2220" w:type="dxa"/>
            <w:vAlign w:val="bottom"/>
            <w:shd w:val="clear" w:color="auto" w:fill="CCEEFF"/>
          </w:tcPr>
          <w:p>
            <w:pPr>
              <w:ind w:left="640"/>
              <w:spacing w:after="0"/>
              <w:rPr>
                <w:sz w:val="20"/>
                <w:szCs w:val="20"/>
                <w:color w:val="auto"/>
              </w:rPr>
            </w:pPr>
            <w:r>
              <w:rPr>
                <w:rFonts w:ascii="Arial" w:cs="Arial" w:eastAsia="Arial" w:hAnsi="Arial"/>
                <w:sz w:val="13"/>
                <w:szCs w:val="13"/>
                <w:color w:val="auto"/>
              </w:rPr>
              <w:t>Charlottesville, VA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40,560</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4,704</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169,000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340" w:type="dxa"/>
            <w:vAlign w:val="bottom"/>
            <w:shd w:val="clear" w:color="auto" w:fill="CCEEFF"/>
          </w:tcPr>
          <w:p>
            <w:pPr>
              <w:ind w:left="60"/>
              <w:spacing w:after="0"/>
              <w:rPr>
                <w:sz w:val="20"/>
                <w:szCs w:val="20"/>
                <w:color w:val="auto"/>
              </w:rPr>
            </w:pPr>
            <w:r>
              <w:rPr>
                <w:rFonts w:ascii="Arial" w:cs="Arial" w:eastAsia="Arial" w:hAnsi="Arial"/>
                <w:sz w:val="13"/>
                <w:szCs w:val="13"/>
                <w:color w:val="auto"/>
              </w:rPr>
              <w:t>DSW / HomeGoods / Staples / Stein Mart</w:t>
            </w:r>
          </w:p>
        </w:tc>
      </w:tr>
      <w:tr>
        <w:trPr>
          <w:trHeight w:val="97"/>
        </w:trPr>
        <w:tc>
          <w:tcPr>
            <w:tcW w:w="2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22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340" w:type="dxa"/>
            <w:vAlign w:val="bottom"/>
            <w:shd w:val="clear" w:color="auto" w:fill="CCEEFF"/>
          </w:tcPr>
          <w:p>
            <w:pPr>
              <w:spacing w:after="0"/>
              <w:rPr>
                <w:sz w:val="8"/>
                <w:szCs w:val="8"/>
                <w:color w:val="auto"/>
              </w:rPr>
            </w:pPr>
          </w:p>
        </w:tc>
      </w:tr>
      <w:tr>
        <w:trPr>
          <w:trHeight w:val="173"/>
        </w:trPr>
        <w:tc>
          <w:tcPr>
            <w:tcW w:w="1160" w:type="dxa"/>
            <w:vAlign w:val="bottom"/>
            <w:gridSpan w:val="3"/>
          </w:tcPr>
          <w:p>
            <w:pPr>
              <w:ind w:left="20"/>
              <w:spacing w:after="0"/>
              <w:rPr>
                <w:sz w:val="20"/>
                <w:szCs w:val="20"/>
                <w:color w:val="auto"/>
              </w:rPr>
            </w:pPr>
            <w:r>
              <w:rPr>
                <w:rFonts w:ascii="Arial" w:cs="Arial" w:eastAsia="Arial" w:hAnsi="Arial"/>
                <w:sz w:val="13"/>
                <w:szCs w:val="13"/>
                <w:color w:val="auto"/>
              </w:rPr>
              <w:t>Willow Lawn</w:t>
            </w:r>
          </w:p>
        </w:tc>
        <w:tc>
          <w:tcPr>
            <w:tcW w:w="2220" w:type="dxa"/>
            <w:vAlign w:val="bottom"/>
          </w:tcPr>
          <w:p>
            <w:pPr>
              <w:ind w:left="640"/>
              <w:spacing w:after="0"/>
              <w:rPr>
                <w:sz w:val="20"/>
                <w:szCs w:val="20"/>
                <w:color w:val="auto"/>
              </w:rPr>
            </w:pPr>
            <w:r>
              <w:rPr>
                <w:rFonts w:ascii="Arial" w:cs="Arial" w:eastAsia="Arial" w:hAnsi="Arial"/>
                <w:sz w:val="13"/>
                <w:szCs w:val="13"/>
                <w:color w:val="auto"/>
              </w:rPr>
              <w:t>Richmond-Petersburg, VA</w:t>
            </w:r>
          </w:p>
        </w:tc>
        <w:tc>
          <w:tcPr>
            <w:tcW w:w="680" w:type="dxa"/>
            <w:vAlign w:val="bottom"/>
          </w:tcPr>
          <w:p>
            <w:pPr>
              <w:jc w:val="right"/>
              <w:spacing w:after="0"/>
              <w:rPr>
                <w:sz w:val="20"/>
                <w:szCs w:val="20"/>
                <w:color w:val="auto"/>
              </w:rPr>
            </w:pPr>
            <w:r>
              <w:rPr>
                <w:rFonts w:ascii="Arial" w:cs="Arial" w:eastAsia="Arial" w:hAnsi="Arial"/>
                <w:sz w:val="13"/>
                <w:szCs w:val="13"/>
                <w:color w:val="auto"/>
              </w:rPr>
              <w:t>1983</w:t>
            </w:r>
          </w:p>
        </w:tc>
        <w:tc>
          <w:tcPr>
            <w:tcW w:w="720" w:type="dxa"/>
            <w:vAlign w:val="bottom"/>
          </w:tcPr>
          <w:p>
            <w:pPr>
              <w:jc w:val="right"/>
              <w:ind w:right="58"/>
              <w:spacing w:after="0"/>
              <w:rPr>
                <w:sz w:val="20"/>
                <w:szCs w:val="20"/>
                <w:color w:val="auto"/>
              </w:rPr>
            </w:pPr>
            <w:r>
              <w:rPr>
                <w:rFonts w:ascii="Arial" w:cs="Arial" w:eastAsia="Arial" w:hAnsi="Arial"/>
                <w:sz w:val="13"/>
                <w:szCs w:val="13"/>
                <w:color w:val="auto"/>
              </w:rPr>
              <w:t>91,899</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445,000</w:t>
            </w:r>
          </w:p>
        </w:tc>
        <w:tc>
          <w:tcPr>
            <w:tcW w:w="520" w:type="dxa"/>
            <w:vAlign w:val="bottom"/>
          </w:tcPr>
          <w:p>
            <w:pPr>
              <w:jc w:val="right"/>
              <w:spacing w:after="0"/>
              <w:rPr>
                <w:sz w:val="20"/>
                <w:szCs w:val="20"/>
                <w:color w:val="auto"/>
              </w:rPr>
            </w:pPr>
            <w:r>
              <w:rPr>
                <w:rFonts w:ascii="Arial" w:cs="Arial" w:eastAsia="Arial" w:hAnsi="Arial"/>
                <w:sz w:val="13"/>
                <w:szCs w:val="13"/>
                <w:color w:val="auto"/>
              </w:rPr>
              <w:t>93%</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66,000</w:t>
            </w:r>
          </w:p>
        </w:tc>
        <w:tc>
          <w:tcPr>
            <w:tcW w:w="820" w:type="dxa"/>
            <w:vAlign w:val="bottom"/>
          </w:tcPr>
          <w:p>
            <w:pPr>
              <w:ind w:left="80"/>
              <w:spacing w:after="0"/>
              <w:rPr>
                <w:sz w:val="20"/>
                <w:szCs w:val="20"/>
                <w:color w:val="auto"/>
              </w:rPr>
            </w:pPr>
            <w:r>
              <w:rPr>
                <w:rFonts w:ascii="Arial" w:cs="Arial" w:eastAsia="Arial" w:hAnsi="Arial"/>
                <w:sz w:val="13"/>
                <w:szCs w:val="13"/>
                <w:color w:val="auto"/>
              </w:rPr>
              <w:t>Kroger</w:t>
            </w:r>
          </w:p>
        </w:tc>
        <w:tc>
          <w:tcPr>
            <w:tcW w:w="3340" w:type="dxa"/>
            <w:vAlign w:val="bottom"/>
          </w:tcPr>
          <w:p>
            <w:pPr>
              <w:ind w:left="60"/>
              <w:spacing w:after="0"/>
              <w:rPr>
                <w:sz w:val="20"/>
                <w:szCs w:val="20"/>
                <w:color w:val="auto"/>
              </w:rPr>
            </w:pPr>
            <w:r>
              <w:rPr>
                <w:rFonts w:ascii="Arial" w:cs="Arial" w:eastAsia="Arial" w:hAnsi="Arial"/>
                <w:sz w:val="13"/>
                <w:szCs w:val="13"/>
                <w:color w:val="auto"/>
              </w:rPr>
              <w:t>DSW / Old Navy / Staples / Ross Dress For Less</w:t>
            </w:r>
          </w:p>
        </w:tc>
      </w:tr>
      <w:tr>
        <w:trPr>
          <w:trHeight w:val="97"/>
        </w:trPr>
        <w:tc>
          <w:tcPr>
            <w:tcW w:w="20" w:type="dxa"/>
            <w:vAlign w:val="bottom"/>
            <w:tcBorders>
              <w:bottom w:val="single" w:sz="8" w:color="CCEEFF"/>
            </w:tcBorders>
          </w:tcPr>
          <w:p>
            <w:pPr>
              <w:spacing w:after="0"/>
              <w:rPr>
                <w:sz w:val="8"/>
                <w:szCs w:val="8"/>
                <w:color w:val="auto"/>
              </w:rPr>
            </w:pPr>
          </w:p>
        </w:tc>
        <w:tc>
          <w:tcPr>
            <w:tcW w:w="380" w:type="dxa"/>
            <w:vAlign w:val="bottom"/>
            <w:tcBorders>
              <w:bottom w:val="single" w:sz="8" w:color="CCEEFF"/>
            </w:tcBorders>
          </w:tcPr>
          <w:p>
            <w:pPr>
              <w:spacing w:after="0"/>
              <w:rPr>
                <w:sz w:val="8"/>
                <w:szCs w:val="8"/>
                <w:color w:val="auto"/>
              </w:rPr>
            </w:pPr>
          </w:p>
        </w:tc>
        <w:tc>
          <w:tcPr>
            <w:tcW w:w="760" w:type="dxa"/>
            <w:vAlign w:val="bottom"/>
            <w:tcBorders>
              <w:bottom w:val="single" w:sz="8" w:color="CCEEFF"/>
            </w:tcBorders>
          </w:tcPr>
          <w:p>
            <w:pPr>
              <w:spacing w:after="0"/>
              <w:rPr>
                <w:sz w:val="8"/>
                <w:szCs w:val="8"/>
                <w:color w:val="auto"/>
              </w:rPr>
            </w:pPr>
          </w:p>
        </w:tc>
        <w:tc>
          <w:tcPr>
            <w:tcW w:w="2220" w:type="dxa"/>
            <w:vAlign w:val="bottom"/>
            <w:tcBorders>
              <w:bottom w:val="single" w:sz="8" w:color="CCEEFF"/>
            </w:tcBorders>
          </w:tcPr>
          <w:p>
            <w:pPr>
              <w:spacing w:after="0"/>
              <w:rPr>
                <w:sz w:val="8"/>
                <w:szCs w:val="8"/>
                <w:color w:val="auto"/>
              </w:rPr>
            </w:pPr>
          </w:p>
        </w:tc>
        <w:tc>
          <w:tcPr>
            <w:tcW w:w="680" w:type="dxa"/>
            <w:vAlign w:val="bottom"/>
            <w:tcBorders>
              <w:bottom w:val="single" w:sz="8" w:color="CCEEFF"/>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820" w:type="dxa"/>
            <w:vAlign w:val="bottom"/>
            <w:tcBorders>
              <w:bottom w:val="single" w:sz="8" w:color="CCEEFF"/>
            </w:tcBorders>
          </w:tcPr>
          <w:p>
            <w:pPr>
              <w:spacing w:after="0"/>
              <w:rPr>
                <w:sz w:val="8"/>
                <w:szCs w:val="8"/>
                <w:color w:val="auto"/>
              </w:rPr>
            </w:pPr>
          </w:p>
        </w:tc>
        <w:tc>
          <w:tcPr>
            <w:tcW w:w="3340" w:type="dxa"/>
            <w:vAlign w:val="bottom"/>
            <w:tcBorders>
              <w:bottom w:val="single" w:sz="8" w:color="CCEEFF"/>
            </w:tcBorders>
          </w:tcPr>
          <w:p>
            <w:pPr>
              <w:spacing w:after="0"/>
              <w:rPr>
                <w:sz w:val="8"/>
                <w:szCs w:val="8"/>
                <w:color w:val="auto"/>
              </w:rPr>
            </w:pPr>
          </w:p>
        </w:tc>
      </w:tr>
      <w:tr>
        <w:trPr>
          <w:trHeight w:val="167"/>
        </w:trPr>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20" w:type="dxa"/>
            <w:vAlign w:val="bottom"/>
            <w:shd w:val="clear" w:color="auto" w:fill="CCEEFF"/>
          </w:tcPr>
          <w:p>
            <w:pPr>
              <w:ind w:left="640"/>
              <w:spacing w:after="0"/>
              <w:rPr>
                <w:sz w:val="20"/>
                <w:szCs w:val="20"/>
                <w:color w:val="auto"/>
              </w:rPr>
            </w:pPr>
            <w:r>
              <w:rPr>
                <w:rFonts w:ascii="Arial" w:cs="Arial" w:eastAsia="Arial" w:hAnsi="Arial"/>
                <w:sz w:val="13"/>
                <w:szCs w:val="13"/>
                <w:b w:val="1"/>
                <w:bCs w:val="1"/>
                <w:color w:val="auto"/>
              </w:rPr>
              <w:t>Total Other</w:t>
            </w:r>
          </w:p>
        </w:tc>
        <w:tc>
          <w:tcPr>
            <w:tcW w:w="6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285,389</w:t>
            </w:r>
          </w:p>
        </w:tc>
        <w:tc>
          <w:tcPr>
            <w:tcW w:w="6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1,874,000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340" w:type="dxa"/>
            <w:vAlign w:val="bottom"/>
            <w:shd w:val="clear" w:color="auto" w:fill="CCEEFF"/>
          </w:tcPr>
          <w:p>
            <w:pPr>
              <w:spacing w:after="0"/>
              <w:rPr>
                <w:sz w:val="14"/>
                <w:szCs w:val="14"/>
                <w:color w:val="auto"/>
              </w:rPr>
            </w:pPr>
          </w:p>
        </w:tc>
      </w:tr>
      <w:tr>
        <w:trPr>
          <w:trHeight w:val="84"/>
        </w:trPr>
        <w:tc>
          <w:tcPr>
            <w:tcW w:w="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340" w:type="dxa"/>
            <w:vAlign w:val="bottom"/>
            <w:shd w:val="clear" w:color="auto" w:fill="CCEEFF"/>
          </w:tcPr>
          <w:p>
            <w:pPr>
              <w:spacing w:after="0"/>
              <w:rPr>
                <w:sz w:val="7"/>
                <w:szCs w:val="7"/>
                <w:color w:val="auto"/>
              </w:rPr>
            </w:pPr>
          </w:p>
        </w:tc>
      </w:tr>
      <w:tr>
        <w:trPr>
          <w:trHeight w:val="135"/>
        </w:trPr>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340" w:type="dxa"/>
            <w:vAlign w:val="bottom"/>
            <w:tcBorders>
              <w:bottom w:val="single" w:sz="8" w:color="auto"/>
            </w:tcBorders>
          </w:tcPr>
          <w:p>
            <w:pPr>
              <w:spacing w:after="0"/>
              <w:rPr>
                <w:sz w:val="11"/>
                <w:szCs w:val="11"/>
                <w:color w:val="auto"/>
              </w:rPr>
            </w:pPr>
          </w:p>
        </w:tc>
      </w:tr>
      <w:tr>
        <w:trPr>
          <w:trHeight w:val="167"/>
        </w:trPr>
        <w:tc>
          <w:tcPr>
            <w:tcW w:w="1160" w:type="dxa"/>
            <w:vAlign w:val="bottom"/>
            <w:gridSpan w:val="3"/>
            <w:shd w:val="clear" w:color="auto" w:fill="CCEEFF"/>
          </w:tcPr>
          <w:p>
            <w:pPr>
              <w:ind w:left="20"/>
              <w:spacing w:after="0"/>
              <w:rPr>
                <w:sz w:val="20"/>
                <w:szCs w:val="20"/>
                <w:color w:val="auto"/>
              </w:rPr>
            </w:pPr>
            <w:r>
              <w:rPr>
                <w:rFonts w:ascii="Arial" w:cs="Arial" w:eastAsia="Arial" w:hAnsi="Arial"/>
                <w:sz w:val="13"/>
                <w:szCs w:val="13"/>
                <w:b w:val="1"/>
                <w:bCs w:val="1"/>
                <w:color w:val="auto"/>
              </w:rPr>
              <w:t>Grand Total</w:t>
            </w:r>
          </w:p>
        </w:tc>
        <w:tc>
          <w:tcPr>
            <w:tcW w:w="2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58"/>
              <w:spacing w:after="0"/>
              <w:rPr>
                <w:sz w:val="20"/>
                <w:szCs w:val="20"/>
                <w:color w:val="auto"/>
              </w:rPr>
            </w:pPr>
            <w:r>
              <w:rPr>
                <w:rFonts w:ascii="Arial" w:cs="Arial" w:eastAsia="Arial" w:hAnsi="Arial"/>
                <w:sz w:val="13"/>
                <w:szCs w:val="13"/>
                <w:b w:val="1"/>
                <w:bCs w:val="1"/>
                <w:color w:val="auto"/>
                <w:w w:val="84"/>
              </w:rPr>
              <w:t>$ 6,353,146</w:t>
            </w:r>
          </w:p>
        </w:tc>
        <w:tc>
          <w:tcPr>
            <w:tcW w:w="660" w:type="dxa"/>
            <w:vAlign w:val="bottom"/>
            <w:shd w:val="clear" w:color="auto" w:fill="CCEEFF"/>
          </w:tcPr>
          <w:p>
            <w:pPr>
              <w:jc w:val="right"/>
              <w:ind w:right="59"/>
              <w:spacing w:after="0"/>
              <w:rPr>
                <w:sz w:val="20"/>
                <w:szCs w:val="20"/>
                <w:color w:val="auto"/>
              </w:rPr>
            </w:pPr>
            <w:r>
              <w:rPr>
                <w:rFonts w:ascii="Arial" w:cs="Arial" w:eastAsia="Arial" w:hAnsi="Arial"/>
                <w:sz w:val="13"/>
                <w:szCs w:val="13"/>
                <w:b w:val="1"/>
                <w:bCs w:val="1"/>
                <w:color w:val="auto"/>
                <w:w w:val="89"/>
              </w:rPr>
              <w:t>$ 576,590</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w w:val="89"/>
              </w:rPr>
              <w:t>22,230,000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94%</w:t>
            </w: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340" w:type="dxa"/>
            <w:vAlign w:val="bottom"/>
            <w:shd w:val="clear" w:color="auto" w:fill="CCEEFF"/>
          </w:tcPr>
          <w:p>
            <w:pPr>
              <w:spacing w:after="0"/>
              <w:rPr>
                <w:sz w:val="14"/>
                <w:szCs w:val="14"/>
                <w:color w:val="auto"/>
              </w:rPr>
            </w:pPr>
          </w:p>
        </w:tc>
      </w:tr>
      <w:tr>
        <w:trPr>
          <w:trHeight w:val="97"/>
        </w:trPr>
        <w:tc>
          <w:tcPr>
            <w:tcW w:w="20" w:type="dxa"/>
            <w:vAlign w:val="bottom"/>
            <w:tcBorders>
              <w:bottom w:val="single" w:sz="8" w:color="auto"/>
            </w:tcBorders>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spacing w:after="0"/>
              <w:rPr>
                <w:sz w:val="8"/>
                <w:szCs w:val="8"/>
                <w:color w:val="auto"/>
              </w:rPr>
            </w:pPr>
          </w:p>
        </w:tc>
        <w:tc>
          <w:tcPr>
            <w:tcW w:w="760" w:type="dxa"/>
            <w:vAlign w:val="bottom"/>
            <w:tcBorders>
              <w:bottom w:val="single" w:sz="8" w:color="auto"/>
            </w:tcBorders>
            <w:shd w:val="clear" w:color="auto" w:fill="CCEEFF"/>
          </w:tcPr>
          <w:p>
            <w:pPr>
              <w:spacing w:after="0"/>
              <w:rPr>
                <w:sz w:val="8"/>
                <w:szCs w:val="8"/>
                <w:color w:val="auto"/>
              </w:rPr>
            </w:pPr>
          </w:p>
        </w:tc>
        <w:tc>
          <w:tcPr>
            <w:tcW w:w="222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72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52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spacing w:after="0"/>
              <w:rPr>
                <w:sz w:val="8"/>
                <w:szCs w:val="8"/>
                <w:color w:val="auto"/>
              </w:rPr>
            </w:pPr>
          </w:p>
        </w:tc>
        <w:tc>
          <w:tcPr>
            <w:tcW w:w="3340" w:type="dxa"/>
            <w:vAlign w:val="bottom"/>
            <w:tcBorders>
              <w:bottom w:val="single" w:sz="8" w:color="auto"/>
            </w:tcBorders>
            <w:shd w:val="clear" w:color="auto" w:fill="CCEEFF"/>
          </w:tcPr>
          <w:p>
            <w:pPr>
              <w:spacing w:after="0"/>
              <w:rPr>
                <w:sz w:val="8"/>
                <w:szCs w:val="8"/>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1360" w:right="120" w:hanging="1338"/>
        <w:spacing w:after="0" w:line="237" w:lineRule="auto"/>
        <w:tabs>
          <w:tab w:leader="none" w:pos="13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mortgage or capital lease obligations differ from the total reported on the consolidated balance sheet due to the unamortized discount or premium and/or debt issuance costs on certain mortgage payables.</w:t>
      </w:r>
    </w:p>
    <w:p>
      <w:pPr>
        <w:spacing w:after="0" w:line="28" w:lineRule="exact"/>
        <w:rPr>
          <w:rFonts w:ascii="Arial" w:cs="Arial" w:eastAsia="Arial" w:hAnsi="Arial"/>
          <w:sz w:val="13"/>
          <w:szCs w:val="13"/>
          <w:color w:val="auto"/>
        </w:rPr>
      </w:pPr>
    </w:p>
    <w:p>
      <w:pPr>
        <w:ind w:left="1360" w:hanging="1338"/>
        <w:spacing w:after="0"/>
        <w:tabs>
          <w:tab w:leader="none" w:pos="13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Excludes newly created redevelopment square footage not yet in service, as well as residential and hotel square footage.</w:t>
      </w:r>
    </w:p>
    <w:p>
      <w:pPr>
        <w:spacing w:after="0" w:line="39" w:lineRule="exact"/>
        <w:rPr>
          <w:rFonts w:ascii="Arial" w:cs="Arial" w:eastAsia="Arial" w:hAnsi="Arial"/>
          <w:sz w:val="13"/>
          <w:szCs w:val="13"/>
          <w:color w:val="auto"/>
        </w:rPr>
      </w:pPr>
    </w:p>
    <w:p>
      <w:pPr>
        <w:ind w:left="1360" w:hanging="1338"/>
        <w:spacing w:after="0"/>
        <w:tabs>
          <w:tab w:leader="none" w:pos="13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Trust has a controlling financial interest in this property.</w:t>
      </w:r>
    </w:p>
    <w:p>
      <w:pPr>
        <w:spacing w:after="0" w:line="39" w:lineRule="exact"/>
        <w:rPr>
          <w:rFonts w:ascii="Arial" w:cs="Arial" w:eastAsia="Arial" w:hAnsi="Arial"/>
          <w:sz w:val="13"/>
          <w:szCs w:val="13"/>
          <w:color w:val="auto"/>
        </w:rPr>
      </w:pPr>
    </w:p>
    <w:p>
      <w:pPr>
        <w:ind w:left="1360" w:hanging="1338"/>
        <w:spacing w:after="0"/>
        <w:tabs>
          <w:tab w:leader="none" w:pos="13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Portion of property is currently under development. See further discussion in the Pike &amp; Rose and Assembly Row schedule.</w:t>
      </w:r>
    </w:p>
    <w:p>
      <w:pPr>
        <w:spacing w:after="0" w:line="39" w:lineRule="exact"/>
        <w:rPr>
          <w:rFonts w:ascii="Arial" w:cs="Arial" w:eastAsia="Arial" w:hAnsi="Arial"/>
          <w:sz w:val="13"/>
          <w:szCs w:val="13"/>
          <w:color w:val="auto"/>
        </w:rPr>
      </w:pPr>
    </w:p>
    <w:p>
      <w:pPr>
        <w:ind w:left="1360" w:right="560" w:hanging="1338"/>
        <w:spacing w:after="0" w:line="237" w:lineRule="auto"/>
        <w:tabs>
          <w:tab w:leader="none" w:pos="13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All or a portion of the property is owned in a "downreit" partnership, of which a wholly owned subsidiary of the Trust is the sole general partner, with third party partners holding operating partnership units.</w:t>
      </w:r>
    </w:p>
    <w:p>
      <w:pPr>
        <w:spacing w:after="0" w:line="28" w:lineRule="exact"/>
        <w:rPr>
          <w:rFonts w:ascii="Arial" w:cs="Arial" w:eastAsia="Arial" w:hAnsi="Arial"/>
          <w:sz w:val="13"/>
          <w:szCs w:val="13"/>
          <w:color w:val="auto"/>
        </w:rPr>
      </w:pPr>
    </w:p>
    <w:p>
      <w:pPr>
        <w:ind w:left="1360" w:hanging="1338"/>
        <w:spacing w:after="0"/>
        <w:tabs>
          <w:tab w:leader="none" w:pos="13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All or a portion of the property subject to capital lease obligation.</w:t>
      </w:r>
    </w:p>
    <w:p>
      <w:pPr>
        <w:spacing w:after="0" w:line="39" w:lineRule="exact"/>
        <w:rPr>
          <w:rFonts w:ascii="Arial" w:cs="Arial" w:eastAsia="Arial" w:hAnsi="Arial"/>
          <w:sz w:val="13"/>
          <w:szCs w:val="13"/>
          <w:color w:val="auto"/>
        </w:rPr>
      </w:pPr>
    </w:p>
    <w:p>
      <w:pPr>
        <w:ind w:left="1360" w:hanging="1338"/>
        <w:spacing w:after="0"/>
        <w:tabs>
          <w:tab w:leader="none" w:pos="13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This property includes partial interests in eight buildings in addition to our initial acquisition.</w:t>
      </w:r>
    </w:p>
    <w:p>
      <w:pPr>
        <w:spacing w:after="0" w:line="39" w:lineRule="exact"/>
        <w:rPr>
          <w:rFonts w:ascii="Arial" w:cs="Arial" w:eastAsia="Arial" w:hAnsi="Arial"/>
          <w:sz w:val="13"/>
          <w:szCs w:val="13"/>
          <w:color w:val="auto"/>
        </w:rPr>
      </w:pPr>
    </w:p>
    <w:p>
      <w:pPr>
        <w:ind w:left="1360" w:right="280" w:hanging="1338"/>
        <w:spacing w:after="0" w:line="237" w:lineRule="auto"/>
        <w:tabs>
          <w:tab w:leader="none" w:pos="13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On January 13, 2016, we acquired the 70% controlling interest in these properties and now own the properties 100%. The year acquired reflects the year we first acquired an equity interest in the property.</w:t>
      </w: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60" w:top="747" w:right="239" w:bottom="1440" w:gutter="0" w:footer="0" w:header="0"/>
        </w:sectPr>
      </w:pPr>
    </w:p>
    <w:bookmarkStart w:id="25" w:name="page26"/>
    <w:bookmarkEnd w:id="25"/>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Retail Leasing Summary (1)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March 31, 2016</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2016</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398,820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33.53</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$ 29.67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1,541,181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12,405,156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31.10</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4th Quarter 2015</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380,714</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31.88</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$ 26.00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2,238,079</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16,261,721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42.71</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2015</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478,411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26.98</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$ 22.69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2,051,021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10,113,482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21.14</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2nd Quarter 2015</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296,946</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30.41</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$ 26.36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9"/>
              </w:rPr>
              <w:t>1,203,298</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8,780,682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29.57</w:t>
            </w: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326</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1,554,891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30.52</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$ 25.99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7,033,579</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8.1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47,561,041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30.59</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Arial" w:cs="Arial" w:eastAsia="Arial" w:hAnsi="Arial"/>
                <w:sz w:val="14"/>
                <w:szCs w:val="14"/>
                <w:b w:val="1"/>
                <w:bCs w:val="1"/>
                <w:color w:val="auto"/>
              </w:rPr>
              <w:t>New Lease Summary - Comparable (2)</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2016</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154,121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31.02</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$ 25.57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838,752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8,590,661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55.74</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4th Quarter 2015</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33%</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191,931</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30.57</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$ 21.14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w w:val="99"/>
              </w:rPr>
              <w:t>1,810,518</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14,704,178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76.61</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(7)</w:t>
            </w: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2015</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47%</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106,574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47.91</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$ 42.13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615,619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6,248,270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58.63</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2nd Quarter 2015</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35</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45%</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147,114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30.96</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$ 26.98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585,589</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9.3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6,812,702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46.31</w:t>
            </w: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599,740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33.86</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$ 27.44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3,850,478</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10.2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36,355,811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60.62</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Arial" w:cs="Arial" w:eastAsia="Arial" w:hAnsi="Arial"/>
                <w:sz w:val="14"/>
                <w:szCs w:val="14"/>
                <w:b w:val="1"/>
                <w:bCs w:val="1"/>
                <w:color w:val="auto"/>
                <w:w w:val="95"/>
              </w:rPr>
              <w:t>Renewal Lease Summary - Comparable (2) (8)</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2016</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67%</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244,699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35.12</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$ 32.25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702,429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3,814,495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15.59</w:t>
            </w:r>
          </w:p>
        </w:tc>
        <w:tc>
          <w:tcPr>
            <w:tcW w:w="360" w:type="dxa"/>
            <w:vAlign w:val="bottom"/>
            <w:shd w:val="clear" w:color="auto" w:fill="CCEEFF"/>
          </w:tcPr>
          <w:p>
            <w:pPr>
              <w:spacing w:after="0"/>
              <w:rPr>
                <w:sz w:val="21"/>
                <w:szCs w:val="21"/>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4th Quarter 2015</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67%</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188,783</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33.21</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$ 30.95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427,561</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1,557,543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8.25</w:t>
            </w:r>
          </w:p>
        </w:tc>
        <w:tc>
          <w:tcPr>
            <w:tcW w:w="36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2015</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53%</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371,837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20.98</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$ 17.12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1,435,402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3,865,212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10.39</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2nd Quarter 2015</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42</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55%</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149,832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29.87</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$ 25.75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617,709</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6.4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1,967,980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13.13</w:t>
            </w:r>
          </w:p>
        </w:tc>
        <w:tc>
          <w:tcPr>
            <w:tcW w:w="360" w:type="dxa"/>
            <w:vAlign w:val="bottom"/>
            <w:tcBorders>
              <w:bottom w:val="single" w:sz="8" w:color="auto"/>
            </w:tcBorders>
          </w:tcPr>
          <w:p>
            <w:pPr>
              <w:spacing w:after="0"/>
              <w:rPr>
                <w:sz w:val="22"/>
                <w:szCs w:val="2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198</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955,151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28.42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$ 25.08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3,183,101</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11,205,230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11.73</w:t>
            </w:r>
          </w:p>
        </w:tc>
        <w:tc>
          <w:tcPr>
            <w:tcW w:w="36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700" w:type="dxa"/>
            <w:vAlign w:val="bottom"/>
            <w:gridSpan w:val="13"/>
          </w:tcPr>
          <w:p>
            <w:pPr>
              <w:spacing w:after="0"/>
              <w:rPr>
                <w:sz w:val="20"/>
                <w:szCs w:val="20"/>
                <w:color w:val="auto"/>
              </w:rPr>
            </w:pPr>
            <w:r>
              <w:rPr>
                <w:rFonts w:ascii="Arial" w:cs="Arial" w:eastAsia="Arial" w:hAnsi="Arial"/>
                <w:sz w:val="14"/>
                <w:szCs w:val="14"/>
                <w:b w:val="1"/>
                <w:bCs w:val="1"/>
                <w:color w:val="auto"/>
              </w:rPr>
              <w:t>Total Lease Summary - Comparable and Non-comparable (2) (9)</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Number</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2"/>
              </w:rPr>
              <w:t>of Leases</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Rent (3) Per Sq.</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140" w:type="dxa"/>
            <w:vAlign w:val="bottom"/>
          </w:tcPr>
          <w:p>
            <w:pPr>
              <w:spacing w:after="0"/>
              <w:rPr>
                <w:sz w:val="12"/>
                <w:szCs w:val="12"/>
                <w:color w:val="auto"/>
              </w:rPr>
            </w:pPr>
          </w:p>
        </w:tc>
        <w:tc>
          <w:tcPr>
            <w:tcW w:w="1680" w:type="dxa"/>
            <w:vAlign w:val="bottom"/>
            <w:gridSpan w:val="4"/>
          </w:tcPr>
          <w:p>
            <w:pPr>
              <w:ind w:left="440"/>
              <w:spacing w:after="0"/>
              <w:rPr>
                <w:sz w:val="20"/>
                <w:szCs w:val="20"/>
                <w:color w:val="auto"/>
              </w:rPr>
            </w:pPr>
            <w:r>
              <w:rPr>
                <w:rFonts w:ascii="Arial" w:cs="Arial" w:eastAsia="Arial" w:hAnsi="Arial"/>
                <w:sz w:val="11"/>
                <w:szCs w:val="11"/>
                <w:b w:val="1"/>
                <w:bCs w:val="1"/>
                <w:color w:val="auto"/>
              </w:rPr>
              <w:t>GLA Signed</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Ft.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1st Quarter 2016</w:t>
            </w: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419,781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33.45</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14,483,247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34.50</w:t>
            </w:r>
          </w:p>
        </w:tc>
        <w:tc>
          <w:tcPr>
            <w:tcW w:w="360" w:type="dxa"/>
            <w:vAlign w:val="bottom"/>
            <w:shd w:val="clear" w:color="auto" w:fill="CCEEFF"/>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4th Quarter 2015</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gridSpan w:val="2"/>
          </w:tcPr>
          <w:p>
            <w:pPr>
              <w:jc w:val="right"/>
              <w:ind w:right="99"/>
              <w:spacing w:after="0"/>
              <w:rPr>
                <w:sz w:val="20"/>
                <w:szCs w:val="20"/>
                <w:color w:val="auto"/>
              </w:rPr>
            </w:pPr>
            <w:r>
              <w:rPr>
                <w:rFonts w:ascii="Arial" w:cs="Arial" w:eastAsia="Arial" w:hAnsi="Arial"/>
                <w:sz w:val="14"/>
                <w:szCs w:val="14"/>
                <w:color w:val="auto"/>
              </w:rPr>
              <w:t>439,061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31.87</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17,663,207</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40.23</w:t>
            </w:r>
          </w:p>
        </w:tc>
        <w:tc>
          <w:tcPr>
            <w:tcW w:w="36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3rd Quarter 2015</w:t>
            </w: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560,884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28.92</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12,254,941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21.85</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2nd Quarter 2015</w:t>
            </w: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85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color w:val="auto"/>
              </w:rPr>
              <w:t>313,887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31.66</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8.1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11,268,961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35.90</w:t>
            </w:r>
          </w:p>
        </w:tc>
        <w:tc>
          <w:tcPr>
            <w:tcW w:w="360" w:type="dxa"/>
            <w:vAlign w:val="bottom"/>
            <w:tcBorders>
              <w:bottom w:val="single" w:sz="8" w:color="auto"/>
            </w:tcBorders>
          </w:tcPr>
          <w:p>
            <w:pPr>
              <w:spacing w:after="0"/>
              <w:rPr>
                <w:sz w:val="22"/>
                <w:szCs w:val="2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371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1,733,613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31.26</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8.2</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55,670,356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32.11</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1280" w:hanging="1251"/>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Leases on this report represent retail activity only; office and residential leases are not included.</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Comparable leases represent those leases signed on spaces for which there was a former tenant.</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Contractual rent represents contractual minimum rent under the new lease for the first 12 months of the term.</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Prior rent represents minimum rent and percentage rent, if any, paid by the prior tenant in the final 12 months of the term.</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Weighted average is determined on the basis of contractual rent for the first 12 months of the term.</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See Glossary of Terms.</w:t>
      </w:r>
    </w:p>
    <w:p>
      <w:pPr>
        <w:spacing w:after="0" w:line="39" w:lineRule="exact"/>
        <w:rPr>
          <w:rFonts w:ascii="Arial" w:cs="Arial" w:eastAsia="Arial" w:hAnsi="Arial"/>
          <w:sz w:val="13"/>
          <w:szCs w:val="13"/>
          <w:color w:val="auto"/>
        </w:rPr>
      </w:pPr>
    </w:p>
    <w:p>
      <w:pPr>
        <w:jc w:val="both"/>
        <w:ind w:left="1280" w:right="120" w:hanging="1251"/>
        <w:spacing w:after="0" w:line="254" w:lineRule="auto"/>
        <w:tabs>
          <w:tab w:leader="none" w:pos="128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Approximately $5.2 million ($8.22 per square foot) in 1st Quarter 2016, $10.2 million ($21.74 per square foot) in 4th Quarter 2015, and $0.5 million ($0.72 per square foot) in 3rd Quarter 2015, and $0.5 million ($1.20 per square foot) in 2nd Quarter 2015 of the Tenant Improvements &amp; Incentives are for properties under active redevelopment (e.g. Congressional Plaza, Del Mar Village, Mercer Mall, Westgate Center) and are included in the Projected Cost for those projects on the Summary of Redevelopment Opportunities.</w:t>
      </w:r>
    </w:p>
    <w:p>
      <w:pPr>
        <w:spacing w:after="0" w:line="21" w:lineRule="exact"/>
        <w:rPr>
          <w:rFonts w:ascii="Arial" w:cs="Arial" w:eastAsia="Arial" w:hAnsi="Arial"/>
          <w:sz w:val="12"/>
          <w:szCs w:val="12"/>
          <w:color w:val="auto"/>
        </w:rPr>
      </w:pPr>
    </w:p>
    <w:p>
      <w:pPr>
        <w:ind w:left="1280" w:hanging="1251"/>
        <w:spacing w:after="0"/>
        <w:tabs>
          <w:tab w:leader="none" w:pos="12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Renewal leases represent expiring leases rolling over with the same tenant in the same location. All other leases are categorized as new.</w:t>
      </w:r>
    </w:p>
    <w:p>
      <w:pPr>
        <w:spacing w:after="0" w:line="39" w:lineRule="exact"/>
        <w:rPr>
          <w:rFonts w:ascii="Arial" w:cs="Arial" w:eastAsia="Arial" w:hAnsi="Arial"/>
          <w:sz w:val="13"/>
          <w:szCs w:val="13"/>
          <w:color w:val="auto"/>
        </w:rPr>
      </w:pPr>
    </w:p>
    <w:p>
      <w:pPr>
        <w:ind w:left="1280" w:right="60" w:hanging="1251"/>
        <w:spacing w:after="0" w:line="288" w:lineRule="auto"/>
        <w:tabs>
          <w:tab w:leader="none" w:pos="1280" w:val="left"/>
        </w:tabs>
        <w:numPr>
          <w:ilvl w:val="0"/>
          <w:numId w:val="16"/>
        </w:numPr>
        <w:rPr>
          <w:rFonts w:ascii="Arial" w:cs="Arial" w:eastAsia="Arial" w:hAnsi="Arial"/>
          <w:sz w:val="11"/>
          <w:szCs w:val="11"/>
          <w:color w:val="auto"/>
        </w:rPr>
      </w:pPr>
      <w:r>
        <w:rPr>
          <w:rFonts w:ascii="Arial" w:cs="Arial" w:eastAsia="Arial" w:hAnsi="Arial"/>
          <w:sz w:val="11"/>
          <w:szCs w:val="11"/>
          <w:color w:val="auto"/>
        </w:rPr>
        <w:t>The Number of Leases Signed, GLA Signed, Contractual Rent Per Sq Ft and Weighted Average Lease Term columns include information for leases signed at our Assembly Row and Pike &amp; Rose projects. The Tenant Improvements &amp; Incentives and Tenant Improvements &amp; Incentives Per Sq Ft columns do not include the tenant improvements and incentives on leases signed for those projects; these amounts for leases signed for Assembly Row and Pike &amp; Rose are included in the Projected Cost column for those projects shown on the Pike &amp; Rose and Assembly Row schedule.</w:t>
      </w:r>
    </w:p>
    <w:p>
      <w:pPr>
        <w:sectPr>
          <w:pgSz w:w="11900" w:h="16838" w:orient="portrait"/>
          <w:cols w:equalWidth="0" w:num="1">
            <w:col w:w="11380"/>
          </w:cols>
          <w:pgMar w:left="260" w:top="976" w:right="25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380"/>
          </w:cols>
          <w:pgMar w:left="260" w:top="976" w:right="259" w:bottom="1440" w:gutter="0" w:footer="0" w:header="0"/>
          <w:type w:val="continuous"/>
        </w:sectPr>
      </w:pPr>
    </w:p>
    <w:bookmarkStart w:id="26" w:name="page27"/>
    <w:bookmarkEnd w:id="26"/>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283845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38450" cy="18034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224,000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16.71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587,000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32.43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810,000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28.09</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1,384,000</w:t>
            </w: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18.04</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1,158,000</w:t>
            </w:r>
          </w:p>
        </w:tc>
        <w:tc>
          <w:tcPr>
            <w:tcW w:w="94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36.45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2,542,000</w:t>
            </w:r>
          </w:p>
        </w:tc>
        <w:tc>
          <w:tcPr>
            <w:tcW w:w="74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26.43</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1,071,000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38.53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2,576,000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24.90</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1,837,000</w:t>
            </w: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18.88</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898,000</w:t>
            </w: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36.97</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2,735,000</w:t>
            </w: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24.82</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1,157,000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16.48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1,014,000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38.38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2,171,000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26.71</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1,385,000</w:t>
            </w:r>
          </w:p>
        </w:tc>
        <w:tc>
          <w:tcPr>
            <w:tcW w:w="96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19.36</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868,000</w:t>
            </w: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38.70</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2,252,000</w:t>
            </w:r>
          </w:p>
        </w:tc>
        <w:tc>
          <w:tcPr>
            <w:tcW w:w="7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26.80</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16.13</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38.95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24.31</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410,000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21.65</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520,000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39.58</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930,000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31.68</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2024</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18.38</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494,000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42.71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1,062,000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29.71</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722,000</w:t>
            </w: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21.43</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589,000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37.00</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1,311,000</w:t>
            </w: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28.42</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2,139,000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19.99</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424,000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44.24</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2,563,000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24.00</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12,357,000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18.31</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8,196,000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38.16</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20,553,000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26.23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87"/>
              </w:rPr>
              <w:t>Assumes all lease options are exercised</w:t>
            </w:r>
          </w:p>
        </w:tc>
        <w:tc>
          <w:tcPr>
            <w:tcW w:w="2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4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19.40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445,000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32.49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510,000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30.83</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236,000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25.23</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680,000</w:t>
            </w:r>
          </w:p>
        </w:tc>
        <w:tc>
          <w:tcPr>
            <w:tcW w:w="9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38.02</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916,000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34.73</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16.17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604,000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40.11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34.24</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453,000</w:t>
            </w: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20.79</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571,000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38.02</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1,024,000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30.39</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21.22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606,000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37.85</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34.39</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334,000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21.42</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527,000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41.42</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861,000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33.67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25.84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571,000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35.59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33.51</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368,000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17.28</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451,000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40.21</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818,000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29.91</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2024</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18.02</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405,000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42.52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29.67</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247,000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19.19</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531,000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36.85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778,000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31.24</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9,697,000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17.82</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2,805,000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37.98</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12,503,000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22.34</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12,357,000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18.31</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8,196,000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38.16</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20,553,000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26.23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1160" w:hanging="1125"/>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Anchor is defined as a tenant leasing 15,000 square feet or more.</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Minimum Rent reflects in-place contractual (cash-basis) rent as of March 31, 2016.</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occupied square footage as of March 31, 2016.</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2" w:right="239" w:bottom="1440" w:gutter="0" w:footer="0" w:header="0"/>
        </w:sectPr>
      </w:pPr>
    </w:p>
    <w:bookmarkStart w:id="27" w:name="page28"/>
    <w:bookmarkEnd w:id="27"/>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Portfolio Leased Statistics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2016</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20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1"/>
              </w:rPr>
              <w:t>Overall Portfolio Statistics (1)</w:t>
            </w:r>
          </w:p>
        </w:tc>
        <w:tc>
          <w:tcPr>
            <w:tcW w:w="2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At March 31, 2016</w:t>
            </w:r>
          </w:p>
        </w:tc>
        <w:tc>
          <w:tcPr>
            <w:tcW w:w="6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3"/>
          </w:tcPr>
          <w:p>
            <w:pPr>
              <w:ind w:left="80"/>
              <w:spacing w:after="0"/>
              <w:rPr>
                <w:sz w:val="20"/>
                <w:szCs w:val="20"/>
                <w:color w:val="auto"/>
              </w:rPr>
            </w:pPr>
            <w:r>
              <w:rPr>
                <w:rFonts w:ascii="Arial" w:cs="Arial" w:eastAsia="Arial" w:hAnsi="Arial"/>
                <w:sz w:val="14"/>
                <w:szCs w:val="14"/>
                <w:b w:val="1"/>
                <w:bCs w:val="1"/>
                <w:color w:val="auto"/>
              </w:rPr>
              <w:t>At March 31, 2015</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466"/>
        </w:trPr>
        <w:tc>
          <w:tcPr>
            <w:tcW w:w="4520" w:type="dxa"/>
            <w:vAlign w:val="bottom"/>
            <w:gridSpan w:val="5"/>
          </w:tcPr>
          <w:p>
            <w:pPr>
              <w:ind w:left="40"/>
              <w:spacing w:after="0"/>
              <w:rPr>
                <w:sz w:val="20"/>
                <w:szCs w:val="20"/>
                <w:color w:val="auto"/>
              </w:rPr>
            </w:pPr>
            <w:r>
              <w:rPr>
                <w:rFonts w:ascii="Arial" w:cs="Arial" w:eastAsia="Arial" w:hAnsi="Arial"/>
                <w:sz w:val="16"/>
                <w:szCs w:val="16"/>
                <w:color w:val="auto"/>
              </w:rPr>
              <w:t>Type</w:t>
            </w:r>
          </w:p>
        </w:tc>
        <w:tc>
          <w:tcPr>
            <w:tcW w:w="1060" w:type="dxa"/>
            <w:vAlign w:val="bottom"/>
            <w:gridSpan w:val="3"/>
          </w:tcPr>
          <w:p>
            <w:pPr>
              <w:jc w:val="right"/>
              <w:ind w:right="40"/>
              <w:spacing w:after="0"/>
              <w:rPr>
                <w:sz w:val="20"/>
                <w:szCs w:val="20"/>
                <w:color w:val="auto"/>
              </w:rPr>
            </w:pPr>
            <w:r>
              <w:rPr>
                <w:rFonts w:ascii="Arial" w:cs="Arial" w:eastAsia="Arial" w:hAnsi="Arial"/>
                <w:sz w:val="16"/>
                <w:szCs w:val="16"/>
                <w:color w:val="auto"/>
              </w:rPr>
              <w:t>Size</w:t>
            </w:r>
          </w:p>
        </w:tc>
        <w:tc>
          <w:tcPr>
            <w:tcW w:w="1480" w:type="dxa"/>
            <w:vAlign w:val="bottom"/>
            <w:gridSpan w:val="3"/>
          </w:tcPr>
          <w:p>
            <w:pPr>
              <w:ind w:left="640"/>
              <w:spacing w:after="0"/>
              <w:rPr>
                <w:sz w:val="20"/>
                <w:szCs w:val="20"/>
                <w:color w:val="auto"/>
              </w:rPr>
            </w:pPr>
            <w:r>
              <w:rPr>
                <w:rFonts w:ascii="Arial" w:cs="Arial" w:eastAsia="Arial" w:hAnsi="Arial"/>
                <w:sz w:val="16"/>
                <w:szCs w:val="16"/>
                <w:color w:val="auto"/>
              </w:rPr>
              <w:t>Leased</w:t>
            </w:r>
          </w:p>
        </w:tc>
        <w:tc>
          <w:tcPr>
            <w:tcW w:w="9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w w:val="87"/>
              </w:rPr>
              <w:t>Leased %</w:t>
            </w:r>
          </w:p>
        </w:tc>
        <w:tc>
          <w:tcPr>
            <w:tcW w:w="1080" w:type="dxa"/>
            <w:vAlign w:val="bottom"/>
            <w:gridSpan w:val="3"/>
          </w:tcPr>
          <w:p>
            <w:pPr>
              <w:ind w:left="740"/>
              <w:spacing w:after="0"/>
              <w:rPr>
                <w:sz w:val="20"/>
                <w:szCs w:val="20"/>
                <w:color w:val="auto"/>
              </w:rPr>
            </w:pPr>
            <w:r>
              <w:rPr>
                <w:rFonts w:ascii="Arial" w:cs="Arial" w:eastAsia="Arial" w:hAnsi="Arial"/>
                <w:sz w:val="16"/>
                <w:szCs w:val="16"/>
                <w:color w:val="auto"/>
              </w:rPr>
              <w:t>Size</w:t>
            </w:r>
          </w:p>
        </w:tc>
        <w:tc>
          <w:tcPr>
            <w:tcW w:w="60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318"/>
        </w:trPr>
        <w:tc>
          <w:tcPr>
            <w:tcW w:w="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Retail Properties (2) (3) (4) (sf)</w:t>
            </w: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22,230,000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20,921,000</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94.1%</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20,746,000</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19,786,000</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95.4%</w:t>
            </w:r>
          </w:p>
        </w:tc>
      </w:tr>
      <w:tr>
        <w:trPr>
          <w:trHeight w:val="270"/>
        </w:trPr>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Residential Properties (units)</w:t>
            </w: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1,804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1,591</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88.2%</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97.2%</w:t>
            </w:r>
          </w:p>
        </w:tc>
      </w:tr>
      <w:tr>
        <w:trPr>
          <w:trHeight w:val="770"/>
        </w:trPr>
        <w:tc>
          <w:tcPr>
            <w:tcW w:w="40" w:type="dxa"/>
            <w:vAlign w:val="bottom"/>
          </w:tcPr>
          <w:p>
            <w:pPr>
              <w:spacing w:after="0"/>
              <w:rPr>
                <w:sz w:val="24"/>
                <w:szCs w:val="24"/>
                <w:color w:val="auto"/>
              </w:rPr>
            </w:pPr>
          </w:p>
        </w:tc>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9"/>
              </w:rPr>
              <w:t>Same Center Statistics (1)</w:t>
            </w:r>
          </w:p>
        </w:tc>
        <w:tc>
          <w:tcPr>
            <w:tcW w:w="270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At March 31, 2016</w:t>
            </w:r>
          </w:p>
        </w:tc>
        <w:tc>
          <w:tcPr>
            <w:tcW w:w="6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3"/>
          </w:tcPr>
          <w:p>
            <w:pPr>
              <w:ind w:left="80"/>
              <w:spacing w:after="0"/>
              <w:rPr>
                <w:sz w:val="20"/>
                <w:szCs w:val="20"/>
                <w:color w:val="auto"/>
              </w:rPr>
            </w:pPr>
            <w:r>
              <w:rPr>
                <w:rFonts w:ascii="Arial" w:cs="Arial" w:eastAsia="Arial" w:hAnsi="Arial"/>
                <w:sz w:val="14"/>
                <w:szCs w:val="14"/>
                <w:b w:val="1"/>
                <w:bCs w:val="1"/>
                <w:color w:val="auto"/>
              </w:rPr>
              <w:t>At March 31, 2015</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466"/>
        </w:trPr>
        <w:tc>
          <w:tcPr>
            <w:tcW w:w="4520" w:type="dxa"/>
            <w:vAlign w:val="bottom"/>
            <w:gridSpan w:val="5"/>
          </w:tcPr>
          <w:p>
            <w:pPr>
              <w:ind w:left="40"/>
              <w:spacing w:after="0"/>
              <w:rPr>
                <w:sz w:val="20"/>
                <w:szCs w:val="20"/>
                <w:color w:val="auto"/>
              </w:rPr>
            </w:pPr>
            <w:r>
              <w:rPr>
                <w:rFonts w:ascii="Arial" w:cs="Arial" w:eastAsia="Arial" w:hAnsi="Arial"/>
                <w:sz w:val="16"/>
                <w:szCs w:val="16"/>
                <w:color w:val="auto"/>
              </w:rPr>
              <w:t>Type</w:t>
            </w:r>
          </w:p>
        </w:tc>
        <w:tc>
          <w:tcPr>
            <w:tcW w:w="1060" w:type="dxa"/>
            <w:vAlign w:val="bottom"/>
            <w:gridSpan w:val="3"/>
          </w:tcPr>
          <w:p>
            <w:pPr>
              <w:jc w:val="right"/>
              <w:ind w:right="40"/>
              <w:spacing w:after="0"/>
              <w:rPr>
                <w:sz w:val="20"/>
                <w:szCs w:val="20"/>
                <w:color w:val="auto"/>
              </w:rPr>
            </w:pPr>
            <w:r>
              <w:rPr>
                <w:rFonts w:ascii="Arial" w:cs="Arial" w:eastAsia="Arial" w:hAnsi="Arial"/>
                <w:sz w:val="16"/>
                <w:szCs w:val="16"/>
                <w:color w:val="auto"/>
              </w:rPr>
              <w:t>Size</w:t>
            </w:r>
          </w:p>
        </w:tc>
        <w:tc>
          <w:tcPr>
            <w:tcW w:w="1480" w:type="dxa"/>
            <w:vAlign w:val="bottom"/>
            <w:gridSpan w:val="3"/>
          </w:tcPr>
          <w:p>
            <w:pPr>
              <w:ind w:left="640"/>
              <w:spacing w:after="0"/>
              <w:rPr>
                <w:sz w:val="20"/>
                <w:szCs w:val="20"/>
                <w:color w:val="auto"/>
              </w:rPr>
            </w:pPr>
            <w:r>
              <w:rPr>
                <w:rFonts w:ascii="Arial" w:cs="Arial" w:eastAsia="Arial" w:hAnsi="Arial"/>
                <w:sz w:val="16"/>
                <w:szCs w:val="16"/>
                <w:color w:val="auto"/>
              </w:rPr>
              <w:t>Leased</w:t>
            </w:r>
          </w:p>
        </w:tc>
        <w:tc>
          <w:tcPr>
            <w:tcW w:w="9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w w:val="87"/>
              </w:rPr>
              <w:t>Leased %</w:t>
            </w:r>
          </w:p>
        </w:tc>
        <w:tc>
          <w:tcPr>
            <w:tcW w:w="1080" w:type="dxa"/>
            <w:vAlign w:val="bottom"/>
            <w:gridSpan w:val="3"/>
          </w:tcPr>
          <w:p>
            <w:pPr>
              <w:ind w:left="740"/>
              <w:spacing w:after="0"/>
              <w:rPr>
                <w:sz w:val="20"/>
                <w:szCs w:val="20"/>
                <w:color w:val="auto"/>
              </w:rPr>
            </w:pPr>
            <w:r>
              <w:rPr>
                <w:rFonts w:ascii="Arial" w:cs="Arial" w:eastAsia="Arial" w:hAnsi="Arial"/>
                <w:sz w:val="16"/>
                <w:szCs w:val="16"/>
                <w:color w:val="auto"/>
              </w:rPr>
              <w:t>Size</w:t>
            </w:r>
          </w:p>
        </w:tc>
        <w:tc>
          <w:tcPr>
            <w:tcW w:w="60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318"/>
        </w:trPr>
        <w:tc>
          <w:tcPr>
            <w:tcW w:w="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Retail Properties (2) (4) (5) (sf)</w:t>
            </w:r>
          </w:p>
        </w:tc>
        <w:tc>
          <w:tcPr>
            <w:tcW w:w="10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15,856,000</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15,165,000</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95.6%</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15,832,000</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15,232,000</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96.2%</w:t>
            </w:r>
          </w:p>
        </w:tc>
      </w:tr>
      <w:tr>
        <w:trPr>
          <w:trHeight w:val="270"/>
        </w:trPr>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37"/>
        </w:trPr>
        <w:tc>
          <w:tcPr>
            <w:tcW w:w="452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Residential Properties (units) (5)</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1,326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1,266</w:t>
            </w:r>
          </w:p>
        </w:tc>
        <w:tc>
          <w:tcPr>
            <w:tcW w:w="38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95.5%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1,290</w:t>
            </w:r>
          </w:p>
        </w:tc>
        <w:tc>
          <w:tcPr>
            <w:tcW w:w="5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97.3%</w:t>
            </w:r>
          </w:p>
        </w:tc>
      </w:tr>
      <w:tr>
        <w:trPr>
          <w:trHeight w:val="33"/>
        </w:trPr>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67" w:lineRule="exact"/>
        <w:rPr>
          <w:sz w:val="20"/>
          <w:szCs w:val="20"/>
          <w:color w:val="auto"/>
        </w:rPr>
      </w:pPr>
    </w:p>
    <w:p>
      <w:pPr>
        <w:ind w:left="840" w:hanging="805"/>
        <w:spacing w:after="0"/>
        <w:tabs>
          <w:tab w:leader="none" w:pos="8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At March 31, 2016 leased percentage was 97.3% for anchor tenants and 89.7% for small shop tenants.</w:t>
      </w:r>
    </w:p>
    <w:p>
      <w:pPr>
        <w:spacing w:after="0" w:line="72" w:lineRule="exact"/>
        <w:rPr>
          <w:rFonts w:ascii="Arial" w:cs="Arial" w:eastAsia="Arial" w:hAnsi="Arial"/>
          <w:sz w:val="16"/>
          <w:szCs w:val="16"/>
          <w:color w:val="auto"/>
        </w:rPr>
      </w:pPr>
    </w:p>
    <w:p>
      <w:pPr>
        <w:ind w:left="840" w:right="160" w:hanging="805"/>
        <w:spacing w:after="0" w:line="293" w:lineRule="auto"/>
        <w:tabs>
          <w:tab w:leader="none" w:pos="8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Occupied percentage was 92.7% and 94.5% at March 31, 2016 and 2015, respectively, and same center occupied percentage was 94.6% and 95.5% at March 31, 2016 and 2015, respectively.</w:t>
      </w:r>
    </w:p>
    <w:p>
      <w:pPr>
        <w:spacing w:after="0" w:line="9" w:lineRule="exact"/>
        <w:rPr>
          <w:rFonts w:ascii="Arial" w:cs="Arial" w:eastAsia="Arial" w:hAnsi="Arial"/>
          <w:sz w:val="16"/>
          <w:szCs w:val="16"/>
          <w:color w:val="auto"/>
        </w:rPr>
      </w:pPr>
    </w:p>
    <w:p>
      <w:pPr>
        <w:ind w:left="840" w:right="240" w:hanging="805"/>
        <w:spacing w:after="0" w:line="293" w:lineRule="auto"/>
        <w:tabs>
          <w:tab w:leader="none" w:pos="8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Excludes properties purchased, sold or under redevelopment or development. Excludes the six properties discussed on page 18 under significant acquisitions as we did not consolidate the properties in 2015.</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2" w:right="239" w:bottom="1440" w:gutter="0" w:footer="0" w:header="0"/>
        </w:sectPr>
      </w:pPr>
    </w:p>
    <w:bookmarkStart w:id="28" w:name="page29"/>
    <w:bookmarkEnd w:id="28"/>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March 31, 2016</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Annualized Base</w:t>
            </w:r>
          </w:p>
        </w:tc>
        <w:tc>
          <w:tcPr>
            <w:tcW w:w="1560" w:type="dxa"/>
            <w:vAlign w:val="bottom"/>
          </w:tcPr>
          <w:p>
            <w:pPr>
              <w:jc w:val="right"/>
              <w:ind w:right="200"/>
              <w:spacing w:after="0"/>
              <w:rPr>
                <w:sz w:val="20"/>
                <w:szCs w:val="20"/>
                <w:color w:val="auto"/>
              </w:rPr>
            </w:pPr>
            <w:r>
              <w:rPr>
                <w:rFonts w:ascii="Arial" w:cs="Arial" w:eastAsia="Arial" w:hAnsi="Arial"/>
                <w:sz w:val="14"/>
                <w:szCs w:val="14"/>
                <w:b w:val="1"/>
                <w:bCs w:val="1"/>
                <w:color w:val="auto"/>
                <w:w w:val="96"/>
              </w:rPr>
              <w:t>Percentage of Total</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4"/>
              </w:rPr>
              <w:t>Percentage of</w:t>
            </w:r>
          </w:p>
        </w:tc>
        <w:tc>
          <w:tcPr>
            <w:tcW w:w="860" w:type="dxa"/>
            <w:vAlign w:val="bottom"/>
          </w:tcPr>
          <w:p>
            <w:pPr>
              <w:jc w:val="right"/>
              <w:ind w:right="2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54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Rank</w:t>
            </w:r>
          </w:p>
        </w:tc>
        <w:tc>
          <w:tcPr>
            <w:tcW w:w="47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Tenant Name</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560"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Annualized Base</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Tenant GLA</w:t>
            </w:r>
          </w:p>
        </w:tc>
        <w:tc>
          <w:tcPr>
            <w:tcW w:w="2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6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Stores</w:t>
            </w:r>
          </w:p>
        </w:tc>
        <w:tc>
          <w:tcPr>
            <w:tcW w:w="0" w:type="dxa"/>
            <w:vAlign w:val="bottom"/>
          </w:tcPr>
          <w:p>
            <w:pPr>
              <w:spacing w:after="0"/>
              <w:rPr>
                <w:sz w:val="1"/>
                <w:szCs w:val="1"/>
                <w:color w:val="auto"/>
              </w:rPr>
            </w:pPr>
          </w:p>
        </w:tc>
      </w:tr>
      <w:tr>
        <w:trPr>
          <w:trHeight w:val="192"/>
        </w:trPr>
        <w:tc>
          <w:tcPr>
            <w:tcW w:w="540" w:type="dxa"/>
            <w:vAlign w:val="bottom"/>
            <w:tcBorders>
              <w:bottom w:val="single" w:sz="8" w:color="auto"/>
            </w:tcBorders>
            <w:vMerge w:val="continue"/>
          </w:tcPr>
          <w:p>
            <w:pPr>
              <w:spacing w:after="0"/>
              <w:rPr>
                <w:sz w:val="16"/>
                <w:szCs w:val="16"/>
                <w:color w:val="auto"/>
              </w:rPr>
            </w:pPr>
          </w:p>
        </w:tc>
        <w:tc>
          <w:tcPr>
            <w:tcW w:w="47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Rent</w:t>
            </w:r>
          </w:p>
        </w:tc>
        <w:tc>
          <w:tcPr>
            <w:tcW w:w="15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Rent (3)</w:t>
            </w:r>
          </w:p>
        </w:tc>
        <w:tc>
          <w:tcPr>
            <w:tcW w:w="9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Total GLA (3)</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Ahold USA,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17,224,000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1,036,000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4780" w:type="dxa"/>
            <w:vAlign w:val="bottom"/>
          </w:tcPr>
          <w:p>
            <w:pPr>
              <w:ind w:left="180"/>
              <w:spacing w:after="0"/>
              <w:rPr>
                <w:sz w:val="20"/>
                <w:szCs w:val="20"/>
                <w:color w:val="auto"/>
              </w:rPr>
            </w:pPr>
            <w:r>
              <w:rPr>
                <w:rFonts w:ascii="Arial" w:cs="Arial" w:eastAsia="Arial" w:hAnsi="Arial"/>
                <w:sz w:val="16"/>
                <w:szCs w:val="16"/>
                <w:color w:val="auto"/>
              </w:rPr>
              <w:t>TJX Companies, The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13,555,000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2.51%</w:t>
            </w:r>
          </w:p>
        </w:tc>
        <w:tc>
          <w:tcPr>
            <w:tcW w:w="980" w:type="dxa"/>
            <w:vAlign w:val="bottom"/>
          </w:tcPr>
          <w:p>
            <w:pPr>
              <w:jc w:val="right"/>
              <w:spacing w:after="0"/>
              <w:rPr>
                <w:sz w:val="20"/>
                <w:szCs w:val="20"/>
                <w:color w:val="auto"/>
              </w:rPr>
            </w:pPr>
            <w:r>
              <w:rPr>
                <w:rFonts w:ascii="Arial" w:cs="Arial" w:eastAsia="Arial" w:hAnsi="Arial"/>
                <w:sz w:val="16"/>
                <w:szCs w:val="16"/>
                <w:color w:val="auto"/>
              </w:rPr>
              <w:t>795,000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3.58%</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Bed, Bath &amp; Beyond,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13,265,000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736,000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4780" w:type="dxa"/>
            <w:vAlign w:val="bottom"/>
          </w:tcPr>
          <w:p>
            <w:pPr>
              <w:ind w:left="180"/>
              <w:spacing w:after="0"/>
              <w:rPr>
                <w:sz w:val="20"/>
                <w:szCs w:val="20"/>
                <w:color w:val="auto"/>
              </w:rPr>
            </w:pPr>
            <w:r>
              <w:rPr>
                <w:rFonts w:ascii="Arial" w:cs="Arial" w:eastAsia="Arial" w:hAnsi="Arial"/>
                <w:sz w:val="16"/>
                <w:szCs w:val="16"/>
                <w:color w:val="auto"/>
              </w:rPr>
              <w:t>Gap, Inc., The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12,259,000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2.27%</w:t>
            </w:r>
          </w:p>
        </w:tc>
        <w:tc>
          <w:tcPr>
            <w:tcW w:w="980" w:type="dxa"/>
            <w:vAlign w:val="bottom"/>
          </w:tcPr>
          <w:p>
            <w:pPr>
              <w:jc w:val="right"/>
              <w:spacing w:after="0"/>
              <w:rPr>
                <w:sz w:val="20"/>
                <w:szCs w:val="20"/>
                <w:color w:val="auto"/>
              </w:rPr>
            </w:pPr>
            <w:r>
              <w:rPr>
                <w:rFonts w:ascii="Arial" w:cs="Arial" w:eastAsia="Arial" w:hAnsi="Arial"/>
                <w:sz w:val="16"/>
                <w:szCs w:val="16"/>
                <w:color w:val="auto"/>
              </w:rPr>
              <w:t>361,000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1.62%</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L.A. Fitness International LLC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8,662,000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4780" w:type="dxa"/>
            <w:vAlign w:val="bottom"/>
          </w:tcPr>
          <w:p>
            <w:pPr>
              <w:ind w:left="180"/>
              <w:spacing w:after="0"/>
              <w:rPr>
                <w:sz w:val="20"/>
                <w:szCs w:val="20"/>
                <w:color w:val="auto"/>
              </w:rPr>
            </w:pPr>
            <w:r>
              <w:rPr>
                <w:rFonts w:ascii="Arial" w:cs="Arial" w:eastAsia="Arial" w:hAnsi="Arial"/>
                <w:sz w:val="16"/>
                <w:szCs w:val="16"/>
                <w:color w:val="auto"/>
              </w:rPr>
              <w:t>CVS Corporation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7,954,000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1.47%</w:t>
            </w:r>
          </w:p>
        </w:tc>
        <w:tc>
          <w:tcPr>
            <w:tcW w:w="980" w:type="dxa"/>
            <w:vAlign w:val="bottom"/>
          </w:tcPr>
          <w:p>
            <w:pPr>
              <w:jc w:val="right"/>
              <w:spacing w:after="0"/>
              <w:rPr>
                <w:sz w:val="20"/>
                <w:szCs w:val="20"/>
                <w:color w:val="auto"/>
              </w:rPr>
            </w:pPr>
            <w:r>
              <w:rPr>
                <w:rFonts w:ascii="Arial" w:cs="Arial" w:eastAsia="Arial" w:hAnsi="Arial"/>
                <w:sz w:val="16"/>
                <w:szCs w:val="16"/>
                <w:color w:val="auto"/>
              </w:rPr>
              <w:t>194,000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0.87%</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AMC Entertainment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6,416,000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4780" w:type="dxa"/>
            <w:vAlign w:val="bottom"/>
          </w:tcPr>
          <w:p>
            <w:pPr>
              <w:ind w:left="180"/>
              <w:spacing w:after="0"/>
              <w:rPr>
                <w:sz w:val="20"/>
                <w:szCs w:val="20"/>
                <w:color w:val="auto"/>
              </w:rPr>
            </w:pPr>
            <w:r>
              <w:rPr>
                <w:rFonts w:ascii="Arial" w:cs="Arial" w:eastAsia="Arial" w:hAnsi="Arial"/>
                <w:sz w:val="16"/>
                <w:szCs w:val="16"/>
                <w:color w:val="auto"/>
              </w:rPr>
              <w:t>DSW,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6,105,000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1.13%</w:t>
            </w:r>
          </w:p>
        </w:tc>
        <w:tc>
          <w:tcPr>
            <w:tcW w:w="980" w:type="dxa"/>
            <w:vAlign w:val="bottom"/>
          </w:tcPr>
          <w:p>
            <w:pPr>
              <w:jc w:val="right"/>
              <w:spacing w:after="0"/>
              <w:rPr>
                <w:sz w:val="20"/>
                <w:szCs w:val="20"/>
                <w:color w:val="auto"/>
              </w:rPr>
            </w:pPr>
            <w:r>
              <w:rPr>
                <w:rFonts w:ascii="Arial" w:cs="Arial" w:eastAsia="Arial" w:hAnsi="Arial"/>
                <w:sz w:val="16"/>
                <w:szCs w:val="16"/>
                <w:color w:val="auto"/>
              </w:rPr>
              <w:t>214,000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0.96%</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Home Depot,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5,587,000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10</w:t>
            </w:r>
          </w:p>
        </w:tc>
        <w:tc>
          <w:tcPr>
            <w:tcW w:w="4780" w:type="dxa"/>
            <w:vAlign w:val="bottom"/>
          </w:tcPr>
          <w:p>
            <w:pPr>
              <w:ind w:left="180"/>
              <w:spacing w:after="0"/>
              <w:rPr>
                <w:sz w:val="20"/>
                <w:szCs w:val="20"/>
                <w:color w:val="auto"/>
              </w:rPr>
            </w:pPr>
            <w:r>
              <w:rPr>
                <w:rFonts w:ascii="Arial" w:cs="Arial" w:eastAsia="Arial" w:hAnsi="Arial"/>
                <w:sz w:val="16"/>
                <w:szCs w:val="16"/>
                <w:color w:val="auto"/>
              </w:rPr>
              <w:t>Barnes &amp; Noble,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5,417,000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1.00%</w:t>
            </w:r>
          </w:p>
        </w:tc>
        <w:tc>
          <w:tcPr>
            <w:tcW w:w="980" w:type="dxa"/>
            <w:vAlign w:val="bottom"/>
          </w:tcPr>
          <w:p>
            <w:pPr>
              <w:jc w:val="right"/>
              <w:spacing w:after="0"/>
              <w:rPr>
                <w:sz w:val="20"/>
                <w:szCs w:val="20"/>
                <w:color w:val="auto"/>
              </w:rPr>
            </w:pPr>
            <w:r>
              <w:rPr>
                <w:rFonts w:ascii="Arial" w:cs="Arial" w:eastAsia="Arial" w:hAnsi="Arial"/>
                <w:sz w:val="16"/>
                <w:szCs w:val="16"/>
                <w:color w:val="auto"/>
              </w:rPr>
              <w:t>244,000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1.10%</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Best Buy Stores, L.P.</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5,410,000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4780" w:type="dxa"/>
            <w:vAlign w:val="bottom"/>
          </w:tcPr>
          <w:p>
            <w:pPr>
              <w:ind w:left="180"/>
              <w:spacing w:after="0"/>
              <w:rPr>
                <w:sz w:val="20"/>
                <w:szCs w:val="20"/>
                <w:color w:val="auto"/>
              </w:rPr>
            </w:pPr>
            <w:r>
              <w:rPr>
                <w:rFonts w:ascii="Arial" w:cs="Arial" w:eastAsia="Arial" w:hAnsi="Arial"/>
                <w:sz w:val="16"/>
                <w:szCs w:val="16"/>
                <w:color w:val="auto"/>
              </w:rPr>
              <w:t>Michaels Stores,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5,223,000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0.97%</w:t>
            </w:r>
          </w:p>
        </w:tc>
        <w:tc>
          <w:tcPr>
            <w:tcW w:w="980" w:type="dxa"/>
            <w:vAlign w:val="bottom"/>
          </w:tcPr>
          <w:p>
            <w:pPr>
              <w:jc w:val="right"/>
              <w:spacing w:after="0"/>
              <w:rPr>
                <w:sz w:val="20"/>
                <w:szCs w:val="20"/>
                <w:color w:val="auto"/>
              </w:rPr>
            </w:pPr>
            <w:r>
              <w:rPr>
                <w:rFonts w:ascii="Arial" w:cs="Arial" w:eastAsia="Arial" w:hAnsi="Arial"/>
                <w:sz w:val="16"/>
                <w:szCs w:val="16"/>
                <w:color w:val="auto"/>
              </w:rPr>
              <w:t>286,000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1.29%</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Bank of America, N.A.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4,983,000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0.92%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4780" w:type="dxa"/>
            <w:vAlign w:val="bottom"/>
          </w:tcPr>
          <w:p>
            <w:pPr>
              <w:ind w:left="180"/>
              <w:spacing w:after="0"/>
              <w:rPr>
                <w:sz w:val="20"/>
                <w:szCs w:val="20"/>
                <w:color w:val="auto"/>
              </w:rPr>
            </w:pPr>
            <w:r>
              <w:rPr>
                <w:rFonts w:ascii="Arial" w:cs="Arial" w:eastAsia="Arial" w:hAnsi="Arial"/>
                <w:sz w:val="16"/>
                <w:szCs w:val="16"/>
                <w:color w:val="auto"/>
              </w:rPr>
              <w:t>Nordstrom,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4,808,000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0.89%</w:t>
            </w:r>
          </w:p>
        </w:tc>
        <w:tc>
          <w:tcPr>
            <w:tcW w:w="980" w:type="dxa"/>
            <w:vAlign w:val="bottom"/>
          </w:tcPr>
          <w:p>
            <w:pPr>
              <w:jc w:val="right"/>
              <w:spacing w:after="0"/>
              <w:rPr>
                <w:sz w:val="20"/>
                <w:szCs w:val="20"/>
                <w:color w:val="auto"/>
              </w:rPr>
            </w:pPr>
            <w:r>
              <w:rPr>
                <w:rFonts w:ascii="Arial" w:cs="Arial" w:eastAsia="Arial" w:hAnsi="Arial"/>
                <w:sz w:val="16"/>
                <w:szCs w:val="16"/>
                <w:color w:val="auto"/>
              </w:rPr>
              <w:t>195,000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0.88%</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Whole Foods Market,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4,425,000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0.82%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0.75%</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4780" w:type="dxa"/>
            <w:vAlign w:val="bottom"/>
          </w:tcPr>
          <w:p>
            <w:pPr>
              <w:ind w:left="180"/>
              <w:spacing w:after="0"/>
              <w:rPr>
                <w:sz w:val="20"/>
                <w:szCs w:val="20"/>
                <w:color w:val="auto"/>
              </w:rPr>
            </w:pPr>
            <w:r>
              <w:rPr>
                <w:rFonts w:ascii="Arial" w:cs="Arial" w:eastAsia="Arial" w:hAnsi="Arial"/>
                <w:sz w:val="16"/>
                <w:szCs w:val="16"/>
                <w:color w:val="auto"/>
              </w:rPr>
              <w:t>Dick's Sporting Goods,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4,402,000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0.82%</w:t>
            </w:r>
          </w:p>
        </w:tc>
        <w:tc>
          <w:tcPr>
            <w:tcW w:w="980" w:type="dxa"/>
            <w:vAlign w:val="bottom"/>
          </w:tcPr>
          <w:p>
            <w:pPr>
              <w:jc w:val="right"/>
              <w:spacing w:after="0"/>
              <w:rPr>
                <w:sz w:val="20"/>
                <w:szCs w:val="20"/>
                <w:color w:val="auto"/>
              </w:rPr>
            </w:pPr>
            <w:r>
              <w:rPr>
                <w:rFonts w:ascii="Arial" w:cs="Arial" w:eastAsia="Arial" w:hAnsi="Arial"/>
                <w:sz w:val="16"/>
                <w:szCs w:val="16"/>
                <w:color w:val="auto"/>
              </w:rPr>
              <w:t>206,000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0.93%</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Ross Stores,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4,193,000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24"/>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4780" w:type="dxa"/>
            <w:vAlign w:val="bottom"/>
          </w:tcPr>
          <w:p>
            <w:pPr>
              <w:ind w:left="180"/>
              <w:spacing w:after="0"/>
              <w:rPr>
                <w:sz w:val="20"/>
                <w:szCs w:val="20"/>
                <w:color w:val="auto"/>
              </w:rPr>
            </w:pPr>
            <w:r>
              <w:rPr>
                <w:rFonts w:ascii="Arial" w:cs="Arial" w:eastAsia="Arial" w:hAnsi="Arial"/>
                <w:sz w:val="16"/>
                <w:szCs w:val="16"/>
                <w:color w:val="auto"/>
              </w:rPr>
              <w:t>Kroger Co., The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4,119,000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0.76%</w:t>
            </w:r>
          </w:p>
        </w:tc>
        <w:tc>
          <w:tcPr>
            <w:tcW w:w="980" w:type="dxa"/>
            <w:vAlign w:val="bottom"/>
          </w:tcPr>
          <w:p>
            <w:pPr>
              <w:jc w:val="right"/>
              <w:spacing w:after="0"/>
              <w:rPr>
                <w:sz w:val="20"/>
                <w:szCs w:val="20"/>
                <w:color w:val="auto"/>
              </w:rPr>
            </w:pPr>
            <w:r>
              <w:rPr>
                <w:rFonts w:ascii="Arial" w:cs="Arial" w:eastAsia="Arial" w:hAnsi="Arial"/>
                <w:sz w:val="16"/>
                <w:szCs w:val="16"/>
                <w:color w:val="auto"/>
              </w:rPr>
              <w:t>356,000</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1.60%</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47"/>
        </w:trPr>
        <w:tc>
          <w:tcPr>
            <w:tcW w:w="540" w:type="dxa"/>
            <w:vAlign w:val="bottom"/>
          </w:tcPr>
          <w:p>
            <w:pPr>
              <w:spacing w:after="0"/>
              <w:rPr>
                <w:sz w:val="4"/>
                <w:szCs w:val="4"/>
                <w:color w:val="auto"/>
              </w:rPr>
            </w:pPr>
          </w:p>
        </w:tc>
        <w:tc>
          <w:tcPr>
            <w:tcW w:w="47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Staples,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3,844,000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0.80%</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20</w:t>
            </w:r>
          </w:p>
        </w:tc>
        <w:tc>
          <w:tcPr>
            <w:tcW w:w="4780" w:type="dxa"/>
            <w:vAlign w:val="bottom"/>
          </w:tcPr>
          <w:p>
            <w:pPr>
              <w:ind w:left="180"/>
              <w:spacing w:after="0"/>
              <w:rPr>
                <w:sz w:val="20"/>
                <w:szCs w:val="20"/>
                <w:color w:val="auto"/>
              </w:rPr>
            </w:pPr>
            <w:r>
              <w:rPr>
                <w:rFonts w:ascii="Arial" w:cs="Arial" w:eastAsia="Arial" w:hAnsi="Arial"/>
                <w:sz w:val="16"/>
                <w:szCs w:val="16"/>
                <w:color w:val="auto"/>
              </w:rPr>
              <w:t>AB Acquisition LLC (Acme, Safeway)</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3,790,000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0.70%</w:t>
            </w:r>
          </w:p>
        </w:tc>
        <w:tc>
          <w:tcPr>
            <w:tcW w:w="980" w:type="dxa"/>
            <w:vAlign w:val="bottom"/>
          </w:tcPr>
          <w:p>
            <w:pPr>
              <w:jc w:val="right"/>
              <w:spacing w:after="0"/>
              <w:rPr>
                <w:sz w:val="20"/>
                <w:szCs w:val="20"/>
                <w:color w:val="auto"/>
              </w:rPr>
            </w:pPr>
            <w:r>
              <w:rPr>
                <w:rFonts w:ascii="Arial" w:cs="Arial" w:eastAsia="Arial" w:hAnsi="Arial"/>
                <w:sz w:val="16"/>
                <w:szCs w:val="16"/>
                <w:color w:val="auto"/>
              </w:rPr>
              <w:t>404,000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1.82%</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Starbucks Corporation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3,614,000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22</w:t>
            </w:r>
          </w:p>
        </w:tc>
        <w:tc>
          <w:tcPr>
            <w:tcW w:w="4780" w:type="dxa"/>
            <w:vAlign w:val="bottom"/>
          </w:tcPr>
          <w:p>
            <w:pPr>
              <w:ind w:left="180"/>
              <w:spacing w:after="0"/>
              <w:rPr>
                <w:sz w:val="20"/>
                <w:szCs w:val="20"/>
                <w:color w:val="auto"/>
              </w:rPr>
            </w:pPr>
            <w:r>
              <w:rPr>
                <w:rFonts w:ascii="Arial" w:cs="Arial" w:eastAsia="Arial" w:hAnsi="Arial"/>
                <w:sz w:val="16"/>
                <w:szCs w:val="16"/>
                <w:color w:val="auto"/>
              </w:rPr>
              <w:t>Wells Fargo Bank, N.A.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3,550,000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0.66%</w:t>
            </w:r>
          </w:p>
        </w:tc>
        <w:tc>
          <w:tcPr>
            <w:tcW w:w="980" w:type="dxa"/>
            <w:vAlign w:val="bottom"/>
          </w:tcPr>
          <w:p>
            <w:pPr>
              <w:jc w:val="right"/>
              <w:spacing w:after="0"/>
              <w:rPr>
                <w:sz w:val="20"/>
                <w:szCs w:val="20"/>
                <w:color w:val="auto"/>
              </w:rPr>
            </w:pPr>
            <w:r>
              <w:rPr>
                <w:rFonts w:ascii="Arial" w:cs="Arial" w:eastAsia="Arial" w:hAnsi="Arial"/>
                <w:sz w:val="16"/>
                <w:szCs w:val="16"/>
                <w:color w:val="auto"/>
              </w:rPr>
              <w:t>48,000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0.22%</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Sports Authority Inc., The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3,418,000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0.63%</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540" w:type="dxa"/>
            <w:vAlign w:val="bottom"/>
          </w:tcPr>
          <w:p>
            <w:pPr>
              <w:jc w:val="right"/>
              <w:ind w:right="79"/>
              <w:spacing w:after="0"/>
              <w:rPr>
                <w:sz w:val="20"/>
                <w:szCs w:val="20"/>
                <w:color w:val="auto"/>
              </w:rPr>
            </w:pPr>
            <w:r>
              <w:rPr>
                <w:rFonts w:ascii="Arial" w:cs="Arial" w:eastAsia="Arial" w:hAnsi="Arial"/>
                <w:sz w:val="16"/>
                <w:szCs w:val="16"/>
                <w:color w:val="auto"/>
              </w:rPr>
              <w:t>24</w:t>
            </w:r>
          </w:p>
        </w:tc>
        <w:tc>
          <w:tcPr>
            <w:tcW w:w="4780" w:type="dxa"/>
            <w:vAlign w:val="bottom"/>
          </w:tcPr>
          <w:p>
            <w:pPr>
              <w:ind w:left="180"/>
              <w:spacing w:after="0"/>
              <w:rPr>
                <w:sz w:val="20"/>
                <w:szCs w:val="20"/>
                <w:color w:val="auto"/>
              </w:rPr>
            </w:pPr>
            <w:r>
              <w:rPr>
                <w:rFonts w:ascii="Arial" w:cs="Arial" w:eastAsia="Arial" w:hAnsi="Arial"/>
                <w:sz w:val="16"/>
                <w:szCs w:val="16"/>
                <w:color w:val="auto"/>
              </w:rPr>
              <w:t>PetSmart,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3,354,000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0.62%</w:t>
            </w:r>
          </w:p>
        </w:tc>
        <w:tc>
          <w:tcPr>
            <w:tcW w:w="980" w:type="dxa"/>
            <w:vAlign w:val="bottom"/>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0.67%</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JPMorgan Chase Bank</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3,264,000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58,000</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84"/>
        </w:trPr>
        <w:tc>
          <w:tcPr>
            <w:tcW w:w="540" w:type="dxa"/>
            <w:vAlign w:val="bottom"/>
            <w:tcBorders>
              <w:bottom w:val="single" w:sz="8" w:color="CCEEFF"/>
            </w:tcBorders>
          </w:tcPr>
          <w:p>
            <w:pPr>
              <w:spacing w:after="0"/>
              <w:rPr>
                <w:sz w:val="24"/>
                <w:szCs w:val="24"/>
                <w:color w:val="auto"/>
              </w:rPr>
            </w:pPr>
          </w:p>
        </w:tc>
        <w:tc>
          <w:tcPr>
            <w:tcW w:w="47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Totals - Top 25 Tenants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158,841,000</w:t>
            </w:r>
          </w:p>
        </w:tc>
        <w:tc>
          <w:tcPr>
            <w:tcW w:w="15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29.45%</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7,551,000</w:t>
            </w:r>
          </w:p>
        </w:tc>
        <w:tc>
          <w:tcPr>
            <w:tcW w:w="2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33.97%</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57"/>
        </w:trPr>
        <w:tc>
          <w:tcPr>
            <w:tcW w:w="540" w:type="dxa"/>
            <w:vAlign w:val="bottom"/>
            <w:shd w:val="clear" w:color="auto" w:fill="CCEEFF"/>
          </w:tcPr>
          <w:p>
            <w:pPr>
              <w:spacing w:after="0"/>
              <w:rPr>
                <w:sz w:val="22"/>
                <w:szCs w:val="22"/>
                <w:color w:val="auto"/>
              </w:rPr>
            </w:pPr>
          </w:p>
        </w:tc>
        <w:tc>
          <w:tcPr>
            <w:tcW w:w="47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4780" w:type="dxa"/>
            <w:vAlign w:val="bottom"/>
          </w:tcPr>
          <w:p>
            <w:pPr>
              <w:ind w:left="18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539,352,000</w:t>
            </w:r>
          </w:p>
        </w:tc>
        <w:tc>
          <w:tcPr>
            <w:tcW w:w="1560" w:type="dxa"/>
            <w:vAlign w:val="bottom"/>
          </w:tcPr>
          <w:p>
            <w:pPr>
              <w:jc w:val="right"/>
              <w:ind w:right="1220"/>
              <w:spacing w:after="0"/>
              <w:rPr>
                <w:sz w:val="20"/>
                <w:szCs w:val="20"/>
                <w:color w:val="auto"/>
              </w:rPr>
            </w:pPr>
            <w:r>
              <w:rPr>
                <w:rFonts w:ascii="Arial" w:cs="Arial" w:eastAsia="Arial" w:hAnsi="Arial"/>
                <w:sz w:val="16"/>
                <w:szCs w:val="16"/>
                <w:color w:val="auto"/>
              </w:rPr>
              <w:t>(1)</w:t>
            </w:r>
          </w:p>
        </w:tc>
        <w:tc>
          <w:tcPr>
            <w:tcW w:w="980" w:type="dxa"/>
            <w:vAlign w:val="bottom"/>
          </w:tcPr>
          <w:p>
            <w:pPr>
              <w:jc w:val="right"/>
              <w:spacing w:after="0"/>
              <w:rPr>
                <w:sz w:val="20"/>
                <w:szCs w:val="20"/>
                <w:color w:val="auto"/>
              </w:rPr>
            </w:pPr>
            <w:r>
              <w:rPr>
                <w:rFonts w:ascii="Arial" w:cs="Arial" w:eastAsia="Arial" w:hAnsi="Arial"/>
                <w:sz w:val="16"/>
                <w:szCs w:val="16"/>
                <w:color w:val="auto"/>
              </w:rPr>
              <w:t>22,230,000</w:t>
            </w:r>
          </w:p>
        </w:tc>
        <w:tc>
          <w:tcPr>
            <w:tcW w:w="280" w:type="dxa"/>
            <w:vAlign w:val="bottom"/>
          </w:tcPr>
          <w:p>
            <w:pPr>
              <w:jc w:val="right"/>
              <w:spacing w:after="0"/>
              <w:rPr>
                <w:sz w:val="20"/>
                <w:szCs w:val="20"/>
                <w:color w:val="auto"/>
              </w:rPr>
            </w:pPr>
            <w:r>
              <w:rPr>
                <w:rFonts w:ascii="Arial" w:cs="Arial" w:eastAsia="Arial" w:hAnsi="Arial"/>
                <w:sz w:val="16"/>
                <w:szCs w:val="16"/>
                <w:color w:val="auto"/>
              </w:rPr>
              <w:t>(2)</w:t>
            </w:r>
          </w:p>
        </w:tc>
        <w:tc>
          <w:tcPr>
            <w:tcW w:w="110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2,829</w:t>
            </w: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720" w:right="80" w:hanging="685"/>
        <w:spacing w:after="0" w:line="293" w:lineRule="auto"/>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Reflects aggregate, annualized in-place contractual (defined as cash-basis including adjustments for concessions) minimum rent for all occupied spaces as of March 31, 2016.</w:t>
      </w:r>
    </w:p>
    <w:p>
      <w:pPr>
        <w:spacing w:after="0" w:line="9" w:lineRule="exact"/>
        <w:rPr>
          <w:rFonts w:ascii="Arial" w:cs="Arial" w:eastAsia="Arial" w:hAnsi="Arial"/>
          <w:sz w:val="16"/>
          <w:szCs w:val="16"/>
          <w:color w:val="auto"/>
        </w:rPr>
      </w:pPr>
    </w:p>
    <w:p>
      <w:pPr>
        <w:ind w:left="720" w:hanging="685"/>
        <w:spacing w:after="0"/>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99" w:lineRule="exact"/>
        <w:rPr>
          <w:rFonts w:ascii="Arial" w:cs="Arial" w:eastAsia="Arial" w:hAnsi="Arial"/>
          <w:sz w:val="16"/>
          <w:szCs w:val="16"/>
          <w:color w:val="auto"/>
        </w:rPr>
      </w:pPr>
    </w:p>
    <w:p>
      <w:pPr>
        <w:ind w:left="720" w:hanging="685"/>
        <w:spacing w:after="0"/>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2" w:right="239"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Reconciliation of FFO Guidance</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March 31, 2016</w:t>
      </w:r>
    </w:p>
    <w:p>
      <w:pPr>
        <w:spacing w:after="0" w:line="351"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 provides a reconciliation of the range of estimated earnings per diluted share to estimated FFO per diluted share for the full year 2016.</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Estimates do not include the impact from potential acquisitions or dispositions which have not closed as of May 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5510530</wp:posOffset>
            </wp:positionH>
            <wp:positionV relativeFrom="paragraph">
              <wp:posOffset>177165</wp:posOffset>
            </wp:positionV>
            <wp:extent cx="17240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31"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2016 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5510530</wp:posOffset>
            </wp:positionH>
            <wp:positionV relativeFrom="paragraph">
              <wp:posOffset>23495</wp:posOffset>
            </wp:positionV>
            <wp:extent cx="1724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86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Low</w:t>
            </w: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High</w:t>
            </w: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Net income available to common shareholders, per diluted share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21"/>
                <w:szCs w:val="21"/>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3.56</w:t>
            </w:r>
          </w:p>
        </w:tc>
      </w:tr>
      <w:tr>
        <w:trPr>
          <w:trHeight w:val="27"/>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Gain on change in control of interests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(0.36)</w:t>
            </w:r>
          </w:p>
        </w:tc>
      </w:tr>
      <w:tr>
        <w:trPr>
          <w:trHeight w:val="27"/>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of real estate &amp; joint venture real estate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w:t>
            </w: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Amortization of initial direct costs of leases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0.22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0.22</w:t>
            </w:r>
          </w:p>
        </w:tc>
      </w:tr>
      <w:tr>
        <w:trPr>
          <w:trHeight w:val="27"/>
        </w:trPr>
        <w:tc>
          <w:tcPr>
            <w:tcW w:w="8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 other amounts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0.00</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0.00</w:t>
            </w:r>
          </w:p>
        </w:tc>
      </w:tr>
      <w:tr>
        <w:trPr>
          <w:trHeight w:val="257"/>
        </w:trPr>
        <w:tc>
          <w:tcPr>
            <w:tcW w:w="8640" w:type="dxa"/>
            <w:vAlign w:val="bottom"/>
          </w:tcPr>
          <w:p>
            <w:pPr>
              <w:ind w:left="20"/>
              <w:spacing w:after="0"/>
              <w:rPr>
                <w:sz w:val="20"/>
                <w:szCs w:val="20"/>
                <w:color w:val="auto"/>
              </w:rPr>
            </w:pPr>
            <w:r>
              <w:rPr>
                <w:rFonts w:ascii="Arial" w:cs="Arial" w:eastAsia="Arial" w:hAnsi="Arial"/>
                <w:sz w:val="18"/>
                <w:szCs w:val="18"/>
                <w:color w:val="auto"/>
              </w:rPr>
              <w:t>FFO per diluted share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5.65</w:t>
            </w:r>
          </w:p>
        </w:tc>
        <w:tc>
          <w:tcPr>
            <w:tcW w:w="2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5.71</w:t>
            </w:r>
          </w:p>
        </w:tc>
      </w:tr>
      <w:tr>
        <w:trPr>
          <w:trHeight w:val="20"/>
        </w:trPr>
        <w:tc>
          <w:tcPr>
            <w:tcW w:w="8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See Glossary of Terms. 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742" w:right="2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Adjusted EBITDA is a non-GAAP measure that means net income or loss plus depreciation and amortization, net interest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taxes, gain or loss on sale of real estate,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net income to EBITDA and Adjusted EBITDA for the three months ended March 31, 2016 and 2015 is as follows: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4"/>
          </w:tcPr>
          <w:p>
            <w:pPr>
              <w:jc w:val="center"/>
              <w:ind w:right="252"/>
              <w:spacing w:after="0"/>
              <w:rPr>
                <w:sz w:val="20"/>
                <w:szCs w:val="20"/>
                <w:color w:val="auto"/>
              </w:rPr>
            </w:pPr>
            <w:r>
              <w:rPr>
                <w:rFonts w:ascii="Arial" w:cs="Arial" w:eastAsia="Arial" w:hAnsi="Arial"/>
                <w:sz w:val="14"/>
                <w:szCs w:val="14"/>
                <w:b w:val="1"/>
                <w:bCs w:val="1"/>
                <w:color w:val="auto"/>
                <w:w w:val="93"/>
              </w:rPr>
              <w:t>Three Months Ended</w:t>
            </w:r>
          </w:p>
        </w:tc>
      </w:tr>
      <w:tr>
        <w:trPr>
          <w:trHeight w:val="276"/>
        </w:trPr>
        <w:tc>
          <w:tcPr>
            <w:tcW w:w="8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ind w:left="557"/>
              <w:spacing w:after="0"/>
              <w:rPr>
                <w:sz w:val="20"/>
                <w:szCs w:val="20"/>
                <w:color w:val="auto"/>
              </w:rPr>
            </w:pPr>
            <w:r>
              <w:rPr>
                <w:rFonts w:ascii="Arial" w:cs="Arial" w:eastAsia="Arial" w:hAnsi="Arial"/>
                <w:sz w:val="14"/>
                <w:szCs w:val="14"/>
                <w:b w:val="1"/>
                <w:bCs w:val="1"/>
                <w:color w:val="auto"/>
                <w:w w:val="95"/>
              </w:rPr>
              <w:t>March 31,</w:t>
            </w:r>
          </w:p>
        </w:tc>
        <w:tc>
          <w:tcPr>
            <w:tcW w:w="98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40" w:type="dxa"/>
            <w:vAlign w:val="bottom"/>
            <w:gridSpan w:val="3"/>
          </w:tcPr>
          <w:p>
            <w:pPr>
              <w:jc w:val="center"/>
              <w:ind w:left="577"/>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79,063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48,203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47,799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41,984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23,729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24,168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interest income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EBITDA</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150,488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114,326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Gain on change in control of interest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(25,726)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124,762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114,326</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 xml:space="preserve">Funds From Operations (FFO): </w:t>
      </w:r>
      <w:r>
        <w:rPr>
          <w:rFonts w:ascii="Arial" w:cs="Arial" w:eastAsia="Arial" w:hAnsi="Arial"/>
          <w:sz w:val="17"/>
          <w:szCs w:val="17"/>
          <w:color w:val="auto"/>
        </w:rPr>
        <w:t>FFO is a supplemental measure of real estate companies' operating performances. The National Association of Real Estate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Trusts (“NAREIT”) defines FFO as follows: net income, computed in accordance with GAAP plus real estate related depreciation and amortization and excluding extraordinary items,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and consolidated in reporting period.</w:t>
      </w:r>
    </w:p>
    <w:p>
      <w:pPr>
        <w:spacing w:after="0" w:line="225" w:lineRule="exact"/>
        <w:rPr>
          <w:sz w:val="20"/>
          <w:szCs w:val="20"/>
          <w:color w:val="auto"/>
        </w:rPr>
      </w:pPr>
    </w:p>
    <w:p>
      <w:pPr>
        <w:ind w:right="100"/>
        <w:spacing w:after="0" w:line="289" w:lineRule="auto"/>
        <w:rPr>
          <w:sz w:val="20"/>
          <w:szCs w:val="20"/>
          <w:color w:val="auto"/>
        </w:rPr>
      </w:pPr>
      <w:r>
        <w:rPr>
          <w:rFonts w:ascii="Arial" w:cs="Arial" w:eastAsia="Arial" w:hAnsi="Arial"/>
          <w:sz w:val="17"/>
          <w:szCs w:val="17"/>
          <w:b w:val="1"/>
          <w:bCs w:val="1"/>
          <w:color w:val="auto"/>
        </w:rPr>
        <w:t xml:space="preserve">Same Center: </w:t>
      </w:r>
      <w:r>
        <w:rPr>
          <w:rFonts w:ascii="Arial" w:cs="Arial" w:eastAsia="Arial" w:hAnsi="Arial"/>
          <w:sz w:val="17"/>
          <w:szCs w:val="17"/>
          <w:color w:val="auto"/>
        </w:rPr>
        <w:t>Information provided on a same center basis is provided for only those properties that were owned, operated, and consolidated for the entirety</w:t>
      </w:r>
      <w:r>
        <w:rPr>
          <w:rFonts w:ascii="Arial" w:cs="Arial" w:eastAsia="Arial" w:hAnsi="Arial"/>
          <w:sz w:val="17"/>
          <w:szCs w:val="17"/>
          <w:b w:val="1"/>
          <w:bCs w:val="1"/>
          <w:color w:val="auto"/>
        </w:rPr>
        <w:t xml:space="preserve"> </w:t>
      </w:r>
      <w:r>
        <w:rPr>
          <w:rFonts w:ascii="Arial" w:cs="Arial" w:eastAsia="Arial" w:hAnsi="Arial"/>
          <w:sz w:val="17"/>
          <w:szCs w:val="17"/>
          <w:color w:val="auto"/>
        </w:rPr>
        <w:t>of both periods being compared, excludes properties that were redeveloped, expanded or under development, unconsolidated properties, and properties purchased or sold at any time during the periods being compared. Same Center growth statistics are calculated on a GAAP basis.</w:t>
      </w:r>
    </w:p>
    <w:p>
      <w:pPr>
        <w:spacing w:after="0" w:line="158"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Tenant Improvements and Incentives: </w:t>
      </w:r>
      <w:r>
        <w:rPr>
          <w:rFonts w:ascii="Arial" w:cs="Arial" w:eastAsia="Arial" w:hAnsi="Arial"/>
          <w:sz w:val="17"/>
          <w:szCs w:val="17"/>
          <w:color w:val="auto"/>
        </w:rPr>
        <w:t>Represents not only the total dollars committed for the improvement (fit-out) of a space as it relates to a specific</w:t>
      </w:r>
      <w:r>
        <w:rPr>
          <w:rFonts w:ascii="Arial" w:cs="Arial" w:eastAsia="Arial" w:hAnsi="Arial"/>
          <w:sz w:val="17"/>
          <w:szCs w:val="17"/>
          <w:b w:val="1"/>
          <w:bCs w:val="1"/>
          <w:color w:val="auto"/>
        </w:rPr>
        <w:t xml:space="preserve"> </w:t>
      </w:r>
      <w:r>
        <w:rPr>
          <w:rFonts w:ascii="Arial" w:cs="Arial" w:eastAsia="Arial" w:hAnsi="Arial"/>
          <w:sz w:val="17"/>
          <w:szCs w:val="17"/>
          <w:color w:val="auto"/>
        </w:rPr>
        <w:t>lease and, except for redevelopments,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3"/>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2019-12-29T12:01:47Z</dcterms:created>
  <dcterms:modified xsi:type="dcterms:W3CDTF">2019-12-29T12:01:47Z</dcterms:modified>
</cp:coreProperties>
</file>