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8940"/>
        <w:spacing w:after="0"/>
        <w:rPr>
          <w:sz w:val="20"/>
          <w:szCs w:val="20"/>
          <w:color w:val="auto"/>
        </w:rPr>
      </w:pPr>
      <w:r>
        <w:rPr>
          <w:rFonts w:ascii="Arial" w:cs="Arial" w:eastAsia="Arial" w:hAnsi="Arial"/>
          <w:sz w:val="16"/>
          <w:szCs w:val="16"/>
          <w:b w:val="1"/>
          <w:bCs w:val="1"/>
          <w:color w:val="auto"/>
        </w:rPr>
        <w:t>Filed Pursuant to Rule 424(b)(5)</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3600" w:type="dxa"/>
            <w:vAlign w:val="bottom"/>
            <w:gridSpan w:val="2"/>
          </w:tcPr>
          <w:p>
            <w:pPr>
              <w:ind w:left="1480"/>
              <w:spacing w:after="0"/>
              <w:rPr>
                <w:sz w:val="20"/>
                <w:szCs w:val="20"/>
                <w:color w:val="auto"/>
              </w:rPr>
            </w:pPr>
            <w:r>
              <w:rPr>
                <w:rFonts w:ascii="Arial" w:cs="Arial" w:eastAsia="Arial" w:hAnsi="Arial"/>
                <w:sz w:val="18"/>
                <w:szCs w:val="18"/>
                <w:b w:val="1"/>
                <w:bCs w:val="1"/>
                <w:color w:val="auto"/>
                <w:w w:val="87"/>
              </w:rPr>
              <w:t>Registration No. 333-181236</w:t>
            </w:r>
          </w:p>
        </w:tc>
      </w:tr>
      <w:tr>
        <w:trPr>
          <w:trHeight w:val="366"/>
        </w:trPr>
        <w:tc>
          <w:tcPr>
            <w:tcW w:w="20" w:type="dxa"/>
            <w:vAlign w:val="bottom"/>
          </w:tcPr>
          <w:p>
            <w:pPr>
              <w:spacing w:after="0"/>
              <w:rPr>
                <w:sz w:val="24"/>
                <w:szCs w:val="24"/>
                <w:color w:val="auto"/>
              </w:rPr>
            </w:pPr>
          </w:p>
        </w:tc>
        <w:tc>
          <w:tcPr>
            <w:tcW w:w="7800" w:type="dxa"/>
            <w:vAlign w:val="bottom"/>
          </w:tcPr>
          <w:p>
            <w:pPr>
              <w:ind w:left="4000"/>
              <w:spacing w:after="0"/>
              <w:rPr>
                <w:sz w:val="20"/>
                <w:szCs w:val="20"/>
                <w:color w:val="auto"/>
              </w:rPr>
            </w:pPr>
            <w:r>
              <w:rPr>
                <w:rFonts w:ascii="Arial" w:cs="Arial" w:eastAsia="Arial" w:hAnsi="Arial"/>
                <w:sz w:val="18"/>
                <w:szCs w:val="18"/>
                <w:b w:val="1"/>
                <w:bCs w:val="1"/>
                <w:color w:val="auto"/>
              </w:rPr>
              <w:t>CALCULATION OF REGISTRATION FEE</w:t>
            </w:r>
          </w:p>
        </w:tc>
        <w:tc>
          <w:tcPr>
            <w:tcW w:w="19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Proposed</w:t>
            </w:r>
          </w:p>
        </w:tc>
        <w:tc>
          <w:tcPr>
            <w:tcW w:w="16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7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20" w:type="dxa"/>
            <w:vAlign w:val="bottom"/>
          </w:tcPr>
          <w:p>
            <w:pPr>
              <w:spacing w:after="0"/>
              <w:rPr>
                <w:sz w:val="15"/>
                <w:szCs w:val="15"/>
                <w:color w:val="auto"/>
              </w:rPr>
            </w:pPr>
          </w:p>
        </w:tc>
        <w:tc>
          <w:tcPr>
            <w:tcW w:w="7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Fee(1)</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Common Shares of Beneficial Interest, $0.01 par value</w:t>
            </w:r>
          </w:p>
        </w:tc>
        <w:tc>
          <w:tcPr>
            <w:tcW w:w="1920" w:type="dxa"/>
            <w:vAlign w:val="bottom"/>
          </w:tcPr>
          <w:p>
            <w:pPr>
              <w:jc w:val="center"/>
              <w:spacing w:after="0"/>
              <w:rPr>
                <w:sz w:val="20"/>
                <w:szCs w:val="20"/>
                <w:color w:val="auto"/>
              </w:rPr>
            </w:pPr>
            <w:r>
              <w:rPr>
                <w:rFonts w:ascii="Arial" w:cs="Arial" w:eastAsia="Arial" w:hAnsi="Arial"/>
                <w:sz w:val="18"/>
                <w:szCs w:val="18"/>
                <w:color w:val="auto"/>
                <w:w w:val="94"/>
              </w:rPr>
              <w:t>$  300,000,000</w:t>
            </w:r>
          </w:p>
        </w:tc>
        <w:tc>
          <w:tcPr>
            <w:tcW w:w="1680" w:type="dxa"/>
            <w:vAlign w:val="bottom"/>
          </w:tcPr>
          <w:p>
            <w:pPr>
              <w:jc w:val="right"/>
              <w:ind w:right="367"/>
              <w:spacing w:after="0"/>
              <w:rPr>
                <w:sz w:val="20"/>
                <w:szCs w:val="20"/>
                <w:color w:val="auto"/>
              </w:rPr>
            </w:pPr>
            <w:r>
              <w:rPr>
                <w:rFonts w:ascii="Arial" w:cs="Arial" w:eastAsia="Arial" w:hAnsi="Arial"/>
                <w:sz w:val="18"/>
                <w:szCs w:val="18"/>
                <w:color w:val="auto"/>
              </w:rPr>
              <w:t>$   38,640</w:t>
            </w:r>
          </w:p>
        </w:tc>
      </w:tr>
    </w:tbl>
    <w:p>
      <w:pPr>
        <w:spacing w:after="0" w:line="66" w:lineRule="exact"/>
        <w:rPr>
          <w:sz w:val="24"/>
          <w:szCs w:val="24"/>
          <w:color w:val="auto"/>
        </w:rPr>
      </w:pPr>
    </w:p>
    <w:p>
      <w:pPr>
        <w:ind w:left="460" w:right="62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is calculated in accordance with Rule 457(o) under the Securities Act, based on the proposed maximum aggregate offering price, and Rule 457(r) under the Securities Act.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MAY 8, 2012)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422910</wp:posOffset>
            </wp:positionV>
            <wp:extent cx="2152650" cy="823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entered into separate equity distribution agreements with each of Wells Fargo Securities, LLC and Merrill Lynch, Pierce, Fenner &amp; Smith Incorporated, or the Agents, relating to our common shares of beneficial interest, par value $.01 per share, offered by this prospectus supplement and the accompanying prospectus pursuant to a continuous offering program. In accordance with the terms of the equity distribution agreements, we may from time to time offer and sell common shares having an aggregate offering price of up to $300,000,000 through the Agents as our sales agents. Upon entering into these equity distribution agreements, we simultaneously terminated the equity distribution agreement we entered into with Wells Fargo Securities, LLC in connection with a prior “at the market” offering program established in May 2012.</w:t>
      </w:r>
    </w:p>
    <w:p>
      <w:pPr>
        <w:spacing w:after="0" w:line="3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common shares are listed on the New York Stock Exchange, or the NYSE, under the symbol “FRT.” On February 11, 2014, the last reported sale price of our common shares on the NYSE was $113.26 per share.</w:t>
      </w:r>
    </w:p>
    <w:p>
      <w:pPr>
        <w:spacing w:after="0" w:line="5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Sales of our common shares, if any, under this prospectus supplement and the accompanying prospectus may be made in negotiated transactions or transactions that are deemed to be “at the market” offerings, including sales made directly on the NYSE or sales made to or through a market maker other than on an exchange. The Agents are not required to sell any specific number or dollar amount of common shares, but as instructed by us will make all sales using commercially reasonable efforts, as our sales agents and subject to the terms of the equity distribution agreements. Our common shares to which this prospectus supplement relates will be sold through only one Agent on any given day. The offering of common shares pursuant to the equity distribution agreements will terminate upon the earlier of (1) the sale of common shares having an aggregate offering price of $300,000,000 and (2) with respect to a particular equity distribution agreement, the termination of such equity distribution agreement.</w:t>
      </w:r>
    </w:p>
    <w:p>
      <w:pPr>
        <w:spacing w:after="0" w:line="3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will pay each of the Agents a commission that will not exceed, but may be lower than, 2.0% of the gross sales price per common share sold through it under the applicable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rFonts w:ascii="Arial" w:cs="Arial" w:eastAsia="Arial" w:hAnsi="Arial"/>
          <w:sz w:val="24"/>
          <w:szCs w:val="24"/>
          <w:b w:val="1"/>
          <w:bCs w:val="1"/>
          <w:color w:val="auto"/>
        </w:rPr>
      </w:pPr>
      <w:r>
        <w:rPr>
          <w:rFonts w:ascii="Arial" w:cs="Arial" w:eastAsia="Arial" w:hAnsi="Arial"/>
          <w:sz w:val="24"/>
          <w:szCs w:val="24"/>
          <w:b w:val="1"/>
          <w:bCs w:val="1"/>
          <w:color w:val="auto"/>
        </w:rPr>
        <w:t>Investing in our common shares involves risks. See “</w:t>
      </w:r>
      <w:hyperlink w:anchor="page8">
        <w:r>
          <w:rPr>
            <w:rFonts w:ascii="Arial" w:cs="Arial" w:eastAsia="Arial" w:hAnsi="Arial"/>
            <w:sz w:val="24"/>
            <w:szCs w:val="24"/>
            <w:b w:val="1"/>
            <w:bCs w:val="1"/>
            <w:u w:val="single" w:color="auto"/>
            <w:color w:val="0000EE"/>
          </w:rPr>
          <w:t>Risk Factors</w:t>
        </w:r>
      </w:hyperlink>
      <w:r>
        <w:rPr>
          <w:rFonts w:ascii="Arial" w:cs="Arial" w:eastAsia="Arial" w:hAnsi="Arial"/>
          <w:sz w:val="24"/>
          <w:szCs w:val="24"/>
          <w:b w:val="1"/>
          <w:bCs w:val="1"/>
          <w:color w:val="auto"/>
        </w:rPr>
        <w:t>” beginning on page S-3 of this prospectus supplement and in our Annual Report on Form 10-K for the year ended December 31, 2013, filed with the Securities and Exchange Commission, or the SEC, on February 11, 2014.</w:t>
      </w:r>
    </w:p>
    <w:p>
      <w:pPr>
        <w:spacing w:after="0" w:line="116"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640" w:val="left"/>
        </w:tabs>
        <w:rPr>
          <w:sz w:val="20"/>
          <w:szCs w:val="20"/>
          <w:color w:val="auto"/>
        </w:rPr>
      </w:pPr>
      <w:r>
        <w:rPr>
          <w:rFonts w:ascii="Arial" w:cs="Arial" w:eastAsia="Arial" w:hAnsi="Arial"/>
          <w:sz w:val="32"/>
          <w:szCs w:val="32"/>
          <w:b w:val="1"/>
          <w:bCs w:val="1"/>
          <w:color w:val="auto"/>
        </w:rPr>
        <w:t>Wells Fargo Securities</w:t>
      </w:r>
      <w:r>
        <w:rPr>
          <w:sz w:val="20"/>
          <w:szCs w:val="20"/>
          <w:color w:val="auto"/>
        </w:rPr>
        <w:tab/>
      </w:r>
      <w:r>
        <w:rPr>
          <w:rFonts w:ascii="Arial" w:cs="Arial" w:eastAsia="Arial" w:hAnsi="Arial"/>
          <w:sz w:val="31"/>
          <w:szCs w:val="31"/>
          <w:b w:val="1"/>
          <w:bCs w:val="1"/>
          <w:color w:val="auto"/>
        </w:rPr>
        <w:t>BofA Merrill Lynch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February 12, 2014.</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TABLE OF CONTENTS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gridSpan w:val="10"/>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2460" w:type="dxa"/>
            <w:vAlign w:val="bottom"/>
            <w:gridSpan w:val="7"/>
            <w:vMerge w:val="restart"/>
          </w:tcPr>
          <w:p>
            <w:pPr>
              <w:spacing w:after="0"/>
              <w:rPr>
                <w:sz w:val="19"/>
                <w:szCs w:val="19"/>
                <w:color w:val="auto"/>
              </w:rPr>
            </w:pPr>
          </w:p>
        </w:tc>
        <w:tc>
          <w:tcPr>
            <w:tcW w:w="60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0000EE"/>
            </w:tcBorders>
            <w:gridSpan w:val="10"/>
            <w:vMerge w:val="continue"/>
          </w:tcPr>
          <w:p>
            <w:pPr>
              <w:spacing w:after="0"/>
              <w:rPr>
                <w:sz w:val="13"/>
                <w:szCs w:val="13"/>
                <w:color w:val="auto"/>
              </w:rPr>
            </w:pPr>
          </w:p>
        </w:tc>
        <w:tc>
          <w:tcPr>
            <w:tcW w:w="2460" w:type="dxa"/>
            <w:vAlign w:val="bottom"/>
            <w:gridSpan w:val="7"/>
            <w:vMerge w:val="continue"/>
          </w:tcPr>
          <w:p>
            <w:pPr>
              <w:spacing w:after="0"/>
              <w:rPr>
                <w:sz w:val="13"/>
                <w:szCs w:val="13"/>
                <w:color w:val="auto"/>
              </w:rPr>
            </w:pPr>
          </w:p>
        </w:tc>
        <w:tc>
          <w:tcPr>
            <w:tcW w:w="606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gridSpan w:val="17"/>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Statement Concerning Forward-Looking Statements</w:t>
              </w:r>
            </w:hyperlink>
          </w:p>
        </w:tc>
        <w:tc>
          <w:tcPr>
            <w:tcW w:w="60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17"/>
                <w:szCs w:val="17"/>
                <w:color w:val="auto"/>
              </w:rPr>
            </w:pPr>
          </w:p>
        </w:tc>
        <w:tc>
          <w:tcPr>
            <w:tcW w:w="40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4000" w:type="dxa"/>
            <w:vAlign w:val="bottom"/>
            <w:gridSpan w:val="15"/>
          </w:tcPr>
          <w:p>
            <w:pPr>
              <w:spacing w:after="0"/>
              <w:rPr>
                <w:sz w:val="17"/>
                <w:szCs w:val="17"/>
                <w:color w:val="auto"/>
              </w:rPr>
            </w:pPr>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490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Additional Material Federal Income Tax Considerations</w:t>
              </w:r>
            </w:hyperlink>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39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Plan of Distribution (Conflicts of Interest)</w:t>
              </w:r>
            </w:hyperlink>
          </w:p>
        </w:tc>
        <w:tc>
          <w:tcPr>
            <w:tcW w:w="96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Experts</w:t>
              </w:r>
            </w:hyperlink>
          </w:p>
        </w:tc>
        <w:tc>
          <w:tcPr>
            <w:tcW w:w="1940" w:type="dxa"/>
            <w:vAlign w:val="bottom"/>
            <w:gridSpan w:val="5"/>
          </w:tcPr>
          <w:p>
            <w:pPr>
              <w:spacing w:after="0"/>
              <w:rPr>
                <w:sz w:val="17"/>
                <w:szCs w:val="17"/>
                <w:color w:val="auto"/>
              </w:rPr>
            </w:pPr>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Legal Matters</w:t>
              </w:r>
            </w:hyperlink>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gridSpan w:val="3"/>
          </w:tcPr>
          <w:p>
            <w:pPr>
              <w:jc w:val="right"/>
              <w:ind w:right="522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20"/>
        </w:trPr>
        <w:tc>
          <w:tcPr>
            <w:tcW w:w="4900" w:type="dxa"/>
            <w:vAlign w:val="bottom"/>
            <w:gridSpan w:val="17"/>
            <w:vMerge w:val="restart"/>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About this Prospectus</w:t>
              </w:r>
            </w:hyperlink>
          </w:p>
        </w:tc>
        <w:tc>
          <w:tcPr>
            <w:tcW w:w="60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4900" w:type="dxa"/>
            <w:vAlign w:val="bottom"/>
            <w:gridSpan w:val="17"/>
            <w:vMerge w:val="continue"/>
          </w:tcPr>
          <w:p>
            <w:pPr>
              <w:spacing w:after="0"/>
              <w:rPr>
                <w:sz w:val="13"/>
                <w:szCs w:val="13"/>
                <w:color w:val="auto"/>
              </w:rPr>
            </w:pPr>
          </w:p>
        </w:tc>
        <w:tc>
          <w:tcPr>
            <w:tcW w:w="606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Forward-Looking Statements</w:t>
              </w:r>
            </w:hyperlink>
          </w:p>
        </w:tc>
        <w:tc>
          <w:tcPr>
            <w:tcW w:w="2820" w:type="dxa"/>
            <w:vAlign w:val="bottom"/>
            <w:gridSpan w:val="10"/>
          </w:tcPr>
          <w:p>
            <w:pPr>
              <w:spacing w:after="0"/>
              <w:rPr>
                <w:sz w:val="18"/>
                <w:szCs w:val="18"/>
                <w:color w:val="auto"/>
              </w:rPr>
            </w:pP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Prospectus Summary</w:t>
              </w:r>
            </w:hyperlink>
          </w:p>
        </w:tc>
        <w:tc>
          <w:tcPr>
            <w:tcW w:w="3360" w:type="dxa"/>
            <w:vAlign w:val="bottom"/>
            <w:gridSpan w:val="11"/>
          </w:tcPr>
          <w:p>
            <w:pPr>
              <w:spacing w:after="0"/>
              <w:rPr>
                <w:sz w:val="17"/>
                <w:szCs w:val="17"/>
                <w:color w:val="auto"/>
              </w:rPr>
            </w:pPr>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4000" w:type="dxa"/>
            <w:vAlign w:val="bottom"/>
            <w:gridSpan w:val="15"/>
          </w:tcPr>
          <w:p>
            <w:pPr>
              <w:spacing w:after="0"/>
              <w:rPr>
                <w:sz w:val="17"/>
                <w:szCs w:val="17"/>
                <w:color w:val="auto"/>
              </w:rPr>
            </w:pPr>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Description of Debt Securities</w:t>
              </w:r>
            </w:hyperlink>
          </w:p>
        </w:tc>
        <w:tc>
          <w:tcPr>
            <w:tcW w:w="2760" w:type="dxa"/>
            <w:vAlign w:val="bottom"/>
            <w:gridSpan w:val="9"/>
          </w:tcPr>
          <w:p>
            <w:pPr>
              <w:spacing w:after="0"/>
              <w:rPr>
                <w:sz w:val="17"/>
                <w:szCs w:val="17"/>
                <w:color w:val="auto"/>
              </w:rPr>
            </w:pPr>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Description of Shares of Beneficial Interest</w:t>
              </w:r>
            </w:hyperlink>
          </w:p>
        </w:tc>
        <w:tc>
          <w:tcPr>
            <w:tcW w:w="1840" w:type="dxa"/>
            <w:vAlign w:val="bottom"/>
            <w:gridSpan w:val="4"/>
          </w:tcPr>
          <w:p>
            <w:pPr>
              <w:spacing w:after="0"/>
              <w:rPr>
                <w:sz w:val="17"/>
                <w:szCs w:val="17"/>
                <w:color w:val="auto"/>
              </w:rPr>
            </w:pPr>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Material Federal Income Tax Considerations</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Plan of Distribution</w:t>
              </w:r>
            </w:hyperlink>
          </w:p>
        </w:tc>
        <w:tc>
          <w:tcPr>
            <w:tcW w:w="1760" w:type="dxa"/>
            <w:vAlign w:val="bottom"/>
            <w:gridSpan w:val="3"/>
          </w:tcPr>
          <w:p>
            <w:pPr>
              <w:spacing w:after="0"/>
              <w:rPr>
                <w:sz w:val="17"/>
                <w:szCs w:val="17"/>
                <w:color w:val="auto"/>
              </w:rPr>
            </w:pPr>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Legal Matters</w:t>
              </w:r>
            </w:hyperlink>
          </w:p>
        </w:tc>
        <w:tc>
          <w:tcPr>
            <w:tcW w:w="3500" w:type="dxa"/>
            <w:vAlign w:val="bottom"/>
            <w:gridSpan w:val="12"/>
          </w:tcPr>
          <w:p>
            <w:pPr>
              <w:spacing w:after="0"/>
              <w:rPr>
                <w:sz w:val="17"/>
                <w:szCs w:val="17"/>
                <w:color w:val="auto"/>
              </w:rPr>
            </w:pPr>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Experts</w:t>
              </w:r>
            </w:hyperlink>
          </w:p>
        </w:tc>
        <w:tc>
          <w:tcPr>
            <w:tcW w:w="3920" w:type="dxa"/>
            <w:vAlign w:val="bottom"/>
            <w:gridSpan w:val="14"/>
          </w:tcPr>
          <w:p>
            <w:pPr>
              <w:spacing w:after="0"/>
              <w:rPr>
                <w:sz w:val="17"/>
                <w:szCs w:val="17"/>
                <w:color w:val="auto"/>
              </w:rPr>
            </w:pPr>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Where You Can Find More Information</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96"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5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supplement, the accompanying prospectus and any related free writing prospectus required to be filed with the SEC. We have not, nor have the Agents, authorized any other person to provide you with additional or different information. If anyone provides you with additional or different information, you should not rely on it. We are not, nor are the Agents, making an offer to sell the common shares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or incorporated by reference into this prospectus supplement and the accompanying prospectus describe forward-looking information. The risk factors contained in our Annual Report on Form 10-K for the year ended December 31, 2013, filed with the Securities and Exchange Commission, or the SEC, on February 11, 2014,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900" w:right="4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5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by reference into this prospectus supplement and the accompanying prospectus. We also make no promise to update any of the forward-looking statements, or to publicly release the results if we revise any of them.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51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3151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96"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Trust</w:t>
      </w:r>
    </w:p>
    <w:p>
      <w:pPr>
        <w:spacing w:after="0" w:line="96" w:lineRule="exact"/>
        <w:rPr>
          <w:sz w:val="20"/>
          <w:szCs w:val="20"/>
          <w:color w:val="auto"/>
        </w:rPr>
      </w:pPr>
    </w:p>
    <w:p>
      <w:pPr>
        <w:jc w:val="both"/>
        <w:ind w:left="200" w:right="40" w:firstLine="443"/>
        <w:spacing w:after="0" w:line="259" w:lineRule="auto"/>
        <w:rPr>
          <w:sz w:val="20"/>
          <w:szCs w:val="20"/>
          <w:color w:val="auto"/>
        </w:rPr>
      </w:pPr>
      <w:r>
        <w:rPr>
          <w:rFonts w:ascii="Arial" w:cs="Arial" w:eastAsia="Arial" w:hAnsi="Arial"/>
          <w:sz w:val="18"/>
          <w:szCs w:val="18"/>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w:t>
      </w:r>
    </w:p>
    <w:p>
      <w:pPr>
        <w:spacing w:after="0" w:line="59"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As of December 31, 2013, we owned or had a majority interest in community and neighborhood shopping centers and mixed-use properties which are operated as 87 predominantly retail real estate projects comprising approximately 19.5 million square feet. In total, the real estate projects were 95.8% leased and 95.1% occupied at December 31, 2013. A joint venture in which we own a 30% interest owned seven retail real estate projects totaling approximately 1.0 million square feet as of December 31, 2013. In total, the joint venture properties in which we own an interest were 84.9% leased and occupied at December 31, 2013. We have paid quarterly dividends to our shareholders continuously since our founding in 1962 and have increased our dividends per common share for 46 consecutive years.</w:t>
      </w:r>
    </w:p>
    <w:p>
      <w:pPr>
        <w:spacing w:after="0" w:line="63" w:lineRule="exact"/>
        <w:rPr>
          <w:sz w:val="20"/>
          <w:szCs w:val="20"/>
          <w:color w:val="auto"/>
        </w:rPr>
      </w:pPr>
    </w:p>
    <w:p>
      <w:pPr>
        <w:ind w:left="200" w:right="60" w:firstLine="443"/>
        <w:spacing w:after="0" w:line="294"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91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3991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left="200" w:right="460" w:firstLine="443"/>
        <w:spacing w:after="0" w:line="268" w:lineRule="auto"/>
        <w:rPr>
          <w:sz w:val="20"/>
          <w:szCs w:val="20"/>
          <w:color w:val="auto"/>
        </w:rPr>
      </w:pPr>
      <w:r>
        <w:rPr>
          <w:rFonts w:ascii="Arial" w:cs="Arial" w:eastAsia="Arial" w:hAnsi="Arial"/>
          <w:sz w:val="18"/>
          <w:szCs w:val="18"/>
          <w:color w:val="auto"/>
        </w:rPr>
        <w:t>For a more complete description of the terms of the common shares being offered by this prospectus supplement and the accompanying prospectus, see “Description of Shares of Beneficial Interest” in the accompanying prospectus.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40" w:type="dxa"/>
            <w:vAlign w:val="bottom"/>
          </w:tcPr>
          <w:p>
            <w:pPr>
              <w:ind w:left="200"/>
              <w:spacing w:after="0"/>
              <w:rPr>
                <w:sz w:val="20"/>
                <w:szCs w:val="20"/>
                <w:color w:val="auto"/>
              </w:rPr>
            </w:pPr>
            <w:r>
              <w:rPr>
                <w:rFonts w:ascii="Arial" w:cs="Arial" w:eastAsia="Arial" w:hAnsi="Arial"/>
                <w:sz w:val="18"/>
                <w:szCs w:val="18"/>
                <w:color w:val="auto"/>
              </w:rPr>
              <w:t>Common shares offered</w:t>
            </w:r>
          </w:p>
        </w:tc>
        <w:tc>
          <w:tcPr>
            <w:tcW w:w="6920" w:type="dxa"/>
            <w:vAlign w:val="bottom"/>
          </w:tcPr>
          <w:p>
            <w:pPr>
              <w:ind w:left="960"/>
              <w:spacing w:after="0"/>
              <w:rPr>
                <w:sz w:val="20"/>
                <w:szCs w:val="20"/>
                <w:color w:val="auto"/>
              </w:rPr>
            </w:pPr>
            <w:r>
              <w:rPr>
                <w:rFonts w:ascii="Arial" w:cs="Arial" w:eastAsia="Arial" w:hAnsi="Arial"/>
                <w:sz w:val="18"/>
                <w:szCs w:val="18"/>
                <w:color w:val="auto"/>
              </w:rPr>
              <w:t>Common shares with an aggregate offering price of up to $300,000,000.</w:t>
            </w:r>
          </w:p>
        </w:tc>
      </w:tr>
      <w:tr>
        <w:trPr>
          <w:trHeight w:val="311"/>
        </w:trPr>
        <w:tc>
          <w:tcPr>
            <w:tcW w:w="4540" w:type="dxa"/>
            <w:vAlign w:val="bottom"/>
          </w:tcPr>
          <w:p>
            <w:pPr>
              <w:ind w:left="200"/>
              <w:spacing w:after="0"/>
              <w:rPr>
                <w:sz w:val="20"/>
                <w:szCs w:val="20"/>
                <w:color w:val="auto"/>
              </w:rPr>
            </w:pPr>
            <w:r>
              <w:rPr>
                <w:rFonts w:ascii="Arial" w:cs="Arial" w:eastAsia="Arial" w:hAnsi="Arial"/>
                <w:sz w:val="18"/>
                <w:szCs w:val="18"/>
                <w:color w:val="auto"/>
              </w:rPr>
              <w:t>New York Stock Exchange symbol</w:t>
            </w:r>
          </w:p>
        </w:tc>
        <w:tc>
          <w:tcPr>
            <w:tcW w:w="6920" w:type="dxa"/>
            <w:vAlign w:val="bottom"/>
          </w:tcPr>
          <w:p>
            <w:pPr>
              <w:ind w:left="960"/>
              <w:spacing w:after="0"/>
              <w:rPr>
                <w:sz w:val="20"/>
                <w:szCs w:val="20"/>
                <w:color w:val="auto"/>
              </w:rPr>
            </w:pPr>
            <w:r>
              <w:rPr>
                <w:rFonts w:ascii="Arial" w:cs="Arial" w:eastAsia="Arial" w:hAnsi="Arial"/>
                <w:sz w:val="18"/>
                <w:szCs w:val="18"/>
                <w:color w:val="auto"/>
              </w:rPr>
              <w:t>FRT.</w:t>
            </w:r>
          </w:p>
        </w:tc>
      </w:tr>
      <w:tr>
        <w:trPr>
          <w:trHeight w:val="304"/>
        </w:trPr>
        <w:tc>
          <w:tcPr>
            <w:tcW w:w="454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6920" w:type="dxa"/>
            <w:vAlign w:val="bottom"/>
          </w:tcPr>
          <w:p>
            <w:pPr>
              <w:ind w:left="960"/>
              <w:spacing w:after="0"/>
              <w:rPr>
                <w:sz w:val="20"/>
                <w:szCs w:val="20"/>
                <w:color w:val="auto"/>
              </w:rPr>
            </w:pPr>
            <w:r>
              <w:rPr>
                <w:rFonts w:ascii="Arial" w:cs="Arial" w:eastAsia="Arial" w:hAnsi="Arial"/>
                <w:sz w:val="18"/>
                <w:szCs w:val="18"/>
                <w:color w:val="auto"/>
                <w:w w:val="93"/>
              </w:rPr>
              <w:t>We intend to use the net proceeds from this offering to fund potential acquisition</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w w:val="94"/>
              </w:rPr>
              <w:t>opportunities, fund our development or redevelopment pipeline, repay amounts</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rPr>
              <w:t>outstanding under our revolving credit facility and/or for general corporate</w:t>
            </w:r>
          </w:p>
        </w:tc>
      </w:tr>
      <w:tr>
        <w:trPr>
          <w:trHeight w:val="222"/>
        </w:trPr>
        <w:tc>
          <w:tcPr>
            <w:tcW w:w="4540" w:type="dxa"/>
            <w:vAlign w:val="bottom"/>
          </w:tcPr>
          <w:p>
            <w:pPr>
              <w:spacing w:after="0"/>
              <w:rPr>
                <w:sz w:val="19"/>
                <w:szCs w:val="19"/>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rPr>
              <w:t>purposes. See “Use of Proceeds” on page S-3 for more information.</w:t>
            </w:r>
          </w:p>
        </w:tc>
      </w:tr>
      <w:tr>
        <w:trPr>
          <w:trHeight w:val="291"/>
        </w:trPr>
        <w:tc>
          <w:tcPr>
            <w:tcW w:w="4540" w:type="dxa"/>
            <w:vAlign w:val="bottom"/>
          </w:tcPr>
          <w:p>
            <w:pPr>
              <w:ind w:left="200"/>
              <w:spacing w:after="0"/>
              <w:rPr>
                <w:sz w:val="20"/>
                <w:szCs w:val="20"/>
                <w:color w:val="auto"/>
              </w:rPr>
            </w:pPr>
            <w:r>
              <w:rPr>
                <w:rFonts w:ascii="Arial" w:cs="Arial" w:eastAsia="Arial" w:hAnsi="Arial"/>
                <w:sz w:val="18"/>
                <w:szCs w:val="18"/>
                <w:color w:val="auto"/>
              </w:rPr>
              <w:t>Material U.S. federal income tax considerations</w:t>
            </w:r>
          </w:p>
        </w:tc>
        <w:tc>
          <w:tcPr>
            <w:tcW w:w="6920" w:type="dxa"/>
            <w:vAlign w:val="bottom"/>
          </w:tcPr>
          <w:p>
            <w:pPr>
              <w:ind w:left="960"/>
              <w:spacing w:after="0"/>
              <w:rPr>
                <w:sz w:val="20"/>
                <w:szCs w:val="20"/>
                <w:color w:val="auto"/>
              </w:rPr>
            </w:pPr>
            <w:r>
              <w:rPr>
                <w:rFonts w:ascii="Arial" w:cs="Arial" w:eastAsia="Arial" w:hAnsi="Arial"/>
                <w:sz w:val="18"/>
                <w:szCs w:val="18"/>
                <w:color w:val="auto"/>
              </w:rPr>
              <w:t>For a description of material U.S. federal income tax considerations of an</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w w:val="91"/>
              </w:rPr>
              <w:t>investment in our common shares, please review the disclosure in this prospectus</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w w:val="93"/>
              </w:rPr>
              <w:t>supplement under “Additional Material Federal Income Tax Considerations” and</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rPr>
              <w:t>in the accompanying prospectus under “Material Federal Income Tax</w:t>
            </w:r>
          </w:p>
        </w:tc>
      </w:tr>
      <w:tr>
        <w:trPr>
          <w:trHeight w:val="222"/>
        </w:trPr>
        <w:tc>
          <w:tcPr>
            <w:tcW w:w="4540" w:type="dxa"/>
            <w:vAlign w:val="bottom"/>
          </w:tcPr>
          <w:p>
            <w:pPr>
              <w:spacing w:after="0"/>
              <w:rPr>
                <w:sz w:val="19"/>
                <w:szCs w:val="19"/>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rPr>
              <w:t>Considerations.”</w:t>
            </w:r>
          </w:p>
        </w:tc>
      </w:tr>
      <w:tr>
        <w:trPr>
          <w:trHeight w:val="291"/>
        </w:trPr>
        <w:tc>
          <w:tcPr>
            <w:tcW w:w="454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6920" w:type="dxa"/>
            <w:vAlign w:val="bottom"/>
          </w:tcPr>
          <w:p>
            <w:pPr>
              <w:ind w:left="960"/>
              <w:spacing w:after="0"/>
              <w:rPr>
                <w:sz w:val="20"/>
                <w:szCs w:val="20"/>
                <w:color w:val="auto"/>
              </w:rPr>
            </w:pPr>
            <w:r>
              <w:rPr>
                <w:rFonts w:ascii="Arial" w:cs="Arial" w:eastAsia="Arial" w:hAnsi="Arial"/>
                <w:sz w:val="18"/>
                <w:szCs w:val="18"/>
                <w:color w:val="auto"/>
                <w:w w:val="97"/>
              </w:rPr>
              <w:t>Investing in our common shares involves risks. Please review the risk factors</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w w:val="99"/>
              </w:rPr>
              <w:t>discussed beginning on page S-3 of this prospectus supplement and in our</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w w:val="95"/>
              </w:rPr>
              <w:t>Annual Report on Form 10-K for the year ended December 31, 2013, filed with</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rPr>
              <w:t>the SEC on February 11, 2014, and the other information contained in or</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w w:val="91"/>
              </w:rPr>
              <w:t>incorporated by reference into this prospectus supplement and the accompanying</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w w:val="97"/>
              </w:rPr>
              <w:t>prospectus for a discussion of factors you should consider before deciding to</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w w:val="95"/>
              </w:rPr>
              <w:t>invest in our common shares. You may obtain a copy of our Annual Report on</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rPr>
              <w:t>Form 10-K and the other documents incorporated by reference into this</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w w:val="99"/>
              </w:rPr>
              <w:t>prospectus supplement and the accompanying prospectus by following the</w:t>
            </w:r>
          </w:p>
        </w:tc>
      </w:tr>
      <w:tr>
        <w:trPr>
          <w:trHeight w:val="216"/>
        </w:trPr>
        <w:tc>
          <w:tcPr>
            <w:tcW w:w="454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w w:val="92"/>
              </w:rPr>
              <w:t>procedures described under “Where You Can Find More Information” on page 53</w:t>
            </w:r>
          </w:p>
        </w:tc>
      </w:tr>
      <w:tr>
        <w:trPr>
          <w:trHeight w:val="222"/>
        </w:trPr>
        <w:tc>
          <w:tcPr>
            <w:tcW w:w="4540" w:type="dxa"/>
            <w:vAlign w:val="bottom"/>
          </w:tcPr>
          <w:p>
            <w:pPr>
              <w:spacing w:after="0"/>
              <w:rPr>
                <w:sz w:val="19"/>
                <w:szCs w:val="19"/>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rPr>
              <w:t>of the accompanying prospectus.</w:t>
            </w:r>
          </w:p>
        </w:tc>
      </w:tr>
      <w:tr>
        <w:trPr>
          <w:trHeight w:val="161"/>
        </w:trPr>
        <w:tc>
          <w:tcPr>
            <w:tcW w:w="4540" w:type="dxa"/>
            <w:vAlign w:val="bottom"/>
            <w:tcBorders>
              <w:bottom w:val="single" w:sz="8" w:color="auto"/>
            </w:tcBorders>
          </w:tcPr>
          <w:p>
            <w:pPr>
              <w:spacing w:after="0"/>
              <w:rPr>
                <w:sz w:val="13"/>
                <w:szCs w:val="13"/>
                <w:color w:val="auto"/>
              </w:rPr>
            </w:pPr>
          </w:p>
        </w:tc>
        <w:tc>
          <w:tcPr>
            <w:tcW w:w="6920" w:type="dxa"/>
            <w:vAlign w:val="bottom"/>
            <w:tcBorders>
              <w:bottom w:val="single" w:sz="8" w:color="auto"/>
            </w:tcBorders>
          </w:tcPr>
          <w:p>
            <w:pPr>
              <w:spacing w:after="0"/>
              <w:rPr>
                <w:sz w:val="13"/>
                <w:szCs w:val="13"/>
                <w:color w:val="auto"/>
              </w:rPr>
            </w:pPr>
          </w:p>
        </w:tc>
      </w:tr>
      <w:tr>
        <w:trPr>
          <w:trHeight w:val="359"/>
        </w:trPr>
        <w:tc>
          <w:tcPr>
            <w:tcW w:w="4540" w:type="dxa"/>
            <w:vAlign w:val="bottom"/>
          </w:tcPr>
          <w:p>
            <w:pPr>
              <w:spacing w:after="0"/>
              <w:rPr>
                <w:sz w:val="24"/>
                <w:szCs w:val="24"/>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Investing in our common shares involves a significant degree of risk. Before you decide to purchase our common shares, you should carefully consider the following risk factors, together with all of the other information contained in or incorporated by reference into this prospectus supplement, including the additional risk factors in our Annual Report on Form 10-K for the year ended December 31, 2013, filed with the SEC on February 11, 2014.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1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You may experience significant dilution as a result of this offering and additional issuances of our securities, which could harm the market price of our common shares.</w:t>
      </w:r>
    </w:p>
    <w:p>
      <w:pPr>
        <w:spacing w:after="0" w:line="4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common or preferred shares or other securities, including sales of common shares in this offering through the Agents, based on market conditions and other factors that may be beyond our control.</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This offering may have a dilutive effect on our earnings per share and funds from operations per share after giving effect to the issuance of our common shares in this offering and the receipt of the expected net proceeds. The actual amount of dilution from this offering,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offering, or otherwise, or as a result of the perception or expectation that such sales could occur.</w:t>
      </w:r>
    </w:p>
    <w:p>
      <w:pPr>
        <w:spacing w:after="0" w:line="110" w:lineRule="exact"/>
        <w:rPr>
          <w:sz w:val="20"/>
          <w:szCs w:val="20"/>
          <w:color w:val="auto"/>
        </w:rPr>
      </w:pPr>
    </w:p>
    <w:p>
      <w:pPr>
        <w:ind w:right="360"/>
        <w:spacing w:after="0" w:line="338" w:lineRule="auto"/>
        <w:rPr>
          <w:sz w:val="20"/>
          <w:szCs w:val="20"/>
          <w:color w:val="auto"/>
        </w:rPr>
      </w:pPr>
      <w:r>
        <w:rPr>
          <w:rFonts w:ascii="Arial" w:cs="Arial" w:eastAsia="Arial" w:hAnsi="Arial"/>
          <w:sz w:val="16"/>
          <w:szCs w:val="16"/>
          <w:b w:val="1"/>
          <w:bCs w:val="1"/>
          <w:color w:val="auto"/>
        </w:rPr>
        <w:t>Holders of our debt or preferred shares have liquidation and other rights that are senior to the rights of the holders of our common shares, and any future issuance of debt or preferred shares could adversely affect the market price of our common shares.</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2013, we had approximately $2.3 billion of debt outstanding, and 399,896 shares of our 5.417% Series 1 Cumulative Convertible Preferred Shares, or the Series 1 Preferred Shares, were issued and outstanding. Holders of our debt and preferred shares have liquidation rights and other rights that are senior to the rights of the holders of our common shares. Upon any voluntary or involuntary liquidation, dissolution or winding up, payment will be made to holders of our debt and preferred shares, including our Series 1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intend to use the net proceeds from this offering to fund potential acquisition opportunities, fund our development or redevelopment pipeline, repay amounts outstanding under our revolving credit facility, and/or for general corporate purposes. Our revolving credit facility bears interest at LIBOR plus 90 basis points and matures on April 21, 2017. Affiliates of the Agents are lenders under our revolving credit facility and will receive a pro rata portion of any proceeds used to repay amounts outstanding under our revolving credit facility.</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9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following is a summary of additional material federal income tax considerations with respect to our qualification as a REIT and the acquisition, ownership, and disposition of our common shares. As supplemented and updated by this summary, investors should review the discussion beginning on page 32 of the accompanying prospectus under the heading “Material Federal Income Tax Considerations” for a more detailed summary of the federal income tax consequences of the purchase, ownership and disposition of our shares and our election to be subject to federal income tax as a REIT. This discussion is based on the Internal Revenue Code of 1986, as amended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or gift tax) other than U.S. federal income tax considerations, that may be applicable to particular shareholders. This discussion does not address all the tax consequences that may be relevant to a prospective shareholder in light of its particular circumstances or to certain types of shareholders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that acquire their shares in connection with employment or other performance of personal services, persons subject to the alternative minimum tax, persons that are, or that hold their common shares through, partnerships or other pass-through entities, U.S. persons whose functional currency is not the U.S. dollar, or persons that hold common shares as part of a straddle, hedge, conversion, synthetic security or constructive sale transaction for U.S. federal income tax purposes.</w:t>
      </w:r>
    </w:p>
    <w:p>
      <w:pPr>
        <w:spacing w:after="0" w:line="39"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PROSPECTIVE INVESTORS ARE ENCOURAGED TO CONSULT THEIR OWN TAX ADVISORS REGARDING THE FEDERAL, STATE, LOCAL, FOREIGN AND OTHER TAX CONSEQUENCES OF THE ACQUISITION, OWNERSHIP AND DISPOSITION OF OUR COMMON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Tax Rates for U.S. Individuals, Estates and Trusts</w:t>
      </w:r>
    </w:p>
    <w:p>
      <w:pPr>
        <w:spacing w:after="0" w:line="96"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In the prospectus under the heading “Material Federal Income Tax Considerations,” there are various references to the 15% maximum tax rates applicable to long-term capital gains and qualified dividend income of U.S. individuals, estates and trusts through the end of 2012, when such reduced rates were scheduled to expire. In addition, ordinary income of U.S. individuals, estates and trusts was subject to a reduced maximum 35% tax rate that was also scheduled to expire at the end of 2012. On January 2, 2013, President Obama signed into law the American Taxpayer Relief Act of 2012, or the 2012 Relief Act, which, among other things, permanently extends most of the reduced rates for U.S. individuals, estates and trusts with respect to ordinary income, qualified dividend income and long-term capital gains that had expired on December 31, 2012. The 2012 Relief Act, however, does not extend all of the reduced rates for high-income taxpayers. Beginning January 1, 2013, in the case of married couples filing joint returns with taxable income in excess of $450,000, heads of households with taxable income in excess of $425,000, and other individuals with taxable income in excess of $400,000, the maximum rates on ordinary income is 39.6% (as compared to 35% prior to 2013) and the maximum rates on long-term capital gains and qualified dividend income is 20% (as compared to 15% prior to 2013). Estates and trusts have more compressed rate schedules. As before, REIT dividends generally are not treated as qualified dividend income. Prospective shareholders are urged to consult their tax advisors regarding the effect of the new tax rates and other tax provisions in the 2012 Relief Act on an investment in our common shares.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Income Medicare Tax</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Under the Health Care and Education Reconciliation Act of 2010, amending the Patient Protection and Affordable Care Act, high-income U.S. individuals, estates, and trusts are subject to an additional 3.8% tax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net investment income in tax years beginning after December 31, 2012. For these purposes, net investment income includes dividends and gains from sales of common shares. In the case of an individual, the tax is 3.8% of the lesser of the individual’s net investment income or the excess of the individual’s modified adjusted gross income over $250,000 in the case of a married individual filing a joint return or a surviving spouse, $125,000 in the case of a married individual filing a separate return, or $200,000 in the case of a single individual. Taxable U.S. shareholders that are individuals, estates or trusts should consult their tax advisors regarding the effect, if any, of this tax on their ownership and disposition of our common shares.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Changes in U.S. Federal Income Tax Withholding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After June 30, 2014, withholding at a rate of 30% will be required on dividends in respect of, and after December 31, 2016, withholding at a rate of 30% will be required on gross proceeds from the sale of, our common shares held by or through certain foreign financial institutions (including investment funds), unless such institution enters into an agreement with the Secretary of the Treasury (unless alternative procedures apply pursuant to an applicable intergovernmental agreement between the United States and the relevant foreign government) to report, on an annual basis, information with respect to shares in, and accounts maintained by, the institution to the extent such shares or accounts are held by certain U.S. persons or by certain non-U.S. entities that are wholly or partially owned by U.S. persons. Accordingly, the entity through which our shares are held will affect the determination of whether such withholding is required. Similarly, after June 30, 2014, dividends in respect of, and after December 31, 2016, gross proceeds from the sale of, our common shares held by an investor that is a non-financial non-U.S. entity will be subject to withholding at a rate of 30%, unless such entity either (i) certifies to us that such entity does not have any “substantial U.S. owners” or (ii) provides certain information regarding the entity’s “substantial U.S. owners,” which we will in turn provide to the Secretary of the Treasury. Non-U.S. shareholders are encouraged to consult with their tax advisors regarding the possible implications of these rules on their investment in our common shares.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 (CONFLICTS OF INTEREST)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entered into separate equity distribution agreements, each dated as of February 12, 2014, with each of the Agents under which we may from time to time offer and sell common shares having an aggregate offering price of up to $300,000,000. Sales of our common shares, if any, under this prospectus supplement and the accompanying prospectus may be made in negotiated transactions or transactions that are deemed to be “at the market” offerings, including sales made directly on the NYSE or sales made to or through a market maker other than on an exchange. As our sales agents, the Agents will not engage in any transactions that stabilize the price of our common shares.</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its acceptance of written instructions from us, each Agent will use its commercially reasonable efforts, consistent with its sales and trading practices, to solicit offers to purchase our common shares under the terms and subject to the conditions set forth in the applicable equity distribution agreement. We will instruct each Agent as to the amount of common shares to be sold by it. We may instruct the Agents not to sell common shares if the sales cannot be effected at or above the price designated by us in any instruction. Our common shares sold pursuant to the equity distribution agreements will be sold through only one of the Agents on any given day. We or the Agents may suspend the offering of common shares upon proper notice and subject to other conditions.</w:t>
      </w:r>
    </w:p>
    <w:p>
      <w:pPr>
        <w:spacing w:after="0" w:line="3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relevant Agent will provide written confirmation to us no later than the opening of the NYSE on the trading day following the trading day in which common shares were sold under the applicable equity distribution agreement. Each confirmation will include the number of common shares sold on the preceding day, the net proceeds to us and the compensation payable by us to the Agent in connection with the sales.</w:t>
      </w:r>
    </w:p>
    <w:p>
      <w:pPr>
        <w:spacing w:after="0" w:line="2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We will pay each Agent commissions for its services in acting as sales agent and/or principal in the sale of common shares. Each Agent will be entitled to compensation that will not exceed, but may be lower than, 2.0% of the gross sales price of all common shares sold through it under the applicable equity distribution agreement. We estimate that the total expenses for the offering, excluding compensation payable to the Agents under the terms of the equity distribution agreements, will be approximately $150,000. In connection with the sale of common shares on our behalf, the Agents may be deemed to be “underwriters” within the meaning of the Securities Act, and the compensation paid to the Agents may be deemed to be underwriting commissions and discounts.</w:t>
      </w:r>
    </w:p>
    <w:p>
      <w:pPr>
        <w:spacing w:after="0" w:line="1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Settlement of sales of common shares will occur on the third business day following the date on which any sales are made, or on some other date that is agreed upon by us and the applicable Agent in connection with a particular transaction, in return for payment of the net proceeds to us. There is no arrangement for funds to be received in an escrow, trust or similar arrangement.</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report at least quarterly the number of common shares sold through the Agents under the equity distribution agreements, the net proceeds to us and the compensation paid by us to the Agents in connection with the sales of common shares.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Agents have determined that our common shares are “actively-traded securities” excepted from the requirements of Rule 101 of Regulation M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Exchange Act by Rule 101(c)(1) under the Exchange Act. If either Agent has, or we have, reason to believe that the exemptive provisions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101(c)(1) of Regulation M under the Exchange Act are not satisfied, the party will promptly notify the other parties, and sales of common shares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distribution agreements will be suspended until that or other exemptive provisions have been satisfied in the judgment of the Agents and us.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offering of common shares pursuant to the equity distribution agreements will terminate upon the earlier of (1) the sale of common shares having an aggregate offering price of $300,000,000 pursuant to this offering and (2) with respect to a particular equity distribution agreement, the termination of such equity distribution agreement. Each equity distribution agreement may be terminated by the applicable Agent 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us at any time upon three days’ notice, and by the applicable Agent at any time in certain circumstances, including our failure to maintain a listing of our common shares on the NYSE or the occurrence of a material adverse change in our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of Interest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described above under “Use of Proceeds,” some of the net proceeds of this offering may be used to repay amounts outstanding under our revolving credit facility. Affiliates of the Agents are lenders under our revolving credit facility. Because affiliates of the Agents are lenders under our credit facility, the Agents or affiliates of the Agents may receive more than 5% of the proceeds of this offering.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Agents and their respective affiliates have engaged in, and may in the future engage in, investment banking, commercial banking and other commercial dealings in the ordinary course of business with us or our affiliates. They have received, or may in the future receive, customary fees and commissions for these transactions.</w:t>
      </w:r>
    </w:p>
    <w:p>
      <w:pPr>
        <w:spacing w:after="0" w:line="5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in the ordinary course of their business activities, the Agents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Agents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NYSE under the symbol “FRT.”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agreed to indemnify the Agents against certain liabilities, including liabilities under the Securities Act, or to contribute to payments the Agents may be required to make because of any of those liabilities.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consolidated financial statements, schedules and management’s assessment of the effectiveness of internal control over financial reporting incorporated by reference into this prospectus supplement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The legality of the common shares offered by this prospectus supplement will be passed upon for us by Pillsbury Winthrop Shaw Pittman LLP, Washington, DC. In addition, the descriptions of material federal income tax considerations contained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3"/>
          <w:szCs w:val="13"/>
          <w:color w:val="auto"/>
        </w:rPr>
        <w:t>LLP</w:t>
      </w:r>
      <w:r>
        <w:rPr>
          <w:rFonts w:ascii="Arial" w:cs="Arial" w:eastAsia="Arial" w:hAnsi="Arial"/>
          <w:sz w:val="16"/>
          <w:szCs w:val="16"/>
          <w:color w:val="auto"/>
        </w:rPr>
        <w:t>, New York, New York, will act as counsel to the Agents.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1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300" w:firstLine="443"/>
        <w:spacing w:after="0" w:line="283"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w:t>
      </w:r>
    </w:p>
    <w:p>
      <w:pPr>
        <w:spacing w:after="0" w:line="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color w:val="auto"/>
        </w:rPr>
        <w:t>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hanging="1"/>
        <w:spacing w:after="0" w:line="292" w:lineRule="auto"/>
        <w:tabs>
          <w:tab w:leader="none" w:pos="111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have received from, or there has been published by, the Internal Revenue Service a ruling, or</w:t>
      </w:r>
    </w:p>
    <w:p>
      <w:pPr>
        <w:spacing w:after="0" w:line="90" w:lineRule="exact"/>
        <w:rPr>
          <w:sz w:val="20"/>
          <w:szCs w:val="20"/>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84"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w:t>
      </w:r>
    </w:p>
    <w:p>
      <w:pPr>
        <w:spacing w:after="0" w:line="1" w:lineRule="exact"/>
        <w:rPr>
          <w:rFonts w:ascii="Arial" w:cs="Arial" w:eastAsia="Arial" w:hAnsi="Arial"/>
          <w:sz w:val="16"/>
          <w:szCs w:val="16"/>
          <w:color w:val="auto"/>
        </w:rPr>
      </w:pPr>
    </w:p>
    <w:p>
      <w:pPr>
        <w:ind w:left="900" w:right="80"/>
        <w:spacing w:after="0" w:line="255" w:lineRule="auto"/>
        <w:rPr>
          <w:rFonts w:ascii="Arial" w:cs="Arial" w:eastAsia="Arial" w:hAnsi="Arial"/>
          <w:sz w:val="16"/>
          <w:szCs w:val="16"/>
          <w:color w:val="auto"/>
        </w:rPr>
      </w:pPr>
      <w:r>
        <w:rPr>
          <w:rFonts w:ascii="Arial" w:cs="Arial" w:eastAsia="Arial" w:hAnsi="Arial"/>
          <w:sz w:val="18"/>
          <w:szCs w:val="18"/>
          <w:color w:val="auto"/>
        </w:rPr>
        <w:t>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78"/>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614680</wp:posOffset>
            </wp:positionV>
            <wp:extent cx="2152650" cy="823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2539"/>
        <w:spacing w:after="0"/>
        <w:rPr>
          <w:sz w:val="20"/>
          <w:szCs w:val="20"/>
          <w:color w:val="auto"/>
        </w:rPr>
      </w:pPr>
      <w:r>
        <w:rPr>
          <w:rFonts w:ascii="Arial" w:cs="Arial" w:eastAsia="Arial" w:hAnsi="Arial"/>
          <w:sz w:val="24"/>
          <w:szCs w:val="24"/>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151765</wp:posOffset>
            </wp:positionV>
            <wp:extent cx="158623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Wells Fargo Securities</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BofA Merrill Lynch</w:t>
      </w:r>
    </w:p>
    <w:p>
      <w:pPr>
        <w:spacing w:after="0" w:line="18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February 12, 2014</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lvl w:ilvl="1">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lowerLetter"/>
      <w:start w:val="1"/>
    </w:lvl>
  </w:abstractNum>
  <w:abstractNum w:abstractNumId="5">
    <w:nsid w:val="2A487CB0"/>
    <w:multiLevelType w:val="hybridMultilevel"/>
    <w:lvl w:ilvl="0">
      <w:lvlJc w:val="left"/>
      <w:lvlText w:val="(%1)"/>
      <w:numFmt w:val="lowerLetter"/>
      <w:start w:val="3"/>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lvl w:ilvl="1">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lvl w:ilvl="1">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1."/>
      <w:numFmt w:val="decimal"/>
      <w:start w:val="1"/>
    </w:lvl>
    <w:lvl w:ilvl="1">
      <w:lvlJc w:val="left"/>
      <w:lvlText w:val="(%2)"/>
      <w:numFmt w:val="lowerLetter"/>
      <w:start w:val="1"/>
    </w:lvl>
  </w:abstractNum>
  <w:abstractNum w:abstractNumId="29">
    <w:nsid w:val="23F9C13C"/>
    <w:multiLevelType w:val="hybridMultilevel"/>
    <w:lvl w:ilvl="0">
      <w:lvlJc w:val="left"/>
      <w:lvlText w:val="%1."/>
      <w:numFmt w:val="decimal"/>
      <w:start w:val="7"/>
    </w:lvl>
    <w:lvl w:ilvl="1">
      <w:lvlJc w:val="left"/>
      <w:lvlText w:val="(%2)"/>
      <w:numFmt w:val="lowerLetter"/>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lvl w:ilvl="1">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lvl w:ilvl="1">
      <w:lvlJc w:val="left"/>
      <w:lvlText w:val="(%2)"/>
      <w:numFmt w:val="lowerRoman"/>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1)"/>
      <w:numFmt w:val="upperLetter"/>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lvl w:ilvl="1">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lvl w:ilvl="1">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1)"/>
      <w:numFmt w:val="lowerRoman"/>
      <w:start w:val="3"/>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1."/>
      <w:numFmt w:val="decimal"/>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lvl w:ilvl="1">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1)"/>
      <w:numFmt w:val="lowerRoman"/>
      <w:start w:val="2"/>
    </w:lvl>
  </w:abstractNum>
  <w:abstractNum w:abstractNumId="72">
    <w:nsid w:val="BF72B14"/>
    <w:multiLevelType w:val="hybridMultilevel"/>
    <w:lvl w:ilvl="0">
      <w:lvlJc w:val="left"/>
      <w:lvlText w:val="\emdash "/>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1)"/>
      <w:numFmt w:val="decimal"/>
      <w:start w:val="4"/>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2019-12-05T09:23:15Z</dcterms:created>
  <dcterms:modified xsi:type="dcterms:W3CDTF">2019-12-05T09:23:15Z</dcterms:modified>
</cp:coreProperties>
</file>