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29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Date of Report (Date of earliest event reported) May 05, 2021</w:t>
      </w:r>
    </w:p>
    <w:p>
      <w:pPr>
        <w:spacing w:after="0" w:line="150"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13" w:lineRule="exact"/>
        <w:rPr>
          <w:sz w:val="24"/>
          <w:szCs w:val="24"/>
          <w:color w:val="auto"/>
        </w:rPr>
      </w:pPr>
    </w:p>
    <w:tbl>
      <w:tblPr>
        <w:tblLayout w:type="fixed"/>
        <w:tblInd w:w="180" w:type="dxa"/>
        <w:tblCellMar>
          <w:top w:w="0" w:type="dxa"/>
          <w:left w:w="0" w:type="dxa"/>
          <w:bottom w:w="0" w:type="dxa"/>
          <w:right w:w="0" w:type="dxa"/>
        </w:tblCellMar>
      </w:tblPr>
      <w:tr>
        <w:trPr>
          <w:trHeight w:val="230"/>
        </w:trPr>
        <w:tc>
          <w:tcPr>
            <w:tcW w:w="3980" w:type="dxa"/>
            <w:vAlign w:val="bottom"/>
            <w:gridSpan w:val="3"/>
          </w:tcPr>
          <w:p>
            <w:pPr>
              <w:jc w:val="center"/>
              <w:ind w:right="584"/>
              <w:spacing w:after="0"/>
              <w:rPr>
                <w:sz w:val="20"/>
                <w:szCs w:val="20"/>
                <w:color w:val="auto"/>
              </w:rPr>
            </w:pPr>
            <w:r>
              <w:rPr>
                <w:rFonts w:ascii="Arial" w:cs="Arial" w:eastAsia="Arial" w:hAnsi="Arial"/>
                <w:sz w:val="18"/>
                <w:szCs w:val="18"/>
                <w:b w:val="1"/>
                <w:bCs w:val="1"/>
                <w:color w:val="auto"/>
                <w:w w:val="96"/>
              </w:rPr>
              <w:t>Maryland</w:t>
            </w:r>
          </w:p>
        </w:tc>
        <w:tc>
          <w:tcPr>
            <w:tcW w:w="2020" w:type="dxa"/>
            <w:vAlign w:val="bottom"/>
            <w:gridSpan w:val="3"/>
          </w:tcPr>
          <w:p>
            <w:pPr>
              <w:jc w:val="center"/>
              <w:ind w:left="773"/>
              <w:spacing w:after="0"/>
              <w:rPr>
                <w:sz w:val="20"/>
                <w:szCs w:val="20"/>
                <w:color w:val="auto"/>
              </w:rPr>
            </w:pPr>
            <w:r>
              <w:rPr>
                <w:rFonts w:ascii="Arial" w:cs="Arial" w:eastAsia="Arial" w:hAnsi="Arial"/>
                <w:sz w:val="18"/>
                <w:szCs w:val="18"/>
                <w:b w:val="1"/>
                <w:bCs w:val="1"/>
                <w:color w:val="auto"/>
                <w:w w:val="90"/>
              </w:rPr>
              <w:t>1-07533</w:t>
            </w:r>
          </w:p>
        </w:tc>
        <w:tc>
          <w:tcPr>
            <w:tcW w:w="1120" w:type="dxa"/>
            <w:vAlign w:val="bottom"/>
          </w:tcPr>
          <w:p>
            <w:pPr>
              <w:spacing w:after="0"/>
              <w:rPr>
                <w:sz w:val="19"/>
                <w:szCs w:val="19"/>
                <w:color w:val="auto"/>
              </w:rPr>
            </w:pPr>
          </w:p>
        </w:tc>
        <w:tc>
          <w:tcPr>
            <w:tcW w:w="3220" w:type="dxa"/>
            <w:vAlign w:val="bottom"/>
          </w:tcPr>
          <w:p>
            <w:pPr>
              <w:jc w:val="center"/>
              <w:ind w:left="904"/>
              <w:spacing w:after="0"/>
              <w:rPr>
                <w:sz w:val="20"/>
                <w:szCs w:val="20"/>
                <w:color w:val="auto"/>
              </w:rPr>
            </w:pPr>
            <w:r>
              <w:rPr>
                <w:rFonts w:ascii="Arial" w:cs="Arial" w:eastAsia="Arial" w:hAnsi="Arial"/>
                <w:sz w:val="18"/>
                <w:szCs w:val="18"/>
                <w:b w:val="1"/>
                <w:bCs w:val="1"/>
                <w:color w:val="auto"/>
                <w:w w:val="91"/>
              </w:rPr>
              <w:t>52-0782497</w:t>
            </w:r>
          </w:p>
        </w:tc>
      </w:tr>
      <w:tr>
        <w:trPr>
          <w:trHeight w:val="126"/>
        </w:trPr>
        <w:tc>
          <w:tcPr>
            <w:tcW w:w="3980" w:type="dxa"/>
            <w:vAlign w:val="bottom"/>
            <w:gridSpan w:val="3"/>
          </w:tcPr>
          <w:p>
            <w:pPr>
              <w:jc w:val="center"/>
              <w:ind w:right="584"/>
              <w:spacing w:after="0" w:line="126" w:lineRule="exact"/>
              <w:rPr>
                <w:sz w:val="20"/>
                <w:szCs w:val="20"/>
                <w:color w:val="auto"/>
              </w:rPr>
            </w:pPr>
            <w:r>
              <w:rPr>
                <w:rFonts w:ascii="Arial" w:cs="Arial" w:eastAsia="Arial" w:hAnsi="Arial"/>
                <w:sz w:val="13"/>
                <w:szCs w:val="13"/>
                <w:b w:val="1"/>
                <w:bCs w:val="1"/>
                <w:color w:val="auto"/>
                <w:w w:val="88"/>
              </w:rPr>
              <w:t>(State or other jurisdiction</w:t>
            </w:r>
          </w:p>
        </w:tc>
        <w:tc>
          <w:tcPr>
            <w:tcW w:w="900" w:type="dxa"/>
            <w:vAlign w:val="bottom"/>
          </w:tcPr>
          <w:p>
            <w:pPr>
              <w:spacing w:after="0"/>
              <w:rPr>
                <w:sz w:val="10"/>
                <w:szCs w:val="10"/>
                <w:color w:val="auto"/>
              </w:rPr>
            </w:pPr>
          </w:p>
        </w:tc>
        <w:tc>
          <w:tcPr>
            <w:tcW w:w="2240" w:type="dxa"/>
            <w:vAlign w:val="bottom"/>
            <w:gridSpan w:val="3"/>
          </w:tcPr>
          <w:p>
            <w:pPr>
              <w:jc w:val="center"/>
              <w:ind w:right="1140"/>
              <w:spacing w:after="0" w:line="126" w:lineRule="exact"/>
              <w:rPr>
                <w:sz w:val="20"/>
                <w:szCs w:val="20"/>
                <w:color w:val="auto"/>
              </w:rPr>
            </w:pPr>
            <w:r>
              <w:rPr>
                <w:rFonts w:ascii="Arial" w:cs="Arial" w:eastAsia="Arial" w:hAnsi="Arial"/>
                <w:sz w:val="13"/>
                <w:szCs w:val="13"/>
                <w:b w:val="1"/>
                <w:bCs w:val="1"/>
                <w:color w:val="auto"/>
                <w:w w:val="84"/>
              </w:rPr>
              <w:t>(Commission</w:t>
            </w:r>
          </w:p>
        </w:tc>
        <w:tc>
          <w:tcPr>
            <w:tcW w:w="3220" w:type="dxa"/>
            <w:vAlign w:val="bottom"/>
          </w:tcPr>
          <w:p>
            <w:pPr>
              <w:jc w:val="center"/>
              <w:ind w:left="924"/>
              <w:spacing w:after="0" w:line="126"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980" w:type="dxa"/>
            <w:vAlign w:val="bottom"/>
            <w:gridSpan w:val="3"/>
          </w:tcPr>
          <w:p>
            <w:pPr>
              <w:jc w:val="center"/>
              <w:ind w:right="584"/>
              <w:spacing w:after="0"/>
              <w:rPr>
                <w:sz w:val="20"/>
                <w:szCs w:val="20"/>
                <w:color w:val="auto"/>
              </w:rPr>
            </w:pPr>
            <w:r>
              <w:rPr>
                <w:rFonts w:ascii="Arial" w:cs="Arial" w:eastAsia="Arial" w:hAnsi="Arial"/>
                <w:sz w:val="13"/>
                <w:szCs w:val="13"/>
                <w:b w:val="1"/>
                <w:bCs w:val="1"/>
                <w:color w:val="auto"/>
                <w:w w:val="88"/>
              </w:rPr>
              <w:t>of incorporation)</w:t>
            </w:r>
          </w:p>
        </w:tc>
        <w:tc>
          <w:tcPr>
            <w:tcW w:w="900" w:type="dxa"/>
            <w:vAlign w:val="bottom"/>
          </w:tcPr>
          <w:p>
            <w:pPr>
              <w:spacing w:after="0"/>
              <w:rPr>
                <w:sz w:val="14"/>
                <w:szCs w:val="14"/>
                <w:color w:val="auto"/>
              </w:rPr>
            </w:pPr>
          </w:p>
        </w:tc>
        <w:tc>
          <w:tcPr>
            <w:tcW w:w="2240" w:type="dxa"/>
            <w:vAlign w:val="bottom"/>
            <w:gridSpan w:val="3"/>
          </w:tcPr>
          <w:p>
            <w:pPr>
              <w:jc w:val="center"/>
              <w:ind w:right="1160"/>
              <w:spacing w:after="0"/>
              <w:rPr>
                <w:sz w:val="20"/>
                <w:szCs w:val="20"/>
                <w:color w:val="auto"/>
              </w:rPr>
            </w:pPr>
            <w:r>
              <w:rPr>
                <w:rFonts w:ascii="Arial" w:cs="Arial" w:eastAsia="Arial" w:hAnsi="Arial"/>
                <w:sz w:val="13"/>
                <w:szCs w:val="13"/>
                <w:b w:val="1"/>
                <w:bCs w:val="1"/>
                <w:color w:val="auto"/>
                <w:w w:val="90"/>
              </w:rPr>
              <w:t>File Number)</w:t>
            </w:r>
          </w:p>
        </w:tc>
        <w:tc>
          <w:tcPr>
            <w:tcW w:w="3220" w:type="dxa"/>
            <w:vAlign w:val="bottom"/>
          </w:tcPr>
          <w:p>
            <w:pPr>
              <w:jc w:val="center"/>
              <w:ind w:left="924"/>
              <w:spacing w:after="0"/>
              <w:rPr>
                <w:sz w:val="20"/>
                <w:szCs w:val="20"/>
                <w:color w:val="auto"/>
              </w:rPr>
            </w:pPr>
            <w:r>
              <w:rPr>
                <w:rFonts w:ascii="Arial" w:cs="Arial" w:eastAsia="Arial" w:hAnsi="Arial"/>
                <w:sz w:val="13"/>
                <w:szCs w:val="13"/>
                <w:b w:val="1"/>
                <w:bCs w:val="1"/>
                <w:color w:val="auto"/>
                <w:w w:val="89"/>
              </w:rPr>
              <w:t>Identification No.)</w:t>
            </w:r>
          </w:p>
        </w:tc>
      </w:tr>
      <w:tr>
        <w:trPr>
          <w:trHeight w:val="628"/>
        </w:trPr>
        <w:tc>
          <w:tcPr>
            <w:tcW w:w="1500" w:type="dxa"/>
            <w:vAlign w:val="bottom"/>
          </w:tcPr>
          <w:p>
            <w:pPr>
              <w:spacing w:after="0"/>
              <w:rPr>
                <w:sz w:val="24"/>
                <w:szCs w:val="24"/>
                <w:color w:val="auto"/>
              </w:rPr>
            </w:pPr>
          </w:p>
        </w:tc>
        <w:tc>
          <w:tcPr>
            <w:tcW w:w="2480" w:type="dxa"/>
            <w:vAlign w:val="bottom"/>
            <w:gridSpan w:val="2"/>
          </w:tcPr>
          <w:p>
            <w:pPr>
              <w:ind w:left="120"/>
              <w:spacing w:after="0"/>
              <w:rPr>
                <w:sz w:val="20"/>
                <w:szCs w:val="20"/>
                <w:color w:val="auto"/>
              </w:rPr>
            </w:pPr>
            <w:r>
              <w:rPr>
                <w:rFonts w:ascii="Arial" w:cs="Arial" w:eastAsia="Arial" w:hAnsi="Arial"/>
                <w:sz w:val="18"/>
                <w:szCs w:val="18"/>
                <w:b w:val="1"/>
                <w:bCs w:val="1"/>
                <w:color w:val="auto"/>
                <w:w w:val="98"/>
              </w:rPr>
              <w:t>909 Rose Avenue, Suite 200</w:t>
            </w: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North Bethesda,</w:t>
            </w: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Maryland</w:t>
            </w:r>
          </w:p>
        </w:tc>
        <w:tc>
          <w:tcPr>
            <w:tcW w:w="3220" w:type="dxa"/>
            <w:vAlign w:val="bottom"/>
          </w:tcPr>
          <w:p>
            <w:pPr>
              <w:jc w:val="right"/>
              <w:ind w:right="1824"/>
              <w:spacing w:after="0"/>
              <w:rPr>
                <w:sz w:val="20"/>
                <w:szCs w:val="20"/>
                <w:color w:val="auto"/>
              </w:rPr>
            </w:pPr>
            <w:r>
              <w:rPr>
                <w:rFonts w:ascii="Arial" w:cs="Arial" w:eastAsia="Arial" w:hAnsi="Arial"/>
                <w:sz w:val="18"/>
                <w:szCs w:val="18"/>
                <w:b w:val="1"/>
                <w:bCs w:val="1"/>
                <w:color w:val="auto"/>
              </w:rPr>
              <w:t>20852</w:t>
            </w:r>
          </w:p>
        </w:tc>
      </w:tr>
      <w:tr>
        <w:trPr>
          <w:trHeight w:val="164"/>
        </w:trPr>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900" w:type="dxa"/>
            <w:vAlign w:val="bottom"/>
            <w:gridSpan w:val="3"/>
          </w:tcPr>
          <w:p>
            <w:pPr>
              <w:ind w:left="240"/>
              <w:spacing w:after="0"/>
              <w:rPr>
                <w:sz w:val="20"/>
                <w:szCs w:val="20"/>
                <w:color w:val="auto"/>
              </w:rPr>
            </w:pPr>
            <w:r>
              <w:rPr>
                <w:rFonts w:ascii="Arial" w:cs="Arial" w:eastAsia="Arial" w:hAnsi="Arial"/>
                <w:sz w:val="13"/>
                <w:szCs w:val="13"/>
                <w:b w:val="1"/>
                <w:bCs w:val="1"/>
                <w:color w:val="auto"/>
              </w:rPr>
              <w:t>(Address of principal executive offices)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jc w:val="center"/>
              <w:ind w:right="964"/>
              <w:spacing w:after="0"/>
              <w:rPr>
                <w:sz w:val="20"/>
                <w:szCs w:val="20"/>
                <w:color w:val="auto"/>
              </w:rPr>
            </w:pPr>
            <w:r>
              <w:rPr>
                <w:rFonts w:ascii="Arial" w:cs="Arial" w:eastAsia="Arial" w:hAnsi="Arial"/>
                <w:sz w:val="13"/>
                <w:szCs w:val="13"/>
                <w:b w:val="1"/>
                <w:bCs w:val="1"/>
                <w:color w:val="auto"/>
                <w:w w:val="90"/>
              </w:rPr>
              <w:t>(Zip Code)</w:t>
            </w:r>
          </w:p>
        </w:tc>
      </w:tr>
      <w:tr>
        <w:trPr>
          <w:trHeight w:val="488"/>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540" w:type="dxa"/>
            <w:vAlign w:val="bottom"/>
            <w:gridSpan w:val="6"/>
          </w:tcPr>
          <w:p>
            <w:pPr>
              <w:jc w:val="center"/>
              <w:ind w:right="2164"/>
              <w:spacing w:after="0"/>
              <w:rPr>
                <w:sz w:val="20"/>
                <w:szCs w:val="20"/>
                <w:color w:val="auto"/>
              </w:rPr>
            </w:pPr>
            <w:r>
              <w:rPr>
                <w:rFonts w:ascii="Arial" w:cs="Arial" w:eastAsia="Arial" w:hAnsi="Arial"/>
                <w:sz w:val="18"/>
                <w:szCs w:val="18"/>
                <w:b w:val="1"/>
                <w:bCs w:val="1"/>
                <w:color w:val="auto"/>
                <w:w w:val="89"/>
              </w:rPr>
              <w:t>Registrant's telephone number including area code: 301/998-8100</w:t>
            </w:r>
          </w:p>
        </w:tc>
      </w:tr>
      <w:tr>
        <w:trPr>
          <w:trHeight w:val="364"/>
        </w:trPr>
        <w:tc>
          <w:tcPr>
            <w:tcW w:w="15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1180" w:type="dxa"/>
            <w:vAlign w:val="bottom"/>
          </w:tcPr>
          <w:p>
            <w:pPr>
              <w:spacing w:after="0"/>
              <w:rPr>
                <w:sz w:val="24"/>
                <w:szCs w:val="24"/>
                <w:color w:val="auto"/>
              </w:rPr>
            </w:pPr>
          </w:p>
        </w:tc>
        <w:tc>
          <w:tcPr>
            <w:tcW w:w="31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Trading Symbol</w:t>
            </w:r>
          </w:p>
        </w:tc>
        <w:tc>
          <w:tcPr>
            <w:tcW w:w="3220" w:type="dxa"/>
            <w:vAlign w:val="bottom"/>
          </w:tcPr>
          <w:p>
            <w:pPr>
              <w:jc w:val="center"/>
              <w:spacing w:after="0"/>
              <w:rPr>
                <w:sz w:val="20"/>
                <w:szCs w:val="20"/>
                <w:color w:val="auto"/>
              </w:rPr>
            </w:pPr>
            <w:r>
              <w:rPr>
                <w:rFonts w:ascii="Arial" w:cs="Arial" w:eastAsia="Arial" w:hAnsi="Arial"/>
                <w:sz w:val="16"/>
                <w:szCs w:val="16"/>
                <w:b w:val="1"/>
                <w:bCs w:val="1"/>
                <w:color w:val="auto"/>
                <w:w w:val="91"/>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50"/>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2"/>
              </w:rPr>
              <w:t>Common Shares of Beneficial Interest</w:t>
            </w:r>
          </w:p>
        </w:tc>
        <w:tc>
          <w:tcPr>
            <w:tcW w:w="900" w:type="dxa"/>
            <w:vAlign w:val="bottom"/>
          </w:tcPr>
          <w:p>
            <w:pPr>
              <w:spacing w:after="0"/>
              <w:rPr>
                <w:sz w:val="21"/>
                <w:szCs w:val="21"/>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91"/>
              </w:rPr>
              <w:t>FRT</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r>
        <w:trPr>
          <w:trHeight w:val="166"/>
        </w:trPr>
        <w:tc>
          <w:tcPr>
            <w:tcW w:w="5700" w:type="dxa"/>
            <w:vAlign w:val="bottom"/>
            <w:gridSpan w:val="5"/>
          </w:tcPr>
          <w:p>
            <w:pPr>
              <w:jc w:val="center"/>
              <w:ind w:right="1324"/>
              <w:spacing w:after="0" w:line="166" w:lineRule="exact"/>
              <w:rPr>
                <w:sz w:val="20"/>
                <w:szCs w:val="20"/>
                <w:color w:val="auto"/>
              </w:rPr>
            </w:pPr>
            <w:r>
              <w:rPr>
                <w:rFonts w:ascii="Arial" w:cs="Arial" w:eastAsia="Arial" w:hAnsi="Arial"/>
                <w:sz w:val="16"/>
                <w:szCs w:val="16"/>
                <w:color w:val="auto"/>
                <w:w w:val="89"/>
              </w:rPr>
              <w:t>$.01 par value per share, with associated Common Share Purchase</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6"/>
        </w:trPr>
        <w:tc>
          <w:tcPr>
            <w:tcW w:w="1500" w:type="dxa"/>
            <w:vAlign w:val="bottom"/>
          </w:tcPr>
          <w:p>
            <w:pPr>
              <w:spacing w:after="0"/>
              <w:rPr>
                <w:sz w:val="17"/>
                <w:szCs w:val="17"/>
                <w:color w:val="auto"/>
              </w:rPr>
            </w:pPr>
          </w:p>
        </w:tc>
        <w:tc>
          <w:tcPr>
            <w:tcW w:w="2480" w:type="dxa"/>
            <w:vAlign w:val="bottom"/>
            <w:gridSpan w:val="2"/>
          </w:tcPr>
          <w:p>
            <w:pPr>
              <w:jc w:val="center"/>
              <w:ind w:right="1104"/>
              <w:spacing w:after="0"/>
              <w:rPr>
                <w:sz w:val="20"/>
                <w:szCs w:val="20"/>
                <w:color w:val="auto"/>
              </w:rPr>
            </w:pPr>
            <w:r>
              <w:rPr>
                <w:rFonts w:ascii="Arial" w:cs="Arial" w:eastAsia="Arial" w:hAnsi="Arial"/>
                <w:sz w:val="16"/>
                <w:szCs w:val="16"/>
                <w:color w:val="auto"/>
                <w:w w:val="92"/>
              </w:rPr>
              <w:t>Rights</w:t>
            </w:r>
          </w:p>
        </w:tc>
        <w:tc>
          <w:tcPr>
            <w:tcW w:w="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20" w:type="dxa"/>
            <w:vAlign w:val="bottom"/>
          </w:tcPr>
          <w:p>
            <w:pPr>
              <w:spacing w:after="0"/>
              <w:rPr>
                <w:sz w:val="17"/>
                <w:szCs w:val="17"/>
                <w:color w:val="auto"/>
              </w:rPr>
            </w:pPr>
          </w:p>
        </w:tc>
      </w:tr>
      <w:tr>
        <w:trPr>
          <w:trHeight w:val="344"/>
        </w:trPr>
        <w:tc>
          <w:tcPr>
            <w:tcW w:w="3980" w:type="dxa"/>
            <w:vAlign w:val="bottom"/>
            <w:gridSpan w:val="3"/>
          </w:tcPr>
          <w:p>
            <w:pPr>
              <w:jc w:val="center"/>
              <w:ind w:left="244"/>
              <w:spacing w:after="0"/>
              <w:rPr>
                <w:sz w:val="20"/>
                <w:szCs w:val="20"/>
                <w:color w:val="auto"/>
              </w:rPr>
            </w:pPr>
            <w:r>
              <w:rPr>
                <w:rFonts w:ascii="Arial" w:cs="Arial" w:eastAsia="Arial" w:hAnsi="Arial"/>
                <w:sz w:val="16"/>
                <w:szCs w:val="16"/>
                <w:color w:val="auto"/>
                <w:w w:val="90"/>
              </w:rPr>
              <w:t>Depositary Shares, each representing 1/1000 of a share</w:t>
            </w:r>
          </w:p>
        </w:tc>
        <w:tc>
          <w:tcPr>
            <w:tcW w:w="900" w:type="dxa"/>
            <w:vAlign w:val="bottom"/>
          </w:tcPr>
          <w:p>
            <w:pPr>
              <w:spacing w:after="0"/>
              <w:rPr>
                <w:sz w:val="24"/>
                <w:szCs w:val="24"/>
                <w:color w:val="auto"/>
              </w:rPr>
            </w:pPr>
          </w:p>
        </w:tc>
        <w:tc>
          <w:tcPr>
            <w:tcW w:w="820" w:type="dxa"/>
            <w:vAlign w:val="bottom"/>
          </w:tcPr>
          <w:p>
            <w:pPr>
              <w:jc w:val="center"/>
              <w:ind w:left="224"/>
              <w:spacing w:after="0"/>
              <w:rPr>
                <w:sz w:val="20"/>
                <w:szCs w:val="20"/>
                <w:color w:val="auto"/>
              </w:rPr>
            </w:pPr>
            <w:r>
              <w:rPr>
                <w:rFonts w:ascii="Arial" w:cs="Arial" w:eastAsia="Arial" w:hAnsi="Arial"/>
                <w:sz w:val="18"/>
                <w:szCs w:val="18"/>
                <w:color w:val="auto"/>
                <w:w w:val="88"/>
              </w:rPr>
              <w:t>FRT-C</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w w:val="91"/>
              </w:rPr>
              <w:t>New York Stock Exchange</w:t>
            </w:r>
          </w:p>
        </w:tc>
      </w:tr>
    </w:tbl>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5"/>
          <w:szCs w:val="15"/>
          <w:color w:val="auto"/>
        </w:rPr>
        <w:t>of 5.00% Series C Cumulative Redeemable Preferred Stock, $.01 par</w:t>
      </w:r>
    </w:p>
    <w:p>
      <w:pPr>
        <w:spacing w:after="0" w:line="4" w:lineRule="exact"/>
        <w:rPr>
          <w:sz w:val="24"/>
          <w:szCs w:val="24"/>
          <w:color w:val="auto"/>
        </w:rPr>
      </w:pPr>
    </w:p>
    <w:p>
      <w:pPr>
        <w:jc w:val="center"/>
        <w:ind w:right="6280"/>
        <w:spacing w:after="0"/>
        <w:rPr>
          <w:sz w:val="20"/>
          <w:szCs w:val="20"/>
          <w:color w:val="auto"/>
        </w:rPr>
      </w:pPr>
      <w:r>
        <w:rPr>
          <w:rFonts w:ascii="Arial" w:cs="Arial" w:eastAsia="Arial" w:hAnsi="Arial"/>
          <w:sz w:val="16"/>
          <w:szCs w:val="16"/>
          <w:color w:val="auto"/>
        </w:rPr>
        <w:t>value per share</w:t>
      </w:r>
    </w:p>
    <w:p>
      <w:pPr>
        <w:spacing w:after="0" w:line="392"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06"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4" w:lineRule="exact"/>
        <w:rPr>
          <w:rFonts w:ascii="MS PGothic" w:cs="MS PGothic" w:eastAsia="MS PGothic" w:hAnsi="MS PGothic"/>
          <w:sz w:val="18"/>
          <w:szCs w:val="18"/>
          <w:color w:val="auto"/>
        </w:rPr>
      </w:pPr>
    </w:p>
    <w:p>
      <w:pPr>
        <w:ind w:left="460" w:hanging="41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460" w:hanging="414"/>
        <w:spacing w:after="0" w:line="235" w:lineRule="auto"/>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9" w:right="6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53" w:lineRule="exact"/>
        <w:rPr>
          <w:sz w:val="20"/>
          <w:szCs w:val="20"/>
          <w:color w:val="auto"/>
        </w:rPr>
      </w:pPr>
    </w:p>
    <w:p>
      <w:pPr>
        <w:ind w:firstLine="180"/>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74" w:lineRule="exact"/>
        <w:rPr>
          <w:sz w:val="20"/>
          <w:szCs w:val="20"/>
          <w:color w:val="auto"/>
        </w:rPr>
      </w:pPr>
    </w:p>
    <w:p>
      <w:pPr>
        <w:ind w:right="20" w:firstLine="180"/>
        <w:spacing w:after="0" w:line="253" w:lineRule="auto"/>
        <w:rPr>
          <w:sz w:val="20"/>
          <w:szCs w:val="20"/>
          <w:color w:val="auto"/>
        </w:rPr>
      </w:pPr>
      <w:r>
        <w:rPr>
          <w:rFonts w:ascii="Arial" w:cs="Arial" w:eastAsia="Arial" w:hAnsi="Arial"/>
          <w:sz w:val="22"/>
          <w:szCs w:val="22"/>
          <w:color w:val="auto"/>
        </w:rPr>
        <w:t>On May 5, 2021, Federal Realty Investment Trust issued supplemental data pertaining to its operations, as well as a press release, to report its financial results for the quarter ended March 31, 2021. The supplemental data and press release are furnished as Exhibit 99.1 hereto.</w:t>
      </w:r>
    </w:p>
    <w:p>
      <w:pPr>
        <w:spacing w:after="0" w:line="20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53" w:lineRule="exact"/>
        <w:rPr>
          <w:sz w:val="20"/>
          <w:szCs w:val="20"/>
          <w:color w:val="auto"/>
        </w:rPr>
      </w:pPr>
    </w:p>
    <w:p>
      <w:pPr>
        <w:ind w:left="180"/>
        <w:spacing w:after="0"/>
        <w:tabs>
          <w:tab w:leader="none" w:pos="5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47"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2021 (including press release dated May 5, 2021)</w:t>
      </w:r>
    </w:p>
    <w:p>
      <w:pPr>
        <w:spacing w:after="0" w:line="260" w:lineRule="exact"/>
        <w:rPr>
          <w:sz w:val="20"/>
          <w:szCs w:val="20"/>
          <w:color w:val="auto"/>
        </w:rPr>
      </w:pPr>
    </w:p>
    <w:p>
      <w:pPr>
        <w:ind w:left="220"/>
        <w:spacing w:after="0"/>
        <w:tabs>
          <w:tab w:leader="none" w:pos="740" w:val="left"/>
        </w:tabs>
        <w:rPr>
          <w:sz w:val="20"/>
          <w:szCs w:val="20"/>
          <w:color w:val="auto"/>
        </w:rPr>
      </w:pPr>
      <w:r>
        <w:rPr>
          <w:rFonts w:ascii="Arial" w:cs="Arial" w:eastAsia="Arial" w:hAnsi="Arial"/>
          <w:sz w:val="19"/>
          <w:szCs w:val="19"/>
          <w:color w:val="auto"/>
        </w:rPr>
        <w:t>104</w:t>
        <w:tab/>
        <w:t>Cover Page Interactive Data File (the Cover Page Interactive Data File is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96" w:lineRule="exact"/>
        <w:rPr>
          <w:sz w:val="20"/>
          <w:szCs w:val="20"/>
          <w:color w:val="auto"/>
        </w:rPr>
      </w:pPr>
    </w:p>
    <w:p>
      <w:pPr>
        <w:ind w:right="140" w:firstLine="180"/>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940"/>
        <w:spacing w:after="0"/>
        <w:rPr>
          <w:sz w:val="20"/>
          <w:szCs w:val="20"/>
          <w:color w:val="auto"/>
        </w:rPr>
      </w:pPr>
      <w:r>
        <w:rPr>
          <w:rFonts w:ascii="Arial" w:cs="Arial" w:eastAsia="Arial" w:hAnsi="Arial"/>
          <w:sz w:val="22"/>
          <w:szCs w:val="22"/>
          <w:b w:val="1"/>
          <w:bCs w:val="1"/>
          <w:color w:val="auto"/>
        </w:rPr>
        <w:t>FEDERAL REALTY INVESTMENT TRUST</w:t>
      </w:r>
    </w:p>
    <w:p>
      <w:pPr>
        <w:spacing w:after="0" w:line="293" w:lineRule="exact"/>
        <w:rPr>
          <w:sz w:val="20"/>
          <w:szCs w:val="20"/>
          <w:color w:val="auto"/>
        </w:rPr>
      </w:pPr>
    </w:p>
    <w:p>
      <w:pPr>
        <w:ind w:left="1040"/>
        <w:spacing w:after="0"/>
        <w:tabs>
          <w:tab w:leader="none" w:pos="1760" w:val="left"/>
          <w:tab w:leader="none" w:pos="4960" w:val="left"/>
        </w:tabs>
        <w:rPr>
          <w:sz w:val="20"/>
          <w:szCs w:val="20"/>
          <w:color w:val="auto"/>
        </w:rPr>
      </w:pPr>
      <w:r>
        <w:rPr>
          <w:rFonts w:ascii="Arial" w:cs="Arial" w:eastAsia="Arial" w:hAnsi="Arial"/>
          <w:sz w:val="22"/>
          <w:szCs w:val="22"/>
          <w:color w:val="auto"/>
        </w:rPr>
        <w:t>Date:</w:t>
        <w:tab/>
        <w:t>May 5, 2021</w:t>
      </w:r>
      <w:r>
        <w:rPr>
          <w:sz w:val="20"/>
          <w:szCs w:val="20"/>
          <w:color w:val="auto"/>
        </w:rPr>
        <w:tab/>
      </w:r>
      <w:r>
        <w:rPr>
          <w:rFonts w:ascii="Arial" w:cs="Arial" w:eastAsia="Arial" w:hAnsi="Arial"/>
          <w:sz w:val="19"/>
          <w:szCs w:val="19"/>
          <w:u w:val="single" w:color="auto"/>
          <w:color w:val="auto"/>
        </w:rPr>
        <w:t>/s/ Daniel Guglielmone</w:t>
      </w:r>
    </w:p>
    <w:p>
      <w:pPr>
        <w:spacing w:after="0" w:line="28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Daniel Guglielmone</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Executive Vice President-</w:t>
      </w:r>
    </w:p>
    <w:p>
      <w:pPr>
        <w:spacing w:after="0" w:line="17"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1071880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300" w:type="dxa"/>
            <w:vAlign w:val="bottom"/>
          </w:tcPr>
          <w:p>
            <w:pPr>
              <w:ind w:left="2900"/>
              <w:spacing w:after="0"/>
              <w:rPr>
                <w:sz w:val="20"/>
                <w:szCs w:val="20"/>
                <w:color w:val="auto"/>
              </w:rPr>
            </w:pPr>
            <w:r>
              <w:rPr>
                <w:rFonts w:ascii="Arial" w:cs="Arial" w:eastAsia="Arial" w:hAnsi="Arial"/>
                <w:sz w:val="22"/>
                <w:szCs w:val="22"/>
                <w:color w:val="auto"/>
              </w:rPr>
              <w:t>EXHIBIT INDEX</w:t>
            </w:r>
          </w:p>
        </w:tc>
      </w:tr>
      <w:tr>
        <w:trPr>
          <w:trHeight w:val="705"/>
        </w:trPr>
        <w:tc>
          <w:tcPr>
            <w:tcW w:w="20" w:type="dxa"/>
            <w:vAlign w:val="bottom"/>
          </w:tcPr>
          <w:p>
            <w:pPr>
              <w:spacing w:after="0"/>
              <w:rPr>
                <w:sz w:val="24"/>
                <w:szCs w:val="24"/>
                <w:color w:val="auto"/>
              </w:rPr>
            </w:pPr>
          </w:p>
        </w:tc>
        <w:tc>
          <w:tcPr>
            <w:tcW w:w="190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 Number</w:t>
            </w:r>
          </w:p>
        </w:tc>
        <w:tc>
          <w:tcPr>
            <w:tcW w:w="93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gridSpan w:val="2"/>
          </w:tcPr>
          <w:p>
            <w:pPr>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40" w:type="dxa"/>
            <w:vAlign w:val="bottom"/>
          </w:tcPr>
          <w:p>
            <w:pPr>
              <w:spacing w:after="0"/>
              <w:rPr>
                <w:sz w:val="15"/>
                <w:szCs w:val="15"/>
                <w:color w:val="auto"/>
              </w:rPr>
            </w:pPr>
          </w:p>
        </w:tc>
        <w:tc>
          <w:tcPr>
            <w:tcW w:w="93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Supplemental Information at March 31, 2021</w:t>
            </w:r>
          </w:p>
        </w:tc>
      </w:tr>
      <w:tr>
        <w:trPr>
          <w:trHeight w:val="304"/>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9"/>
              </w:rPr>
              <w:t>104</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Arial" w:cs="Arial" w:eastAsia="Arial" w:hAnsi="Arial"/>
                <w:sz w:val="18"/>
                <w:szCs w:val="18"/>
                <w:color w:val="auto"/>
                <w:w w:val="98"/>
              </w:rPr>
              <w:t>Cover Page Interactive Data File (the Cover Page Interactive Data File is embedded within the Inline XBRL Document</w:t>
            </w:r>
          </w:p>
        </w:tc>
      </w:tr>
    </w:tbl>
    <w:p>
      <w:pPr>
        <w:sectPr>
          <w:pgSz w:w="11900" w:h="16838" w:orient="portrait"/>
          <w:cols w:equalWidth="0" w:num="1">
            <w:col w:w="11220"/>
          </w:cols>
          <w:pgMar w:left="320" w:top="901" w:right="3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March 31, 2021</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1</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First Quarter 2021 Earnings Press Release</w:t>
            </w:r>
          </w:p>
        </w:tc>
        <w:tc>
          <w:tcPr>
            <w:tcW w:w="1860" w:type="dxa"/>
            <w:vAlign w:val="bottom"/>
            <w:gridSpan w:val="4"/>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2</w:t>
            </w:r>
          </w:p>
        </w:tc>
        <w:tc>
          <w:tcPr>
            <w:tcW w:w="6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Consolidated Income Statements</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Arial" w:cs="Arial" w:eastAsia="Arial" w:hAnsi="Arial"/>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Funds From Operations / Other Supplemental Information</w:t>
            </w:r>
          </w:p>
        </w:tc>
        <w:tc>
          <w:tcPr>
            <w:tcW w:w="1860" w:type="dxa"/>
            <w:vAlign w:val="bottom"/>
            <w:gridSpan w:val="4"/>
          </w:tcPr>
          <w:p>
            <w:pPr>
              <w:jc w:val="right"/>
              <w:ind w:right="20"/>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9</w:t>
              </w:r>
            </w:hyperlink>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COVID-19 Collectibility Related Impacts</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2">
              <w:r>
                <w:rPr>
                  <w:rFonts w:ascii="Arial" w:cs="Arial" w:eastAsia="Arial" w:hAnsi="Arial"/>
                  <w:sz w:val="18"/>
                  <w:szCs w:val="18"/>
                  <w:color w:val="0000FF"/>
                </w:rPr>
                <w:t>10</w:t>
              </w:r>
            </w:hyperlink>
          </w:p>
        </w:tc>
        <w:tc>
          <w:tcPr>
            <w:tcW w:w="20" w:type="dxa"/>
            <w:vAlign w:val="bottom"/>
            <w:shd w:val="clear" w:color="auto" w:fill="CCEEFF"/>
          </w:tcPr>
          <w:p>
            <w:pPr>
              <w:spacing w:after="0"/>
              <w:rPr>
                <w:sz w:val="18"/>
                <w:szCs w:val="18"/>
                <w:color w:val="auto"/>
              </w:rPr>
            </w:pPr>
          </w:p>
        </w:tc>
      </w:tr>
      <w:tr>
        <w:trPr>
          <w:trHeight w:val="189"/>
        </w:trPr>
        <w:tc>
          <w:tcPr>
            <w:tcW w:w="460" w:type="dxa"/>
            <w:vAlign w:val="bottom"/>
            <w:tcBorders>
              <w:top w:val="single" w:sz="8" w:color="CCEEFF"/>
            </w:tcBorders>
          </w:tcPr>
          <w:p>
            <w:pPr>
              <w:spacing w:after="0"/>
              <w:rPr>
                <w:sz w:val="16"/>
                <w:szCs w:val="16"/>
                <w:color w:val="auto"/>
              </w:rPr>
            </w:pPr>
          </w:p>
        </w:tc>
        <w:tc>
          <w:tcPr>
            <w:tcW w:w="6980" w:type="dxa"/>
            <w:vAlign w:val="bottom"/>
            <w:tcBorders>
              <w:top w:val="single" w:sz="8" w:color="CCEEFF"/>
            </w:tcBorders>
          </w:tcPr>
          <w:p>
            <w:pPr>
              <w:ind w:left="1140"/>
              <w:spacing w:after="0" w:line="189" w:lineRule="exact"/>
              <w:rPr>
                <w:sz w:val="20"/>
                <w:szCs w:val="20"/>
                <w:color w:val="auto"/>
              </w:rPr>
            </w:pPr>
            <w:r>
              <w:rPr>
                <w:rFonts w:ascii="Arial" w:cs="Arial" w:eastAsia="Arial" w:hAnsi="Arial"/>
                <w:sz w:val="18"/>
                <w:szCs w:val="18"/>
                <w:color w:val="auto"/>
              </w:rPr>
              <w:t>Components of Rental Income</w:t>
            </w:r>
          </w:p>
        </w:tc>
        <w:tc>
          <w:tcPr>
            <w:tcW w:w="1660" w:type="dxa"/>
            <w:vAlign w:val="bottom"/>
            <w:tcBorders>
              <w:top w:val="single" w:sz="8" w:color="CCEEFF"/>
            </w:tcBorders>
          </w:tcPr>
          <w:p>
            <w:pPr>
              <w:spacing w:after="0"/>
              <w:rPr>
                <w:sz w:val="16"/>
                <w:szCs w:val="16"/>
                <w:color w:val="auto"/>
              </w:rPr>
            </w:pPr>
          </w:p>
        </w:tc>
        <w:tc>
          <w:tcPr>
            <w:tcW w:w="180" w:type="dxa"/>
            <w:vAlign w:val="bottom"/>
            <w:tcBorders>
              <w:top w:val="single" w:sz="8" w:color="0000FF"/>
              <w:bottom w:val="single" w:sz="8" w:color="0000FF"/>
            </w:tcBorders>
            <w:gridSpan w:val="2"/>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Borders>
              <w:top w:val="single" w:sz="8" w:color="CCEEFF"/>
            </w:tcBorders>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Arial" w:cs="Arial" w:eastAsia="Arial" w:hAnsi="Arial"/>
                <w:sz w:val="18"/>
                <w:szCs w:val="18"/>
                <w:color w:val="auto"/>
              </w:rPr>
              <w:t>Comparable Property Information</w:t>
            </w:r>
          </w:p>
        </w:tc>
        <w:tc>
          <w:tcPr>
            <w:tcW w:w="1840" w:type="dxa"/>
            <w:vAlign w:val="bottom"/>
            <w:gridSpan w:val="3"/>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Arial" w:cs="Arial" w:eastAsia="Arial" w:hAnsi="Arial"/>
                <w:sz w:val="18"/>
                <w:szCs w:val="18"/>
                <w:color w:val="auto"/>
              </w:rPr>
              <w:t>Market Data</w:t>
            </w:r>
          </w:p>
        </w:tc>
        <w:tc>
          <w:tcPr>
            <w:tcW w:w="1840" w:type="dxa"/>
            <w:vAlign w:val="bottom"/>
            <w:gridSpan w:val="3"/>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ind w:left="800" w:hanging="789"/>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shd w:val="clear" w:color="auto" w:fill="CCEEFF"/>
          </w:tcPr>
          <w:p>
            <w:pPr>
              <w:spacing w:after="0"/>
              <w:rPr>
                <w:sz w:val="17"/>
                <w:szCs w:val="17"/>
                <w:color w:val="auto"/>
              </w:rPr>
            </w:pPr>
          </w:p>
        </w:tc>
        <w:tc>
          <w:tcPr>
            <w:tcW w:w="708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w:t>
            </w:r>
          </w:p>
        </w:tc>
        <w:tc>
          <w:tcPr>
            <w:tcW w:w="1700" w:type="dxa"/>
            <w:vAlign w:val="bottom"/>
            <w:gridSpan w:val="2"/>
            <w:shd w:val="clear" w:color="auto" w:fill="CCEEFF"/>
          </w:tcPr>
          <w:p>
            <w:pPr>
              <w:jc w:val="right"/>
              <w:spacing w:after="0"/>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shd w:val="clear" w:color="auto" w:fill="CCEEFF"/>
          </w:tcPr>
          <w:p>
            <w:pPr>
              <w:spacing w:after="0"/>
              <w:rPr>
                <w:sz w:val="17"/>
                <w:szCs w:val="17"/>
                <w:color w:val="auto"/>
              </w:rPr>
            </w:pPr>
          </w:p>
        </w:tc>
      </w:tr>
      <w:tr>
        <w:trPr>
          <w:trHeight w:val="21"/>
        </w:trPr>
        <w:tc>
          <w:tcPr>
            <w:tcW w:w="500" w:type="dxa"/>
            <w:vAlign w:val="bottom"/>
            <w:tcBorders>
              <w:top w:val="single" w:sz="8" w:color="CCEEFF"/>
            </w:tcBorders>
            <w:shd w:val="clear" w:color="auto" w:fill="CCEEFF"/>
          </w:tcPr>
          <w:p>
            <w:pPr>
              <w:spacing w:after="0" w:line="20" w:lineRule="exact"/>
              <w:rPr>
                <w:sz w:val="1"/>
                <w:szCs w:val="1"/>
                <w:color w:val="auto"/>
              </w:rPr>
            </w:pPr>
          </w:p>
        </w:tc>
        <w:tc>
          <w:tcPr>
            <w:tcW w:w="70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500" w:type="dxa"/>
            <w:vAlign w:val="bottom"/>
          </w:tcPr>
          <w:p>
            <w:pPr>
              <w:spacing w:after="0"/>
              <w:rPr>
                <w:sz w:val="16"/>
                <w:szCs w:val="16"/>
                <w:color w:val="auto"/>
              </w:rPr>
            </w:pPr>
          </w:p>
        </w:tc>
        <w:tc>
          <w:tcPr>
            <w:tcW w:w="7080" w:type="dxa"/>
            <w:vAlign w:val="bottom"/>
          </w:tcPr>
          <w:p>
            <w:pPr>
              <w:ind w:left="1100"/>
              <w:spacing w:after="0" w:line="189" w:lineRule="exact"/>
              <w:rPr>
                <w:sz w:val="20"/>
                <w:szCs w:val="20"/>
                <w:color w:val="auto"/>
              </w:rPr>
            </w:pPr>
            <w:r>
              <w:rPr>
                <w:rFonts w:ascii="Arial" w:cs="Arial" w:eastAsia="Arial" w:hAnsi="Arial"/>
                <w:sz w:val="18"/>
                <w:szCs w:val="18"/>
                <w:color w:val="auto"/>
              </w:rPr>
              <w:t>Summary of Debt Maturities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4</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Summary of Redevelopment Opportunities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5</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Assembly Row, Pike &amp; Rose, and Santana Row</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18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6</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Future Redevelopment Opportunities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7</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Significant Property Acquisition, Disposition, and Other Transactions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r>
      <w:tr>
        <w:trPr>
          <w:trHeight w:val="21"/>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8</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Real Estate Status Report</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Retail Leasing Summary</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7">
              <w:r>
                <w:rPr>
                  <w:rFonts w:ascii="Arial" w:cs="Arial" w:eastAsia="Arial" w:hAnsi="Arial"/>
                  <w:sz w:val="18"/>
                  <w:szCs w:val="18"/>
                  <w:color w:val="0000FF"/>
                </w:rPr>
                <w:t>25</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10</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Lease Expirations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11</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Portfolio Leased Statistics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12</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Summary of Top 25 Tenants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13</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Tenant Diversification by Category</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29</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14</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Reconciliation of FFO Guidance</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30</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500" w:type="dxa"/>
            <w:vAlign w:val="bottom"/>
            <w:shd w:val="clear" w:color="auto" w:fill="CCEEFF"/>
          </w:tcPr>
          <w:p>
            <w:pPr>
              <w:spacing w:after="0"/>
              <w:rPr>
                <w:sz w:val="23"/>
                <w:szCs w:val="23"/>
                <w:color w:val="auto"/>
              </w:rPr>
            </w:pPr>
          </w:p>
        </w:tc>
        <w:tc>
          <w:tcPr>
            <w:tcW w:w="708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500" w:type="dxa"/>
            <w:vAlign w:val="bottom"/>
          </w:tcPr>
          <w:p>
            <w:pPr>
              <w:ind w:left="20"/>
              <w:spacing w:after="0" w:line="189" w:lineRule="exact"/>
              <w:rPr>
                <w:sz w:val="20"/>
                <w:szCs w:val="20"/>
                <w:color w:val="auto"/>
              </w:rPr>
            </w:pPr>
            <w:r>
              <w:rPr>
                <w:rFonts w:ascii="Arial" w:cs="Arial" w:eastAsia="Arial" w:hAnsi="Arial"/>
                <w:sz w:val="18"/>
                <w:szCs w:val="18"/>
                <w:color w:val="auto"/>
              </w:rPr>
              <w:t>15</w:t>
            </w:r>
          </w:p>
        </w:tc>
        <w:tc>
          <w:tcPr>
            <w:tcW w:w="7080" w:type="dxa"/>
            <w:vAlign w:val="bottom"/>
          </w:tcPr>
          <w:p>
            <w:pPr>
              <w:ind w:left="300"/>
              <w:spacing w:after="0" w:line="189" w:lineRule="exact"/>
              <w:rPr>
                <w:sz w:val="20"/>
                <w:szCs w:val="20"/>
                <w:color w:val="auto"/>
              </w:rPr>
            </w:pPr>
            <w:r>
              <w:rPr>
                <w:rFonts w:ascii="Arial" w:cs="Arial" w:eastAsia="Arial" w:hAnsi="Arial"/>
                <w:sz w:val="18"/>
                <w:szCs w:val="18"/>
                <w:color w:val="auto"/>
              </w:rPr>
              <w:t>Glossary of Terms</w:t>
            </w:r>
          </w:p>
        </w:tc>
        <w:tc>
          <w:tcPr>
            <w:tcW w:w="1700" w:type="dxa"/>
            <w:vAlign w:val="bottom"/>
            <w:gridSpan w:val="2"/>
          </w:tcPr>
          <w:p>
            <w:pPr>
              <w:jc w:val="right"/>
              <w:spacing w:after="0" w:line="189" w:lineRule="exact"/>
              <w:rPr>
                <w:rFonts w:ascii="Arial" w:cs="Arial" w:eastAsia="Arial" w:hAnsi="Arial"/>
                <w:sz w:val="18"/>
                <w:szCs w:val="18"/>
                <w:color w:val="0000FF"/>
              </w:rPr>
            </w:pPr>
            <w:hyperlink w:anchor="page33">
              <w:r>
                <w:rPr>
                  <w:rFonts w:ascii="Arial" w:cs="Arial" w:eastAsia="Arial" w:hAnsi="Arial"/>
                  <w:sz w:val="18"/>
                  <w:szCs w:val="18"/>
                  <w:color w:val="0000FF"/>
                </w:rPr>
                <w:t>31</w:t>
              </w:r>
            </w:hyperlink>
          </w:p>
        </w:tc>
        <w:tc>
          <w:tcPr>
            <w:tcW w:w="20" w:type="dxa"/>
            <w:vAlign w:val="bottom"/>
          </w:tcPr>
          <w:p>
            <w:pPr>
              <w:spacing w:after="0"/>
              <w:rPr>
                <w:sz w:val="16"/>
                <w:szCs w:val="16"/>
                <w:color w:val="auto"/>
              </w:rPr>
            </w:pPr>
          </w:p>
        </w:tc>
      </w:tr>
      <w:tr>
        <w:trPr>
          <w:trHeight w:val="20"/>
        </w:trPr>
        <w:tc>
          <w:tcPr>
            <w:tcW w:w="5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70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00" w:type="dxa"/>
            <w:vAlign w:val="bottom"/>
            <w:shd w:val="clear" w:color="auto" w:fill="CCEEFF"/>
          </w:tcPr>
          <w:p>
            <w:pPr>
              <w:spacing w:after="0"/>
              <w:rPr>
                <w:sz w:val="19"/>
                <w:szCs w:val="19"/>
                <w:color w:val="auto"/>
              </w:rPr>
            </w:pPr>
          </w:p>
        </w:tc>
        <w:tc>
          <w:tcPr>
            <w:tcW w:w="708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9"/>
              </w:rPr>
              <w:t>909 Rose Avenue, Suite 200</w:t>
            </w: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7080" w:type="dxa"/>
            <w:vAlign w:val="bottom"/>
          </w:tcPr>
          <w:p>
            <w:pPr>
              <w:jc w:val="center"/>
              <w:ind w:left="1110"/>
              <w:spacing w:after="0"/>
              <w:rPr>
                <w:sz w:val="20"/>
                <w:szCs w:val="20"/>
                <w:color w:val="auto"/>
              </w:rPr>
            </w:pPr>
            <w:r>
              <w:rPr>
                <w:rFonts w:ascii="Arial" w:cs="Arial" w:eastAsia="Arial" w:hAnsi="Arial"/>
                <w:sz w:val="18"/>
                <w:szCs w:val="18"/>
                <w:color w:val="auto"/>
                <w:w w:val="91"/>
              </w:rPr>
              <w:t>North Bethesda, Maryland 20852-8688</w:t>
            </w: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500" w:type="dxa"/>
            <w:vAlign w:val="bottom"/>
            <w:shd w:val="clear" w:color="auto" w:fill="CCEEFF"/>
          </w:tcPr>
          <w:p>
            <w:pPr>
              <w:spacing w:after="0"/>
              <w:rPr>
                <w:sz w:val="19"/>
                <w:szCs w:val="19"/>
                <w:color w:val="auto"/>
              </w:rPr>
            </w:pPr>
          </w:p>
        </w:tc>
        <w:tc>
          <w:tcPr>
            <w:tcW w:w="708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9"/>
              </w:rPr>
              <w:t>301/998-8100</w:t>
            </w:r>
          </w:p>
        </w:tc>
        <w:tc>
          <w:tcPr>
            <w:tcW w:w="1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300"/>
          </w:cols>
          <w:pgMar w:left="1300" w:top="1026" w:right="12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subsequent quarterly reports on Form 10-Q, and include the following:</w:t>
      </w:r>
    </w:p>
    <w:p>
      <w:pPr>
        <w:spacing w:after="0" w:line="1" w:lineRule="exact"/>
        <w:rPr>
          <w:sz w:val="20"/>
          <w:szCs w:val="20"/>
          <w:color w:val="auto"/>
        </w:rPr>
      </w:pPr>
    </w:p>
    <w:p>
      <w:pPr>
        <w:ind w:left="980" w:right="1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ind w:left="98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4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color w:val="auto"/>
        </w:rPr>
      </w:pPr>
    </w:p>
    <w:p>
      <w:pPr>
        <w:ind w:left="980" w:right="80" w:hanging="324"/>
        <w:spacing w:after="0" w:line="265" w:lineRule="auto"/>
        <w:tabs>
          <w:tab w:leader="none" w:pos="975"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i w:val="1"/>
          <w:iCs w:val="1"/>
          <w:color w:val="auto"/>
        </w:rPr>
      </w:pPr>
    </w:p>
    <w:p>
      <w:pPr>
        <w:ind w:left="980" w:right="340" w:hanging="324"/>
        <w:spacing w:after="0" w:line="281"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spacing w:after="0" w:line="1" w:lineRule="exact"/>
        <w:rPr>
          <w:rFonts w:ascii="Arial" w:cs="Arial" w:eastAsia="Arial" w:hAnsi="Arial"/>
          <w:sz w:val="16"/>
          <w:szCs w:val="16"/>
          <w:color w:val="auto"/>
        </w:rPr>
      </w:pPr>
    </w:p>
    <w:p>
      <w:pPr>
        <w:jc w:val="both"/>
        <w:ind w:left="980" w:right="400" w:hanging="324"/>
        <w:spacing w:after="0" w:line="250"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8"/>
          <w:szCs w:val="18"/>
          <w:color w:val="auto"/>
        </w:rPr>
      </w:pPr>
    </w:p>
    <w:p>
      <w:pPr>
        <w:ind w:left="980" w:right="20" w:hanging="324"/>
        <w:spacing w:after="0" w:line="253" w:lineRule="auto"/>
        <w:tabs>
          <w:tab w:leader="none" w:pos="97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891" w:right="35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NEWS RELEASE</w:t>
            </w:r>
          </w:p>
        </w:tc>
        <w:tc>
          <w:tcPr>
            <w:tcW w:w="5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324"/>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FOR IMMEDIATE RELEASE</w:t>
            </w:r>
          </w:p>
        </w:tc>
        <w:tc>
          <w:tcPr>
            <w:tcW w:w="5300" w:type="dxa"/>
            <w:vAlign w:val="bottom"/>
          </w:tcPr>
          <w:p>
            <w:pPr>
              <w:spacing w:after="0"/>
              <w:rPr>
                <w:sz w:val="24"/>
                <w:szCs w:val="24"/>
                <w:color w:val="auto"/>
              </w:rPr>
            </w:pPr>
          </w:p>
        </w:tc>
      </w:tr>
      <w:tr>
        <w:trPr>
          <w:trHeight w:val="392"/>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30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30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Investor Relations Senior Manager</w:t>
            </w:r>
          </w:p>
        </w:tc>
        <w:tc>
          <w:tcPr>
            <w:tcW w:w="530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30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5"/>
        </w:trPr>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lbrady@federalrealty.com</w:t>
            </w:r>
          </w:p>
        </w:tc>
        <w:tc>
          <w:tcPr>
            <w:tcW w:w="530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2021 Operating Results</w:t>
      </w:r>
    </w:p>
    <w:p>
      <w:pPr>
        <w:spacing w:after="0" w:line="328" w:lineRule="exact"/>
        <w:rPr>
          <w:sz w:val="20"/>
          <w:szCs w:val="20"/>
          <w:color w:val="auto"/>
        </w:rPr>
      </w:pPr>
    </w:p>
    <w:p>
      <w:pPr>
        <w:ind w:right="200"/>
        <w:spacing w:after="0" w:line="365" w:lineRule="auto"/>
        <w:rPr>
          <w:sz w:val="20"/>
          <w:szCs w:val="20"/>
          <w:color w:val="auto"/>
        </w:rPr>
      </w:pPr>
      <w:r>
        <w:rPr>
          <w:rFonts w:ascii="Arial" w:cs="Arial" w:eastAsia="Arial" w:hAnsi="Arial"/>
          <w:sz w:val="18"/>
          <w:szCs w:val="18"/>
          <w:color w:val="auto"/>
        </w:rPr>
        <w:t xml:space="preserve">NORTH BETHESDA, Md. (May 5, 2021)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first quarter ended March 31, 2021. For the three months ended March 31, 2021 and 2020, net income available for common shareholders was $0.60 per diluted share and $0.70 per diluted share,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and subsequent events include:</w:t>
      </w:r>
    </w:p>
    <w:p>
      <w:pPr>
        <w:spacing w:after="0" w:line="252" w:lineRule="exact"/>
        <w:rPr>
          <w:sz w:val="20"/>
          <w:szCs w:val="20"/>
          <w:color w:val="auto"/>
        </w:rPr>
      </w:pPr>
    </w:p>
    <w:p>
      <w:pPr>
        <w:ind w:left="660" w:hanging="328"/>
        <w:spacing w:after="0" w:line="34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Generated funds from operations available to common shareholders (FFO) per diluted share of $1.17 for the quarter compared to $1.50 for the first quarter 2020.</w:t>
      </w: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506,307 square feet of comparable space in the first quarter at an average rent of $36.58 psf and achieved cash basis rollover growth of 9%.</w:t>
      </w: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Ended the quarter with $780 million of cash on hand, $1 billion of availability on its undrawn revolving credit facility and no public bonds maturing until 2023.</w:t>
      </w:r>
    </w:p>
    <w:p>
      <w:pPr>
        <w:ind w:left="66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an 80% interest in Chesterbrook, a grocery-anchored shopping center, in McLean, Virginia subsequent to quarter end based on a gross value of $32.1 million.</w:t>
      </w: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Declared a regular quarterly cash dividend of $1.06 per common share, resulting in an indicated annual rate of $4.24 per common share payable on July 15, 2021 to common shareholders of record as of June 22, 2021.</w:t>
      </w:r>
    </w:p>
    <w:p>
      <w:pPr>
        <w:ind w:left="660" w:right="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Provided 2021 earnings per diluted share guidance of $1.54 to $1.70 and an FFO per diluted share guidance range of $4.54 to $4.70.</w:t>
      </w:r>
    </w:p>
    <w:p>
      <w:pPr>
        <w:ind w:left="660" w:hanging="328"/>
        <w:spacing w:after="0" w:line="37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Provided 2022 earnings per diluted share guidance of $1.74 to $1.94 and an updated 2022 FFO per diluted share guidance range of $5.05 to $5.25.</w:t>
      </w:r>
    </w:p>
    <w:p>
      <w:pPr>
        <w:spacing w:after="0" w:line="130" w:lineRule="exact"/>
        <w:rPr>
          <w:sz w:val="20"/>
          <w:szCs w:val="20"/>
          <w:color w:val="auto"/>
        </w:rPr>
      </w:pPr>
    </w:p>
    <w:p>
      <w:pPr>
        <w:ind w:right="140"/>
        <w:spacing w:after="0" w:line="363" w:lineRule="auto"/>
        <w:rPr>
          <w:sz w:val="20"/>
          <w:szCs w:val="20"/>
          <w:color w:val="auto"/>
        </w:rPr>
      </w:pPr>
      <w:r>
        <w:rPr>
          <w:rFonts w:ascii="Arial" w:cs="Arial" w:eastAsia="Arial" w:hAnsi="Arial"/>
          <w:sz w:val="18"/>
          <w:szCs w:val="18"/>
          <w:color w:val="auto"/>
        </w:rPr>
        <w:t>“A strong quarter on all fronts as our markets continue the re-opening process,” said Donald C. Wood, Chief Executive Officer. “We saw another quarter of strong leasing demand from a broad base of high-quality tenants with first quarter 2021 leasing over 37% higher than our 10-year first quarter average. Federal’s high-quality open-air shopping centers and mixed-use communities remain at the top of the list as tenants look to relocate and expand their real estate presence.”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Financial Results</w:t>
      </w:r>
    </w:p>
    <w:p>
      <w:pPr>
        <w:spacing w:after="0" w:line="274" w:lineRule="exact"/>
        <w:rPr>
          <w:sz w:val="20"/>
          <w:szCs w:val="20"/>
          <w:color w:val="auto"/>
        </w:rPr>
      </w:pPr>
    </w:p>
    <w:p>
      <w:pPr>
        <w:ind w:right="420"/>
        <w:spacing w:after="0" w:line="371" w:lineRule="auto"/>
        <w:rPr>
          <w:sz w:val="20"/>
          <w:szCs w:val="20"/>
          <w:color w:val="auto"/>
        </w:rPr>
      </w:pPr>
      <w:r>
        <w:rPr>
          <w:rFonts w:ascii="Arial" w:cs="Arial" w:eastAsia="Arial" w:hAnsi="Arial"/>
          <w:sz w:val="18"/>
          <w:szCs w:val="18"/>
          <w:color w:val="auto"/>
        </w:rPr>
        <w:t>Net income available for common shareholders was $46.2 million and earnings per diluted share was $0.60 for first quarter 2021 versus $52.8 million and $0.70, respectively, for first quarter 2020.</w:t>
      </w:r>
    </w:p>
    <w:p>
      <w:pPr>
        <w:spacing w:after="0" w:line="116" w:lineRule="exact"/>
        <w:rPr>
          <w:sz w:val="20"/>
          <w:szCs w:val="20"/>
          <w:color w:val="auto"/>
        </w:rPr>
      </w:pPr>
    </w:p>
    <w:p>
      <w:pPr>
        <w:ind w:right="100"/>
        <w:spacing w:after="0" w:line="371" w:lineRule="auto"/>
        <w:rPr>
          <w:sz w:val="20"/>
          <w:szCs w:val="20"/>
          <w:color w:val="auto"/>
        </w:rPr>
      </w:pPr>
      <w:r>
        <w:rPr>
          <w:rFonts w:ascii="Arial" w:cs="Arial" w:eastAsia="Arial" w:hAnsi="Arial"/>
          <w:sz w:val="18"/>
          <w:szCs w:val="18"/>
          <w:color w:val="auto"/>
        </w:rPr>
        <w:t>In the first quarter 2021, Federal Realty generated FFO of $91.1 million, or $1.17 per diluted share. This compares to FFO of $114.3 million, or $1.50 per diluted share, in first quarter 2020.</w:t>
      </w:r>
    </w:p>
    <w:p>
      <w:pPr>
        <w:spacing w:after="0" w:line="130" w:lineRule="exact"/>
        <w:rPr>
          <w:sz w:val="20"/>
          <w:szCs w:val="20"/>
          <w:color w:val="auto"/>
        </w:rPr>
      </w:pPr>
    </w:p>
    <w:p>
      <w:pPr>
        <w:ind w:right="60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portfolio was 91.8% leased as of March 31, 2021, and the comparable portfolio was 91.7% leased.</w:t>
      </w:r>
    </w:p>
    <w:p>
      <w:pPr>
        <w:spacing w:after="0" w:line="252" w:lineRule="exact"/>
        <w:rPr>
          <w:sz w:val="20"/>
          <w:szCs w:val="20"/>
          <w:color w:val="auto"/>
        </w:rPr>
      </w:pPr>
    </w:p>
    <w:p>
      <w:pPr>
        <w:ind w:right="240"/>
        <w:spacing w:after="0" w:line="363" w:lineRule="auto"/>
        <w:rPr>
          <w:sz w:val="20"/>
          <w:szCs w:val="20"/>
          <w:color w:val="auto"/>
        </w:rPr>
      </w:pPr>
      <w:r>
        <w:rPr>
          <w:rFonts w:ascii="Arial" w:cs="Arial" w:eastAsia="Arial" w:hAnsi="Arial"/>
          <w:sz w:val="18"/>
          <w:szCs w:val="18"/>
          <w:color w:val="auto"/>
        </w:rPr>
        <w:t>During the first quarter 2021, Federal Realty signed 110 leases for 514,636 square feet of retail space. On a comparable space basis (i.e., spaces for which there was a former tenant), Federal Realty leased 506,307 square feet at an average rent of $36.58 per square foot compared to the average contractual rent of $33.64 per square foot for the last year of the prior leases, representing a cash basis rollover growth on those comparable spaces of 9%, 17% on a straight-line basis.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Operational Update</w:t>
      </w:r>
    </w:p>
    <w:p>
      <w:pPr>
        <w:spacing w:after="0" w:line="261" w:lineRule="exact"/>
        <w:rPr>
          <w:sz w:val="20"/>
          <w:szCs w:val="20"/>
          <w:color w:val="auto"/>
        </w:rPr>
      </w:pPr>
    </w:p>
    <w:p>
      <w:pPr>
        <w:spacing w:after="0" w:line="365" w:lineRule="auto"/>
        <w:rPr>
          <w:sz w:val="20"/>
          <w:szCs w:val="20"/>
          <w:color w:val="auto"/>
        </w:rPr>
      </w:pPr>
      <w:r>
        <w:rPr>
          <w:rFonts w:ascii="Arial" w:cs="Arial" w:eastAsia="Arial" w:hAnsi="Arial"/>
          <w:sz w:val="18"/>
          <w:szCs w:val="18"/>
          <w:color w:val="auto"/>
        </w:rPr>
        <w:t>All 101 properties remain open and operating. Approximately 98% of our retail tenants based on annualized base rent were open and operating as of April 30, 2021. Annualized base rent reflects the aggregate, annualized in-place contractual (defined as rents billed on a cash basis without taking the impact of rent abatements into account) minimum rent for all occupied commercial spaces.</w:t>
      </w:r>
    </w:p>
    <w:p>
      <w:pPr>
        <w:spacing w:after="0" w:line="136" w:lineRule="exact"/>
        <w:rPr>
          <w:sz w:val="20"/>
          <w:szCs w:val="20"/>
          <w:color w:val="auto"/>
        </w:rPr>
      </w:pPr>
    </w:p>
    <w:p>
      <w:pPr>
        <w:ind w:right="280"/>
        <w:spacing w:after="0" w:line="371" w:lineRule="auto"/>
        <w:rPr>
          <w:sz w:val="20"/>
          <w:szCs w:val="20"/>
          <w:color w:val="auto"/>
        </w:rPr>
      </w:pPr>
      <w:r>
        <w:rPr>
          <w:rFonts w:ascii="Arial" w:cs="Arial" w:eastAsia="Arial" w:hAnsi="Arial"/>
          <w:sz w:val="18"/>
          <w:szCs w:val="18"/>
          <w:color w:val="auto"/>
        </w:rPr>
        <w:t>As of April 27, 2021, the Company has collected approximately 90% of total first quarter 2021 billed recurring rents. Including rent deferral and abatement agreements, total addressed recurring rent was 96%.</w:t>
      </w:r>
    </w:p>
    <w:p>
      <w:pPr>
        <w:spacing w:after="0" w:line="130" w:lineRule="exact"/>
        <w:rPr>
          <w:sz w:val="20"/>
          <w:szCs w:val="20"/>
          <w:color w:val="auto"/>
        </w:rPr>
      </w:pPr>
    </w:p>
    <w:p>
      <w:pPr>
        <w:ind w:right="220"/>
        <w:spacing w:after="0" w:line="371" w:lineRule="auto"/>
        <w:rPr>
          <w:sz w:val="20"/>
          <w:szCs w:val="20"/>
          <w:color w:val="auto"/>
        </w:rPr>
      </w:pPr>
      <w:r>
        <w:rPr>
          <w:rFonts w:ascii="Arial" w:cs="Arial" w:eastAsia="Arial" w:hAnsi="Arial"/>
          <w:sz w:val="18"/>
          <w:szCs w:val="18"/>
          <w:color w:val="auto"/>
        </w:rPr>
        <w:t>With $780 million of cash and cash equivalents as of March 31, 2021, Federal Realty has approximately $1.8 billion of liquidity in cash and undrawn availability under its $1 billion revolving credit facility.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74"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262626"/>
        </w:rPr>
        <w:t xml:space="preserve">Federal Realty announced today that its Board of Trustees </w:t>
      </w:r>
      <w:r>
        <w:rPr>
          <w:rFonts w:ascii="Arial" w:cs="Arial" w:eastAsia="Arial" w:hAnsi="Arial"/>
          <w:sz w:val="18"/>
          <w:szCs w:val="18"/>
          <w:color w:val="000000"/>
        </w:rPr>
        <w:t>declared a regular quarterly cash dividend of $1.06 per common share, resulting</w:t>
      </w:r>
      <w:r>
        <w:rPr>
          <w:rFonts w:ascii="Arial" w:cs="Arial" w:eastAsia="Arial" w:hAnsi="Arial"/>
          <w:sz w:val="18"/>
          <w:szCs w:val="18"/>
          <w:color w:val="262626"/>
        </w:rPr>
        <w:t xml:space="preserve"> </w:t>
      </w:r>
      <w:r>
        <w:rPr>
          <w:rFonts w:ascii="Arial" w:cs="Arial" w:eastAsia="Arial" w:hAnsi="Arial"/>
          <w:sz w:val="18"/>
          <w:szCs w:val="18"/>
          <w:color w:val="000000"/>
        </w:rPr>
        <w:t>in an indicated annual rate of $4.24 per common share. The regular common dividend will be payable on July 15, 2021 to common shareholders of record as of June 22, 2021.</w:t>
      </w:r>
    </w:p>
    <w:p>
      <w:pPr>
        <w:spacing w:after="0" w:line="136" w:lineRule="exact"/>
        <w:rPr>
          <w:sz w:val="20"/>
          <w:szCs w:val="20"/>
          <w:color w:val="auto"/>
        </w:rPr>
      </w:pPr>
    </w:p>
    <w:p>
      <w:pPr>
        <w:ind w:right="160"/>
        <w:spacing w:after="0" w:line="371"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depositary share. All dividends on the depositary shares will be payable on July 15, 2021, to shareholders of record as of July 1, 2021.</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March 19, 2021 – Federal Realty sold an 8-acre portion of Graham Park Plaza in Falls Church, Virginia for gross proceeds of $20.3 million.</w:t>
      </w:r>
    </w:p>
    <w:p>
      <w:pPr>
        <w:spacing w:after="0" w:line="252" w:lineRule="exact"/>
        <w:rPr>
          <w:sz w:val="20"/>
          <w:szCs w:val="20"/>
          <w:color w:val="auto"/>
        </w:rPr>
      </w:pPr>
    </w:p>
    <w:p>
      <w:pPr>
        <w:ind w:right="60"/>
        <w:spacing w:after="0" w:line="365" w:lineRule="auto"/>
        <w:rPr>
          <w:sz w:val="20"/>
          <w:szCs w:val="20"/>
          <w:color w:val="auto"/>
        </w:rPr>
      </w:pPr>
      <w:r>
        <w:rPr>
          <w:rFonts w:ascii="Arial" w:cs="Arial" w:eastAsia="Arial" w:hAnsi="Arial"/>
          <w:sz w:val="18"/>
          <w:szCs w:val="18"/>
          <w:color w:val="auto"/>
        </w:rPr>
        <w:t>April 16, 2021 – Federal Realty amended its term loan subsequent to quarter end extending the term to April 16, 2024 plus two one-year extensions, reducing the spread over LIBOR from 135 bps to 80 bps and repaying $100.0 million of the existing loan for a remaining balance of $300.0 million.</w:t>
      </w:r>
    </w:p>
    <w:p>
      <w:pPr>
        <w:spacing w:after="0" w:line="136" w:lineRule="exact"/>
        <w:rPr>
          <w:sz w:val="20"/>
          <w:szCs w:val="20"/>
          <w:color w:val="auto"/>
        </w:rPr>
      </w:pPr>
    </w:p>
    <w:p>
      <w:pPr>
        <w:jc w:val="both"/>
        <w:ind w:right="100"/>
        <w:spacing w:after="0" w:line="365" w:lineRule="auto"/>
        <w:rPr>
          <w:sz w:val="20"/>
          <w:szCs w:val="20"/>
          <w:color w:val="auto"/>
        </w:rPr>
      </w:pPr>
      <w:r>
        <w:rPr>
          <w:rFonts w:ascii="Arial" w:cs="Arial" w:eastAsia="Arial" w:hAnsi="Arial"/>
          <w:sz w:val="18"/>
          <w:szCs w:val="18"/>
          <w:color w:val="auto"/>
        </w:rPr>
        <w:t>April 30, 2021 – Federal Realty acquired Chesterbrook, a 90,000 square foot shopping center anchored by Safeway and Rite Aid located in McLean, Virginia. The acquisition closed subsequent to quarter end based on a gross value of $32.1 million. This acquisition was completed through a newly formed joint venture, in which Federal Realty owns an 80% interest.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74"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Federal Realty provided 2021 guidance for earnings per diluted share of $1.54 to $1.70 and 2021 FFO per diluted share guidance of $4.54 to $4.70.</w:t>
      </w:r>
    </w:p>
    <w:p>
      <w:pPr>
        <w:spacing w:after="0" w:line="130" w:lineRule="exact"/>
        <w:rPr>
          <w:sz w:val="20"/>
          <w:szCs w:val="20"/>
          <w:color w:val="auto"/>
        </w:rPr>
      </w:pPr>
    </w:p>
    <w:p>
      <w:pPr>
        <w:ind w:right="700"/>
        <w:spacing w:after="0" w:line="371" w:lineRule="auto"/>
        <w:rPr>
          <w:sz w:val="20"/>
          <w:szCs w:val="20"/>
          <w:color w:val="auto"/>
        </w:rPr>
      </w:pPr>
      <w:r>
        <w:rPr>
          <w:rFonts w:ascii="Arial" w:cs="Arial" w:eastAsia="Arial" w:hAnsi="Arial"/>
          <w:sz w:val="18"/>
          <w:szCs w:val="18"/>
          <w:color w:val="auto"/>
        </w:rPr>
        <w:t>Additionally, Federal Realty provided 2022 guidance for earnings per diluted share of $1.74 to $1.94 and 2021 FFO per diluted share guidance of $5.05 to $5.25.</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4" w:lineRule="exact"/>
        <w:rPr>
          <w:sz w:val="20"/>
          <w:szCs w:val="20"/>
          <w:color w:val="auto"/>
        </w:rPr>
      </w:pPr>
    </w:p>
    <w:p>
      <w:pPr>
        <w:spacing w:after="0" w:line="362" w:lineRule="auto"/>
        <w:rPr>
          <w:sz w:val="20"/>
          <w:szCs w:val="20"/>
          <w:color w:val="auto"/>
        </w:rPr>
      </w:pPr>
      <w:r>
        <w:rPr>
          <w:rFonts w:ascii="Arial" w:cs="Arial" w:eastAsia="Arial" w:hAnsi="Arial"/>
          <w:sz w:val="18"/>
          <w:szCs w:val="18"/>
          <w:color w:val="262626"/>
        </w:rPr>
        <w:t>Federal Realty’s management team will present an in-depth discussion of Federal Realty’s operating performance on its first quarter 2021 earnings conference call, which is scheduled for Wednesday, May 5, 2021 at 5:00 PM ET. To participate, please call 877.407.9208 five to ten minutes prior to the call start time and use the passcode 13718245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May 19, 2021 by dialing 844.512.2921; Passcode: 13718245.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61"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46" w:right="339" w:bottom="1440" w:gutter="0" w:footer="0" w:header="0"/>
        </w:sectPr>
      </w:pPr>
    </w:p>
    <w:bookmarkStart w:id="8" w:name="page9"/>
    <w:bookmarkEnd w:id="8"/>
    <w:p>
      <w:pPr>
        <w:jc w:val="both"/>
        <w:spacing w:after="0" w:line="3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101 properties include approximately 2,800 tenants, in 23 million square feet, and approximately 2,900 residential units.</w:t>
      </w:r>
    </w:p>
    <w:p>
      <w:pPr>
        <w:spacing w:after="0" w:line="138" w:lineRule="exact"/>
        <w:rPr>
          <w:sz w:val="20"/>
          <w:szCs w:val="20"/>
          <w:color w:val="auto"/>
        </w:rPr>
      </w:pPr>
    </w:p>
    <w:p>
      <w:pPr>
        <w:ind w:right="120"/>
        <w:spacing w:after="0" w:line="365" w:lineRule="auto"/>
        <w:rPr>
          <w:sz w:val="20"/>
          <w:szCs w:val="20"/>
          <w:color w:val="auto"/>
        </w:rPr>
      </w:pPr>
      <w:r>
        <w:rPr>
          <w:rFonts w:ascii="Arial" w:cs="Arial" w:eastAsia="Arial" w:hAnsi="Arial"/>
          <w:sz w:val="18"/>
          <w:szCs w:val="18"/>
          <w:color w:val="auto"/>
        </w:rPr>
        <w:t>Federal Realty has increased its quarterly dividends to its shareholders for 53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11, 2021, and include the following:</w:t>
      </w:r>
    </w:p>
    <w:p>
      <w:pPr>
        <w:spacing w:after="0" w:line="18" w:lineRule="exact"/>
        <w:rPr>
          <w:sz w:val="20"/>
          <w:szCs w:val="20"/>
          <w:color w:val="auto"/>
        </w:rPr>
      </w:pPr>
    </w:p>
    <w:p>
      <w:pPr>
        <w:ind w:left="980" w:right="60" w:hanging="324"/>
        <w:spacing w:after="0" w:line="23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980" w:right="20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ind w:left="980" w:right="36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4"/>
          <w:szCs w:val="14"/>
          <w:i w:val="1"/>
          <w:iCs w:val="1"/>
          <w:color w:val="auto"/>
        </w:rPr>
      </w:pP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980" w:hanging="324"/>
        <w:spacing w:after="0"/>
        <w:tabs>
          <w:tab w:leader="none" w:pos="98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ind w:left="980" w:right="32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41"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47" w:lineRule="auto"/>
        <w:tabs>
          <w:tab w:leader="none" w:pos="97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3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11, 2021 and subsequent quarterly reports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4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8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614"/>
              <w:spacing w:after="0"/>
              <w:rPr>
                <w:sz w:val="20"/>
                <w:szCs w:val="20"/>
                <w:color w:val="auto"/>
              </w:rPr>
            </w:pPr>
            <w:r>
              <w:rPr>
                <w:rFonts w:ascii="Arial" w:cs="Arial" w:eastAsia="Arial" w:hAnsi="Arial"/>
                <w:sz w:val="14"/>
                <w:szCs w:val="14"/>
                <w:b w:val="1"/>
                <w:bCs w:val="1"/>
                <w:color w:val="auto"/>
                <w:w w:val="99"/>
              </w:rPr>
              <w:t>March 31,</w:t>
            </w:r>
          </w:p>
        </w:tc>
        <w:tc>
          <w:tcPr>
            <w:tcW w:w="800" w:type="dxa"/>
            <w:vAlign w:val="bottom"/>
            <w:tcBorders>
              <w:bottom w:val="single" w:sz="8" w:color="auto"/>
            </w:tcBorders>
          </w:tcPr>
          <w:p>
            <w:pPr>
              <w:spacing w:after="0"/>
              <w:rPr>
                <w:sz w:val="16"/>
                <w:szCs w:val="16"/>
                <w:color w:val="auto"/>
              </w:rPr>
            </w:pPr>
          </w:p>
        </w:tc>
      </w:tr>
      <w:tr>
        <w:trPr>
          <w:trHeight w:val="187"/>
        </w:trPr>
        <w:tc>
          <w:tcPr>
            <w:tcW w:w="8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75"/>
        </w:trPr>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186"/>
        </w:trPr>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94"/>
              </w:rPr>
              <w:t>(unaudited)</w:t>
            </w:r>
          </w:p>
        </w:tc>
        <w:tc>
          <w:tcPr>
            <w:tcW w:w="800" w:type="dxa"/>
            <w:vAlign w:val="bottom"/>
          </w:tcPr>
          <w:p>
            <w:pPr>
              <w:spacing w:after="0"/>
              <w:rPr>
                <w:sz w:val="16"/>
                <w:szCs w:val="16"/>
                <w:color w:val="auto"/>
              </w:rPr>
            </w:pPr>
          </w:p>
        </w:tc>
      </w:tr>
      <w:tr>
        <w:trPr>
          <w:trHeight w:val="242"/>
        </w:trPr>
        <w:tc>
          <w:tcPr>
            <w:tcW w:w="876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230,798</w:t>
            </w:r>
          </w:p>
        </w:tc>
      </w:tr>
      <w:tr>
        <w:trPr>
          <w:trHeight w:val="229"/>
        </w:trPr>
        <w:tc>
          <w:tcPr>
            <w:tcW w:w="8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Mortgage interest income</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r>
      <w:tr>
        <w:trPr>
          <w:trHeight w:val="223"/>
        </w:trPr>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revenue</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218,161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231,557</w:t>
            </w:r>
          </w:p>
        </w:tc>
      </w:tr>
      <w:tr>
        <w:trPr>
          <w:trHeight w:val="209"/>
        </w:trPr>
        <w:tc>
          <w:tcPr>
            <w:tcW w:w="876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Rental expenses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44,312</w:t>
            </w:r>
          </w:p>
        </w:tc>
      </w:tr>
      <w:tr>
        <w:trPr>
          <w:trHeight w:val="229"/>
        </w:trPr>
        <w:tc>
          <w:tcPr>
            <w:tcW w:w="8760" w:type="dxa"/>
            <w:vAlign w:val="bottom"/>
          </w:tcPr>
          <w:p>
            <w:pPr>
              <w:ind w:left="220"/>
              <w:spacing w:after="0"/>
              <w:rPr>
                <w:sz w:val="20"/>
                <w:szCs w:val="20"/>
                <w:color w:val="auto"/>
              </w:rPr>
            </w:pPr>
            <w:r>
              <w:rPr>
                <w:rFonts w:ascii="Arial" w:cs="Arial" w:eastAsia="Arial" w:hAnsi="Arial"/>
                <w:sz w:val="18"/>
                <w:szCs w:val="18"/>
                <w:color w:val="auto"/>
              </w:rPr>
              <w:t>Real estate taxes</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29,064</w:t>
            </w:r>
          </w:p>
        </w:tc>
      </w:tr>
      <w:tr>
        <w:trPr>
          <w:trHeight w:val="229"/>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r>
      <w:tr>
        <w:trPr>
          <w:trHeight w:val="230"/>
        </w:trPr>
        <w:tc>
          <w:tcPr>
            <w:tcW w:w="8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w:t>
            </w:r>
          </w:p>
        </w:tc>
      </w:tr>
      <w:tr>
        <w:trPr>
          <w:trHeight w:val="223"/>
        </w:trPr>
        <w:tc>
          <w:tcPr>
            <w:tcW w:w="8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145,815</w:t>
            </w:r>
          </w:p>
        </w:tc>
      </w:tr>
      <w:tr>
        <w:trPr>
          <w:trHeight w:val="250"/>
        </w:trPr>
        <w:tc>
          <w:tcPr>
            <w:tcW w:w="8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sale of real estate and change in control of interest</w:t>
            </w: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85,742</w:t>
            </w:r>
          </w:p>
        </w:tc>
      </w:tr>
      <w:tr>
        <w:trPr>
          <w:trHeight w:val="270"/>
        </w:trPr>
        <w:tc>
          <w:tcPr>
            <w:tcW w:w="8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29"/>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760" w:type="dxa"/>
            <w:vAlign w:val="bottom"/>
          </w:tcPr>
          <w:p>
            <w:pPr>
              <w:ind w:left="220"/>
              <w:spacing w:after="0"/>
              <w:rPr>
                <w:sz w:val="20"/>
                <w:szCs w:val="20"/>
                <w:color w:val="auto"/>
              </w:rPr>
            </w:pPr>
            <w:r>
              <w:rPr>
                <w:rFonts w:ascii="Arial" w:cs="Arial" w:eastAsia="Arial" w:hAnsi="Arial"/>
                <w:sz w:val="18"/>
                <w:szCs w:val="18"/>
                <w:color w:val="auto"/>
              </w:rPr>
              <w:t>Other interest income</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29"/>
        </w:trPr>
        <w:tc>
          <w:tcPr>
            <w:tcW w:w="8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(28,445)</w:t>
            </w:r>
          </w:p>
        </w:tc>
      </w:tr>
      <w:tr>
        <w:trPr>
          <w:trHeight w:val="230"/>
        </w:trPr>
        <w:tc>
          <w:tcPr>
            <w:tcW w:w="8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Loss from partnerships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56,441</w:t>
            </w:r>
          </w:p>
        </w:tc>
      </w:tr>
      <w:tr>
        <w:trPr>
          <w:trHeight w:val="230"/>
        </w:trPr>
        <w:tc>
          <w:tcPr>
            <w:tcW w:w="87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r>
      <w:tr>
        <w:trPr>
          <w:trHeight w:val="223"/>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TRUST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54,763</w:t>
            </w:r>
          </w:p>
        </w:tc>
      </w:tr>
      <w:tr>
        <w:trPr>
          <w:trHeight w:val="230"/>
        </w:trPr>
        <w:tc>
          <w:tcPr>
            <w:tcW w:w="8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Dividends on preferred shares</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r>
      <w:tr>
        <w:trPr>
          <w:trHeight w:val="248"/>
        </w:trPr>
        <w:tc>
          <w:tcPr>
            <w:tcW w:w="8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52,753</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COMMON SHARE, BASIC AND DILUTED:</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760" w:type="dxa"/>
            <w:vAlign w:val="bottom"/>
          </w:tcPr>
          <w:p>
            <w:pPr>
              <w:ind w:left="220"/>
              <w:spacing w:after="0"/>
              <w:rPr>
                <w:sz w:val="20"/>
                <w:szCs w:val="20"/>
                <w:color w:val="auto"/>
              </w:rPr>
            </w:pPr>
            <w:r>
              <w:rPr>
                <w:rFonts w:ascii="Arial" w:cs="Arial" w:eastAsia="Arial" w:hAnsi="Arial"/>
                <w:sz w:val="18"/>
                <w:szCs w:val="18"/>
                <w:color w:val="auto"/>
              </w:rPr>
              <w:t>Net income available for common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0.70</w:t>
            </w: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8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number of common shares</w:t>
            </w: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75,360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5"/>
                <w:szCs w:val="15"/>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5"/>
        </w:trPr>
        <w:tc>
          <w:tcPr>
            <w:tcW w:w="8560" w:type="dxa"/>
            <w:vAlign w:val="bottom"/>
          </w:tcPr>
          <w:p>
            <w:pPr>
              <w:spacing w:after="0"/>
              <w:rPr>
                <w:sz w:val="11"/>
                <w:szCs w:val="11"/>
                <w:color w:val="auto"/>
              </w:rPr>
            </w:pPr>
          </w:p>
        </w:tc>
        <w:tc>
          <w:tcPr>
            <w:tcW w:w="2620" w:type="dxa"/>
            <w:vAlign w:val="bottom"/>
            <w:gridSpan w:val="5"/>
          </w:tcPr>
          <w:p>
            <w:pPr>
              <w:ind w:left="40"/>
              <w:spacing w:after="0" w:line="135" w:lineRule="exact"/>
              <w:rPr>
                <w:sz w:val="20"/>
                <w:szCs w:val="20"/>
                <w:color w:val="auto"/>
              </w:rPr>
            </w:pPr>
            <w:r>
              <w:rPr>
                <w:rFonts w:ascii="Arial" w:cs="Arial" w:eastAsia="Arial" w:hAnsi="Arial"/>
                <w:sz w:val="14"/>
                <w:szCs w:val="14"/>
                <w:b w:val="1"/>
                <w:bCs w:val="1"/>
                <w:color w:val="auto"/>
                <w:w w:val="91"/>
              </w:rPr>
              <w:t>(in thousands, except share and per share</w:t>
            </w:r>
          </w:p>
        </w:tc>
        <w:tc>
          <w:tcPr>
            <w:tcW w:w="0" w:type="dxa"/>
            <w:vAlign w:val="bottom"/>
          </w:tcPr>
          <w:p>
            <w:pPr>
              <w:spacing w:after="0"/>
              <w:rPr>
                <w:sz w:val="1"/>
                <w:szCs w:val="1"/>
                <w:color w:val="auto"/>
              </w:rPr>
            </w:pPr>
          </w:p>
        </w:tc>
      </w:tr>
      <w:tr>
        <w:trPr>
          <w:trHeight w:val="180"/>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560" w:type="dxa"/>
            <w:vAlign w:val="bottom"/>
          </w:tcPr>
          <w:p>
            <w:pPr>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 estate, at cost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w w:val="96"/>
              </w:rPr>
              <w:t>Operating (including $1,731,961 and $1,703,202 of consolidated variable interest entities, respectively)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7,840,664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7,771,981</w:t>
            </w:r>
          </w:p>
        </w:tc>
        <w:tc>
          <w:tcPr>
            <w:tcW w:w="0" w:type="dxa"/>
            <w:vAlign w:val="bottom"/>
          </w:tcPr>
          <w:p>
            <w:pPr>
              <w:spacing w:after="0"/>
              <w:rPr>
                <w:sz w:val="1"/>
                <w:szCs w:val="1"/>
                <w:color w:val="auto"/>
              </w:rPr>
            </w:pPr>
          </w:p>
        </w:tc>
      </w:tr>
      <w:tr>
        <w:trPr>
          <w:trHeight w:val="176"/>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Construction-in-progress (including $35,359 and $44,896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868,193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810,889</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8,708,857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8,582,870</w:t>
            </w: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Less accumulated depreciation and amortization (including $347,041 and $335,735 of consolidated variable</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(2,393,380)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(2,357,692)</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Net real estate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6,315,477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6,225,178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798,329</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159,780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Mortgage notes receivable,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39,892</w:t>
            </w: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Investment in partnerships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22,128</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92,248</w:t>
            </w:r>
          </w:p>
        </w:tc>
        <w:tc>
          <w:tcPr>
            <w:tcW w:w="0" w:type="dxa"/>
            <w:vAlign w:val="bottom"/>
          </w:tcPr>
          <w:p>
            <w:pPr>
              <w:spacing w:after="0"/>
              <w:rPr>
                <w:sz w:val="1"/>
                <w:szCs w:val="1"/>
                <w:color w:val="auto"/>
              </w:rPr>
            </w:pPr>
          </w:p>
        </w:tc>
      </w:tr>
      <w:tr>
        <w:trPr>
          <w:trHeight w:val="229"/>
        </w:trPr>
        <w:tc>
          <w:tcPr>
            <w:tcW w:w="8560" w:type="dxa"/>
            <w:vAlign w:val="bottom"/>
          </w:tcPr>
          <w:p>
            <w:pPr>
              <w:ind w:left="340"/>
              <w:spacing w:after="0"/>
              <w:rPr>
                <w:sz w:val="20"/>
                <w:szCs w:val="20"/>
                <w:color w:val="auto"/>
              </w:rPr>
            </w:pPr>
            <w:r>
              <w:rPr>
                <w:rFonts w:ascii="Arial" w:cs="Arial" w:eastAsia="Arial" w:hAnsi="Arial"/>
                <w:sz w:val="18"/>
                <w:szCs w:val="18"/>
                <w:color w:val="auto"/>
              </w:rPr>
              <w:t>Finance lease right of use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50,795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51,116</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218,953</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7,669,601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9"/>
              </w:rPr>
              <w:t>Mortgages payable, net (including $397,084 and $413,681 of consolidated variable interest entities,</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466,950</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484,111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8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Notes payable,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403,081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402,776</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Senior notes and debentures,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3,404,879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3,404,488</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228,641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83,839</w:t>
            </w: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20,388</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72,441</w:t>
            </w:r>
          </w:p>
        </w:tc>
        <w:tc>
          <w:tcPr>
            <w:tcW w:w="0" w:type="dxa"/>
            <w:vAlign w:val="bottom"/>
          </w:tcPr>
          <w:p>
            <w:pPr>
              <w:spacing w:after="0"/>
              <w:rPr>
                <w:sz w:val="1"/>
                <w:szCs w:val="1"/>
                <w:color w:val="auto"/>
              </w:rPr>
            </w:pPr>
          </w:p>
        </w:tc>
      </w:tr>
      <w:tr>
        <w:trPr>
          <w:trHeight w:val="229"/>
        </w:trPr>
        <w:tc>
          <w:tcPr>
            <w:tcW w:w="8560" w:type="dxa"/>
            <w:vAlign w:val="bottom"/>
          </w:tcPr>
          <w:p>
            <w:pPr>
              <w:ind w:left="660"/>
              <w:spacing w:after="0"/>
              <w:rPr>
                <w:sz w:val="20"/>
                <w:szCs w:val="20"/>
                <w:color w:val="auto"/>
              </w:rPr>
            </w:pPr>
            <w:r>
              <w:rPr>
                <w:rFonts w:ascii="Arial" w:cs="Arial" w:eastAsia="Arial" w:hAnsi="Arial"/>
                <w:sz w:val="18"/>
                <w:szCs w:val="18"/>
                <w:color w:val="auto"/>
              </w:rPr>
              <w:t>Finance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72,045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152,424</w:t>
            </w:r>
          </w:p>
        </w:tc>
        <w:tc>
          <w:tcPr>
            <w:tcW w:w="0" w:type="dxa"/>
            <w:vAlign w:val="bottom"/>
          </w:tcPr>
          <w:p>
            <w:pPr>
              <w:spacing w:after="0"/>
              <w:rPr>
                <w:sz w:val="1"/>
                <w:szCs w:val="1"/>
                <w:color w:val="auto"/>
              </w:rPr>
            </w:pPr>
          </w:p>
        </w:tc>
      </w:tr>
      <w:tr>
        <w:trPr>
          <w:trHeight w:val="223"/>
        </w:trPr>
        <w:tc>
          <w:tcPr>
            <w:tcW w:w="856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4,926,459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4,921,157</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34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137,720</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Preferred shares, authorized 15,000,000 shares, $.01 par: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5.0% Series C Cumulative Redeemable Preferred Shares, (stated at liquidation preference $25,000 per</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share), 6,000 shares issued and outstanding</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tcPr>
          <w:p>
            <w:pPr>
              <w:ind w:left="780"/>
              <w:spacing w:after="0" w:line="176" w:lineRule="exact"/>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18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30"/>
        </w:trPr>
        <w:tc>
          <w:tcPr>
            <w:tcW w:w="8560" w:type="dxa"/>
            <w:vAlign w:val="bottom"/>
          </w:tcPr>
          <w:p>
            <w:pPr>
              <w:ind w:left="780"/>
              <w:spacing w:after="0"/>
              <w:rPr>
                <w:sz w:val="20"/>
                <w:szCs w:val="20"/>
                <w:color w:val="auto"/>
              </w:rPr>
            </w:pPr>
            <w:r>
              <w:rPr>
                <w:rFonts w:ascii="Arial" w:cs="Arial" w:eastAsia="Arial" w:hAnsi="Arial"/>
                <w:sz w:val="18"/>
                <w:szCs w:val="18"/>
                <w:color w:val="auto"/>
              </w:rPr>
              <w:t>399,896 shares issued and outstanding</w:t>
            </w:r>
          </w:p>
        </w:tc>
        <w:tc>
          <w:tcPr>
            <w:tcW w:w="1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w w:val="91"/>
              </w:rPr>
              <w:t>Common shares of beneficial interest, $.01 par, 100,000,000 shares authorized, 77,706,466 and 76,727,394</w:t>
            </w:r>
          </w:p>
        </w:tc>
        <w:tc>
          <w:tcPr>
            <w:tcW w:w="1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3,386,917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3,297,305</w:t>
            </w:r>
          </w:p>
        </w:tc>
        <w:tc>
          <w:tcPr>
            <w:tcW w:w="0" w:type="dxa"/>
            <w:vAlign w:val="bottom"/>
          </w:tcPr>
          <w:p>
            <w:pPr>
              <w:spacing w:after="0"/>
              <w:rPr>
                <w:sz w:val="1"/>
                <w:szCs w:val="1"/>
                <w:color w:val="auto"/>
              </w:rPr>
            </w:pPr>
          </w:p>
        </w:tc>
      </w:tr>
      <w:tr>
        <w:trPr>
          <w:trHeight w:val="229"/>
        </w:trPr>
        <w:tc>
          <w:tcPr>
            <w:tcW w:w="85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(1,024,417)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(988,272)</w:t>
            </w:r>
          </w:p>
        </w:tc>
        <w:tc>
          <w:tcPr>
            <w:tcW w:w="0" w:type="dxa"/>
            <w:vAlign w:val="bottom"/>
          </w:tcPr>
          <w:p>
            <w:pPr>
              <w:spacing w:after="0"/>
              <w:rPr>
                <w:sz w:val="1"/>
                <w:szCs w:val="1"/>
                <w:color w:val="auto"/>
              </w:rPr>
            </w:pPr>
          </w:p>
        </w:tc>
      </w:tr>
      <w:tr>
        <w:trPr>
          <w:trHeight w:val="230"/>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2,520,978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2,464,157</w:t>
            </w:r>
          </w:p>
        </w:tc>
        <w:tc>
          <w:tcPr>
            <w:tcW w:w="0" w:type="dxa"/>
            <w:vAlign w:val="bottom"/>
          </w:tcPr>
          <w:p>
            <w:pPr>
              <w:spacing w:after="0"/>
              <w:rPr>
                <w:sz w:val="1"/>
                <w:szCs w:val="1"/>
                <w:color w:val="auto"/>
              </w:rPr>
            </w:pPr>
          </w:p>
        </w:tc>
      </w:tr>
      <w:tr>
        <w:trPr>
          <w:trHeight w:val="229"/>
        </w:trPr>
        <w:tc>
          <w:tcPr>
            <w:tcW w:w="856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84,590</w:t>
            </w: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2,604,960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2,548,747</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7,669,601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7,607,624</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80"/>
          </w:cols>
          <w:pgMar w:left="360" w:top="1026" w:right="359" w:bottom="1440" w:gutter="0" w:footer="0" w:header="0"/>
          <w:type w:val="continuous"/>
        </w:sectPr>
      </w:pPr>
    </w:p>
    <w:bookmarkStart w:id="11" w:name="page12"/>
    <w:bookmarkEnd w:id="11"/>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693"/>
              <w:spacing w:after="0"/>
              <w:rPr>
                <w:sz w:val="20"/>
                <w:szCs w:val="20"/>
                <w:color w:val="auto"/>
              </w:rPr>
            </w:pPr>
            <w:r>
              <w:rPr>
                <w:rFonts w:ascii="Arial" w:cs="Arial" w:eastAsia="Arial" w:hAnsi="Arial"/>
                <w:sz w:val="14"/>
                <w:szCs w:val="14"/>
                <w:b w:val="1"/>
                <w:bCs w:val="1"/>
                <w:color w:val="auto"/>
                <w:w w:val="99"/>
              </w:rPr>
              <w:t>March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8300" w:type="dxa"/>
            <w:vAlign w:val="bottom"/>
            <w:gridSpan w:val="5"/>
            <w:shd w:val="clear" w:color="auto" w:fill="CCEEFF"/>
          </w:tcPr>
          <w:p>
            <w:pPr>
              <w:spacing w:after="0" w:line="190" w:lineRule="exact"/>
              <w:rPr>
                <w:sz w:val="20"/>
                <w:szCs w:val="20"/>
                <w:color w:val="auto"/>
              </w:rPr>
            </w:pPr>
            <w:r>
              <w:rPr>
                <w:rFonts w:ascii="Arial" w:cs="Arial" w:eastAsia="Arial" w:hAnsi="Arial"/>
                <w:sz w:val="18"/>
                <w:szCs w:val="18"/>
                <w:color w:val="auto"/>
              </w:rPr>
              <w:t>Funds from Operations available for common shareholders (FFO) (1)</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w:t>
            </w:r>
          </w:p>
        </w:tc>
        <w:tc>
          <w:tcPr>
            <w:tcW w:w="33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CCEEFF"/>
            </w:tcBorders>
          </w:tcPr>
          <w:p>
            <w:pPr>
              <w:jc w:val="right"/>
              <w:ind w:right="133"/>
              <w:spacing w:after="0"/>
              <w:rPr>
                <w:sz w:val="20"/>
                <w:szCs w:val="20"/>
                <w:color w:val="auto"/>
              </w:rPr>
            </w:pPr>
            <w:r>
              <w:rPr>
                <w:rFonts w:ascii="Arial" w:cs="Arial" w:eastAsia="Arial" w:hAnsi="Arial"/>
                <w:sz w:val="18"/>
                <w:szCs w:val="18"/>
                <w:color w:val="auto"/>
              </w:rPr>
              <w:t>49,739</w:t>
            </w:r>
          </w:p>
        </w:tc>
        <w:tc>
          <w:tcPr>
            <w:tcW w:w="1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tcPr>
          <w:p>
            <w:pPr>
              <w:jc w:val="right"/>
              <w:ind w:right="131"/>
              <w:spacing w:after="0"/>
              <w:rPr>
                <w:sz w:val="20"/>
                <w:szCs w:val="20"/>
                <w:color w:val="auto"/>
              </w:rPr>
            </w:pPr>
            <w:r>
              <w:rPr>
                <w:rFonts w:ascii="Arial" w:cs="Arial" w:eastAsia="Arial" w:hAnsi="Arial"/>
                <w:sz w:val="18"/>
                <w:szCs w:val="18"/>
                <w:color w:val="auto"/>
              </w:rPr>
              <w:t>56,441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Gain on sale of real estate and change in control of interest</w:t>
            </w:r>
          </w:p>
        </w:tc>
        <w:tc>
          <w:tcPr>
            <w:tcW w:w="22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(17,428)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57,103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56,046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4,744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Funds from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92,655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115,709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Dividends on preferred shares (2)</w:t>
            </w:r>
          </w:p>
        </w:tc>
        <w:tc>
          <w:tcPr>
            <w:tcW w:w="220" w:type="dxa"/>
            <w:vAlign w:val="bottom"/>
          </w:tcPr>
          <w:p>
            <w:pPr>
              <w:spacing w:after="0"/>
              <w:rPr>
                <w:sz w:val="19"/>
                <w:szCs w:val="19"/>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 (3)</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Income attributable to unvested shares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8300" w:type="dxa"/>
            <w:vAlign w:val="bottom"/>
            <w:tcBorders>
              <w:bottom w:val="single" w:sz="8" w:color="CCEEFF"/>
            </w:tcBorders>
            <w:gridSpan w:val="5"/>
            <w:shd w:val="clear" w:color="auto" w:fill="CCEEFF"/>
          </w:tcPr>
          <w:p>
            <w:pPr>
              <w:ind w:left="340"/>
              <w:spacing w:after="0" w:line="196" w:lineRule="exact"/>
              <w:rPr>
                <w:sz w:val="20"/>
                <w:szCs w:val="20"/>
                <w:color w:val="auto"/>
              </w:rPr>
            </w:pPr>
            <w:r>
              <w:rPr>
                <w:rFonts w:ascii="Arial" w:cs="Arial" w:eastAsia="Arial" w:hAnsi="Arial"/>
                <w:sz w:val="18"/>
                <w:szCs w:val="18"/>
                <w:color w:val="auto"/>
              </w:rPr>
              <w:t>FFO</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91,105</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114,268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8"/>
                <w:szCs w:val="18"/>
                <w:color w:val="auto"/>
              </w:rPr>
              <w:t>Weighted average number of common shares, diluted (2)(3)</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8300" w:type="dxa"/>
            <w:vAlign w:val="bottom"/>
            <w:gridSpan w:val="5"/>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33"/>
              <w:spacing w:after="0" w:line="176" w:lineRule="exact"/>
              <w:rPr>
                <w:sz w:val="20"/>
                <w:szCs w:val="20"/>
                <w:color w:val="auto"/>
              </w:rPr>
            </w:pPr>
            <w:r>
              <w:rPr>
                <w:rFonts w:ascii="Arial" w:cs="Arial" w:eastAsia="Arial" w:hAnsi="Arial"/>
                <w:sz w:val="18"/>
                <w:szCs w:val="18"/>
                <w:color w:val="auto"/>
              </w:rPr>
              <w:t>77,582</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31"/>
              <w:spacing w:after="0" w:line="176" w:lineRule="exact"/>
              <w:rPr>
                <w:sz w:val="20"/>
                <w:szCs w:val="20"/>
                <w:color w:val="auto"/>
              </w:rPr>
            </w:pPr>
            <w:r>
              <w:rPr>
                <w:rFonts w:ascii="Arial" w:cs="Arial" w:eastAsia="Arial" w:hAnsi="Arial"/>
                <w:sz w:val="18"/>
                <w:szCs w:val="18"/>
                <w:color w:val="auto"/>
              </w:rPr>
              <w:t>76,208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8300" w:type="dxa"/>
            <w:vAlign w:val="bottom"/>
            <w:tcBorders>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FFO per diluted share</w:t>
            </w:r>
          </w:p>
        </w:tc>
        <w:tc>
          <w:tcPr>
            <w:tcW w:w="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9"/>
              </w:rPr>
              <w:t>Dividends and Payout Ratios</w:t>
            </w:r>
          </w:p>
        </w:tc>
        <w:tc>
          <w:tcPr>
            <w:tcW w:w="6200" w:type="dxa"/>
            <w:vAlign w:val="bottom"/>
            <w:tcBorders>
              <w:bottom w:val="single" w:sz="8" w:color="CCEEFF"/>
            </w:tcBorders>
            <w:gridSpan w:val="4"/>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Regular common dividends declared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82,371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79,403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Summary of Capital Expenditures</w:t>
            </w:r>
          </w:p>
        </w:tc>
        <w:tc>
          <w:tcPr>
            <w:tcW w:w="5840" w:type="dxa"/>
            <w:vAlign w:val="bottom"/>
            <w:tcBorders>
              <w:bottom w:val="single" w:sz="8" w:color="CCEEFF"/>
            </w:tcBorders>
            <w:gridSpan w:val="3"/>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84,701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116,765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Tenant improvements and incentives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12,771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10,661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97,472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127,426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color w:val="auto"/>
              </w:rPr>
              <w:t>Maintenance capital expenditures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2,762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101,333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130,188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w w:val="92"/>
              </w:rPr>
              <w:t>Noncontrolling Interests Supplemental Information (4)</w:t>
            </w:r>
          </w:p>
        </w:tc>
        <w:tc>
          <w:tcPr>
            <w:tcW w:w="434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00" w:type="dxa"/>
            <w:vAlign w:val="bottom"/>
            <w:gridSpan w:val="5"/>
          </w:tcPr>
          <w:p>
            <w:pPr>
              <w:spacing w:after="0"/>
              <w:rPr>
                <w:sz w:val="20"/>
                <w:szCs w:val="20"/>
                <w:color w:val="auto"/>
              </w:rPr>
            </w:pPr>
            <w:r>
              <w:rPr>
                <w:rFonts w:ascii="Arial" w:cs="Arial" w:eastAsia="Arial" w:hAnsi="Arial"/>
                <w:sz w:val="18"/>
                <w:szCs w:val="18"/>
                <w:color w:val="auto"/>
              </w:rPr>
              <w:t>Property operating income (1)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3"/>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2,927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(1,457)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3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59" w:lineRule="exact"/>
        <w:rPr>
          <w:rFonts w:ascii="Arial" w:cs="Arial" w:eastAsia="Arial" w:hAnsi="Arial"/>
          <w:sz w:val="16"/>
          <w:szCs w:val="16"/>
          <w:color w:val="auto"/>
        </w:rPr>
      </w:pPr>
    </w:p>
    <w:p>
      <w:pPr>
        <w:ind w:left="660" w:right="700" w:hanging="652"/>
        <w:spacing w:after="0" w:line="27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March 31, 2020, dividends on our Series 1 preferred stock were not deducted in the calculation of FFO available to common shareholders, as the related shares were dilutive and included in "weighted average common shares, diluted."</w:t>
      </w:r>
    </w:p>
    <w:p>
      <w:pPr>
        <w:spacing w:after="0" w:line="10" w:lineRule="exact"/>
        <w:rPr>
          <w:rFonts w:ascii="Arial" w:cs="Arial" w:eastAsia="Arial" w:hAnsi="Arial"/>
          <w:sz w:val="16"/>
          <w:szCs w:val="16"/>
          <w:color w:val="auto"/>
        </w:rPr>
      </w:pPr>
    </w:p>
    <w:p>
      <w:pPr>
        <w:jc w:val="both"/>
        <w:ind w:left="660" w:right="200" w:hanging="652"/>
        <w:spacing w:after="0" w:line="26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 the three months ended March 31, 2021 and 2020, the weighted average common shares used to compute FFO per diluted common share includes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Amounts reflect the components of "net income attributable to noncontrolling interests," but exclude "income attributable to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4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COVID-19 Collectibility Related Impacts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329"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 following provides supplemental information regarding our collectibility related impacts resulting from COVID-19 for the three months ended March 31, 2021. The primary drivers of our collectibility impacts in the quarter are from tenants who we account for on a cash basis or converted to a cash basis of accounting during the quarter, as we did not receive full contractual rent payments, as well as COVID-19 related rent abatements. We change a tenant to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2020 Annual Report on Form 10-K.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212529"/>
        </w:rPr>
        <w:t>Collectibility Impacts for the Quarter Ended March 31, 2021</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3720" w:type="dxa"/>
            <w:vAlign w:val="bottom"/>
            <w:gridSpan w:val="2"/>
          </w:tcPr>
          <w:p>
            <w:pPr>
              <w:jc w:val="center"/>
              <w:ind w:left="1937"/>
              <w:spacing w:after="0"/>
              <w:rPr>
                <w:sz w:val="20"/>
                <w:szCs w:val="20"/>
                <w:color w:val="auto"/>
              </w:rPr>
            </w:pPr>
            <w:r>
              <w:rPr>
                <w:rFonts w:ascii="Arial" w:cs="Arial" w:eastAsia="Arial" w:hAnsi="Arial"/>
                <w:sz w:val="16"/>
                <w:szCs w:val="16"/>
                <w:b w:val="1"/>
                <w:bCs w:val="1"/>
                <w:color w:val="auto"/>
                <w:w w:val="88"/>
              </w:rPr>
              <w:t>Accounts Receivable</w:t>
            </w:r>
          </w:p>
        </w:tc>
        <w:tc>
          <w:tcPr>
            <w:tcW w:w="200" w:type="dxa"/>
            <w:vAlign w:val="bottom"/>
          </w:tcPr>
          <w:p>
            <w:pPr>
              <w:spacing w:after="0"/>
              <w:rPr>
                <w:sz w:val="16"/>
                <w:szCs w:val="16"/>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5"/>
              </w:rPr>
              <w:t>Straight-Line Rent</w:t>
            </w:r>
          </w:p>
        </w:tc>
        <w:tc>
          <w:tcPr>
            <w:tcW w:w="440" w:type="dxa"/>
            <w:vAlign w:val="bottom"/>
          </w:tcPr>
          <w:p>
            <w:pPr>
              <w:spacing w:after="0"/>
              <w:rPr>
                <w:sz w:val="16"/>
                <w:szCs w:val="16"/>
                <w:color w:val="auto"/>
              </w:rPr>
            </w:pPr>
          </w:p>
        </w:tc>
        <w:tc>
          <w:tcPr>
            <w:tcW w:w="1260" w:type="dxa"/>
            <w:vAlign w:val="bottom"/>
            <w:vMerge w:val="restart"/>
          </w:tcPr>
          <w:p>
            <w:pPr>
              <w:jc w:val="right"/>
              <w:ind w:right="557"/>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1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297"/>
              <w:spacing w:after="0"/>
              <w:rPr>
                <w:sz w:val="20"/>
                <w:szCs w:val="20"/>
                <w:color w:val="auto"/>
              </w:rPr>
            </w:pPr>
            <w:r>
              <w:rPr>
                <w:rFonts w:ascii="Arial" w:cs="Arial" w:eastAsia="Arial" w:hAnsi="Arial"/>
                <w:sz w:val="16"/>
                <w:szCs w:val="16"/>
                <w:b w:val="1"/>
                <w:bCs w:val="1"/>
                <w:color w:val="auto"/>
                <w:w w:val="96"/>
              </w:rPr>
              <w:t>Impact</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91"/>
              </w:rPr>
              <w:t>Receivable Impact</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right="78"/>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collectibility impact (1)</w:t>
            </w:r>
          </w:p>
        </w:tc>
        <w:tc>
          <w:tcPr>
            <w:tcW w:w="24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14,351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449</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14,800</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0"/>
        <w:spacing w:after="0"/>
        <w:rPr>
          <w:sz w:val="20"/>
          <w:szCs w:val="20"/>
          <w:color w:val="auto"/>
        </w:rPr>
      </w:pPr>
      <w:r>
        <w:rPr>
          <w:rFonts w:ascii="Arial" w:cs="Arial" w:eastAsia="Arial" w:hAnsi="Arial"/>
          <w:sz w:val="17"/>
          <w:szCs w:val="17"/>
          <w:u w:val="single" w:color="auto"/>
          <w:color w:val="auto"/>
        </w:rPr>
        <w:t>Note:</w:t>
      </w:r>
    </w:p>
    <w:p>
      <w:pPr>
        <w:spacing w:after="0" w:line="21" w:lineRule="exact"/>
        <w:rPr>
          <w:sz w:val="20"/>
          <w:szCs w:val="20"/>
          <w:color w:val="auto"/>
        </w:rPr>
      </w:pPr>
    </w:p>
    <w:p>
      <w:pPr>
        <w:ind w:left="680" w:hanging="641"/>
        <w:spacing w:after="0"/>
        <w:tabs>
          <w:tab w:leader="none" w:pos="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approximately $10 million related to the abatement of Q1 2021 contractual rents due to COVID-19.</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 on Cash Basis Tenants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33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6"/>
                <w:szCs w:val="16"/>
                <w:b w:val="1"/>
                <w:bCs w:val="1"/>
                <w:color w:val="auto"/>
              </w:rPr>
              <w:t>As of March 31, 2021</w:t>
            </w:r>
          </w:p>
        </w:tc>
        <w:tc>
          <w:tcPr>
            <w:tcW w:w="0" w:type="dxa"/>
            <w:vAlign w:val="bottom"/>
          </w:tcPr>
          <w:p>
            <w:pPr>
              <w:spacing w:after="0"/>
              <w:rPr>
                <w:sz w:val="1"/>
                <w:szCs w:val="1"/>
                <w:color w:val="auto"/>
              </w:rPr>
            </w:pPr>
          </w:p>
        </w:tc>
      </w:tr>
      <w:tr>
        <w:trPr>
          <w:trHeight w:val="158"/>
        </w:trPr>
        <w:tc>
          <w:tcPr>
            <w:tcW w:w="79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 Recognized on a</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Cash Basis</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Active commercial tenant leases</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2,770</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34%</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Annualized base rent from commercial tenants (in millions) (2)</w:t>
            </w: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7"/>
                <w:szCs w:val="17"/>
                <w:color w:val="auto"/>
                <w:w w:val="88"/>
              </w:rPr>
              <w:t>26%</w:t>
            </w:r>
          </w:p>
        </w:tc>
        <w:tc>
          <w:tcPr>
            <w:tcW w:w="0" w:type="dxa"/>
            <w:vAlign w:val="bottom"/>
          </w:tcPr>
          <w:p>
            <w:pPr>
              <w:spacing w:after="0"/>
              <w:rPr>
                <w:sz w:val="1"/>
                <w:szCs w:val="1"/>
                <w:color w:val="auto"/>
              </w:rPr>
            </w:pPr>
          </w:p>
        </w:tc>
      </w:tr>
      <w:tr>
        <w:trPr>
          <w:trHeight w:val="455"/>
        </w:trPr>
        <w:tc>
          <w:tcPr>
            <w:tcW w:w="7900" w:type="dxa"/>
            <w:vAlign w:val="bottom"/>
          </w:tcPr>
          <w:p>
            <w:pPr>
              <w:spacing w:after="0"/>
              <w:rPr>
                <w:sz w:val="20"/>
                <w:szCs w:val="20"/>
                <w:color w:val="auto"/>
              </w:rPr>
            </w:pPr>
            <w:r>
              <w:rPr>
                <w:rFonts w:ascii="Arial" w:cs="Arial" w:eastAsia="Arial" w:hAnsi="Arial"/>
                <w:sz w:val="17"/>
                <w:szCs w:val="17"/>
                <w:b w:val="1"/>
                <w:bCs w:val="1"/>
                <w:color w:val="auto"/>
              </w:rPr>
              <w:t>Rent Deferrals and Rent Abatements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contractual rent deferred (in millions) (3)</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6"/>
        </w:trPr>
        <w:tc>
          <w:tcPr>
            <w:tcW w:w="7900" w:type="dxa"/>
            <w:vAlign w:val="bottom"/>
          </w:tcPr>
          <w:p>
            <w:pPr>
              <w:ind w:left="20"/>
              <w:spacing w:after="0"/>
              <w:rPr>
                <w:sz w:val="20"/>
                <w:szCs w:val="20"/>
                <w:color w:val="auto"/>
              </w:rPr>
            </w:pPr>
            <w:r>
              <w:rPr>
                <w:rFonts w:ascii="Arial" w:cs="Arial" w:eastAsia="Arial" w:hAnsi="Arial"/>
                <w:sz w:val="17"/>
                <w:szCs w:val="17"/>
                <w:color w:val="auto"/>
              </w:rPr>
              <w:t>Cumulative deferral payments collected through March 31, 2021 (in millions) (4)</w:t>
            </w:r>
          </w:p>
        </w:tc>
        <w:tc>
          <w:tcPr>
            <w:tcW w:w="10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Contractual rent abated (in millions) (5)</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Notes:</w:t>
      </w:r>
    </w:p>
    <w:p>
      <w:pPr>
        <w:spacing w:after="0" w:line="21" w:lineRule="exact"/>
        <w:rPr>
          <w:sz w:val="20"/>
          <w:szCs w:val="20"/>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See Glossary of Terms.</w:t>
      </w:r>
    </w:p>
    <w:p>
      <w:pPr>
        <w:spacing w:after="0" w:line="20" w:lineRule="exact"/>
        <w:rPr>
          <w:rFonts w:ascii="Arial" w:cs="Arial" w:eastAsia="Arial" w:hAnsi="Arial"/>
          <w:sz w:val="17"/>
          <w:szCs w:val="17"/>
          <w:color w:val="auto"/>
        </w:rPr>
      </w:pPr>
    </w:p>
    <w:p>
      <w:pPr>
        <w:ind w:left="720" w:right="260" w:hanging="694"/>
        <w:spacing w:after="0" w:line="262" w:lineRule="auto"/>
        <w:tabs>
          <w:tab w:leader="none" w:pos="720" w:val="left"/>
        </w:tabs>
        <w:numPr>
          <w:ilvl w:val="0"/>
          <w:numId w:val="8"/>
        </w:numPr>
        <w:rPr>
          <w:rFonts w:ascii="Arial" w:cs="Arial" w:eastAsia="Arial" w:hAnsi="Arial"/>
          <w:sz w:val="15"/>
          <w:szCs w:val="15"/>
          <w:color w:val="auto"/>
        </w:rPr>
      </w:pPr>
      <w:r>
        <w:rPr>
          <w:rFonts w:ascii="Arial" w:cs="Arial" w:eastAsia="Arial" w:hAnsi="Arial"/>
          <w:sz w:val="15"/>
          <w:szCs w:val="15"/>
          <w:color w:val="auto"/>
        </w:rPr>
        <w:t>Total contractual rent for April 2020 through March 2021 that has been deferred pursuant to modification agreements signed through March 31, 2021. Accrual basis tenants comprise approximately 58% of this cumulative deferred rent for executed agreements in place as of March 31, 2021.</w:t>
      </w:r>
    </w:p>
    <w:p>
      <w:pPr>
        <w:spacing w:after="0" w:line="1" w:lineRule="exact"/>
        <w:rPr>
          <w:rFonts w:ascii="Arial" w:cs="Arial" w:eastAsia="Arial" w:hAnsi="Arial"/>
          <w:sz w:val="15"/>
          <w:szCs w:val="15"/>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Deferral payments collected to date represent approximately 85% of the amounts agreed to be repaid by March 31, 2021.</w:t>
      </w:r>
    </w:p>
    <w:p>
      <w:pPr>
        <w:spacing w:after="0" w:line="20" w:lineRule="exact"/>
        <w:rPr>
          <w:rFonts w:ascii="Arial" w:cs="Arial" w:eastAsia="Arial" w:hAnsi="Arial"/>
          <w:sz w:val="17"/>
          <w:szCs w:val="17"/>
          <w:color w:val="auto"/>
        </w:rPr>
      </w:pPr>
    </w:p>
    <w:p>
      <w:pPr>
        <w:ind w:left="720" w:hanging="694"/>
        <w:spacing w:after="0"/>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Total contractual rent abated related to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2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Components of Rental Income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37"/>
              <w:spacing w:after="0"/>
              <w:rPr>
                <w:sz w:val="20"/>
                <w:szCs w:val="20"/>
                <w:color w:val="auto"/>
              </w:rPr>
            </w:pPr>
            <w:r>
              <w:rPr>
                <w:rFonts w:ascii="Arial" w:cs="Arial" w:eastAsia="Arial" w:hAnsi="Arial"/>
                <w:sz w:val="14"/>
                <w:szCs w:val="14"/>
                <w:b w:val="1"/>
                <w:bCs w:val="1"/>
                <w:color w:val="auto"/>
                <w:w w:val="95"/>
              </w:rPr>
              <w:t>March 31,</w:t>
            </w:r>
          </w:p>
        </w:tc>
        <w:tc>
          <w:tcPr>
            <w:tcW w:w="960" w:type="dxa"/>
            <w:vAlign w:val="bottom"/>
            <w:tcBorders>
              <w:bottom w:val="single" w:sz="8" w:color="auto"/>
            </w:tcBorders>
          </w:tcPr>
          <w:p>
            <w:pPr>
              <w:spacing w:after="0"/>
              <w:rPr>
                <w:sz w:val="16"/>
                <w:szCs w:val="16"/>
                <w:color w:val="auto"/>
              </w:rPr>
            </w:pPr>
          </w:p>
        </w:tc>
      </w:tr>
      <w:tr>
        <w:trPr>
          <w:trHeight w:val="187"/>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181"/>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5"/>
                <w:szCs w:val="15"/>
                <w:color w:val="auto"/>
              </w:rPr>
            </w:pPr>
          </w:p>
        </w:tc>
      </w:tr>
      <w:tr>
        <w:trPr>
          <w:trHeight w:val="232"/>
        </w:trPr>
        <w:tc>
          <w:tcPr>
            <w:tcW w:w="8260" w:type="dxa"/>
            <w:vAlign w:val="bottom"/>
          </w:tcPr>
          <w:p>
            <w:pPr>
              <w:ind w:left="20"/>
              <w:spacing w:after="0"/>
              <w:rPr>
                <w:sz w:val="20"/>
                <w:szCs w:val="20"/>
                <w:color w:val="auto"/>
              </w:rPr>
            </w:pPr>
            <w:r>
              <w:rPr>
                <w:rFonts w:ascii="Arial" w:cs="Arial" w:eastAsia="Arial" w:hAnsi="Arial"/>
                <w:sz w:val="18"/>
                <w:szCs w:val="18"/>
                <w:color w:val="auto"/>
              </w:rPr>
              <w:t>Minimum rents (2)</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158,805</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20,618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reimbursements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43,703</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Percentage rents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1,820</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Collectibility related impact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rental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Notes:</w:t>
      </w:r>
    </w:p>
    <w:p>
      <w:pPr>
        <w:spacing w:after="0" w:line="61" w:lineRule="exact"/>
        <w:rPr>
          <w:sz w:val="20"/>
          <w:szCs w:val="20"/>
          <w:color w:val="auto"/>
        </w:rPr>
      </w:pPr>
    </w:p>
    <w:p>
      <w:pPr>
        <w:ind w:left="660" w:right="260" w:hanging="652"/>
        <w:spacing w:after="0" w:line="261" w:lineRule="auto"/>
        <w:tabs>
          <w:tab w:leader="none" w:pos="654"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23" w:lineRule="exact"/>
        <w:rPr>
          <w:rFonts w:ascii="Arial" w:cs="Arial" w:eastAsia="Arial" w:hAnsi="Arial"/>
          <w:sz w:val="17"/>
          <w:szCs w:val="17"/>
          <w:color w:val="auto"/>
        </w:rPr>
      </w:pPr>
    </w:p>
    <w:p>
      <w:pPr>
        <w:ind w:left="640" w:hanging="632"/>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Minimum rents include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20" w:type="dxa"/>
            <w:vAlign w:val="bottom"/>
          </w:tcPr>
          <w:p>
            <w:pPr>
              <w:spacing w:after="0"/>
              <w:rPr>
                <w:sz w:val="16"/>
                <w:szCs w:val="16"/>
                <w:color w:val="auto"/>
              </w:rPr>
            </w:pPr>
          </w:p>
        </w:tc>
        <w:tc>
          <w:tcPr>
            <w:tcW w:w="2500" w:type="dxa"/>
            <w:vAlign w:val="bottom"/>
            <w:gridSpan w:val="3"/>
          </w:tcPr>
          <w:p>
            <w:pPr>
              <w:jc w:val="center"/>
              <w:ind w:left="339"/>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6"/>
                <w:szCs w:val="16"/>
                <w:color w:val="auto"/>
              </w:rPr>
            </w:pPr>
          </w:p>
        </w:tc>
      </w:tr>
      <w:tr>
        <w:trPr>
          <w:trHeight w:val="195"/>
        </w:trPr>
        <w:tc>
          <w:tcPr>
            <w:tcW w:w="83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76"/>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6"/>
                <w:szCs w:val="16"/>
                <w:color w:val="auto"/>
              </w:rPr>
            </w:pPr>
          </w:p>
        </w:tc>
      </w:tr>
      <w:tr>
        <w:trPr>
          <w:trHeight w:val="187"/>
        </w:trPr>
        <w:tc>
          <w:tcPr>
            <w:tcW w:w="8320" w:type="dxa"/>
            <w:vAlign w:val="bottom"/>
          </w:tcPr>
          <w:p>
            <w:pPr>
              <w:spacing w:after="0"/>
              <w:rPr>
                <w:sz w:val="16"/>
                <w:szCs w:val="16"/>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r>
      <w:tr>
        <w:trPr>
          <w:trHeight w:val="181"/>
        </w:trPr>
        <w:tc>
          <w:tcPr>
            <w:tcW w:w="8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r>
      <w:tr>
        <w:trPr>
          <w:trHeight w:val="448"/>
        </w:trPr>
        <w:tc>
          <w:tcPr>
            <w:tcW w:w="8320" w:type="dxa"/>
            <w:vAlign w:val="bottom"/>
          </w:tcPr>
          <w:p>
            <w:pPr>
              <w:ind w:left="20"/>
              <w:spacing w:after="0"/>
              <w:rPr>
                <w:sz w:val="20"/>
                <w:szCs w:val="20"/>
                <w:color w:val="auto"/>
              </w:rPr>
            </w:pPr>
            <w:r>
              <w:rPr>
                <w:rFonts w:ascii="Arial" w:cs="Arial" w:eastAsia="Arial" w:hAnsi="Arial"/>
                <w:sz w:val="18"/>
                <w:szCs w:val="18"/>
                <w:color w:val="auto"/>
              </w:rPr>
              <w:t>Straight-line rents</w:t>
            </w:r>
          </w:p>
        </w:tc>
        <w:tc>
          <w:tcPr>
            <w:tcW w:w="980" w:type="dxa"/>
            <w:vAlign w:val="bottom"/>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2.2</w:t>
            </w:r>
          </w:p>
        </w:tc>
        <w:tc>
          <w:tcPr>
            <w:tcW w:w="1060" w:type="dxa"/>
            <w:vAlign w:val="bottom"/>
          </w:tcPr>
          <w:p>
            <w:pPr>
              <w:jc w:val="right"/>
              <w:ind w:right="796"/>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in-place leases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1.6</w:t>
            </w:r>
          </w:p>
        </w:tc>
        <w:tc>
          <w:tcPr>
            <w:tcW w:w="106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Comparable Property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2021</w:t>
      </w:r>
    </w:p>
    <w:p>
      <w:pPr>
        <w:spacing w:after="0" w:line="121" w:lineRule="exact"/>
        <w:rPr>
          <w:sz w:val="20"/>
          <w:szCs w:val="20"/>
          <w:color w:val="auto"/>
        </w:rPr>
      </w:pPr>
    </w:p>
    <w:p>
      <w:pPr>
        <w:ind w:right="20"/>
        <w:spacing w:after="0" w:line="219" w:lineRule="auto"/>
        <w:rPr>
          <w:sz w:val="20"/>
          <w:szCs w:val="20"/>
          <w:color w:val="auto"/>
        </w:rPr>
      </w:pPr>
      <w:r>
        <w:rPr>
          <w:rFonts w:ascii="Arial" w:cs="Arial" w:eastAsia="Arial" w:hAnsi="Arial"/>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Assembly Row Phase 3, Cocowalk, The Commons at Darien, Pike &amp; Rose Phase 3, 700 Santana Row, Freedom Plaza, and all properties acquired or disposed of from Q1 2020 to Q1 2021. Comparable Property property operating income ("Comparable Property POI") is a non-GAAP measure used by management in evaluating the operating performance of our properties period over period. However, given the impacts of COVID-19, management believes this metric is less relevant in the current environment, and is not necessarily indicative of our results.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Reconciliation of GAAP operating income to Comparable Property POI</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82,799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85,742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Add: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63,874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62,188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7"/>
                <w:szCs w:val="17"/>
                <w:color w:val="auto"/>
              </w:rPr>
              <w:t>10,258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color w:val="auto"/>
              </w:rPr>
              <w:t>10,251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Gain on sale of real estate and change in control of interest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8"/>
                <w:szCs w:val="18"/>
                <w:color w:val="auto"/>
              </w:rPr>
              <w:t>(17,428)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40" w:type="dxa"/>
            <w:vAlign w:val="bottom"/>
          </w:tcPr>
          <w:p>
            <w:pPr>
              <w:spacing w:after="0"/>
              <w:rPr>
                <w:sz w:val="20"/>
                <w:szCs w:val="20"/>
                <w:color w:val="auto"/>
              </w:rPr>
            </w:pPr>
            <w:r>
              <w:rPr>
                <w:rFonts w:ascii="Arial" w:cs="Arial" w:eastAsia="Arial" w:hAnsi="Arial"/>
                <w:sz w:val="17"/>
                <w:szCs w:val="17"/>
                <w:color w:val="auto"/>
              </w:rPr>
              <w:t>Property operating income (POI)</w:t>
            </w:r>
          </w:p>
        </w:tc>
        <w:tc>
          <w:tcPr>
            <w:tcW w:w="280" w:type="dxa"/>
            <w:vAlign w:val="bottom"/>
          </w:tcPr>
          <w:p>
            <w:pPr>
              <w:spacing w:after="0"/>
              <w:rPr>
                <w:sz w:val="18"/>
                <w:szCs w:val="18"/>
                <w:color w:val="auto"/>
              </w:rPr>
            </w:pPr>
          </w:p>
        </w:tc>
        <w:tc>
          <w:tcPr>
            <w:tcW w:w="980" w:type="dxa"/>
            <w:vAlign w:val="bottom"/>
          </w:tcPr>
          <w:p>
            <w:pPr>
              <w:jc w:val="right"/>
              <w:ind w:right="140"/>
              <w:spacing w:after="0"/>
              <w:rPr>
                <w:sz w:val="20"/>
                <w:szCs w:val="20"/>
                <w:color w:val="auto"/>
              </w:rPr>
            </w:pPr>
            <w:r>
              <w:rPr>
                <w:rFonts w:ascii="Arial" w:cs="Arial" w:eastAsia="Arial" w:hAnsi="Arial"/>
                <w:sz w:val="17"/>
                <w:szCs w:val="17"/>
                <w:color w:val="auto"/>
              </w:rPr>
              <w:t>139,503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ind w:right="137"/>
              <w:spacing w:after="0"/>
              <w:rPr>
                <w:sz w:val="20"/>
                <w:szCs w:val="20"/>
                <w:color w:val="auto"/>
              </w:rPr>
            </w:pPr>
            <w:r>
              <w:rPr>
                <w:rFonts w:ascii="Arial" w:cs="Arial" w:eastAsia="Arial" w:hAnsi="Arial"/>
                <w:sz w:val="17"/>
                <w:szCs w:val="17"/>
                <w:color w:val="auto"/>
                <w:w w:val="97"/>
              </w:rPr>
              <w:t>158,181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Less: Non-comparable POI - acquisitions/dispositions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(2,592)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Non-comparable POI - redevelopment, development &amp;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(6,078)</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(3,066)</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133,407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152,523</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income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207,843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220,921</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Rental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(46,416)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(40,752)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Real estate taxes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7"/>
                <w:szCs w:val="17"/>
                <w:color w:val="auto"/>
              </w:rPr>
              <w:t>(28,020)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(27,646)</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7"/>
                <w:szCs w:val="17"/>
                <w:color w:val="auto"/>
              </w:rPr>
              <w:t>(74,436)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(68,398)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133,407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97"/>
              </w:rPr>
              <w:t>152,523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2340" w:type="dxa"/>
            <w:vAlign w:val="bottom"/>
            <w:gridSpan w:val="4"/>
            <w:vMerge w:val="restart"/>
          </w:tcPr>
          <w:p>
            <w:pPr>
              <w:jc w:val="center"/>
              <w:ind w:right="217"/>
              <w:spacing w:after="0"/>
              <w:rPr>
                <w:sz w:val="20"/>
                <w:szCs w:val="20"/>
                <w:color w:val="auto"/>
              </w:rPr>
            </w:pPr>
            <w:r>
              <w:rPr>
                <w:rFonts w:ascii="Arial" w:cs="Arial" w:eastAsia="Arial" w:hAnsi="Arial"/>
                <w:sz w:val="14"/>
                <w:szCs w:val="14"/>
                <w:b w:val="1"/>
                <w:bCs w:val="1"/>
                <w:color w:val="auto"/>
                <w:w w:val="95"/>
              </w:rPr>
              <w:t>Three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vMerge w:val="continue"/>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9"/>
              </w:rPr>
              <w:t>March 31,</w:t>
            </w: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gridSpan w:val="3"/>
          </w:tcPr>
          <w:p>
            <w:pPr>
              <w:jc w:val="center"/>
              <w:ind w:left="46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Redevelopment and tenant improvements and incentives</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23,782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32,272</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Maintenance capital expenditures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3,725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2,562</w:t>
            </w: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27,507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34,834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7340" w:type="dxa"/>
            <w:vAlign w:val="bottom"/>
          </w:tcPr>
          <w:p>
            <w:pPr>
              <w:spacing w:after="0"/>
              <w:rPr>
                <w:sz w:val="20"/>
                <w:szCs w:val="20"/>
                <w:color w:val="auto"/>
              </w:rPr>
            </w:pPr>
            <w:r>
              <w:rPr>
                <w:rFonts w:ascii="Arial" w:cs="Arial" w:eastAsia="Arial" w:hAnsi="Arial"/>
                <w:sz w:val="17"/>
                <w:szCs w:val="17"/>
                <w:i w:val="1"/>
                <w:iCs w:val="1"/>
                <w:color w:val="auto"/>
              </w:rPr>
              <w:t>Comparable Property - Occupancy Statistics (2)</w:t>
            </w:r>
          </w:p>
        </w:tc>
        <w:tc>
          <w:tcPr>
            <w:tcW w:w="280" w:type="dxa"/>
            <w:vAlign w:val="bottom"/>
          </w:tcPr>
          <w:p>
            <w:pPr>
              <w:spacing w:after="0"/>
              <w:rPr>
                <w:sz w:val="24"/>
                <w:szCs w:val="24"/>
                <w:color w:val="auto"/>
              </w:rPr>
            </w:pPr>
          </w:p>
        </w:tc>
        <w:tc>
          <w:tcPr>
            <w:tcW w:w="1500" w:type="dxa"/>
            <w:vAlign w:val="bottom"/>
            <w:gridSpan w:val="3"/>
            <w:vMerge w:val="restart"/>
          </w:tcPr>
          <w:p>
            <w:pPr>
              <w:jc w:val="center"/>
              <w:ind w:left="480"/>
              <w:spacing w:after="0"/>
              <w:rPr>
                <w:sz w:val="20"/>
                <w:szCs w:val="20"/>
                <w:color w:val="auto"/>
              </w:rPr>
            </w:pPr>
            <w:r>
              <w:rPr>
                <w:rFonts w:ascii="Arial" w:cs="Arial" w:eastAsia="Arial" w:hAnsi="Arial"/>
                <w:sz w:val="14"/>
                <w:szCs w:val="14"/>
                <w:b w:val="1"/>
                <w:bCs w:val="1"/>
                <w:color w:val="auto"/>
                <w:w w:val="98"/>
              </w:rPr>
              <w:t>At March 31,</w:t>
            </w: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GLA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1"/>
              </w:rPr>
              <w:t>22,521,000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1"/>
              </w:rPr>
              <w:t>22,628,000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Leased % - comparable commercial properties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91.7 %</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94.3 %</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7"/>
                <w:szCs w:val="17"/>
                <w:color w:val="auto"/>
              </w:rPr>
              <w:t>Occupancy % - comparable commercial properties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92.3 %</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60" w:hanging="654"/>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9 for "Summary of Capital Expenditures" for our entire portfolio.</w:t>
      </w:r>
    </w:p>
    <w:p>
      <w:pPr>
        <w:spacing w:after="0" w:line="32" w:lineRule="exact"/>
        <w:rPr>
          <w:rFonts w:ascii="Arial" w:cs="Arial" w:eastAsia="Arial" w:hAnsi="Arial"/>
          <w:sz w:val="16"/>
          <w:szCs w:val="16"/>
          <w:color w:val="auto"/>
        </w:rPr>
      </w:pPr>
    </w:p>
    <w:p>
      <w:pPr>
        <w:ind w:left="660" w:hanging="654"/>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page 27 for entire portfolio occupancy statistics.</w:t>
      </w:r>
    </w:p>
    <w:p>
      <w:pPr>
        <w:sectPr>
          <w:pgSz w:w="11900" w:h="16838" w:orient="portrait"/>
          <w:cols w:equalWidth="0" w:num="1">
            <w:col w:w="11180"/>
          </w:cols>
          <w:pgMar w:left="36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80"/>
          </w:cols>
          <w:pgMar w:left="360" w:top="931" w:right="35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12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183"/>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w w:val="98"/>
              </w:rPr>
              <w:t>(in thousands, except per share data)</w:t>
            </w: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Common shares outstanding and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78,446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76,367</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101.45</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74.61</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7,958,347</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5,697,742</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w:t>
            </w:r>
          </w:p>
        </w:tc>
      </w:tr>
      <w:tr>
        <w:trPr>
          <w:trHeight w:val="229"/>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400</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10,000</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8,118,347</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5,857,742</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4,274,910</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4,354,413</w:t>
            </w:r>
          </w:p>
        </w:tc>
      </w:tr>
      <w:tr>
        <w:trPr>
          <w:trHeight w:val="230"/>
        </w:trPr>
        <w:tc>
          <w:tcPr>
            <w:tcW w:w="7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(779,901)</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(994,688)</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3,495,009</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3,359,725</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11,613,356</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9,217,467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0"/>
        </w:trPr>
        <w:tc>
          <w:tcPr>
            <w:tcW w:w="7980" w:type="dxa"/>
            <w:vAlign w:val="bottom"/>
          </w:tcPr>
          <w:p>
            <w:pPr>
              <w:ind w:left="260"/>
              <w:spacing w:after="0"/>
              <w:rPr>
                <w:sz w:val="20"/>
                <w:szCs w:val="20"/>
                <w:color w:val="auto"/>
              </w:rPr>
            </w:pPr>
            <w:r>
              <w:rPr>
                <w:rFonts w:ascii="Arial" w:cs="Arial" w:eastAsia="Arial" w:hAnsi="Arial"/>
                <w:sz w:val="18"/>
                <w:szCs w:val="18"/>
                <w:color w:val="auto"/>
              </w:rPr>
              <w:t>Total net debt to market capitalization at market price per common share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include 739,601 and 744,617 operating partnership units outstanding at March 31, 2021 and 2020,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26" w:right="339" w:bottom="1440" w:gutter="0" w:footer="0" w:header="0"/>
        </w:sectPr>
      </w:pPr>
    </w:p>
    <w:bookmarkStart w:id="16" w:name="page17"/>
    <w:bookmarkEnd w:id="1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40"/>
              <w:spacing w:after="0"/>
              <w:rPr>
                <w:sz w:val="20"/>
                <w:szCs w:val="20"/>
                <w:color w:val="auto"/>
              </w:rPr>
            </w:pPr>
            <w:r>
              <w:rPr>
                <w:rFonts w:ascii="Arial" w:cs="Arial" w:eastAsia="Arial" w:hAnsi="Arial"/>
                <w:sz w:val="14"/>
                <w:szCs w:val="14"/>
                <w:b w:val="1"/>
                <w:bCs w:val="1"/>
                <w:color w:val="auto"/>
              </w:rPr>
              <w:t>As of March 31, 2021</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Stated maturity date</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Balance</w:t>
            </w: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right"/>
              <w:ind w:right="39"/>
              <w:spacing w:after="0" w:line="13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effective rate (8)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960" w:type="dxa"/>
            <w:vAlign w:val="bottom"/>
            <w:gridSpan w:val="5"/>
            <w:shd w:val="clear" w:color="auto" w:fill="CCEEFF"/>
          </w:tcPr>
          <w:p>
            <w:pPr>
              <w:ind w:left="20"/>
              <w:spacing w:after="0" w:line="177" w:lineRule="exact"/>
              <w:rPr>
                <w:sz w:val="20"/>
                <w:szCs w:val="20"/>
                <w:color w:val="auto"/>
              </w:rPr>
            </w:pPr>
            <w:r>
              <w:rPr>
                <w:rFonts w:ascii="Arial" w:cs="Arial" w:eastAsia="Arial" w:hAnsi="Arial"/>
                <w:sz w:val="16"/>
                <w:szCs w:val="16"/>
                <w:color w:val="auto"/>
              </w:rPr>
              <w:t>Mortgages Payable (1)</w:t>
            </w: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Plaza Del Sol</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12/1/2021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The AVENUE at White Marsh</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1/1/2022</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52,705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Montrose Crossing</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65,109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Azalea</w:t>
            </w:r>
          </w:p>
        </w:tc>
        <w:tc>
          <w:tcPr>
            <w:tcW w:w="1800" w:type="dxa"/>
            <w:vAlign w:val="bottom"/>
          </w:tcPr>
          <w:p>
            <w:pPr>
              <w:jc w:val="center"/>
              <w:spacing w:after="0"/>
              <w:rPr>
                <w:sz w:val="20"/>
                <w:szCs w:val="20"/>
                <w:color w:val="auto"/>
              </w:rPr>
            </w:pPr>
            <w:r>
              <w:rPr>
                <w:rFonts w:ascii="Arial" w:cs="Arial" w:eastAsia="Arial" w:hAnsi="Arial"/>
                <w:sz w:val="16"/>
                <w:szCs w:val="16"/>
                <w:color w:val="auto"/>
                <w:w w:val="92"/>
              </w:rPr>
              <w:t>11/1/2025</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Bell Gardens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8/1/2026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Plaza El Segundo</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6/5/2027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9/1/2027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Brook 35</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Hoboken (24 Buildings) (2)</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12/15/2029</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+ 1.95%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Various Hoboken (14 Buildings)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2029</w:t>
            </w: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Various (3)</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32,482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Chelsea</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60"/>
              <w:spacing w:after="0"/>
              <w:rPr>
                <w:sz w:val="20"/>
                <w:szCs w:val="20"/>
                <w:color w:val="auto"/>
              </w:rPr>
            </w:pPr>
            <w:r>
              <w:rPr>
                <w:rFonts w:ascii="Arial" w:cs="Arial" w:eastAsia="Arial" w:hAnsi="Arial"/>
                <w:sz w:val="16"/>
                <w:szCs w:val="16"/>
                <w:color w:val="auto"/>
              </w:rPr>
              <w:t>Hoboken (1 Building) (4)</w:t>
            </w:r>
          </w:p>
        </w:tc>
        <w:tc>
          <w:tcPr>
            <w:tcW w:w="18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7/1/2042</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3.75%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468,795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60" w:type="dxa"/>
            <w:vAlign w:val="bottom"/>
            <w:tcBorders>
              <w:bottom w:val="single" w:sz="8" w:color="CCEEFF"/>
            </w:tcBorders>
            <w:gridSpan w:val="6"/>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Total mortgages payable,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466,950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3.96%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96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Notes payable</w:t>
            </w: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Term loan (5)</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5/6/2021</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LIBOR + 1.35%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Revolving credit facility (6)</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1/19/2024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+ 0.775%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60"/>
              <w:spacing w:after="0"/>
              <w:rPr>
                <w:sz w:val="20"/>
                <w:szCs w:val="20"/>
                <w:color w:val="auto"/>
              </w:rPr>
            </w:pPr>
            <w:r>
              <w:rPr>
                <w:rFonts w:ascii="Arial" w:cs="Arial" w:eastAsia="Arial" w:hAnsi="Arial"/>
                <w:sz w:val="16"/>
                <w:szCs w:val="16"/>
                <w:color w:val="auto"/>
              </w:rPr>
              <w:t>Various</w:t>
            </w:r>
          </w:p>
        </w:tc>
        <w:tc>
          <w:tcPr>
            <w:tcW w:w="19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1"/>
              </w:rPr>
              <w:t>Various through 2028</w:t>
            </w: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403,256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900"/>
              <w:spacing w:after="0"/>
              <w:rPr>
                <w:sz w:val="20"/>
                <w:szCs w:val="20"/>
                <w:color w:val="auto"/>
              </w:rPr>
            </w:pPr>
            <w:r>
              <w:rPr>
                <w:rFonts w:ascii="Arial" w:cs="Arial" w:eastAsia="Arial" w:hAnsi="Arial"/>
                <w:sz w:val="16"/>
                <w:szCs w:val="16"/>
                <w:color w:val="auto"/>
              </w:rPr>
              <w:t>Net unamortized debt issuance costs</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Total notes payable,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403,081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2.00%</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1"/>
              </w:rPr>
              <w:t>(9)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gridSpan w:val="5"/>
            <w:shd w:val="clear" w:color="auto" w:fill="CCEEFF"/>
          </w:tcPr>
          <w:p>
            <w:pPr>
              <w:ind w:left="20"/>
              <w:spacing w:after="0" w:line="175" w:lineRule="exact"/>
              <w:rPr>
                <w:sz w:val="20"/>
                <w:szCs w:val="20"/>
                <w:color w:val="auto"/>
              </w:rPr>
            </w:pPr>
            <w:r>
              <w:rPr>
                <w:rFonts w:ascii="Arial" w:cs="Arial" w:eastAsia="Arial" w:hAnsi="Arial"/>
                <w:sz w:val="16"/>
                <w:szCs w:val="16"/>
                <w:color w:val="auto"/>
              </w:rPr>
              <w:t>Senior notes and debentures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60"/>
              <w:spacing w:after="0"/>
              <w:rPr>
                <w:sz w:val="20"/>
                <w:szCs w:val="20"/>
                <w:color w:val="auto"/>
              </w:rPr>
            </w:pPr>
            <w:r>
              <w:rPr>
                <w:rFonts w:ascii="Arial" w:cs="Arial" w:eastAsia="Arial" w:hAnsi="Arial"/>
                <w:sz w:val="16"/>
                <w:szCs w:val="16"/>
                <w:i w:val="1"/>
                <w:iCs w:val="1"/>
                <w:color w:val="auto"/>
                <w:w w:val="97"/>
              </w:rPr>
              <w:t>Unsecured fixed rate</w:t>
            </w:r>
          </w:p>
        </w:tc>
        <w:tc>
          <w:tcPr>
            <w:tcW w:w="212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2.75% notes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3.95% notes</w:t>
            </w:r>
          </w:p>
        </w:tc>
        <w:tc>
          <w:tcPr>
            <w:tcW w:w="180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1.25% notes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7.48% debentures</w:t>
            </w:r>
          </w:p>
        </w:tc>
        <w:tc>
          <w:tcPr>
            <w:tcW w:w="180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3.25% notes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7/15/2027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6.82% medium term notes</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3.20% notes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6/15/2029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60"/>
              <w:spacing w:after="0"/>
              <w:rPr>
                <w:sz w:val="20"/>
                <w:szCs w:val="20"/>
                <w:color w:val="auto"/>
              </w:rPr>
            </w:pPr>
            <w:r>
              <w:rPr>
                <w:rFonts w:ascii="Arial" w:cs="Arial" w:eastAsia="Arial" w:hAnsi="Arial"/>
                <w:sz w:val="16"/>
                <w:szCs w:val="16"/>
                <w:color w:val="auto"/>
              </w:rPr>
              <w:t>3.50% notes</w:t>
            </w:r>
          </w:p>
        </w:tc>
        <w:tc>
          <w:tcPr>
            <w:tcW w:w="1800" w:type="dxa"/>
            <w:vAlign w:val="bottom"/>
          </w:tcPr>
          <w:p>
            <w:pPr>
              <w:jc w:val="center"/>
              <w:spacing w:after="0"/>
              <w:rPr>
                <w:sz w:val="20"/>
                <w:szCs w:val="20"/>
                <w:color w:val="auto"/>
              </w:rPr>
            </w:pPr>
            <w:r>
              <w:rPr>
                <w:rFonts w:ascii="Arial" w:cs="Arial" w:eastAsia="Arial" w:hAnsi="Arial"/>
                <w:sz w:val="16"/>
                <w:szCs w:val="16"/>
                <w:color w:val="auto"/>
                <w:w w:val="93"/>
              </w:rPr>
              <w:t>6/1/2030</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6"/>
                <w:szCs w:val="16"/>
                <w:color w:val="auto"/>
                <w:w w:val="92"/>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60"/>
              <w:spacing w:after="0"/>
              <w:rPr>
                <w:sz w:val="20"/>
                <w:szCs w:val="20"/>
                <w:color w:val="auto"/>
              </w:rPr>
            </w:pPr>
            <w:r>
              <w:rPr>
                <w:rFonts w:ascii="Arial" w:cs="Arial" w:eastAsia="Arial" w:hAnsi="Arial"/>
                <w:sz w:val="16"/>
                <w:szCs w:val="16"/>
                <w:color w:val="auto"/>
              </w:rPr>
              <w:t>4.50% notes</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60"/>
              <w:spacing w:after="0"/>
              <w:rPr>
                <w:sz w:val="20"/>
                <w:szCs w:val="20"/>
                <w:color w:val="auto"/>
              </w:rPr>
            </w:pPr>
            <w:r>
              <w:rPr>
                <w:rFonts w:ascii="Arial" w:cs="Arial" w:eastAsia="Arial" w:hAnsi="Arial"/>
                <w:sz w:val="16"/>
                <w:szCs w:val="16"/>
                <w:color w:val="auto"/>
              </w:rPr>
              <w:t>3.625% notes</w:t>
            </w:r>
          </w:p>
        </w:tc>
        <w:tc>
          <w:tcPr>
            <w:tcW w:w="18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3"/>
              </w:rPr>
              <w:t>8/1/2046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3.63%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3,419,200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60" w:type="dxa"/>
            <w:vAlign w:val="bottom"/>
            <w:tcBorders>
              <w:bottom w:val="single" w:sz="8" w:color="CCEEFF"/>
            </w:tcBorders>
            <w:gridSpan w:val="6"/>
          </w:tcPr>
          <w:p>
            <w:pPr>
              <w:ind w:left="900"/>
              <w:spacing w:after="0"/>
              <w:rPr>
                <w:sz w:val="20"/>
                <w:szCs w:val="20"/>
                <w:color w:val="auto"/>
              </w:rPr>
            </w:pPr>
            <w:r>
              <w:rPr>
                <w:rFonts w:ascii="Arial" w:cs="Arial" w:eastAsia="Arial" w:hAnsi="Arial"/>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680"/>
              <w:spacing w:after="0"/>
              <w:rPr>
                <w:sz w:val="20"/>
                <w:szCs w:val="20"/>
                <w:color w:val="auto"/>
              </w:rPr>
            </w:pPr>
            <w:r>
              <w:rPr>
                <w:rFonts w:ascii="Arial" w:cs="Arial" w:eastAsia="Arial" w:hAnsi="Arial"/>
                <w:sz w:val="16"/>
                <w:szCs w:val="16"/>
                <w:color w:val="auto"/>
              </w:rPr>
              <w:t>Total senior notes and debentures,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3,404,879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3.49%</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4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6"/>
                <w:szCs w:val="16"/>
                <w:color w:val="auto"/>
              </w:rPr>
              <w:t>Total debt, net</w:t>
            </w:r>
          </w:p>
        </w:tc>
        <w:tc>
          <w:tcPr>
            <w:tcW w:w="1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4,274,910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 fixed rate debt,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3,875,033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3.55%</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6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Total variable rate debt, net</w:t>
            </w:r>
          </w:p>
        </w:tc>
        <w:tc>
          <w:tcPr>
            <w:tcW w:w="18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399,877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1.92%</w:t>
            </w:r>
          </w:p>
        </w:tc>
        <w:tc>
          <w:tcPr>
            <w:tcW w:w="44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1"/>
              </w:rPr>
              <w:t>(9)</w:t>
            </w:r>
          </w:p>
        </w:tc>
        <w:tc>
          <w:tcPr>
            <w:tcW w:w="0" w:type="dxa"/>
            <w:vAlign w:val="bottom"/>
          </w:tcPr>
          <w:p>
            <w:pPr>
              <w:spacing w:after="0"/>
              <w:rPr>
                <w:sz w:val="1"/>
                <w:szCs w:val="1"/>
                <w:color w:val="auto"/>
              </w:rPr>
            </w:pPr>
          </w:p>
        </w:tc>
      </w:tr>
      <w:tr>
        <w:trPr>
          <w:trHeight w:val="238"/>
        </w:trPr>
        <w:tc>
          <w:tcPr>
            <w:tcW w:w="3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Total debt, net</w:t>
            </w:r>
          </w:p>
        </w:tc>
        <w:tc>
          <w:tcPr>
            <w:tcW w:w="1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4,274,910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3.40%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0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00"/>
          </w:cols>
          <w:pgMar w:left="340" w:top="1030" w:right="359" w:bottom="1440" w:gutter="0" w:footer="0" w:header="0"/>
          <w:type w:val="continuous"/>
        </w:sectPr>
      </w:pPr>
    </w:p>
    <w:bookmarkStart w:id="17" w:name="page18"/>
    <w:bookmarkEnd w:id="17"/>
    <w:p>
      <w:pPr>
        <w:jc w:val="center"/>
        <w:ind w:left="8920"/>
        <w:spacing w:after="0"/>
        <w:rPr>
          <w:sz w:val="20"/>
          <w:szCs w:val="20"/>
          <w:color w:val="auto"/>
        </w:rPr>
      </w:pPr>
      <w:r>
        <w:rPr>
          <w:rFonts w:ascii="Arial" w:cs="Arial" w:eastAsia="Arial" w:hAnsi="Arial"/>
          <w:sz w:val="14"/>
          <w:szCs w:val="14"/>
          <w:b w:val="1"/>
          <w:bCs w:val="1"/>
          <w:color w:val="auto"/>
        </w:rPr>
        <w:t>Three Months Ended</w:t>
      </w:r>
    </w:p>
    <w:p>
      <w:pPr>
        <w:spacing w:after="0" w:line="28" w:lineRule="exact"/>
        <w:rPr>
          <w:sz w:val="20"/>
          <w:szCs w:val="20"/>
          <w:color w:val="auto"/>
        </w:rPr>
      </w:pPr>
    </w:p>
    <w:p>
      <w:pPr>
        <w:jc w:val="center"/>
        <w:ind w:left="8920"/>
        <w:spacing w:after="0"/>
        <w:rPr>
          <w:sz w:val="20"/>
          <w:szCs w:val="20"/>
          <w:color w:val="auto"/>
        </w:rPr>
      </w:pPr>
      <w:r>
        <w:rPr>
          <w:rFonts w:ascii="Arial" w:cs="Arial" w:eastAsia="Arial" w:hAnsi="Arial"/>
          <w:sz w:val="14"/>
          <w:szCs w:val="14"/>
          <w:b w:val="1"/>
          <w:bCs w:val="1"/>
          <w:color w:val="auto"/>
        </w:rPr>
        <w:t>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gridSpan w:val="3"/>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r>
      <w:tr>
        <w:trPr>
          <w:trHeight w:val="158"/>
        </w:trPr>
        <w:tc>
          <w:tcPr>
            <w:tcW w:w="20" w:type="dxa"/>
            <w:vAlign w:val="bottom"/>
          </w:tcPr>
          <w:p>
            <w:pPr>
              <w:spacing w:after="0"/>
              <w:rPr>
                <w:sz w:val="13"/>
                <w:szCs w:val="13"/>
                <w:color w:val="auto"/>
              </w:rPr>
            </w:pPr>
          </w:p>
        </w:tc>
        <w:tc>
          <w:tcPr>
            <w:tcW w:w="8920" w:type="dxa"/>
            <w:vAlign w:val="bottom"/>
            <w:gridSpan w:val="2"/>
          </w:tcPr>
          <w:p>
            <w:pPr>
              <w:jc w:val="right"/>
              <w:ind w:right="7520"/>
              <w:spacing w:after="0" w:line="158" w:lineRule="exact"/>
              <w:rPr>
                <w:sz w:val="20"/>
                <w:szCs w:val="20"/>
                <w:color w:val="auto"/>
              </w:rPr>
            </w:pPr>
            <w:r>
              <w:rPr>
                <w:rFonts w:ascii="Arial" w:cs="Arial" w:eastAsia="Arial" w:hAnsi="Arial"/>
                <w:sz w:val="16"/>
                <w:szCs w:val="16"/>
                <w:color w:val="auto"/>
                <w:w w:val="91"/>
              </w:rPr>
              <w:t>Operational Statistics</w:t>
            </w: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620" w:type="dxa"/>
            <w:vAlign w:val="bottom"/>
            <w:gridSpan w:val="3"/>
            <w:shd w:val="clear" w:color="auto" w:fill="CCEEFF"/>
          </w:tcPr>
          <w:p>
            <w:pPr>
              <w:jc w:val="right"/>
              <w:ind w:right="3908"/>
              <w:spacing w:after="0"/>
              <w:rPr>
                <w:sz w:val="20"/>
                <w:szCs w:val="20"/>
                <w:color w:val="auto"/>
              </w:rPr>
            </w:pPr>
            <w:r>
              <w:rPr>
                <w:rFonts w:ascii="Arial" w:cs="Arial" w:eastAsia="Arial" w:hAnsi="Arial"/>
                <w:sz w:val="16"/>
                <w:szCs w:val="16"/>
                <w:color w:val="auto"/>
                <w:w w:val="98"/>
              </w:rPr>
              <w:t>Ratio of EBITDAre to combined fixed charges and preferred share dividends (10)</w:t>
            </w: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3.07x</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3.95x</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240" w:hanging="652"/>
        <w:spacing w:after="0" w:line="273" w:lineRule="auto"/>
        <w:tabs>
          <w:tab w:leader="none" w:pos="658"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Mortgages payable does not include our share of debt on our unconsolidated real estate partnerships. At March 31, 2021, our share of unconsolidated debt was approximately $27.9 million. At March 31, 2021, our noncontrolling interests' share of mortgages payable was $45.8 million.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have two interest rate swap agreements that fix the interest rate on the mortgage loan at 3.67%.</w:t>
      </w:r>
    </w:p>
    <w:p>
      <w:pPr>
        <w:spacing w:after="0" w:line="55"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interest rates on these mortgages range from 3.91% to 5.00%.</w:t>
      </w:r>
    </w:p>
    <w:p>
      <w:pPr>
        <w:spacing w:after="0" w:line="55" w:lineRule="exact"/>
        <w:rPr>
          <w:rFonts w:ascii="Arial" w:cs="Arial" w:eastAsia="Arial" w:hAnsi="Arial"/>
          <w:sz w:val="14"/>
          <w:szCs w:val="14"/>
          <w:color w:val="auto"/>
        </w:rPr>
      </w:pPr>
    </w:p>
    <w:p>
      <w:pPr>
        <w:ind w:left="660" w:hanging="652"/>
        <w:spacing w:after="0" w:line="273" w:lineRule="auto"/>
        <w:tabs>
          <w:tab w:leader="none" w:pos="65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mortgage loan has a fixed interest rate; however, the rate resets every five years until maturity. The current rate is fixed until July 1, 2022, and the loan is prepayable at par anytime after this date.</w:t>
      </w:r>
    </w:p>
    <w:p>
      <w:pPr>
        <w:spacing w:after="0" w:line="11" w:lineRule="exact"/>
        <w:rPr>
          <w:rFonts w:ascii="Arial" w:cs="Arial" w:eastAsia="Arial" w:hAnsi="Arial"/>
          <w:sz w:val="14"/>
          <w:szCs w:val="14"/>
          <w:color w:val="auto"/>
        </w:rPr>
      </w:pPr>
    </w:p>
    <w:p>
      <w:pPr>
        <w:ind w:left="660" w:right="120" w:hanging="652"/>
        <w:spacing w:after="0" w:line="273" w:lineRule="auto"/>
        <w:tabs>
          <w:tab w:leader="none" w:pos="658" w:val="left"/>
        </w:tabs>
        <w:numPr>
          <w:ilvl w:val="0"/>
          <w:numId w:val="12"/>
        </w:numPr>
        <w:rPr>
          <w:rFonts w:ascii="Arial" w:cs="Arial" w:eastAsia="Arial" w:hAnsi="Arial"/>
          <w:sz w:val="14"/>
          <w:szCs w:val="14"/>
          <w:color w:val="auto"/>
        </w:rPr>
      </w:pPr>
      <w:r>
        <w:rPr>
          <w:rFonts w:ascii="Arial" w:cs="Arial" w:eastAsia="Arial" w:hAnsi="Arial"/>
          <w:sz w:val="14"/>
          <w:szCs w:val="14"/>
          <w:color w:val="auto"/>
        </w:rPr>
        <w:t>On April 16, 2021, we repaid $100.0 million of the term loan,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During the three months ended March 31, 2021, there were no borrowings on our revolving credit facility.</w:t>
      </w:r>
    </w:p>
    <w:p>
      <w:pPr>
        <w:spacing w:after="0" w:line="55" w:lineRule="exact"/>
        <w:rPr>
          <w:rFonts w:ascii="Arial" w:cs="Arial" w:eastAsia="Arial" w:hAnsi="Arial"/>
          <w:sz w:val="14"/>
          <w:szCs w:val="14"/>
          <w:color w:val="auto"/>
        </w:rPr>
      </w:pPr>
    </w:p>
    <w:p>
      <w:pPr>
        <w:ind w:left="660" w:right="280" w:hanging="652"/>
        <w:spacing w:after="0" w:line="273" w:lineRule="auto"/>
        <w:tabs>
          <w:tab w:leader="none" w:pos="658"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remaining term, including the amendment of our term loan agreement as described in Note 5, on our mortgages payable, notes payable, and senior notes and debentures is approximately 9 years.</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weighted average effective interest rate includes the amortization of any debt issuance costs and discounts and premiums, if applicable, except as described in Note 9.</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$0.6 million in quarterly financing fees and quarterly debt fee amortization on our revolving credit facility.</w:t>
      </w:r>
    </w:p>
    <w:p>
      <w:pPr>
        <w:spacing w:after="0" w:line="55" w:lineRule="exact"/>
        <w:rPr>
          <w:rFonts w:ascii="Arial" w:cs="Arial" w:eastAsia="Arial" w:hAnsi="Arial"/>
          <w:sz w:val="14"/>
          <w:szCs w:val="14"/>
          <w:color w:val="auto"/>
        </w:rPr>
      </w:pPr>
    </w:p>
    <w:p>
      <w:pPr>
        <w:ind w:left="660" w:right="220" w:hanging="652"/>
        <w:spacing w:after="0" w:line="273" w:lineRule="auto"/>
        <w:tabs>
          <w:tab w:leader="none" w:pos="649" w:val="left"/>
        </w:tabs>
        <w:numPr>
          <w:ilvl w:val="0"/>
          <w:numId w:val="12"/>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21" w:right="339" w:bottom="1440" w:gutter="0" w:footer="0" w:header="0"/>
        </w:sectPr>
      </w:pPr>
    </w:p>
    <w:bookmarkStart w:id="18" w:name="page19"/>
    <w:bookmarkEnd w:id="1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2021</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620"/>
              <w:spacing w:after="0"/>
              <w:rPr>
                <w:sz w:val="20"/>
                <w:szCs w:val="20"/>
                <w:color w:val="auto"/>
              </w:rPr>
            </w:pPr>
            <w:r>
              <w:rPr>
                <w:rFonts w:ascii="Arial" w:cs="Arial" w:eastAsia="Arial" w:hAnsi="Arial"/>
                <w:sz w:val="16"/>
                <w:szCs w:val="16"/>
                <w:b w:val="1"/>
                <w:bCs w:val="1"/>
                <w:color w:val="auto"/>
                <w:w w:val="86"/>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Arial" w:cs="Arial" w:eastAsia="Arial" w:hAnsi="Arial"/>
                <w:sz w:val="16"/>
                <w:szCs w:val="16"/>
                <w:b w:val="1"/>
                <w:bCs w:val="1"/>
                <w:color w:val="auto"/>
                <w:w w:val="98"/>
              </w:rPr>
              <w:t>Percent of Debt</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6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Year</w:t>
            </w: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6"/>
                <w:szCs w:val="16"/>
                <w:b w:val="1"/>
                <w:bCs w:val="1"/>
                <w:color w:val="auto"/>
              </w:rPr>
              <w:t>Maturities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59"/>
              <w:spacing w:after="0"/>
              <w:rPr>
                <w:sz w:val="20"/>
                <w:szCs w:val="20"/>
                <w:color w:val="auto"/>
              </w:rPr>
            </w:pPr>
            <w:r>
              <w:rPr>
                <w:rFonts w:ascii="Arial" w:cs="Arial" w:eastAsia="Arial" w:hAnsi="Arial"/>
                <w:sz w:val="16"/>
                <w:szCs w:val="16"/>
                <w:b w:val="1"/>
                <w:bCs w:val="1"/>
                <w:color w:val="auto"/>
              </w:rPr>
              <w:t>Total</w:t>
            </w: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6"/>
              </w:rPr>
              <w:t>Amortization</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Arial" w:cs="Arial" w:eastAsia="Arial" w:hAnsi="Arial"/>
                <w:sz w:val="16"/>
                <w:szCs w:val="16"/>
                <w:b w:val="1"/>
                <w:bCs w:val="1"/>
                <w:color w:val="auto"/>
              </w:rPr>
              <w:t>Maturing</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7"/>
              </w:rPr>
              <w:t>Maturing</w:t>
            </w:r>
          </w:p>
        </w:tc>
        <w:tc>
          <w:tcPr>
            <w:tcW w:w="1660" w:type="dxa"/>
            <w:vAlign w:val="bottom"/>
          </w:tcPr>
          <w:p>
            <w:pPr>
              <w:ind w:left="80"/>
              <w:spacing w:after="0"/>
              <w:rPr>
                <w:sz w:val="20"/>
                <w:szCs w:val="20"/>
                <w:color w:val="auto"/>
              </w:rPr>
            </w:pPr>
            <w:r>
              <w:rPr>
                <w:rFonts w:ascii="Arial" w:cs="Arial" w:eastAsia="Arial" w:hAnsi="Arial"/>
                <w:sz w:val="16"/>
                <w:szCs w:val="16"/>
                <w:b w:val="1"/>
                <w:bCs w:val="1"/>
                <w:color w:val="auto"/>
              </w:rPr>
              <w:t>Average Rate (3)</w:t>
            </w:r>
          </w:p>
        </w:tc>
        <w:tc>
          <w:tcPr>
            <w:tcW w:w="0" w:type="dxa"/>
            <w:vAlign w:val="bottom"/>
          </w:tcPr>
          <w:p>
            <w:pPr>
              <w:spacing w:after="0"/>
              <w:rPr>
                <w:sz w:val="1"/>
                <w:szCs w:val="1"/>
                <w:color w:val="auto"/>
              </w:rPr>
            </w:pPr>
          </w:p>
        </w:tc>
      </w:tr>
      <w:tr>
        <w:trPr>
          <w:trHeight w:val="184"/>
        </w:trPr>
        <w:tc>
          <w:tcPr>
            <w:tcW w:w="15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(in thousands)</w:t>
            </w:r>
          </w:p>
        </w:tc>
        <w:tc>
          <w:tcPr>
            <w:tcW w:w="5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111,523</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116,323</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120,457</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5.4 %</w:t>
            </w:r>
          </w:p>
        </w:tc>
        <w:tc>
          <w:tcPr>
            <w:tcW w:w="1660" w:type="dxa"/>
            <w:vAlign w:val="bottom"/>
          </w:tcPr>
          <w:p>
            <w:pPr>
              <w:ind w:left="8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279,314</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11.9 %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4,344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900,000</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904,344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33.0 %</w:t>
            </w:r>
          </w:p>
        </w:tc>
        <w:tc>
          <w:tcPr>
            <w:tcW w:w="1660" w:type="dxa"/>
            <w:vAlign w:val="bottom"/>
          </w:tcPr>
          <w:p>
            <w:pPr>
              <w:ind w:left="820"/>
              <w:spacing w:after="0"/>
              <w:rPr>
                <w:sz w:val="20"/>
                <w:szCs w:val="20"/>
                <w:color w:val="auto"/>
              </w:rPr>
            </w:pPr>
            <w:r>
              <w:rPr>
                <w:rFonts w:ascii="Arial" w:cs="Arial" w:eastAsia="Arial" w:hAnsi="Arial"/>
                <w:sz w:val="18"/>
                <w:szCs w:val="18"/>
                <w:color w:val="auto"/>
              </w:rPr>
              <w:t xml:space="preserve">3.1 % </w:t>
            </w: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48,366</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34.1 %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3,465</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452,450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455,915</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44.7 %</w:t>
            </w:r>
          </w:p>
        </w:tc>
        <w:tc>
          <w:tcPr>
            <w:tcW w:w="1660" w:type="dxa"/>
            <w:vAlign w:val="bottom"/>
          </w:tcPr>
          <w:p>
            <w:pPr>
              <w:ind w:left="82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690,570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693,618</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60.9 %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2028</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61.0 %</w:t>
            </w:r>
          </w:p>
        </w:tc>
        <w:tc>
          <w:tcPr>
            <w:tcW w:w="1660" w:type="dxa"/>
            <w:vAlign w:val="bottom"/>
          </w:tcPr>
          <w:p>
            <w:pPr>
              <w:ind w:left="82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458,099</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71.7 %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Arial" w:cs="Arial" w:eastAsia="Arial" w:hAnsi="Arial"/>
                <w:sz w:val="18"/>
                <w:szCs w:val="18"/>
                <w:color w:val="auto"/>
              </w:rPr>
              <w:t>2030</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401,141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9.4 %</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81.1 %</w:t>
            </w:r>
          </w:p>
        </w:tc>
        <w:tc>
          <w:tcPr>
            <w:tcW w:w="1660" w:type="dxa"/>
            <w:vAlign w:val="bottom"/>
          </w:tcPr>
          <w:p>
            <w:pPr>
              <w:ind w:left="82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4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805,899</w:t>
            </w:r>
          </w:p>
        </w:tc>
        <w:tc>
          <w:tcPr>
            <w:tcW w:w="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812,770</w:t>
            </w:r>
          </w:p>
        </w:tc>
        <w:tc>
          <w:tcPr>
            <w:tcW w:w="38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100.0 %</w:t>
            </w:r>
          </w:p>
        </w:tc>
        <w:tc>
          <w:tcPr>
            <w:tcW w:w="1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3"/>
        </w:trPr>
        <w:tc>
          <w:tcPr>
            <w:tcW w:w="1560" w:type="dxa"/>
            <w:vAlign w:val="bottom"/>
          </w:tcPr>
          <w:p>
            <w:pPr>
              <w:ind w:left="3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40,894</w:t>
            </w:r>
          </w:p>
        </w:tc>
        <w:tc>
          <w:tcPr>
            <w:tcW w:w="4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4,250,357</w:t>
            </w:r>
          </w:p>
        </w:tc>
        <w:tc>
          <w:tcPr>
            <w:tcW w:w="5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4,291,251</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w w:val="91"/>
              </w:rPr>
              <w:t>(2)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jc w:val="both"/>
        <w:ind w:left="660" w:hanging="652"/>
        <w:spacing w:after="0" w:line="26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"maturities" and "weighted average rate" reflect the April 16, 2021 amendment of our $400.0 million term loan, where we repaid $100.0 million, amended the agreement on the remaining $300.0 million to lower the current spread over LIBOR from 135 basis points to 80 basis points based on our current credit rating, and extended the maturity date to April 16, 2024, along with two one-year extensions, at our option.</w:t>
      </w:r>
    </w:p>
    <w:p>
      <w:pPr>
        <w:spacing w:after="0" w:line="20" w:lineRule="exact"/>
        <w:rPr>
          <w:rFonts w:ascii="Arial" w:cs="Arial" w:eastAsia="Arial" w:hAnsi="Arial"/>
          <w:sz w:val="16"/>
          <w:szCs w:val="16"/>
          <w:color w:val="auto"/>
        </w:rPr>
      </w:pPr>
    </w:p>
    <w:p>
      <w:pPr>
        <w:ind w:left="660" w:right="60" w:hanging="652"/>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total debt maturities differ from the total reported on the consolidated balance sheet due to the debt issuance costs and unamortized net premium/discount and on certain mortgage loans, notes payable, and senior notes as of March 31, 2021.</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right="380" w:hanging="652"/>
        <w:spacing w:after="0" w:line="310" w:lineRule="auto"/>
        <w:tabs>
          <w:tab w:leader="none" w:pos="6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weighted average rate excludes $0.6 million in quarterly financing fees and quarterly debt fee amortization on our revolving credit facility, which had no balance outstanding at March 31, 2021. Our revolving credit facility matures on January 19, 2024, plus two six-month extensions at our option.</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102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Impacts of COVID-19 Pandemic:</w:t>
      </w:r>
    </w:p>
    <w:p>
      <w:pPr>
        <w:spacing w:after="0" w:line="32" w:lineRule="exact"/>
        <w:rPr>
          <w:sz w:val="20"/>
          <w:szCs w:val="20"/>
          <w:color w:val="auto"/>
        </w:rPr>
      </w:pPr>
    </w:p>
    <w:p>
      <w:pPr>
        <w:ind w:left="20" w:right="100"/>
        <w:spacing w:after="0" w:line="236" w:lineRule="auto"/>
        <w:rPr>
          <w:sz w:val="20"/>
          <w:szCs w:val="20"/>
          <w:color w:val="auto"/>
        </w:rPr>
      </w:pPr>
      <w:r>
        <w:rPr>
          <w:rFonts w:ascii="Arial" w:cs="Arial" w:eastAsia="Arial" w:hAnsi="Arial"/>
          <w:sz w:val="14"/>
          <w:szCs w:val="14"/>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100" w:type="dxa"/>
            <w:vAlign w:val="bottom"/>
          </w:tcPr>
          <w:p>
            <w:pPr>
              <w:spacing w:after="0"/>
              <w:rPr>
                <w:sz w:val="14"/>
                <w:szCs w:val="14"/>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7"/>
              </w:rPr>
              <w:t>Projected</w:t>
            </w:r>
          </w:p>
        </w:tc>
        <w:tc>
          <w:tcPr>
            <w:tcW w:w="120" w:type="dxa"/>
            <w:vAlign w:val="bottom"/>
          </w:tcPr>
          <w:p>
            <w:pPr>
              <w:spacing w:after="0"/>
              <w:rPr>
                <w:sz w:val="14"/>
                <w:szCs w:val="14"/>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5"/>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35"/>
        </w:trPr>
        <w:tc>
          <w:tcPr>
            <w:tcW w:w="15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Property</w:t>
            </w:r>
          </w:p>
        </w:tc>
        <w:tc>
          <w:tcPr>
            <w:tcW w:w="12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Arial" w:cs="Arial" w:eastAsia="Arial" w:hAnsi="Arial"/>
                <w:sz w:val="14"/>
                <w:szCs w:val="14"/>
                <w:b w:val="1"/>
                <w:bCs w:val="1"/>
                <w:color w:val="auto"/>
              </w:rPr>
              <w:t>Opportunity</w:t>
            </w: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88"/>
        </w:trPr>
        <w:tc>
          <w:tcPr>
            <w:tcW w:w="152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514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Cost (1)</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77"/>
        </w:trPr>
        <w:tc>
          <w:tcPr>
            <w:tcW w:w="1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60" w:type="dxa"/>
            <w:vAlign w:val="bottom"/>
            <w:gridSpan w:val="4"/>
          </w:tcPr>
          <w:p>
            <w:pPr>
              <w:ind w:left="20"/>
              <w:spacing w:after="0"/>
              <w:rPr>
                <w:sz w:val="20"/>
                <w:szCs w:val="20"/>
                <w:color w:val="auto"/>
              </w:rPr>
            </w:pPr>
            <w:r>
              <w:rPr>
                <w:rFonts w:ascii="Arial" w:cs="Arial" w:eastAsia="Arial" w:hAnsi="Arial"/>
                <w:sz w:val="14"/>
                <w:szCs w:val="14"/>
                <w:color w:val="auto"/>
              </w:rPr>
              <w:t>(in millions) (in millions)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520" w:type="dxa"/>
            <w:vAlign w:val="bottom"/>
          </w:tcPr>
          <w:p>
            <w:pPr>
              <w:ind w:left="20"/>
              <w:spacing w:after="0"/>
              <w:rPr>
                <w:sz w:val="20"/>
                <w:szCs w:val="20"/>
                <w:color w:val="auto"/>
              </w:rPr>
            </w:pPr>
            <w:r>
              <w:rPr>
                <w:rFonts w:ascii="Arial" w:cs="Arial" w:eastAsia="Arial" w:hAnsi="Arial"/>
                <w:sz w:val="14"/>
                <w:szCs w:val="14"/>
                <w:color w:val="auto"/>
                <w:w w:val="97"/>
              </w:rPr>
              <w:t>The Commons at Darien</w:t>
            </w:r>
          </w:p>
        </w:tc>
        <w:tc>
          <w:tcPr>
            <w:tcW w:w="1280" w:type="dxa"/>
            <w:vAlign w:val="bottom"/>
          </w:tcPr>
          <w:p>
            <w:pPr>
              <w:ind w:left="80"/>
              <w:spacing w:after="0"/>
              <w:rPr>
                <w:sz w:val="20"/>
                <w:szCs w:val="20"/>
                <w:color w:val="auto"/>
              </w:rPr>
            </w:pPr>
            <w:r>
              <w:rPr>
                <w:rFonts w:ascii="Arial" w:cs="Arial" w:eastAsia="Arial" w:hAnsi="Arial"/>
                <w:sz w:val="14"/>
                <w:szCs w:val="14"/>
                <w:color w:val="auto"/>
              </w:rPr>
              <w:t>Darien, CT</w:t>
            </w:r>
          </w:p>
        </w:tc>
        <w:tc>
          <w:tcPr>
            <w:tcW w:w="5140" w:type="dxa"/>
            <w:vAlign w:val="bottom"/>
          </w:tcPr>
          <w:p>
            <w:pPr>
              <w:ind w:left="100"/>
              <w:spacing w:after="0"/>
              <w:rPr>
                <w:sz w:val="20"/>
                <w:szCs w:val="20"/>
                <w:color w:val="auto"/>
              </w:rPr>
            </w:pPr>
            <w:r>
              <w:rPr>
                <w:rFonts w:ascii="Arial" w:cs="Arial" w:eastAsia="Arial" w:hAnsi="Arial"/>
                <w:sz w:val="14"/>
                <w:szCs w:val="14"/>
                <w:color w:val="auto"/>
                <w:w w:val="97"/>
              </w:rPr>
              <w:t>Demolition of a 45,000 square foot anchor space to construct 75,000 square feet of</w:t>
            </w:r>
          </w:p>
        </w:tc>
        <w:tc>
          <w:tcPr>
            <w:tcW w:w="760" w:type="dxa"/>
            <w:vAlign w:val="bottom"/>
          </w:tcPr>
          <w:p>
            <w:pPr>
              <w:jc w:val="right"/>
              <w:spacing w:after="0"/>
              <w:rPr>
                <w:sz w:val="20"/>
                <w:szCs w:val="20"/>
                <w:color w:val="auto"/>
              </w:rPr>
            </w:pPr>
            <w:r>
              <w:rPr>
                <w:rFonts w:ascii="Arial" w:cs="Arial" w:eastAsia="Arial" w:hAnsi="Arial"/>
                <w:sz w:val="14"/>
                <w:szCs w:val="14"/>
                <w:color w:val="auto"/>
              </w:rPr>
              <w:t>6 %</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w w:val="98"/>
              </w:rPr>
              <w:t>$110 - $120</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Cocowalk</w:t>
            </w:r>
          </w:p>
        </w:tc>
        <w:tc>
          <w:tcPr>
            <w:tcW w:w="128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w w:val="99"/>
              </w:rPr>
              <w:t>Coconut Grove, FL</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6"/>
              </w:rPr>
              <w:t>Entire shopping center redevelopment to include: demolition of three story east wing</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$93 - $97</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$77</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5"/>
              </w:rPr>
              <w:t>of the property and construction of a 106,000 square foot 5-story office/retail building</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 24,000 square feet of retail; complete renovation of the west wing.</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Arial" w:cs="Arial" w:eastAsia="Arial" w:hAnsi="Arial"/>
                <w:sz w:val="14"/>
                <w:szCs w:val="14"/>
                <w:color w:val="auto"/>
              </w:rPr>
              <w:t>Freedom Plaza (5)</w:t>
            </w:r>
          </w:p>
        </w:tc>
        <w:tc>
          <w:tcPr>
            <w:tcW w:w="1280" w:type="dxa"/>
            <w:vAlign w:val="bottom"/>
          </w:tcPr>
          <w:p>
            <w:pPr>
              <w:ind w:left="80"/>
              <w:spacing w:after="0" w:line="135" w:lineRule="exact"/>
              <w:rPr>
                <w:sz w:val="20"/>
                <w:szCs w:val="20"/>
                <w:color w:val="auto"/>
              </w:rPr>
            </w:pPr>
            <w:r>
              <w:rPr>
                <w:rFonts w:ascii="Arial" w:cs="Arial" w:eastAsia="Arial" w:hAnsi="Arial"/>
                <w:sz w:val="14"/>
                <w:szCs w:val="14"/>
                <w:color w:val="auto"/>
              </w:rPr>
              <w:t>Los Angeles, CA</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rPr>
              <w:t>Development of a new 113,000 square foot single-story grocery anchored</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$38 - $42</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$33</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neighborhood shopping center</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Bala Cynwyd</w:t>
            </w:r>
          </w:p>
        </w:tc>
        <w:tc>
          <w:tcPr>
            <w:tcW w:w="128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Bala Cynwyd, PA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9"/>
              </w:rPr>
              <w:t>New 87 unit residential apartment building to be constructed on underutilized land</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$22</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behind our existing shopping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Arial" w:cs="Arial" w:eastAsia="Arial" w:hAnsi="Arial"/>
                <w:sz w:val="14"/>
                <w:szCs w:val="14"/>
                <w:color w:val="auto"/>
              </w:rPr>
              <w:t>7021 Hollywood Blvd</w:t>
            </w:r>
          </w:p>
        </w:tc>
        <w:tc>
          <w:tcPr>
            <w:tcW w:w="1280" w:type="dxa"/>
            <w:vAlign w:val="bottom"/>
          </w:tcPr>
          <w:p>
            <w:pPr>
              <w:ind w:left="80"/>
              <w:spacing w:after="0" w:line="135" w:lineRule="exact"/>
              <w:rPr>
                <w:sz w:val="20"/>
                <w:szCs w:val="20"/>
                <w:color w:val="auto"/>
              </w:rPr>
            </w:pPr>
            <w:r>
              <w:rPr>
                <w:rFonts w:ascii="Arial" w:cs="Arial" w:eastAsia="Arial" w:hAnsi="Arial"/>
                <w:sz w:val="14"/>
                <w:szCs w:val="14"/>
                <w:color w:val="auto"/>
              </w:rPr>
              <w:t>Los Angeles, CA</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1"/>
              </w:rPr>
              <w:t>Renovation of the center and three vacant spaces to accommodate a new 39,000 square</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$15</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foot anchor tenant</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Lawrence Park</w:t>
            </w:r>
          </w:p>
        </w:tc>
        <w:tc>
          <w:tcPr>
            <w:tcW w:w="1280" w:type="dxa"/>
            <w:vAlign w:val="bottom"/>
            <w:shd w:val="clear" w:color="auto" w:fill="CCEEFF"/>
          </w:tcPr>
          <w:p>
            <w:pPr>
              <w:ind w:left="80"/>
              <w:spacing w:after="0" w:line="139" w:lineRule="exact"/>
              <w:rPr>
                <w:sz w:val="20"/>
                <w:szCs w:val="20"/>
                <w:color w:val="auto"/>
              </w:rPr>
            </w:pPr>
            <w:r>
              <w:rPr>
                <w:rFonts w:ascii="Arial" w:cs="Arial" w:eastAsia="Arial" w:hAnsi="Arial"/>
                <w:sz w:val="14"/>
                <w:szCs w:val="14"/>
                <w:color w:val="auto"/>
              </w:rPr>
              <w:t>Broomall, PA</w:t>
            </w:r>
          </w:p>
        </w:tc>
        <w:tc>
          <w:tcPr>
            <w:tcW w:w="51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w w:val="99"/>
              </w:rPr>
              <w:t>Full shopping center redevelopment to include expansion of Main Line Health into</w:t>
            </w:r>
          </w:p>
        </w:tc>
        <w:tc>
          <w:tcPr>
            <w:tcW w:w="7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w:t>
            </w:r>
          </w:p>
        </w:tc>
        <w:tc>
          <w:tcPr>
            <w:tcW w:w="9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3"/>
              </w:rPr>
              <w:t>vacant lower level space, creation of 17,800 square feet of small shop space converted</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5140" w:type="dxa"/>
            <w:vAlign w:val="bottom"/>
            <w:shd w:val="clear" w:color="auto" w:fill="CCEEFF"/>
          </w:tcPr>
          <w:p>
            <w:pPr>
              <w:ind w:left="100"/>
              <w:spacing w:after="0" w:line="135" w:lineRule="exact"/>
              <w:rPr>
                <w:sz w:val="20"/>
                <w:szCs w:val="20"/>
                <w:color w:val="auto"/>
              </w:rPr>
            </w:pPr>
            <w:r>
              <w:rPr>
                <w:rFonts w:ascii="Arial" w:cs="Arial" w:eastAsia="Arial" w:hAnsi="Arial"/>
                <w:sz w:val="14"/>
                <w:szCs w:val="14"/>
                <w:color w:val="auto"/>
                <w:w w:val="94"/>
              </w:rPr>
              <w:t>from vacated anchor space, a new 2,000 square foot bank pad building, and a façade</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renovation for the entire center.</w:t>
            </w: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0"/>
              <w:spacing w:after="0" w:line="135" w:lineRule="exact"/>
              <w:rPr>
                <w:sz w:val="20"/>
                <w:szCs w:val="20"/>
                <w:color w:val="auto"/>
              </w:rPr>
            </w:pPr>
            <w:r>
              <w:rPr>
                <w:rFonts w:ascii="Arial" w:cs="Arial" w:eastAsia="Arial" w:hAnsi="Arial"/>
                <w:sz w:val="14"/>
                <w:szCs w:val="14"/>
                <w:color w:val="auto"/>
              </w:rPr>
              <w:t>Melville Mall</w:t>
            </w:r>
          </w:p>
        </w:tc>
        <w:tc>
          <w:tcPr>
            <w:tcW w:w="1280" w:type="dxa"/>
            <w:vAlign w:val="bottom"/>
          </w:tcPr>
          <w:p>
            <w:pPr>
              <w:ind w:left="80"/>
              <w:spacing w:after="0" w:line="135" w:lineRule="exact"/>
              <w:rPr>
                <w:sz w:val="20"/>
                <w:szCs w:val="20"/>
                <w:color w:val="auto"/>
              </w:rPr>
            </w:pPr>
            <w:r>
              <w:rPr>
                <w:rFonts w:ascii="Arial" w:cs="Arial" w:eastAsia="Arial" w:hAnsi="Arial"/>
                <w:sz w:val="14"/>
                <w:szCs w:val="14"/>
                <w:color w:val="auto"/>
              </w:rPr>
              <w:t>Huntington, NY</w:t>
            </w:r>
          </w:p>
        </w:tc>
        <w:tc>
          <w:tcPr>
            <w:tcW w:w="5140" w:type="dxa"/>
            <w:vAlign w:val="bottom"/>
          </w:tcPr>
          <w:p>
            <w:pPr>
              <w:ind w:left="100"/>
              <w:spacing w:after="0" w:line="135" w:lineRule="exact"/>
              <w:rPr>
                <w:sz w:val="20"/>
                <w:szCs w:val="20"/>
                <w:color w:val="auto"/>
              </w:rPr>
            </w:pPr>
            <w:r>
              <w:rPr>
                <w:rFonts w:ascii="Arial" w:cs="Arial" w:eastAsia="Arial" w:hAnsi="Arial"/>
                <w:sz w:val="14"/>
                <w:szCs w:val="14"/>
                <w:color w:val="auto"/>
                <w:w w:val="94"/>
              </w:rPr>
              <w:t>Development of a new 15,000 square foot pad site consisting of two multi-tenant retail</w:t>
            </w: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8 %</w:t>
            </w: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$10</w:t>
            </w:r>
          </w:p>
        </w:tc>
        <w:tc>
          <w:tcPr>
            <w:tcW w:w="980" w:type="dxa"/>
            <w:vAlign w:val="bottom"/>
          </w:tcPr>
          <w:p>
            <w:pPr>
              <w:jc w:val="center"/>
              <w:spacing w:after="0" w:line="135" w:lineRule="exact"/>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Arial" w:cs="Arial" w:eastAsia="Arial" w:hAnsi="Arial"/>
                <w:sz w:val="14"/>
                <w:szCs w:val="14"/>
                <w:color w:val="auto"/>
              </w:rPr>
              <w:t>buildings</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Flourtown</w:t>
            </w:r>
          </w:p>
        </w:tc>
        <w:tc>
          <w:tcPr>
            <w:tcW w:w="1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Flourtown, PA</w:t>
            </w: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 of a new 4,550 square foot two-tenant pad building</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86"/>
        </w:trPr>
        <w:tc>
          <w:tcPr>
            <w:tcW w:w="1520" w:type="dxa"/>
            <w:vAlign w:val="bottom"/>
          </w:tcPr>
          <w:p>
            <w:pPr>
              <w:ind w:left="20"/>
              <w:spacing w:after="0"/>
              <w:rPr>
                <w:sz w:val="20"/>
                <w:szCs w:val="20"/>
                <w:color w:val="auto"/>
              </w:rPr>
            </w:pPr>
            <w:r>
              <w:rPr>
                <w:rFonts w:ascii="Arial" w:cs="Arial" w:eastAsia="Arial" w:hAnsi="Arial"/>
                <w:sz w:val="14"/>
                <w:szCs w:val="14"/>
                <w:color w:val="auto"/>
              </w:rPr>
              <w:t>Sylmar Towne Center</w:t>
            </w:r>
          </w:p>
        </w:tc>
        <w:tc>
          <w:tcPr>
            <w:tcW w:w="1280" w:type="dxa"/>
            <w:vAlign w:val="bottom"/>
          </w:tcPr>
          <w:p>
            <w:pPr>
              <w:ind w:left="80"/>
              <w:spacing w:after="0"/>
              <w:rPr>
                <w:sz w:val="20"/>
                <w:szCs w:val="20"/>
                <w:color w:val="auto"/>
              </w:rPr>
            </w:pPr>
            <w:r>
              <w:rPr>
                <w:rFonts w:ascii="Arial" w:cs="Arial" w:eastAsia="Arial" w:hAnsi="Arial"/>
                <w:sz w:val="14"/>
                <w:szCs w:val="14"/>
                <w:color w:val="auto"/>
              </w:rPr>
              <w:t>Sylmar, CA</w:t>
            </w:r>
          </w:p>
        </w:tc>
        <w:tc>
          <w:tcPr>
            <w:tcW w:w="5140" w:type="dxa"/>
            <w:vAlign w:val="bottom"/>
          </w:tcPr>
          <w:p>
            <w:pPr>
              <w:ind w:left="100"/>
              <w:spacing w:after="0"/>
              <w:rPr>
                <w:sz w:val="20"/>
                <w:szCs w:val="20"/>
                <w:color w:val="auto"/>
              </w:rPr>
            </w:pPr>
            <w:r>
              <w:rPr>
                <w:rFonts w:ascii="Arial" w:cs="Arial" w:eastAsia="Arial" w:hAnsi="Arial"/>
                <w:sz w:val="14"/>
                <w:szCs w:val="14"/>
                <w:color w:val="auto"/>
              </w:rPr>
              <w:t>Development of a new 3,800 square foot two-tenant pad building</w:t>
            </w:r>
          </w:p>
        </w:tc>
        <w:tc>
          <w:tcPr>
            <w:tcW w:w="760" w:type="dxa"/>
            <w:vAlign w:val="bottom"/>
          </w:tcPr>
          <w:p>
            <w:pPr>
              <w:jc w:val="right"/>
              <w:spacing w:after="0"/>
              <w:rPr>
                <w:sz w:val="20"/>
                <w:szCs w:val="20"/>
                <w:color w:val="auto"/>
              </w:rPr>
            </w:pPr>
            <w:r>
              <w:rPr>
                <w:rFonts w:ascii="Arial" w:cs="Arial" w:eastAsia="Arial" w:hAnsi="Arial"/>
                <w:sz w:val="14"/>
                <w:szCs w:val="14"/>
                <w:color w:val="auto"/>
              </w:rPr>
              <w:t>6 %</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2021</w:t>
            </w:r>
          </w:p>
        </w:tc>
        <w:tc>
          <w:tcPr>
            <w:tcW w:w="0" w:type="dxa"/>
            <w:vAlign w:val="bottom"/>
          </w:tcPr>
          <w:p>
            <w:pPr>
              <w:spacing w:after="0"/>
              <w:rPr>
                <w:sz w:val="1"/>
                <w:szCs w:val="1"/>
                <w:color w:val="auto"/>
              </w:rPr>
            </w:pPr>
          </w:p>
        </w:tc>
      </w:tr>
      <w:tr>
        <w:trPr>
          <w:trHeight w:val="192"/>
        </w:trPr>
        <w:tc>
          <w:tcPr>
            <w:tcW w:w="1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Azalea</w:t>
            </w:r>
          </w:p>
        </w:tc>
        <w:tc>
          <w:tcPr>
            <w:tcW w:w="12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Southgate, CA</w:t>
            </w:r>
          </w:p>
        </w:tc>
        <w:tc>
          <w:tcPr>
            <w:tcW w:w="51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Development of a new 3,000 square foot single tenant pad building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79"/>
        </w:trPr>
        <w:tc>
          <w:tcPr>
            <w:tcW w:w="2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Active Redevelopment projects (4)</w:t>
            </w:r>
          </w:p>
        </w:tc>
        <w:tc>
          <w:tcPr>
            <w:tcW w:w="5140" w:type="dxa"/>
            <w:vAlign w:val="bottom"/>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6 % $314 - $332</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5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5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Active Property Improvement Projects (6)</w:t>
            </w:r>
          </w:p>
        </w:tc>
        <w:tc>
          <w:tcPr>
            <w:tcW w:w="514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20" w:type="dxa"/>
            <w:vAlign w:val="bottom"/>
            <w:shd w:val="clear" w:color="auto" w:fill="CCEEFF"/>
          </w:tcPr>
          <w:p>
            <w:pPr>
              <w:ind w:left="20"/>
              <w:spacing w:after="0" w:line="116" w:lineRule="exact"/>
              <w:rPr>
                <w:sz w:val="20"/>
                <w:szCs w:val="20"/>
                <w:color w:val="auto"/>
              </w:rPr>
            </w:pPr>
            <w:r>
              <w:rPr>
                <w:rFonts w:ascii="Arial" w:cs="Arial" w:eastAsia="Arial" w:hAnsi="Arial"/>
                <w:sz w:val="13"/>
                <w:szCs w:val="13"/>
                <w:color w:val="auto"/>
              </w:rPr>
              <w:t>Various Properties</w:t>
            </w:r>
          </w:p>
        </w:tc>
        <w:tc>
          <w:tcPr>
            <w:tcW w:w="1280" w:type="dxa"/>
            <w:vAlign w:val="bottom"/>
            <w:shd w:val="clear" w:color="auto" w:fill="CCEEFF"/>
          </w:tcPr>
          <w:p>
            <w:pPr>
              <w:spacing w:after="0"/>
              <w:rPr>
                <w:sz w:val="10"/>
                <w:szCs w:val="10"/>
                <w:color w:val="auto"/>
              </w:rPr>
            </w:pPr>
          </w:p>
        </w:tc>
        <w:tc>
          <w:tcPr>
            <w:tcW w:w="5140" w:type="dxa"/>
            <w:vAlign w:val="bottom"/>
            <w:shd w:val="clear" w:color="auto" w:fill="CCEEFF"/>
          </w:tcPr>
          <w:p>
            <w:pPr>
              <w:ind w:left="100"/>
              <w:spacing w:after="0" w:line="116" w:lineRule="exact"/>
              <w:rPr>
                <w:sz w:val="20"/>
                <w:szCs w:val="20"/>
                <w:color w:val="auto"/>
              </w:rPr>
            </w:pPr>
            <w:r>
              <w:rPr>
                <w:rFonts w:ascii="Arial" w:cs="Arial" w:eastAsia="Arial" w:hAnsi="Arial"/>
                <w:sz w:val="13"/>
                <w:szCs w:val="13"/>
                <w:color w:val="auto"/>
              </w:rPr>
              <w:t>Ongoing improvements at 17 properties to better position properties to capture a</w:t>
            </w:r>
          </w:p>
        </w:tc>
        <w:tc>
          <w:tcPr>
            <w:tcW w:w="7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7% - 13%</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disproportionate amount of retail demand post-COVID</w:t>
            </w: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21" w:lineRule="exact"/>
        <w:rPr>
          <w:sz w:val="20"/>
          <w:szCs w:val="20"/>
          <w:color w:val="auto"/>
        </w:rPr>
      </w:pPr>
    </w:p>
    <w:p>
      <w:pPr>
        <w:ind w:left="660" w:right="120" w:hanging="652"/>
        <w:spacing w:after="0" w:line="258" w:lineRule="auto"/>
        <w:tabs>
          <w:tab w:leader="none" w:pos="655"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81" w:lineRule="auto"/>
        <w:tabs>
          <w:tab w:leader="none" w:pos="655"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spacing w:after="0" w:line="1" w:lineRule="exact"/>
        <w:rPr>
          <w:rFonts w:ascii="Arial" w:cs="Arial" w:eastAsia="Arial" w:hAnsi="Arial"/>
          <w:sz w:val="12"/>
          <w:szCs w:val="12"/>
          <w:color w:val="auto"/>
        </w:rPr>
      </w:pPr>
    </w:p>
    <w:p>
      <w:pPr>
        <w:ind w:left="660" w:hanging="652"/>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Arial" w:cs="Arial" w:eastAsia="Arial" w:hAnsi="Arial"/>
          <w:sz w:val="13"/>
          <w:szCs w:val="13"/>
          <w:color w:val="auto"/>
        </w:rPr>
      </w:pPr>
    </w:p>
    <w:p>
      <w:pPr>
        <w:ind w:left="660" w:hanging="652"/>
        <w:spacing w:after="0"/>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All subtotals and totals reflect cost weighted-average ROIs.</w:t>
      </w:r>
    </w:p>
    <w:p>
      <w:pPr>
        <w:spacing w:after="0" w:line="12" w:lineRule="exact"/>
        <w:rPr>
          <w:rFonts w:ascii="Arial" w:cs="Arial" w:eastAsia="Arial" w:hAnsi="Arial"/>
          <w:sz w:val="13"/>
          <w:szCs w:val="13"/>
          <w:color w:val="auto"/>
        </w:rPr>
      </w:pPr>
    </w:p>
    <w:p>
      <w:pPr>
        <w:ind w:left="660" w:right="40" w:hanging="652"/>
        <w:spacing w:after="0" w:line="260" w:lineRule="auto"/>
        <w:tabs>
          <w:tab w:leader="none" w:pos="655"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Project formerly known as Jordan Downs Plaza. Cost to date and projected cost are net of the proceeds we will receive from our New Market Tax Credit structure. See Note 3 of our December 31, 2019 Form 10-K for additional information. Stabilization has been impacted by the COVID-19 pandemic.</w:t>
      </w:r>
    </w:p>
    <w:p>
      <w:pPr>
        <w:ind w:left="660" w:right="40" w:hanging="652"/>
        <w:spacing w:after="0" w:line="266" w:lineRule="auto"/>
        <w:tabs>
          <w:tab w:leader="none" w:pos="655" w:val="left"/>
        </w:tabs>
        <w:numPr>
          <w:ilvl w:val="0"/>
          <w:numId w:val="14"/>
        </w:numPr>
        <w:rPr>
          <w:rFonts w:ascii="Arial" w:cs="Arial" w:eastAsia="Arial" w:hAnsi="Arial"/>
          <w:sz w:val="13"/>
          <w:szCs w:val="13"/>
          <w:color w:val="auto"/>
        </w:rPr>
      </w:pPr>
      <w:r>
        <w:rPr>
          <w:rFonts w:ascii="Arial" w:cs="Arial" w:eastAsia="Arial" w:hAnsi="Arial"/>
          <w:sz w:val="13"/>
          <w:szCs w:val="13"/>
          <w:color w:val="auto"/>
        </w:rPr>
        <w:t>Property improvements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30"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Impacts of COVID-19 Pandemic:</w:t>
      </w:r>
    </w:p>
    <w:p>
      <w:pPr>
        <w:spacing w:after="0" w:line="36" w:lineRule="exact"/>
        <w:rPr>
          <w:sz w:val="20"/>
          <w:szCs w:val="20"/>
          <w:color w:val="auto"/>
        </w:rPr>
      </w:pPr>
    </w:p>
    <w:p>
      <w:pPr>
        <w:ind w:left="20" w:right="400"/>
        <w:spacing w:after="0"/>
        <w:rPr>
          <w:sz w:val="20"/>
          <w:szCs w:val="20"/>
          <w:color w:val="auto"/>
        </w:rPr>
      </w:pPr>
      <w:r>
        <w:rPr>
          <w:rFonts w:ascii="Arial" w:cs="Arial" w:eastAsia="Arial" w:hAnsi="Arial"/>
          <w:sz w:val="16"/>
          <w:szCs w:val="16"/>
          <w:color w:val="auto"/>
        </w:rPr>
        <w:t>Information provided below reflects management’s best estimate based on current available information, however the completion of construction, final costs, return on investment, and timing of stabilization may be impacted by COVID-19.</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4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Projected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Property (1)</w:t>
            </w:r>
          </w:p>
        </w:tc>
        <w:tc>
          <w:tcPr>
            <w:tcW w:w="3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Opportunity</w:t>
            </w:r>
          </w:p>
        </w:tc>
        <w:tc>
          <w:tcPr>
            <w:tcW w:w="8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ROI (2)</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Cost (3)</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Opening Timeframe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780" w:type="dxa"/>
            <w:vAlign w:val="bottom"/>
          </w:tcPr>
          <w:p>
            <w:pPr>
              <w:jc w:val="center"/>
              <w:spacing w:after="0"/>
              <w:rPr>
                <w:sz w:val="20"/>
                <w:szCs w:val="20"/>
                <w:color w:val="auto"/>
              </w:rPr>
            </w:pPr>
            <w:r>
              <w:rPr>
                <w:rFonts w:ascii="Arial" w:cs="Arial" w:eastAsia="Arial" w:hAnsi="Arial"/>
                <w:sz w:val="13"/>
                <w:szCs w:val="13"/>
                <w:color w:val="auto"/>
              </w:rPr>
              <w:t>(in millions)</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260" w:type="dxa"/>
            <w:vAlign w:val="bottom"/>
            <w:gridSpan w:val="5"/>
          </w:tcPr>
          <w:p>
            <w:pPr>
              <w:spacing w:after="0"/>
              <w:rPr>
                <w:sz w:val="20"/>
                <w:szCs w:val="20"/>
                <w:color w:val="auto"/>
              </w:rPr>
            </w:pPr>
            <w:r>
              <w:rPr>
                <w:rFonts w:ascii="Arial" w:cs="Arial" w:eastAsia="Arial" w:hAnsi="Arial"/>
                <w:sz w:val="14"/>
                <w:szCs w:val="14"/>
                <w:b w:val="1"/>
                <w:bCs w:val="1"/>
                <w:color w:val="auto"/>
              </w:rPr>
              <w:t xml:space="preserve">Assembly Row, </w:t>
            </w:r>
            <w:r>
              <w:rPr>
                <w:rFonts w:ascii="Arial" w:cs="Arial" w:eastAsia="Arial" w:hAnsi="Arial"/>
                <w:sz w:val="14"/>
                <w:szCs w:val="14"/>
                <w:b w:val="1"/>
                <w:bCs w:val="1"/>
                <w:i w:val="1"/>
                <w:iCs w:val="1"/>
                <w:color w:val="auto"/>
              </w:rPr>
              <w:t>Somerville, MA</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- 277,000 SF of office</w:t>
            </w:r>
          </w:p>
        </w:tc>
        <w:tc>
          <w:tcPr>
            <w:tcW w:w="840" w:type="dxa"/>
            <w:vAlign w:val="bottom"/>
            <w:shd w:val="clear" w:color="auto" w:fill="CCEEFF"/>
          </w:tcPr>
          <w:p>
            <w:pPr>
              <w:jc w:val="center"/>
              <w:ind w:left="48"/>
              <w:spacing w:after="0" w:line="135" w:lineRule="exact"/>
              <w:rPr>
                <w:sz w:val="20"/>
                <w:szCs w:val="20"/>
                <w:color w:val="auto"/>
              </w:rPr>
            </w:pPr>
            <w:r>
              <w:rPr>
                <w:rFonts w:ascii="Arial" w:cs="Arial" w:eastAsia="Arial" w:hAnsi="Arial"/>
                <w:sz w:val="14"/>
                <w:szCs w:val="14"/>
                <w:color w:val="auto"/>
                <w:w w:val="98"/>
              </w:rPr>
              <w:t>6%</w:t>
            </w:r>
          </w:p>
        </w:tc>
        <w:tc>
          <w:tcPr>
            <w:tcW w:w="84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$465 - 485</w:t>
            </w:r>
          </w:p>
        </w:tc>
        <w:tc>
          <w:tcPr>
            <w:tcW w:w="78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89"/>
              </w:rPr>
              <w:t>$379</w:t>
            </w: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150,000 square feet of office space pre-leased</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- 500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Opening projected to begin in 2021</w:t>
            </w:r>
          </w:p>
        </w:tc>
        <w:tc>
          <w:tcPr>
            <w:tcW w:w="0" w:type="dxa"/>
            <w:vAlign w:val="bottom"/>
          </w:tcPr>
          <w:p>
            <w:pPr>
              <w:spacing w:after="0"/>
              <w:rPr>
                <w:sz w:val="1"/>
                <w:szCs w:val="1"/>
                <w:color w:val="auto"/>
              </w:rPr>
            </w:pPr>
          </w:p>
        </w:tc>
      </w:tr>
      <w:tr>
        <w:trPr>
          <w:trHeight w:val="109"/>
        </w:trPr>
        <w:tc>
          <w:tcPr>
            <w:tcW w:w="20" w:type="dxa"/>
            <w:vAlign w:val="bottom"/>
            <w:shd w:val="clear" w:color="auto" w:fill="CCEEFF"/>
          </w:tcPr>
          <w:p>
            <w:pPr>
              <w:spacing w:after="0"/>
              <w:rPr>
                <w:sz w:val="9"/>
                <w:szCs w:val="9"/>
                <w:color w:val="auto"/>
              </w:rPr>
            </w:pPr>
          </w:p>
        </w:tc>
        <w:tc>
          <w:tcPr>
            <w:tcW w:w="1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40" w:type="dxa"/>
            <w:vAlign w:val="bottom"/>
            <w:gridSpan w:val="3"/>
            <w:vMerge w:val="restart"/>
            <w:shd w:val="clear" w:color="auto" w:fill="CCEEFF"/>
          </w:tcPr>
          <w:p>
            <w:pPr>
              <w:spacing w:after="0"/>
              <w:rPr>
                <w:sz w:val="20"/>
                <w:szCs w:val="20"/>
                <w:color w:val="auto"/>
              </w:rPr>
            </w:pPr>
            <w:r>
              <w:rPr>
                <w:rFonts w:ascii="Arial" w:cs="Arial" w:eastAsia="Arial" w:hAnsi="Arial"/>
                <w:sz w:val="14"/>
                <w:szCs w:val="14"/>
                <w:color w:val="auto"/>
              </w:rPr>
              <w:t>- 56,000 SF of retail</w:t>
            </w:r>
          </w:p>
        </w:tc>
        <w:tc>
          <w:tcPr>
            <w:tcW w:w="8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440" w:type="dxa"/>
            <w:vAlign w:val="bottom"/>
            <w:gridSpan w:val="3"/>
            <w:vMerge w:val="continue"/>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31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Future Phases</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- 1.5M SF of commercial</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9"/>
              </w:rPr>
              <w:t>TBD</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rPr>
              <w:t>TBD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- 329 residential units</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2"/>
              </w:rPr>
              <w:t xml:space="preserve">Pike &amp; Rose, </w:t>
            </w:r>
            <w:r>
              <w:rPr>
                <w:rFonts w:ascii="Arial" w:cs="Arial" w:eastAsia="Arial" w:hAnsi="Arial"/>
                <w:sz w:val="14"/>
                <w:szCs w:val="14"/>
                <w:b w:val="1"/>
                <w:bCs w:val="1"/>
                <w:i w:val="1"/>
                <w:iCs w:val="1"/>
                <w:color w:val="auto"/>
                <w:w w:val="92"/>
              </w:rPr>
              <w:t>North Bethesda, MD</w:t>
            </w:r>
          </w:p>
        </w:tc>
        <w:tc>
          <w:tcPr>
            <w:tcW w:w="3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gridSpan w:val="2"/>
          </w:tcPr>
          <w:p>
            <w:pPr>
              <w:spacing w:after="0" w:line="135" w:lineRule="exact"/>
              <w:rPr>
                <w:sz w:val="20"/>
                <w:szCs w:val="20"/>
                <w:color w:val="auto"/>
              </w:rPr>
            </w:pPr>
            <w:r>
              <w:rPr>
                <w:rFonts w:ascii="Arial" w:cs="Arial" w:eastAsia="Arial" w:hAnsi="Arial"/>
                <w:sz w:val="14"/>
                <w:szCs w:val="14"/>
                <w:color w:val="auto"/>
              </w:rPr>
              <w:t>Phase III</w:t>
            </w:r>
          </w:p>
        </w:tc>
        <w:tc>
          <w:tcPr>
            <w:tcW w:w="3440" w:type="dxa"/>
            <w:vAlign w:val="bottom"/>
            <w:gridSpan w:val="3"/>
          </w:tcPr>
          <w:p>
            <w:pPr>
              <w:spacing w:after="0" w:line="135" w:lineRule="exact"/>
              <w:rPr>
                <w:sz w:val="20"/>
                <w:szCs w:val="20"/>
                <w:color w:val="auto"/>
              </w:rPr>
            </w:pPr>
            <w:r>
              <w:rPr>
                <w:rFonts w:ascii="Arial" w:cs="Arial" w:eastAsia="Arial" w:hAnsi="Arial"/>
                <w:sz w:val="14"/>
                <w:szCs w:val="14"/>
                <w:color w:val="auto"/>
              </w:rPr>
              <w:t>-212,000 SF of office</w:t>
            </w:r>
          </w:p>
        </w:tc>
        <w:tc>
          <w:tcPr>
            <w:tcW w:w="840" w:type="dxa"/>
            <w:vAlign w:val="bottom"/>
          </w:tcPr>
          <w:p>
            <w:pPr>
              <w:jc w:val="center"/>
              <w:ind w:left="48"/>
              <w:spacing w:after="0" w:line="13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2"/>
              </w:rPr>
              <w:t>$128 - 135</w:t>
            </w:r>
          </w:p>
        </w:tc>
        <w:tc>
          <w:tcPr>
            <w:tcW w:w="780" w:type="dxa"/>
            <w:vAlign w:val="bottom"/>
          </w:tcPr>
          <w:p>
            <w:pPr>
              <w:jc w:val="center"/>
              <w:spacing w:after="0" w:line="135" w:lineRule="exact"/>
              <w:rPr>
                <w:sz w:val="20"/>
                <w:szCs w:val="20"/>
                <w:color w:val="auto"/>
              </w:rPr>
            </w:pPr>
            <w:r>
              <w:rPr>
                <w:rFonts w:ascii="Arial" w:cs="Arial" w:eastAsia="Arial" w:hAnsi="Arial"/>
                <w:sz w:val="14"/>
                <w:szCs w:val="14"/>
                <w:color w:val="auto"/>
                <w:w w:val="89"/>
              </w:rPr>
              <w:t>$103</w:t>
            </w:r>
          </w:p>
        </w:tc>
        <w:tc>
          <w:tcPr>
            <w:tcW w:w="320" w:type="dxa"/>
            <w:vAlign w:val="bottom"/>
          </w:tcPr>
          <w:p>
            <w:pPr>
              <w:jc w:val="right"/>
              <w:ind w:right="68"/>
              <w:spacing w:after="0" w:line="135" w:lineRule="exact"/>
              <w:rPr>
                <w:sz w:val="20"/>
                <w:szCs w:val="20"/>
                <w:color w:val="auto"/>
              </w:rPr>
            </w:pPr>
            <w:r>
              <w:rPr>
                <w:rFonts w:ascii="Arial" w:cs="Arial" w:eastAsia="Arial" w:hAnsi="Arial"/>
                <w:sz w:val="14"/>
                <w:szCs w:val="14"/>
                <w:color w:val="auto"/>
                <w:w w:val="93"/>
              </w:rPr>
              <w:t>(4)</w:t>
            </w:r>
          </w:p>
        </w:tc>
        <w:tc>
          <w:tcPr>
            <w:tcW w:w="80" w:type="dxa"/>
            <w:vAlign w:val="bottom"/>
          </w:tcPr>
          <w:p>
            <w:pPr>
              <w:spacing w:after="0"/>
              <w:rPr>
                <w:sz w:val="11"/>
                <w:szCs w:val="11"/>
                <w:color w:val="auto"/>
              </w:rPr>
            </w:pPr>
          </w:p>
        </w:tc>
        <w:tc>
          <w:tcPr>
            <w:tcW w:w="3100" w:type="dxa"/>
            <w:vAlign w:val="bottom"/>
          </w:tcPr>
          <w:p>
            <w:pPr>
              <w:ind w:left="20"/>
              <w:spacing w:after="0" w:line="135" w:lineRule="exact"/>
              <w:rPr>
                <w:sz w:val="20"/>
                <w:szCs w:val="20"/>
                <w:color w:val="auto"/>
              </w:rPr>
            </w:pPr>
            <w:r>
              <w:rPr>
                <w:rFonts w:ascii="Arial" w:cs="Arial" w:eastAsia="Arial" w:hAnsi="Arial"/>
                <w:sz w:val="14"/>
                <w:szCs w:val="14"/>
                <w:color w:val="auto"/>
              </w:rPr>
              <w:t>Opening began in Q3 2020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-7,000 SF of retail</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ind w:left="20"/>
              <w:spacing w:after="0"/>
              <w:rPr>
                <w:sz w:val="20"/>
                <w:szCs w:val="20"/>
                <w:color w:val="auto"/>
              </w:rPr>
            </w:pPr>
            <w:r>
              <w:rPr>
                <w:rFonts w:ascii="Arial" w:cs="Arial" w:eastAsia="Arial" w:hAnsi="Arial"/>
                <w:sz w:val="14"/>
                <w:szCs w:val="14"/>
                <w:color w:val="auto"/>
              </w:rPr>
              <w:t>138,000 square feet leased</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- 740,000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- 741 residential units</w:t>
            </w:r>
          </w:p>
        </w:tc>
        <w:tc>
          <w:tcPr>
            <w:tcW w:w="8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 xml:space="preserve">Santana Row, </w:t>
            </w:r>
            <w:r>
              <w:rPr>
                <w:rFonts w:ascii="Arial" w:cs="Arial" w:eastAsia="Arial" w:hAnsi="Arial"/>
                <w:sz w:val="14"/>
                <w:szCs w:val="14"/>
                <w:b w:val="1"/>
                <w:bCs w:val="1"/>
                <w:i w:val="1"/>
                <w:iCs w:val="1"/>
                <w:color w:val="auto"/>
                <w:w w:val="97"/>
              </w:rPr>
              <w:t>San Jose, CA</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Santana West</w:t>
            </w:r>
          </w:p>
        </w:tc>
        <w:tc>
          <w:tcPr>
            <w:tcW w:w="140" w:type="dxa"/>
            <w:vAlign w:val="bottom"/>
          </w:tcPr>
          <w:p>
            <w:pPr>
              <w:spacing w:after="0"/>
              <w:rPr>
                <w:sz w:val="13"/>
                <w:szCs w:val="13"/>
                <w:color w:val="auto"/>
              </w:rPr>
            </w:pPr>
          </w:p>
        </w:tc>
        <w:tc>
          <w:tcPr>
            <w:tcW w:w="3440" w:type="dxa"/>
            <w:vAlign w:val="bottom"/>
            <w:gridSpan w:val="3"/>
          </w:tcPr>
          <w:p>
            <w:pPr>
              <w:spacing w:after="0" w:line="155" w:lineRule="exact"/>
              <w:rPr>
                <w:sz w:val="20"/>
                <w:szCs w:val="20"/>
                <w:color w:val="auto"/>
              </w:rPr>
            </w:pPr>
            <w:r>
              <w:rPr>
                <w:rFonts w:ascii="Arial" w:cs="Arial" w:eastAsia="Arial" w:hAnsi="Arial"/>
                <w:sz w:val="14"/>
                <w:szCs w:val="14"/>
                <w:color w:val="auto"/>
              </w:rPr>
              <w:t>- 376,000 SF of office</w:t>
            </w:r>
          </w:p>
        </w:tc>
        <w:tc>
          <w:tcPr>
            <w:tcW w:w="840" w:type="dxa"/>
            <w:vAlign w:val="bottom"/>
          </w:tcPr>
          <w:p>
            <w:pPr>
              <w:jc w:val="center"/>
              <w:ind w:left="48"/>
              <w:spacing w:after="0" w:line="155" w:lineRule="exact"/>
              <w:rPr>
                <w:sz w:val="20"/>
                <w:szCs w:val="20"/>
                <w:color w:val="auto"/>
              </w:rPr>
            </w:pPr>
            <w:r>
              <w:rPr>
                <w:rFonts w:ascii="Arial" w:cs="Arial" w:eastAsia="Arial" w:hAnsi="Arial"/>
                <w:sz w:val="14"/>
                <w:szCs w:val="14"/>
                <w:color w:val="auto"/>
                <w:w w:val="97"/>
              </w:rPr>
              <w:t>6-7%</w:t>
            </w:r>
          </w:p>
        </w:tc>
        <w:tc>
          <w:tcPr>
            <w:tcW w:w="840" w:type="dxa"/>
            <w:vAlign w:val="bottom"/>
          </w:tcPr>
          <w:p>
            <w:pPr>
              <w:jc w:val="center"/>
              <w:spacing w:after="0" w:line="155" w:lineRule="exact"/>
              <w:rPr>
                <w:sz w:val="20"/>
                <w:szCs w:val="20"/>
                <w:color w:val="auto"/>
              </w:rPr>
            </w:pPr>
            <w:r>
              <w:rPr>
                <w:rFonts w:ascii="Arial" w:cs="Arial" w:eastAsia="Arial" w:hAnsi="Arial"/>
                <w:sz w:val="14"/>
                <w:szCs w:val="14"/>
                <w:color w:val="auto"/>
                <w:w w:val="92"/>
              </w:rPr>
              <w:t>$250 - 270</w:t>
            </w: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89"/>
              </w:rPr>
              <w:t>$141</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00" w:type="dxa"/>
            <w:vAlign w:val="bottom"/>
          </w:tcPr>
          <w:p>
            <w:pPr>
              <w:ind w:left="20"/>
              <w:spacing w:after="0" w:line="155" w:lineRule="exact"/>
              <w:rPr>
                <w:sz w:val="20"/>
                <w:szCs w:val="20"/>
                <w:color w:val="auto"/>
              </w:rPr>
            </w:pPr>
            <w:r>
              <w:rPr>
                <w:rFonts w:ascii="Arial" w:cs="Arial" w:eastAsia="Arial" w:hAnsi="Arial"/>
                <w:sz w:val="14"/>
                <w:szCs w:val="14"/>
                <w:color w:val="auto"/>
              </w:rPr>
              <w:t>Opening projected to begin in 2022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4"/>
                <w:szCs w:val="14"/>
                <w:color w:val="auto"/>
              </w:rPr>
              <w:t>- 1,750 parking spaces</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Future Phases</w:t>
            </w:r>
          </w:p>
        </w:tc>
        <w:tc>
          <w:tcPr>
            <w:tcW w:w="344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-321,000 SF of commercial</w:t>
            </w:r>
          </w:p>
        </w:tc>
        <w:tc>
          <w:tcPr>
            <w:tcW w:w="840" w:type="dxa"/>
            <w:vAlign w:val="bottom"/>
            <w:shd w:val="clear" w:color="auto" w:fill="CCEEFF"/>
          </w:tcPr>
          <w:p>
            <w:pPr>
              <w:jc w:val="center"/>
              <w:ind w:left="48"/>
              <w:spacing w:after="0" w:line="139" w:lineRule="exact"/>
              <w:rPr>
                <w:sz w:val="20"/>
                <w:szCs w:val="20"/>
                <w:color w:val="auto"/>
              </w:rPr>
            </w:pPr>
            <w:r>
              <w:rPr>
                <w:rFonts w:ascii="Arial" w:cs="Arial" w:eastAsia="Arial" w:hAnsi="Arial"/>
                <w:sz w:val="14"/>
                <w:szCs w:val="14"/>
                <w:color w:val="auto"/>
                <w:w w:val="99"/>
              </w:rPr>
              <w:t>TBD</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rPr>
              <w:t>TBD</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-395 residential units</w:t>
            </w:r>
          </w:p>
        </w:tc>
        <w:tc>
          <w:tcPr>
            <w:tcW w:w="8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-604,000 SF of commercial at Santana West</w:t>
            </w:r>
          </w:p>
        </w:tc>
        <w:tc>
          <w:tcPr>
            <w:tcW w:w="8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42" w:lineRule="exact"/>
        <w:rPr>
          <w:sz w:val="20"/>
          <w:szCs w:val="20"/>
          <w:color w:val="auto"/>
        </w:rPr>
      </w:pPr>
    </w:p>
    <w:p>
      <w:pPr>
        <w:ind w:left="360" w:right="120" w:hanging="334"/>
        <w:spacing w:after="0" w:line="260" w:lineRule="auto"/>
        <w:tabs>
          <w:tab w:leader="none" w:pos="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Anticipated opening dates, total cost, and projected return on investment (ROI)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unleveraged Property Operating Income (POI) generated by the development and is calculated as POI divided by cost.</w:t>
      </w:r>
    </w:p>
    <w:p>
      <w:pPr>
        <w:spacing w:after="0" w:line="28" w:lineRule="exact"/>
        <w:rPr>
          <w:rFonts w:ascii="Arial" w:cs="Arial" w:eastAsia="Arial" w:hAnsi="Arial"/>
          <w:sz w:val="14"/>
          <w:szCs w:val="14"/>
          <w:color w:val="auto"/>
        </w:rPr>
      </w:pPr>
    </w:p>
    <w:p>
      <w:pPr>
        <w:ind w:left="360" w:right="220" w:hanging="334"/>
        <w:spacing w:after="0" w:line="236"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Projected costs for Assembly Row and Pike &amp; Rose include an allocation of infrastructure costs for the entire project. Phase I of Santana West includes an allocation of infrastructure for the Santana West site.</w:t>
      </w:r>
    </w:p>
    <w:p>
      <w:pPr>
        <w:spacing w:after="0" w:line="7" w:lineRule="exact"/>
        <w:rPr>
          <w:rFonts w:ascii="Arial" w:cs="Arial" w:eastAsia="Arial" w:hAnsi="Arial"/>
          <w:sz w:val="14"/>
          <w:szCs w:val="14"/>
          <w:color w:val="auto"/>
        </w:rPr>
      </w:pPr>
    </w:p>
    <w:p>
      <w:pPr>
        <w:ind w:left="360" w:right="80" w:hanging="334"/>
        <w:spacing w:after="0" w:line="236" w:lineRule="auto"/>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Federal Realty Investment Trust is leasing 45,000 square feet of office space at a market rent in Pike &amp; Rose Phase III, which delivered in August 2020. Revenue related to this rent will be eliminated in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909"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Future Redevelopment Opportunities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293" w:lineRule="exact"/>
        <w:rPr>
          <w:sz w:val="20"/>
          <w:szCs w:val="20"/>
          <w:color w:val="auto"/>
        </w:rPr>
      </w:pPr>
    </w:p>
    <w:p>
      <w:pPr>
        <w:ind w:left="20" w:right="160"/>
        <w:spacing w:after="0" w:line="225"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65" w:lineRule="exact"/>
        <w:rPr>
          <w:sz w:val="20"/>
          <w:szCs w:val="20"/>
          <w:color w:val="auto"/>
        </w:rPr>
      </w:pPr>
    </w:p>
    <w:p>
      <w:pPr>
        <w:ind w:left="20" w:right="760"/>
        <w:spacing w:after="0" w:line="245"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Escondido Promenade</w:t>
            </w:r>
          </w:p>
        </w:tc>
        <w:tc>
          <w:tcPr>
            <w:tcW w:w="2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Escondido, CA</w:t>
            </w:r>
          </w:p>
        </w:tc>
        <w:tc>
          <w:tcPr>
            <w:tcW w:w="27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Lawrenceville, NJ</w:t>
            </w:r>
          </w:p>
        </w:tc>
      </w:tr>
      <w:tr>
        <w:trPr>
          <w:trHeight w:val="213"/>
        </w:trPr>
        <w:tc>
          <w:tcPr>
            <w:tcW w:w="2480" w:type="dxa"/>
            <w:vAlign w:val="bottom"/>
          </w:tcPr>
          <w:p>
            <w:pPr>
              <w:ind w:left="420"/>
              <w:spacing w:after="0"/>
              <w:rPr>
                <w:sz w:val="20"/>
                <w:szCs w:val="20"/>
                <w:color w:val="auto"/>
              </w:rPr>
            </w:pPr>
            <w:r>
              <w:rPr>
                <w:rFonts w:ascii="Arial" w:cs="Arial" w:eastAsia="Arial" w:hAnsi="Arial"/>
                <w:sz w:val="16"/>
                <w:szCs w:val="16"/>
                <w:b w:val="1"/>
                <w:bCs w:val="1"/>
                <w:color w:val="auto"/>
              </w:rPr>
              <w:t>Federal Plaza</w:t>
            </w:r>
          </w:p>
        </w:tc>
        <w:tc>
          <w:tcPr>
            <w:tcW w:w="2140" w:type="dxa"/>
            <w:vAlign w:val="bottom"/>
          </w:tcPr>
          <w:p>
            <w:pPr>
              <w:ind w:left="500"/>
              <w:spacing w:after="0"/>
              <w:rPr>
                <w:sz w:val="20"/>
                <w:szCs w:val="20"/>
                <w:color w:val="auto"/>
              </w:rPr>
            </w:pPr>
            <w:r>
              <w:rPr>
                <w:rFonts w:ascii="Arial" w:cs="Arial" w:eastAsia="Arial" w:hAnsi="Arial"/>
                <w:sz w:val="16"/>
                <w:szCs w:val="16"/>
                <w:color w:val="auto"/>
              </w:rPr>
              <w:t>Rockville, MD</w:t>
            </w:r>
          </w:p>
        </w:tc>
        <w:tc>
          <w:tcPr>
            <w:tcW w:w="274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3840" w:type="dxa"/>
            <w:vAlign w:val="bottom"/>
          </w:tcPr>
          <w:p>
            <w:pPr>
              <w:ind w:left="620"/>
              <w:spacing w:after="0"/>
              <w:rPr>
                <w:sz w:val="20"/>
                <w:szCs w:val="20"/>
                <w:color w:val="auto"/>
              </w:rPr>
            </w:pPr>
            <w:r>
              <w:rPr>
                <w:rFonts w:ascii="Arial" w:cs="Arial" w:eastAsia="Arial" w:hAnsi="Arial"/>
                <w:sz w:val="16"/>
                <w:szCs w:val="16"/>
                <w:color w:val="auto"/>
              </w:rPr>
              <w:t>Fairfax, VA</w:t>
            </w:r>
          </w:p>
        </w:tc>
      </w:tr>
      <w:tr>
        <w:trPr>
          <w:trHeight w:val="219"/>
        </w:trPr>
        <w:tc>
          <w:tcPr>
            <w:tcW w:w="248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1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Queens, NY</w:t>
            </w:r>
          </w:p>
        </w:tc>
        <w:tc>
          <w:tcPr>
            <w:tcW w:w="2740" w:type="dxa"/>
            <w:vAlign w:val="bottom"/>
            <w:shd w:val="clear" w:color="auto" w:fill="CCEEFF"/>
          </w:tcPr>
          <w:p>
            <w:pPr>
              <w:ind w:left="620"/>
              <w:spacing w:after="0"/>
              <w:rPr>
                <w:sz w:val="20"/>
                <w:szCs w:val="20"/>
                <w:color w:val="auto"/>
              </w:rPr>
            </w:pPr>
            <w:r>
              <w:rPr>
                <w:rFonts w:ascii="Arial" w:cs="Arial" w:eastAsia="Arial" w:hAnsi="Arial"/>
                <w:sz w:val="16"/>
                <w:szCs w:val="16"/>
                <w:b w:val="1"/>
                <w:bCs w:val="1"/>
                <w:color w:val="auto"/>
              </w:rPr>
              <w:t>Sylmar Towne Center</w:t>
            </w:r>
          </w:p>
        </w:tc>
        <w:tc>
          <w:tcPr>
            <w:tcW w:w="38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Sylmar, CA</w:t>
            </w:r>
          </w:p>
        </w:tc>
      </w:tr>
    </w:tbl>
    <w:p>
      <w:pPr>
        <w:spacing w:after="0" w:line="216" w:lineRule="exact"/>
        <w:rPr>
          <w:sz w:val="20"/>
          <w:szCs w:val="20"/>
          <w:color w:val="auto"/>
        </w:rPr>
      </w:pPr>
    </w:p>
    <w:p>
      <w:pPr>
        <w:ind w:left="20" w:right="320"/>
        <w:spacing w:after="0" w:line="245"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-237490</wp:posOffset>
            </wp:positionV>
            <wp:extent cx="7115175" cy="240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3"/>
        </w:trPr>
        <w:tc>
          <w:tcPr>
            <w:tcW w:w="2460" w:type="dxa"/>
            <w:vAlign w:val="bottom"/>
          </w:tcPr>
          <w:p>
            <w:pPr>
              <w:ind w:left="42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Pr>
          <w:p>
            <w:pPr>
              <w:ind w:left="52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00"/>
              <w:spacing w:after="0"/>
              <w:rPr>
                <w:sz w:val="20"/>
                <w:szCs w:val="20"/>
                <w:color w:val="auto"/>
              </w:rPr>
            </w:pPr>
            <w:r>
              <w:rPr>
                <w:rFonts w:ascii="Arial" w:cs="Arial" w:eastAsia="Arial" w:hAnsi="Arial"/>
                <w:sz w:val="16"/>
                <w:szCs w:val="16"/>
                <w:b w:val="1"/>
                <w:bCs w:val="1"/>
                <w:color w:val="auto"/>
              </w:rPr>
              <w:t>Huntington</w:t>
            </w:r>
          </w:p>
        </w:tc>
        <w:tc>
          <w:tcPr>
            <w:tcW w:w="3740" w:type="dxa"/>
            <w:vAlign w:val="bottom"/>
          </w:tcPr>
          <w:p>
            <w:pPr>
              <w:ind w:left="520"/>
              <w:spacing w:after="0"/>
              <w:rPr>
                <w:sz w:val="20"/>
                <w:szCs w:val="20"/>
                <w:color w:val="auto"/>
              </w:rPr>
            </w:pPr>
            <w:r>
              <w:rPr>
                <w:rFonts w:ascii="Arial" w:cs="Arial" w:eastAsia="Arial" w:hAnsi="Arial"/>
                <w:sz w:val="16"/>
                <w:szCs w:val="16"/>
                <w:color w:val="auto"/>
              </w:rPr>
              <w:t>Huntington, NY</w:t>
            </w:r>
          </w:p>
        </w:tc>
      </w:tr>
      <w:tr>
        <w:trPr>
          <w:trHeight w:val="219"/>
        </w:trPr>
        <w:tc>
          <w:tcPr>
            <w:tcW w:w="24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Bethesda Row</w:t>
            </w:r>
          </w:p>
        </w:tc>
        <w:tc>
          <w:tcPr>
            <w:tcW w:w="2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Bethesda, MD</w:t>
            </w:r>
          </w:p>
        </w:tc>
        <w:tc>
          <w:tcPr>
            <w:tcW w:w="27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Plaza El Segundo</w:t>
            </w:r>
          </w:p>
        </w:tc>
        <w:tc>
          <w:tcPr>
            <w:tcW w:w="3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El Segundo, CA</w:t>
            </w:r>
          </w:p>
        </w:tc>
      </w:tr>
      <w:tr>
        <w:trPr>
          <w:trHeight w:val="213"/>
        </w:trPr>
        <w:tc>
          <w:tcPr>
            <w:tcW w:w="2460" w:type="dxa"/>
            <w:vAlign w:val="bottom"/>
          </w:tcPr>
          <w:p>
            <w:pPr>
              <w:ind w:left="420"/>
              <w:spacing w:after="0"/>
              <w:rPr>
                <w:sz w:val="20"/>
                <w:szCs w:val="20"/>
                <w:color w:val="auto"/>
              </w:rPr>
            </w:pPr>
            <w:r>
              <w:rPr>
                <w:rFonts w:ascii="Arial" w:cs="Arial" w:eastAsia="Arial" w:hAnsi="Arial"/>
                <w:sz w:val="16"/>
                <w:szCs w:val="16"/>
                <w:b w:val="1"/>
                <w:bCs w:val="1"/>
                <w:color w:val="auto"/>
              </w:rPr>
              <w:t>Dedham Plaza</w:t>
            </w:r>
          </w:p>
        </w:tc>
        <w:tc>
          <w:tcPr>
            <w:tcW w:w="2280" w:type="dxa"/>
            <w:vAlign w:val="bottom"/>
          </w:tcPr>
          <w:p>
            <w:pPr>
              <w:ind w:left="520"/>
              <w:spacing w:after="0"/>
              <w:rPr>
                <w:sz w:val="20"/>
                <w:szCs w:val="20"/>
                <w:color w:val="auto"/>
              </w:rPr>
            </w:pPr>
            <w:r>
              <w:rPr>
                <w:rFonts w:ascii="Arial" w:cs="Arial" w:eastAsia="Arial" w:hAnsi="Arial"/>
                <w:sz w:val="16"/>
                <w:szCs w:val="16"/>
                <w:color w:val="auto"/>
              </w:rPr>
              <w:t>Dedham, MA</w:t>
            </w:r>
          </w:p>
        </w:tc>
        <w:tc>
          <w:tcPr>
            <w:tcW w:w="2720" w:type="dxa"/>
            <w:vAlign w:val="bottom"/>
          </w:tcPr>
          <w:p>
            <w:pPr>
              <w:ind w:left="500"/>
              <w:spacing w:after="0"/>
              <w:rPr>
                <w:sz w:val="20"/>
                <w:szCs w:val="20"/>
                <w:color w:val="auto"/>
              </w:rPr>
            </w:pPr>
            <w:r>
              <w:rPr>
                <w:rFonts w:ascii="Arial" w:cs="Arial" w:eastAsia="Arial" w:hAnsi="Arial"/>
                <w:sz w:val="16"/>
                <w:szCs w:val="16"/>
                <w:b w:val="1"/>
                <w:bCs w:val="1"/>
                <w:color w:val="auto"/>
              </w:rPr>
              <w:t>Riverpoint Center</w:t>
            </w:r>
          </w:p>
        </w:tc>
        <w:tc>
          <w:tcPr>
            <w:tcW w:w="3740" w:type="dxa"/>
            <w:vAlign w:val="bottom"/>
          </w:tcPr>
          <w:p>
            <w:pPr>
              <w:ind w:left="520"/>
              <w:spacing w:after="0"/>
              <w:rPr>
                <w:sz w:val="20"/>
                <w:szCs w:val="20"/>
                <w:color w:val="auto"/>
              </w:rPr>
            </w:pPr>
            <w:r>
              <w:rPr>
                <w:rFonts w:ascii="Arial" w:cs="Arial" w:eastAsia="Arial" w:hAnsi="Arial"/>
                <w:sz w:val="16"/>
                <w:szCs w:val="16"/>
                <w:color w:val="auto"/>
              </w:rPr>
              <w:t>Chicago, IL</w:t>
            </w:r>
          </w:p>
        </w:tc>
      </w:tr>
      <w:tr>
        <w:trPr>
          <w:trHeight w:val="219"/>
        </w:trPr>
        <w:tc>
          <w:tcPr>
            <w:tcW w:w="24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Fairfax Junction</w:t>
            </w:r>
          </w:p>
        </w:tc>
        <w:tc>
          <w:tcPr>
            <w:tcW w:w="2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Fairfax, VA</w:t>
            </w:r>
          </w:p>
        </w:tc>
        <w:tc>
          <w:tcPr>
            <w:tcW w:w="27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Third Street Promenade</w:t>
            </w:r>
          </w:p>
        </w:tc>
        <w:tc>
          <w:tcPr>
            <w:tcW w:w="3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Santa Monica, CA</w:t>
            </w:r>
          </w:p>
        </w:tc>
      </w:tr>
      <w:tr>
        <w:trPr>
          <w:trHeight w:val="213"/>
        </w:trPr>
        <w:tc>
          <w:tcPr>
            <w:tcW w:w="2460" w:type="dxa"/>
            <w:vAlign w:val="bottom"/>
          </w:tcPr>
          <w:p>
            <w:pPr>
              <w:ind w:left="420"/>
              <w:spacing w:after="0"/>
              <w:rPr>
                <w:sz w:val="20"/>
                <w:szCs w:val="20"/>
                <w:color w:val="auto"/>
              </w:rPr>
            </w:pPr>
            <w:r>
              <w:rPr>
                <w:rFonts w:ascii="Arial" w:cs="Arial" w:eastAsia="Arial" w:hAnsi="Arial"/>
                <w:sz w:val="16"/>
                <w:szCs w:val="16"/>
                <w:b w:val="1"/>
                <w:bCs w:val="1"/>
                <w:color w:val="auto"/>
              </w:rPr>
              <w:t>Fourth Street</w:t>
            </w:r>
          </w:p>
        </w:tc>
        <w:tc>
          <w:tcPr>
            <w:tcW w:w="2280" w:type="dxa"/>
            <w:vAlign w:val="bottom"/>
          </w:tcPr>
          <w:p>
            <w:pPr>
              <w:ind w:left="520"/>
              <w:spacing w:after="0"/>
              <w:rPr>
                <w:sz w:val="20"/>
                <w:szCs w:val="20"/>
                <w:color w:val="auto"/>
              </w:rPr>
            </w:pPr>
            <w:r>
              <w:rPr>
                <w:rFonts w:ascii="Arial" w:cs="Arial" w:eastAsia="Arial" w:hAnsi="Arial"/>
                <w:sz w:val="16"/>
                <w:szCs w:val="16"/>
                <w:color w:val="auto"/>
              </w:rPr>
              <w:t>Berkeley, CA</w:t>
            </w:r>
          </w:p>
        </w:tc>
        <w:tc>
          <w:tcPr>
            <w:tcW w:w="2720" w:type="dxa"/>
            <w:vAlign w:val="bottom"/>
          </w:tcPr>
          <w:p>
            <w:pPr>
              <w:ind w:left="500"/>
              <w:spacing w:after="0"/>
              <w:rPr>
                <w:sz w:val="20"/>
                <w:szCs w:val="20"/>
                <w:color w:val="auto"/>
              </w:rPr>
            </w:pPr>
            <w:r>
              <w:rPr>
                <w:rFonts w:ascii="Arial" w:cs="Arial" w:eastAsia="Arial" w:hAnsi="Arial"/>
                <w:sz w:val="16"/>
                <w:szCs w:val="16"/>
                <w:b w:val="1"/>
                <w:bCs w:val="1"/>
                <w:color w:val="auto"/>
              </w:rPr>
              <w:t>Wildwood</w:t>
            </w:r>
          </w:p>
        </w:tc>
        <w:tc>
          <w:tcPr>
            <w:tcW w:w="3740" w:type="dxa"/>
            <w:vAlign w:val="bottom"/>
          </w:tcPr>
          <w:p>
            <w:pPr>
              <w:ind w:left="520"/>
              <w:spacing w:after="0"/>
              <w:rPr>
                <w:sz w:val="20"/>
                <w:szCs w:val="20"/>
                <w:color w:val="auto"/>
              </w:rPr>
            </w:pPr>
            <w:r>
              <w:rPr>
                <w:rFonts w:ascii="Arial" w:cs="Arial" w:eastAsia="Arial" w:hAnsi="Arial"/>
                <w:sz w:val="16"/>
                <w:szCs w:val="16"/>
                <w:color w:val="auto"/>
              </w:rPr>
              <w:t>Bethesda, MD</w:t>
            </w:r>
          </w:p>
        </w:tc>
      </w:tr>
      <w:tr>
        <w:trPr>
          <w:trHeight w:val="219"/>
        </w:trPr>
        <w:tc>
          <w:tcPr>
            <w:tcW w:w="2460" w:type="dxa"/>
            <w:vAlign w:val="bottom"/>
            <w:shd w:val="clear" w:color="auto" w:fill="CCEEFF"/>
          </w:tcPr>
          <w:p>
            <w:pPr>
              <w:ind w:left="420"/>
              <w:spacing w:after="0"/>
              <w:rPr>
                <w:sz w:val="20"/>
                <w:szCs w:val="20"/>
                <w:color w:val="auto"/>
              </w:rPr>
            </w:pPr>
            <w:r>
              <w:rPr>
                <w:rFonts w:ascii="Arial" w:cs="Arial" w:eastAsia="Arial" w:hAnsi="Arial"/>
                <w:sz w:val="16"/>
                <w:szCs w:val="16"/>
                <w:b w:val="1"/>
                <w:bCs w:val="1"/>
                <w:color w:val="auto"/>
              </w:rPr>
              <w:t>Fresh Meadows</w:t>
            </w:r>
          </w:p>
        </w:tc>
        <w:tc>
          <w:tcPr>
            <w:tcW w:w="22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Queens, NY</w:t>
            </w:r>
          </w:p>
        </w:tc>
        <w:tc>
          <w:tcPr>
            <w:tcW w:w="27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Willow Grove</w:t>
            </w:r>
          </w:p>
        </w:tc>
        <w:tc>
          <w:tcPr>
            <w:tcW w:w="3740" w:type="dxa"/>
            <w:vAlign w:val="bottom"/>
            <w:shd w:val="clear" w:color="auto" w:fill="CCEEFF"/>
          </w:tcPr>
          <w:p>
            <w:pPr>
              <w:ind w:left="520"/>
              <w:spacing w:after="0"/>
              <w:rPr>
                <w:sz w:val="20"/>
                <w:szCs w:val="20"/>
                <w:color w:val="auto"/>
              </w:rPr>
            </w:pPr>
            <w:r>
              <w:rPr>
                <w:rFonts w:ascii="Arial" w:cs="Arial" w:eastAsia="Arial" w:hAnsi="Arial"/>
                <w:sz w:val="16"/>
                <w:szCs w:val="16"/>
                <w:color w:val="auto"/>
              </w:rPr>
              <w:t>Willow Grove, PA</w:t>
            </w:r>
          </w:p>
        </w:tc>
      </w:tr>
      <w:tr>
        <w:trPr>
          <w:trHeight w:val="213"/>
        </w:trPr>
        <w:tc>
          <w:tcPr>
            <w:tcW w:w="2460" w:type="dxa"/>
            <w:vAlign w:val="bottom"/>
          </w:tcPr>
          <w:p>
            <w:pPr>
              <w:ind w:left="420"/>
              <w:spacing w:after="0"/>
              <w:rPr>
                <w:sz w:val="20"/>
                <w:szCs w:val="20"/>
                <w:color w:val="auto"/>
              </w:rPr>
            </w:pPr>
            <w:r>
              <w:rPr>
                <w:rFonts w:ascii="Arial" w:cs="Arial" w:eastAsia="Arial" w:hAnsi="Arial"/>
                <w:sz w:val="16"/>
                <w:szCs w:val="16"/>
                <w:b w:val="1"/>
                <w:bCs w:val="1"/>
                <w:color w:val="auto"/>
              </w:rPr>
              <w:t>Hastings Ranch Plaza</w:t>
            </w:r>
          </w:p>
        </w:tc>
        <w:tc>
          <w:tcPr>
            <w:tcW w:w="2280" w:type="dxa"/>
            <w:vAlign w:val="bottom"/>
          </w:tcPr>
          <w:p>
            <w:pPr>
              <w:ind w:left="520"/>
              <w:spacing w:after="0"/>
              <w:rPr>
                <w:sz w:val="20"/>
                <w:szCs w:val="20"/>
                <w:color w:val="auto"/>
              </w:rPr>
            </w:pPr>
            <w:r>
              <w:rPr>
                <w:rFonts w:ascii="Arial" w:cs="Arial" w:eastAsia="Arial" w:hAnsi="Arial"/>
                <w:sz w:val="16"/>
                <w:szCs w:val="16"/>
                <w:color w:val="auto"/>
              </w:rPr>
              <w:t>Pasadena, CA</w:t>
            </w:r>
          </w:p>
        </w:tc>
        <w:tc>
          <w:tcPr>
            <w:tcW w:w="27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9"/>
        </w:trPr>
        <w:tc>
          <w:tcPr>
            <w:tcW w:w="246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3740" w:type="dxa"/>
            <w:vAlign w:val="bottom"/>
            <w:shd w:val="clear" w:color="auto" w:fill="CCEEFF"/>
          </w:tcPr>
          <w:p>
            <w:pPr>
              <w:spacing w:after="0"/>
              <w:rPr>
                <w:sz w:val="19"/>
                <w:szCs w:val="19"/>
                <w:color w:val="auto"/>
              </w:rPr>
            </w:pPr>
          </w:p>
        </w:tc>
      </w:tr>
    </w:tbl>
    <w:p>
      <w:pPr>
        <w:ind w:left="2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Barracks Road</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Charlottesville, VA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Village at Shirlington</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Arlington, VA</w:t>
            </w: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29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r>
      <w:tr>
        <w:trPr>
          <w:trHeight w:val="213"/>
        </w:trPr>
        <w:tc>
          <w:tcPr>
            <w:tcW w:w="286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Longer Term Mixed-Use Opportunities</w:t>
            </w: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Assembly Row (1)</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Somerville, MA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Pike &amp; Rose (2)</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North Bethesda, MD</w:t>
            </w:r>
          </w:p>
        </w:tc>
      </w:tr>
      <w:tr>
        <w:trPr>
          <w:trHeight w:val="213"/>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6"/>
                <w:szCs w:val="16"/>
                <w:b w:val="1"/>
                <w:bCs w:val="1"/>
                <w:color w:val="auto"/>
              </w:rPr>
              <w:t>Bala Cynwyd</w:t>
            </w:r>
          </w:p>
        </w:tc>
        <w:tc>
          <w:tcPr>
            <w:tcW w:w="1880" w:type="dxa"/>
            <w:vAlign w:val="bottom"/>
          </w:tcPr>
          <w:p>
            <w:pPr>
              <w:ind w:left="120"/>
              <w:spacing w:after="0"/>
              <w:rPr>
                <w:sz w:val="20"/>
                <w:szCs w:val="20"/>
                <w:color w:val="auto"/>
              </w:rPr>
            </w:pPr>
            <w:r>
              <w:rPr>
                <w:rFonts w:ascii="Arial" w:cs="Arial" w:eastAsia="Arial" w:hAnsi="Arial"/>
                <w:sz w:val="16"/>
                <w:szCs w:val="16"/>
                <w:color w:val="auto"/>
              </w:rPr>
              <w:t>Bala Cynwyd, PA</w:t>
            </w:r>
          </w:p>
        </w:tc>
        <w:tc>
          <w:tcPr>
            <w:tcW w:w="2980" w:type="dxa"/>
            <w:vAlign w:val="bottom"/>
          </w:tcPr>
          <w:p>
            <w:pPr>
              <w:ind w:left="500"/>
              <w:spacing w:after="0"/>
              <w:rPr>
                <w:sz w:val="20"/>
                <w:szCs w:val="20"/>
                <w:color w:val="auto"/>
              </w:rPr>
            </w:pPr>
            <w:r>
              <w:rPr>
                <w:rFonts w:ascii="Arial" w:cs="Arial" w:eastAsia="Arial" w:hAnsi="Arial"/>
                <w:sz w:val="16"/>
                <w:szCs w:val="16"/>
                <w:b w:val="1"/>
                <w:bCs w:val="1"/>
                <w:color w:val="auto"/>
              </w:rPr>
              <w:t>Santana Row (3)</w:t>
            </w:r>
          </w:p>
        </w:tc>
        <w:tc>
          <w:tcPr>
            <w:tcW w:w="3480" w:type="dxa"/>
            <w:vAlign w:val="bottom"/>
          </w:tcPr>
          <w:p>
            <w:pPr>
              <w:ind w:left="260"/>
              <w:spacing w:after="0"/>
              <w:rPr>
                <w:sz w:val="20"/>
                <w:szCs w:val="20"/>
                <w:color w:val="auto"/>
              </w:rPr>
            </w:pPr>
            <w:r>
              <w:rPr>
                <w:rFonts w:ascii="Arial" w:cs="Arial" w:eastAsia="Arial" w:hAnsi="Arial"/>
                <w:sz w:val="16"/>
                <w:szCs w:val="16"/>
                <w:color w:val="auto"/>
              </w:rPr>
              <w:t>San Jose, CA</w:t>
            </w:r>
          </w:p>
        </w:tc>
      </w:tr>
      <w:tr>
        <w:trPr>
          <w:trHeight w:val="219"/>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Pike 7 Plaza</w:t>
            </w:r>
          </w:p>
        </w:tc>
        <w:tc>
          <w:tcPr>
            <w:tcW w:w="1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Vienna, VA</w:t>
            </w:r>
          </w:p>
        </w:tc>
        <w:tc>
          <w:tcPr>
            <w:tcW w:w="298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Santana Row - Santana West (3)</w:t>
            </w:r>
          </w:p>
        </w:tc>
        <w:tc>
          <w:tcPr>
            <w:tcW w:w="3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San Jose, CA</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149"/>
        </w:trPr>
        <w:tc>
          <w:tcPr>
            <w:tcW w:w="4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88"/>
              </w:rPr>
              <w:t>Notes:</w:t>
            </w:r>
          </w:p>
        </w:tc>
        <w:tc>
          <w:tcPr>
            <w:tcW w:w="246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98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r>
      <w:tr>
        <w:trPr>
          <w:trHeight w:val="186"/>
        </w:trPr>
        <w:tc>
          <w:tcPr>
            <w:tcW w:w="400" w:type="dxa"/>
            <w:vAlign w:val="bottom"/>
            <w:gridSpan w:val="2"/>
          </w:tcPr>
          <w:p>
            <w:pPr>
              <w:ind w:left="20"/>
              <w:spacing w:after="0"/>
              <w:rPr>
                <w:sz w:val="20"/>
                <w:szCs w:val="20"/>
                <w:color w:val="auto"/>
              </w:rPr>
            </w:pPr>
            <w:r>
              <w:rPr>
                <w:rFonts w:ascii="Arial" w:cs="Arial" w:eastAsia="Arial" w:hAnsi="Arial"/>
                <w:sz w:val="14"/>
                <w:szCs w:val="14"/>
                <w:color w:val="auto"/>
              </w:rPr>
              <w:t>(1)</w:t>
            </w:r>
          </w:p>
        </w:tc>
        <w:tc>
          <w:tcPr>
            <w:tcW w:w="2460" w:type="dxa"/>
            <w:vAlign w:val="bottom"/>
          </w:tcPr>
          <w:p>
            <w:pPr>
              <w:ind w:left="20"/>
              <w:spacing w:after="0"/>
              <w:rPr>
                <w:sz w:val="20"/>
                <w:szCs w:val="20"/>
                <w:color w:val="auto"/>
              </w:rPr>
            </w:pPr>
            <w:r>
              <w:rPr>
                <w:rFonts w:ascii="Arial" w:cs="Arial" w:eastAsia="Arial" w:hAnsi="Arial"/>
                <w:sz w:val="14"/>
                <w:szCs w:val="14"/>
                <w:color w:val="auto"/>
              </w:rPr>
              <w:t>Assembly Row</w:t>
            </w:r>
          </w:p>
        </w:tc>
        <w:tc>
          <w:tcPr>
            <w:tcW w:w="8340" w:type="dxa"/>
            <w:vAlign w:val="bottom"/>
            <w:gridSpan w:val="3"/>
          </w:tcPr>
          <w:p>
            <w:pPr>
              <w:ind w:left="120"/>
              <w:spacing w:after="0"/>
              <w:rPr>
                <w:sz w:val="20"/>
                <w:szCs w:val="20"/>
                <w:color w:val="auto"/>
              </w:rPr>
            </w:pPr>
            <w:r>
              <w:rPr>
                <w:rFonts w:ascii="Arial" w:cs="Arial" w:eastAsia="Arial" w:hAnsi="Arial"/>
                <w:sz w:val="14"/>
                <w:szCs w:val="14"/>
                <w:color w:val="auto"/>
                <w:w w:val="95"/>
              </w:rPr>
              <w:t>Remaining entitlements after Phase III include approximately 1.5 million square feet of commercial-use buildings and 329 residential units.</w:t>
            </w:r>
          </w:p>
        </w:tc>
      </w:tr>
      <w:tr>
        <w:trPr>
          <w:trHeight w:val="192"/>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w:t>
            </w:r>
          </w:p>
        </w:tc>
        <w:tc>
          <w:tcPr>
            <w:tcW w:w="2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Pike &amp; Rose</w:t>
            </w:r>
          </w:p>
        </w:tc>
        <w:tc>
          <w:tcPr>
            <w:tcW w:w="83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6"/>
              </w:rPr>
              <w:t>Remaining entitlements after Phase III include approximately 740,000 square feet of commercial-use buildings, and 741 residential units.</w:t>
            </w:r>
          </w:p>
        </w:tc>
      </w:tr>
      <w:tr>
        <w:trPr>
          <w:trHeight w:val="135"/>
        </w:trPr>
        <w:tc>
          <w:tcPr>
            <w:tcW w:w="40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(3)</w:t>
            </w:r>
          </w:p>
        </w:tc>
        <w:tc>
          <w:tcPr>
            <w:tcW w:w="2460" w:type="dxa"/>
            <w:vAlign w:val="bottom"/>
          </w:tcPr>
          <w:p>
            <w:pPr>
              <w:ind w:left="20"/>
              <w:spacing w:after="0" w:line="135" w:lineRule="exact"/>
              <w:rPr>
                <w:sz w:val="20"/>
                <w:szCs w:val="20"/>
                <w:color w:val="auto"/>
              </w:rPr>
            </w:pPr>
            <w:r>
              <w:rPr>
                <w:rFonts w:ascii="Arial" w:cs="Arial" w:eastAsia="Arial" w:hAnsi="Arial"/>
                <w:sz w:val="14"/>
                <w:szCs w:val="14"/>
                <w:color w:val="auto"/>
              </w:rPr>
              <w:t>Santana Row</w:t>
            </w:r>
          </w:p>
        </w:tc>
        <w:tc>
          <w:tcPr>
            <w:tcW w:w="8340" w:type="dxa"/>
            <w:vAlign w:val="bottom"/>
            <w:gridSpan w:val="3"/>
          </w:tcPr>
          <w:p>
            <w:pPr>
              <w:ind w:left="120"/>
              <w:spacing w:after="0" w:line="135" w:lineRule="exact"/>
              <w:rPr>
                <w:sz w:val="20"/>
                <w:szCs w:val="20"/>
                <w:color w:val="auto"/>
              </w:rPr>
            </w:pPr>
            <w:r>
              <w:rPr>
                <w:rFonts w:ascii="Arial" w:cs="Arial" w:eastAsia="Arial" w:hAnsi="Arial"/>
                <w:sz w:val="14"/>
                <w:szCs w:val="14"/>
                <w:color w:val="auto"/>
                <w:w w:val="95"/>
              </w:rPr>
              <w:t>Remaining entitlements include approximately 321,000 square feet of commercial space and 395 residential units, as well as approximately</w:t>
            </w:r>
          </w:p>
        </w:tc>
      </w:tr>
      <w:tr>
        <w:trPr>
          <w:trHeight w:val="182"/>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860" w:type="dxa"/>
            <w:vAlign w:val="bottom"/>
            <w:gridSpan w:val="2"/>
          </w:tcPr>
          <w:p>
            <w:pPr>
              <w:ind w:left="120"/>
              <w:spacing w:after="0"/>
              <w:rPr>
                <w:sz w:val="20"/>
                <w:szCs w:val="20"/>
                <w:color w:val="auto"/>
              </w:rPr>
            </w:pPr>
            <w:r>
              <w:rPr>
                <w:rFonts w:ascii="Arial" w:cs="Arial" w:eastAsia="Arial" w:hAnsi="Arial"/>
                <w:sz w:val="14"/>
                <w:szCs w:val="14"/>
                <w:color w:val="auto"/>
              </w:rPr>
              <w:t>604,000 square feet of commercial space at Santana West.</w:t>
            </w:r>
          </w:p>
        </w:tc>
        <w:tc>
          <w:tcPr>
            <w:tcW w:w="34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340" w:top="1030" w:right="35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Property Acquisition, Disposition, and Other Transactions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Property Acquisition</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14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Property</w:t>
            </w:r>
          </w:p>
        </w:tc>
        <w:tc>
          <w:tcPr>
            <w:tcW w:w="20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City/State</w:t>
            </w:r>
          </w:p>
        </w:tc>
        <w:tc>
          <w:tcPr>
            <w:tcW w:w="16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b w:val="1"/>
                <w:bCs w:val="1"/>
                <w:color w:val="auto"/>
              </w:rPr>
              <w:t>GLA</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6"/>
                <w:szCs w:val="16"/>
                <w:b w:val="1"/>
                <w:bCs w:val="1"/>
                <w:color w:val="auto"/>
                <w:w w:val="89"/>
              </w:rPr>
              <w:t>Purchase Price</w:t>
            </w:r>
          </w:p>
        </w:tc>
        <w:tc>
          <w:tcPr>
            <w:tcW w:w="2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Principal Tenants</w:t>
            </w:r>
          </w:p>
        </w:tc>
      </w:tr>
      <w:tr>
        <w:trPr>
          <w:trHeight w:val="184"/>
        </w:trPr>
        <w:tc>
          <w:tcPr>
            <w:tcW w:w="16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20" w:type="dxa"/>
            <w:vAlign w:val="bottom"/>
          </w:tcPr>
          <w:p>
            <w:pPr>
              <w:jc w:val="center"/>
              <w:ind w:left="61"/>
              <w:spacing w:after="0"/>
              <w:rPr>
                <w:sz w:val="20"/>
                <w:szCs w:val="20"/>
                <w:color w:val="auto"/>
              </w:rPr>
            </w:pPr>
            <w:r>
              <w:rPr>
                <w:rFonts w:ascii="Arial" w:cs="Arial" w:eastAsia="Arial" w:hAnsi="Arial"/>
                <w:sz w:val="14"/>
                <w:szCs w:val="14"/>
                <w:b w:val="1"/>
                <w:bCs w:val="1"/>
                <w:color w:val="auto"/>
                <w:w w:val="91"/>
              </w:rPr>
              <w:t>(in square feet)</w:t>
            </w:r>
          </w:p>
        </w:tc>
        <w:tc>
          <w:tcPr>
            <w:tcW w:w="200" w:type="dxa"/>
            <w:vAlign w:val="bottom"/>
          </w:tcPr>
          <w:p>
            <w:pPr>
              <w:spacing w:after="0"/>
              <w:rPr>
                <w:sz w:val="16"/>
                <w:szCs w:val="16"/>
                <w:color w:val="auto"/>
              </w:rPr>
            </w:pPr>
          </w:p>
        </w:tc>
        <w:tc>
          <w:tcPr>
            <w:tcW w:w="132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(in millions)</w:t>
            </w:r>
          </w:p>
        </w:tc>
        <w:tc>
          <w:tcPr>
            <w:tcW w:w="2880" w:type="dxa"/>
            <w:vAlign w:val="bottom"/>
          </w:tcPr>
          <w:p>
            <w:pPr>
              <w:spacing w:after="0"/>
              <w:rPr>
                <w:sz w:val="16"/>
                <w:szCs w:val="16"/>
                <w:color w:val="auto"/>
              </w:rPr>
            </w:pPr>
          </w:p>
        </w:tc>
      </w:tr>
      <w:tr>
        <w:trPr>
          <w:trHeight w:val="163"/>
        </w:trPr>
        <w:tc>
          <w:tcPr>
            <w:tcW w:w="166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April 30, 2021</w:t>
            </w:r>
          </w:p>
        </w:tc>
        <w:tc>
          <w:tcPr>
            <w:tcW w:w="1480" w:type="dxa"/>
            <w:vAlign w:val="bottom"/>
            <w:shd w:val="clear" w:color="auto" w:fill="CCEEFF"/>
          </w:tcPr>
          <w:p>
            <w:pPr>
              <w:ind w:left="100"/>
              <w:spacing w:after="0" w:line="163" w:lineRule="exact"/>
              <w:rPr>
                <w:sz w:val="20"/>
                <w:szCs w:val="20"/>
                <w:color w:val="auto"/>
              </w:rPr>
            </w:pPr>
            <w:r>
              <w:rPr>
                <w:rFonts w:ascii="Arial" w:cs="Arial" w:eastAsia="Arial" w:hAnsi="Arial"/>
                <w:sz w:val="17"/>
                <w:szCs w:val="17"/>
                <w:color w:val="auto"/>
              </w:rPr>
              <w:t>Chesterbrook</w:t>
            </w:r>
          </w:p>
        </w:tc>
        <w:tc>
          <w:tcPr>
            <w:tcW w:w="2080" w:type="dxa"/>
            <w:vAlign w:val="bottom"/>
            <w:shd w:val="clear" w:color="auto" w:fill="CCEEFF"/>
          </w:tcPr>
          <w:p>
            <w:pPr>
              <w:ind w:left="460"/>
              <w:spacing w:after="0" w:line="163" w:lineRule="exact"/>
              <w:rPr>
                <w:sz w:val="20"/>
                <w:szCs w:val="20"/>
                <w:color w:val="auto"/>
              </w:rPr>
            </w:pPr>
            <w:r>
              <w:rPr>
                <w:rFonts w:ascii="Arial" w:cs="Arial" w:eastAsia="Arial" w:hAnsi="Arial"/>
                <w:sz w:val="17"/>
                <w:szCs w:val="17"/>
                <w:color w:val="auto"/>
              </w:rPr>
              <w:t>McLean, Virginia</w:t>
            </w:r>
          </w:p>
        </w:tc>
        <w:tc>
          <w:tcPr>
            <w:tcW w:w="162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90,000</w:t>
            </w:r>
          </w:p>
        </w:tc>
        <w:tc>
          <w:tcPr>
            <w:tcW w:w="200" w:type="dxa"/>
            <w:vAlign w:val="bottom"/>
            <w:shd w:val="clear" w:color="auto" w:fill="CCEEFF"/>
          </w:tcPr>
          <w:p>
            <w:pPr>
              <w:jc w:val="right"/>
              <w:spacing w:after="0" w:line="163" w:lineRule="exact"/>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21"/>
              <w:spacing w:after="0" w:line="163" w:lineRule="exact"/>
              <w:rPr>
                <w:sz w:val="20"/>
                <w:szCs w:val="20"/>
                <w:color w:val="auto"/>
              </w:rPr>
            </w:pPr>
            <w:r>
              <w:rPr>
                <w:rFonts w:ascii="Arial" w:cs="Arial" w:eastAsia="Arial" w:hAnsi="Arial"/>
                <w:sz w:val="17"/>
                <w:szCs w:val="17"/>
                <w:color w:val="auto"/>
              </w:rPr>
              <w:t>32.1</w:t>
            </w:r>
          </w:p>
        </w:tc>
        <w:tc>
          <w:tcPr>
            <w:tcW w:w="2880" w:type="dxa"/>
            <w:vAlign w:val="bottom"/>
            <w:shd w:val="clear" w:color="auto" w:fill="CCEEFF"/>
          </w:tcPr>
          <w:p>
            <w:pPr>
              <w:ind w:left="100"/>
              <w:spacing w:after="0" w:line="163" w:lineRule="exact"/>
              <w:rPr>
                <w:sz w:val="20"/>
                <w:szCs w:val="20"/>
                <w:color w:val="auto"/>
              </w:rPr>
            </w:pPr>
            <w:r>
              <w:rPr>
                <w:rFonts w:ascii="Arial" w:cs="Arial" w:eastAsia="Arial" w:hAnsi="Arial"/>
                <w:sz w:val="17"/>
                <w:szCs w:val="17"/>
                <w:color w:val="auto"/>
              </w:rPr>
              <w:t>Safeway / Walgreens / Rite Aid /  (1)</w:t>
            </w:r>
          </w:p>
        </w:tc>
      </w:tr>
      <w:tr>
        <w:trPr>
          <w:trHeight w:val="216"/>
        </w:trPr>
        <w:tc>
          <w:tcPr>
            <w:tcW w:w="1660" w:type="dxa"/>
            <w:vAlign w:val="bottom"/>
            <w:tcBorders>
              <w:bottom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8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Starbucks</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(1) This acquisition was completed through a newly formed joint venture, in which we own an 80% interest.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Disposition</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284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Property</w:t>
            </w:r>
          </w:p>
        </w:tc>
        <w:tc>
          <w:tcPr>
            <w:tcW w:w="234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rPr>
              <w:t>City/State</w:t>
            </w: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Sales Price</w:t>
            </w:r>
          </w:p>
        </w:tc>
      </w:tr>
      <w:tr>
        <w:trPr>
          <w:trHeight w:val="184"/>
        </w:trPr>
        <w:tc>
          <w:tcPr>
            <w:tcW w:w="14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80" w:type="dxa"/>
            <w:vAlign w:val="bottom"/>
          </w:tcPr>
          <w:p>
            <w:pPr>
              <w:ind w:left="120"/>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March 19, 2021</w:t>
            </w:r>
          </w:p>
        </w:tc>
        <w:tc>
          <w:tcPr>
            <w:tcW w:w="2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Graham Park Plaza (portion)</w:t>
            </w:r>
          </w:p>
        </w:tc>
        <w:tc>
          <w:tcPr>
            <w:tcW w:w="23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Falls Church, Virginia</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4080" w:type="dxa"/>
            <w:vAlign w:val="bottom"/>
            <w:shd w:val="clear" w:color="auto" w:fill="CCEEFF"/>
          </w:tcPr>
          <w:p>
            <w:pPr>
              <w:jc w:val="right"/>
              <w:ind w:right="2841"/>
              <w:spacing w:after="0"/>
              <w:rPr>
                <w:sz w:val="20"/>
                <w:szCs w:val="20"/>
                <w:color w:val="auto"/>
              </w:rPr>
            </w:pPr>
            <w:r>
              <w:rPr>
                <w:rFonts w:ascii="Arial" w:cs="Arial" w:eastAsia="Arial" w:hAnsi="Arial"/>
                <w:sz w:val="17"/>
                <w:szCs w:val="17"/>
                <w:color w:val="auto"/>
              </w:rPr>
              <w:t>20.3</w:t>
            </w: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Significant Other Transactions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30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Type</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Property</w:t>
            </w:r>
          </w:p>
        </w:tc>
        <w:tc>
          <w:tcPr>
            <w:tcW w:w="23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City/State</w:t>
            </w:r>
          </w:p>
        </w:tc>
        <w:tc>
          <w:tcPr>
            <w:tcW w:w="4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Purchase Price</w:t>
            </w:r>
          </w:p>
        </w:tc>
        <w:tc>
          <w:tcPr>
            <w:tcW w:w="420" w:type="dxa"/>
            <w:vAlign w:val="bottom"/>
            <w:tcBorders>
              <w:bottom w:val="single" w:sz="8" w:color="auto"/>
            </w:tcBorders>
          </w:tcPr>
          <w:p>
            <w:pPr>
              <w:spacing w:after="0"/>
              <w:rPr>
                <w:sz w:val="18"/>
                <w:szCs w:val="18"/>
                <w:color w:val="auto"/>
              </w:rPr>
            </w:pPr>
          </w:p>
        </w:tc>
      </w:tr>
      <w:tr>
        <w:trPr>
          <w:trHeight w:val="184"/>
        </w:trPr>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right"/>
              <w:ind w:right="219"/>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r>
      <w:tr>
        <w:trPr>
          <w:trHeight w:val="217"/>
        </w:trPr>
        <w:tc>
          <w:tcPr>
            <w:tcW w:w="1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January 4, 2021</w:t>
            </w:r>
          </w:p>
        </w:tc>
        <w:tc>
          <w:tcPr>
            <w:tcW w:w="3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Acquisition of partner interest</w:t>
            </w:r>
          </w:p>
        </w:tc>
        <w:tc>
          <w:tcPr>
            <w:tcW w:w="20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Pike &amp; Rose (hotel)</w:t>
            </w:r>
          </w:p>
        </w:tc>
        <w:tc>
          <w:tcPr>
            <w:tcW w:w="23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North Bethesda, Maryland</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w:t>
            </w:r>
          </w:p>
        </w:tc>
      </w:tr>
      <w:tr>
        <w:trPr>
          <w:trHeight w:val="216"/>
        </w:trPr>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February 22, 2021</w:t>
            </w:r>
          </w:p>
        </w:tc>
        <w:tc>
          <w:tcPr>
            <w:tcW w:w="3000" w:type="dxa"/>
            <w:vAlign w:val="bottom"/>
          </w:tcPr>
          <w:p>
            <w:pPr>
              <w:ind w:left="120"/>
              <w:spacing w:after="0"/>
              <w:rPr>
                <w:sz w:val="20"/>
                <w:szCs w:val="20"/>
                <w:color w:val="auto"/>
              </w:rPr>
            </w:pPr>
            <w:r>
              <w:rPr>
                <w:rFonts w:ascii="Arial" w:cs="Arial" w:eastAsia="Arial" w:hAnsi="Arial"/>
                <w:sz w:val="17"/>
                <w:szCs w:val="17"/>
                <w:color w:val="auto"/>
              </w:rPr>
              <w:t>Acquisition of fee interest (24 acres)</w:t>
            </w:r>
          </w:p>
        </w:tc>
        <w:tc>
          <w:tcPr>
            <w:tcW w:w="2060" w:type="dxa"/>
            <w:vAlign w:val="bottom"/>
          </w:tcPr>
          <w:p>
            <w:pPr>
              <w:ind w:left="380"/>
              <w:spacing w:after="0"/>
              <w:rPr>
                <w:sz w:val="20"/>
                <w:szCs w:val="20"/>
                <w:color w:val="auto"/>
              </w:rPr>
            </w:pPr>
            <w:r>
              <w:rPr>
                <w:rFonts w:ascii="Arial" w:cs="Arial" w:eastAsia="Arial" w:hAnsi="Arial"/>
                <w:sz w:val="17"/>
                <w:szCs w:val="17"/>
                <w:color w:val="auto"/>
              </w:rPr>
              <w:t>Mount Vernon Plaza</w:t>
            </w:r>
          </w:p>
        </w:tc>
        <w:tc>
          <w:tcPr>
            <w:tcW w:w="2380" w:type="dxa"/>
            <w:vAlign w:val="bottom"/>
          </w:tcPr>
          <w:p>
            <w:pPr>
              <w:ind w:left="260"/>
              <w:spacing w:after="0"/>
              <w:rPr>
                <w:sz w:val="20"/>
                <w:szCs w:val="20"/>
                <w:color w:val="auto"/>
              </w:rPr>
            </w:pPr>
            <w:r>
              <w:rPr>
                <w:rFonts w:ascii="Arial" w:cs="Arial" w:eastAsia="Arial" w:hAnsi="Arial"/>
                <w:sz w:val="17"/>
                <w:szCs w:val="17"/>
                <w:color w:val="auto"/>
              </w:rPr>
              <w:t>Alexandria, Virginia</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5.6</w:t>
            </w:r>
          </w:p>
        </w:tc>
        <w:tc>
          <w:tcPr>
            <w:tcW w:w="420" w:type="dxa"/>
            <w:vAlign w:val="bottom"/>
          </w:tcPr>
          <w:p>
            <w:pPr>
              <w:jc w:val="right"/>
              <w:ind w:right="95"/>
              <w:spacing w:after="0"/>
              <w:rPr>
                <w:sz w:val="20"/>
                <w:szCs w:val="20"/>
                <w:color w:val="auto"/>
              </w:rPr>
            </w:pPr>
            <w:r>
              <w:rPr>
                <w:rFonts w:ascii="Arial" w:cs="Arial" w:eastAsia="Arial" w:hAnsi="Arial"/>
                <w:sz w:val="17"/>
                <w:szCs w:val="17"/>
                <w:color w:val="auto"/>
              </w:rPr>
              <w:t>(3)</w:t>
            </w:r>
          </w:p>
        </w:tc>
      </w:tr>
    </w:tbl>
    <w:p>
      <w:pPr>
        <w:spacing w:after="0" w:line="121" w:lineRule="exact"/>
        <w:rPr>
          <w:sz w:val="20"/>
          <w:szCs w:val="20"/>
          <w:color w:val="auto"/>
        </w:rPr>
      </w:pPr>
    </w:p>
    <w:p>
      <w:pPr>
        <w:ind w:left="260" w:right="340" w:hanging="252"/>
        <w:spacing w:after="0" w:line="266"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acquired our partner's 20% interest; and consequently, now own 100% of the hotel and consolidated the asset. Additionally, we repaid the $31.5 million mortgage loan encumbering the hotel.</w:t>
      </w: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now own the entire fee interest on this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2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Grocery</w:t>
            </w:r>
          </w:p>
        </w:tc>
        <w:tc>
          <w:tcPr>
            <w:tcW w:w="2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Property Name</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vMerge w:val="restart"/>
          </w:tcPr>
          <w:p>
            <w:pPr>
              <w:ind w:left="38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37"/>
              <w:spacing w:after="0" w:line="122" w:lineRule="exact"/>
              <w:rPr>
                <w:sz w:val="20"/>
                <w:szCs w:val="20"/>
                <w:color w:val="auto"/>
              </w:rPr>
            </w:pPr>
            <w:r>
              <w:rPr>
                <w:rFonts w:ascii="Arial" w:cs="Arial" w:eastAsia="Arial" w:hAnsi="Arial"/>
                <w:sz w:val="13"/>
                <w:szCs w:val="13"/>
                <w:b w:val="1"/>
                <w:bCs w:val="1"/>
                <w:color w:val="auto"/>
                <w:w w:val="98"/>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vMerge w:val="continue"/>
          </w:tcPr>
          <w:p>
            <w:pPr>
              <w:spacing w:after="0"/>
              <w:rPr>
                <w:sz w:val="10"/>
                <w:szCs w:val="10"/>
                <w:color w:val="auto"/>
              </w:rPr>
            </w:pPr>
          </w:p>
        </w:tc>
        <w:tc>
          <w:tcPr>
            <w:tcW w:w="20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6"/>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00" w:type="dxa"/>
            <w:vAlign w:val="bottom"/>
            <w:gridSpan w:val="5"/>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Washington Metropolitan Area</w:t>
            </w: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Barcroft Plaza</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w w:val="96"/>
              </w:rPr>
              <w:t>$   49,479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w w:val="94"/>
              </w:rPr>
              <w:t>Harris Teeter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Bethesda Row</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245,732</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180</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40,000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Apple / Equinox / Anthropologie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Birch &amp; Broad</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16,346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51,000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Giant Food</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2"/>
              </w:rPr>
              <w:t>Congressional Plaza</w:t>
            </w:r>
          </w:p>
        </w:tc>
        <w:tc>
          <w:tcPr>
            <w:tcW w:w="3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(4)</w:t>
            </w: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105,956</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86 %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194</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25,000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The Fresh</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Buy Buy Baby / Ulta / Barnes &amp;</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Courthouse Center</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7,093</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76 %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Fairfax Junction</w:t>
            </w:r>
          </w:p>
        </w:tc>
        <w:tc>
          <w:tcPr>
            <w:tcW w:w="3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(5)</w:t>
            </w: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41,228</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23,000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Aldi</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 / Planet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Federal Plaza</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70,727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249,000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Trader Joe's</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w w:val="92"/>
              </w:rPr>
              <w:t>TJ Maxx / Micro Center / Ross Dress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Friendship Center</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38,218</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3"/>
              </w:rPr>
              <w:t>Marshalls / Nordstrom Rack / DSW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Maggiano's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w w:val="91"/>
              </w:rPr>
              <w:t>Gaithersburg Square</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31,029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208,000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Ross Dress For Less / Ashley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Furniture HomeStore / CVS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Graham Park Plaza</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21,655</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Idylwood Plaza</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17,495</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73,000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30,000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w w:val="93"/>
              </w:rPr>
              <w:t>Whole Foods</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Laurel</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59,937</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61,000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89"/>
              </w:rPr>
              <w:t>Marshalls / L.A. Fitness / HomeGoods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Leesburg Plaza</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37,684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235,000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Giant Food</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Petsmart / Office Depot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Montrose Crossing</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165,101</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65,109</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73,000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Marshalls / Home Depot Design</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8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w w:val="97"/>
              </w:rPr>
              <w:t>Center / Old Navy / Bob's Discount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Mount</w:t>
            </w:r>
          </w:p>
        </w:tc>
        <w:tc>
          <w:tcPr>
            <w:tcW w:w="300" w:type="dxa"/>
            <w:vAlign w:val="bottom"/>
          </w:tcPr>
          <w:p>
            <w:pPr>
              <w:ind w:left="80"/>
              <w:spacing w:after="0" w:line="122" w:lineRule="exact"/>
              <w:rPr>
                <w:sz w:val="20"/>
                <w:szCs w:val="20"/>
                <w:color w:val="auto"/>
              </w:rPr>
            </w:pPr>
            <w:r>
              <w:rPr>
                <w:rFonts w:ascii="Arial" w:cs="Arial" w:eastAsia="Arial" w:hAnsi="Arial"/>
                <w:sz w:val="13"/>
                <w:szCs w:val="13"/>
                <w:color w:val="auto"/>
              </w:rPr>
              <w:t>(5)</w:t>
            </w: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93,008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29</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564,000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62,000</w:t>
            </w:r>
          </w:p>
        </w:tc>
        <w:tc>
          <w:tcPr>
            <w:tcW w:w="286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0"/>
              </w:rPr>
              <w:t>Shoppers Food TJ Maxx / Home Depot / Bed, Bath &amp;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Vernon/South</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Warehouse</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Beyond / Results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Valley/7770</w:t>
            </w: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Richmond Hwy</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Old Keene Mill</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13,069</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24,000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93"/>
              </w:rPr>
              <w:t>Whole Foods</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Walgreens / Planet Fitness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Pan Am</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30,101</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95 %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65,000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Safeway</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Micro Center / CVS / Michaels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Pentagon Row</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106,982</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84 %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94"/>
              </w:rPr>
              <w:t>Harris Teeter</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TJ Maxx / DSW / Ulta</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Pike &amp; Rose</w:t>
            </w:r>
          </w:p>
        </w:tc>
        <w:tc>
          <w:tcPr>
            <w:tcW w:w="300" w:type="dxa"/>
            <w:vAlign w:val="bottom"/>
          </w:tcPr>
          <w:p>
            <w:pPr>
              <w:ind w:left="80"/>
              <w:spacing w:after="0" w:line="122" w:lineRule="exact"/>
              <w:rPr>
                <w:sz w:val="20"/>
                <w:szCs w:val="20"/>
                <w:color w:val="auto"/>
              </w:rPr>
            </w:pPr>
            <w:r>
              <w:rPr>
                <w:rFonts w:ascii="Arial" w:cs="Arial" w:eastAsia="Arial" w:hAnsi="Arial"/>
                <w:sz w:val="13"/>
                <w:szCs w:val="13"/>
                <w:color w:val="auto"/>
              </w:rPr>
              <w:t>(6)</w:t>
            </w: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699,057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527,000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92"/>
              </w:rPr>
              <w:t>765</w:t>
            </w: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w w:val="97"/>
              </w:rPr>
              <w:t>Porsche / Uniqlo / REI / H&amp;M / L.L.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Bean / Multiple Restaurants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Pike 7 Plaza</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49,625</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TJ Maxx / DSW / Crunch Fitness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Plaza del Mercado</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46,888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Aldi</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Quince Orchard</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41,146</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19,000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Aldi</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4"/>
              </w:rPr>
              <w:t>HomeGoods / L.A. Fitness / Staples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Rockville Town</w:t>
            </w:r>
          </w:p>
        </w:tc>
        <w:tc>
          <w:tcPr>
            <w:tcW w:w="300" w:type="dxa"/>
            <w:vAlign w:val="bottom"/>
          </w:tcPr>
          <w:p>
            <w:pPr>
              <w:ind w:left="80"/>
              <w:spacing w:after="0" w:line="122" w:lineRule="exact"/>
              <w:rPr>
                <w:sz w:val="20"/>
                <w:szCs w:val="20"/>
                <w:color w:val="auto"/>
              </w:rPr>
            </w:pPr>
            <w:r>
              <w:rPr>
                <w:rFonts w:ascii="Arial" w:cs="Arial" w:eastAsia="Arial" w:hAnsi="Arial"/>
                <w:sz w:val="13"/>
                <w:szCs w:val="13"/>
                <w:color w:val="auto"/>
              </w:rPr>
              <w:t>(7)</w:t>
            </w: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49,829</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4,386</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187,000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74 %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25,000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Dawson's</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CVS / Gold's Gym / Multiple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Square</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Market</w:t>
            </w:r>
          </w:p>
        </w:tc>
        <w:tc>
          <w:tcPr>
            <w:tcW w:w="2040" w:type="dxa"/>
            <w:vAlign w:val="bottom"/>
          </w:tcPr>
          <w:p>
            <w:pPr>
              <w:ind w:left="6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Rollingwood</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11,683</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3"/>
                <w:szCs w:val="13"/>
                <w:color w:val="auto"/>
              </w:rPr>
              <w:t>N/A</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2"/>
              </w:rPr>
              <w:t>282</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Apartments</w:t>
            </w: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Tower Shopping</w:t>
            </w:r>
          </w:p>
        </w:tc>
        <w:tc>
          <w:tcPr>
            <w:tcW w:w="300" w:type="dxa"/>
            <w:vAlign w:val="bottom"/>
          </w:tcPr>
          <w:p>
            <w:pPr>
              <w:spacing w:after="0"/>
              <w:rPr>
                <w:sz w:val="10"/>
                <w:szCs w:val="10"/>
                <w:color w:val="auto"/>
              </w:rPr>
            </w:pP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22,728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26,000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L.A. Mart</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Talbots / Total Wine &amp; More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Center</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Tyson's Station</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5,786</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11,000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Trader Joe's</w:t>
            </w:r>
          </w:p>
        </w:tc>
        <w:tc>
          <w:tcPr>
            <w:tcW w:w="2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Village at</w:t>
            </w:r>
          </w:p>
        </w:tc>
        <w:tc>
          <w:tcPr>
            <w:tcW w:w="300" w:type="dxa"/>
            <w:vAlign w:val="bottom"/>
          </w:tcPr>
          <w:p>
            <w:pPr>
              <w:ind w:left="80"/>
              <w:spacing w:after="0" w:line="122" w:lineRule="exact"/>
              <w:rPr>
                <w:sz w:val="20"/>
                <w:szCs w:val="20"/>
                <w:color w:val="auto"/>
              </w:rPr>
            </w:pPr>
            <w:r>
              <w:rPr>
                <w:rFonts w:ascii="Arial" w:cs="Arial" w:eastAsia="Arial" w:hAnsi="Arial"/>
                <w:sz w:val="13"/>
                <w:szCs w:val="13"/>
                <w:color w:val="auto"/>
              </w:rPr>
              <w:t>(7)</w:t>
            </w:r>
          </w:p>
        </w:tc>
        <w:tc>
          <w:tcPr>
            <w:tcW w:w="2280" w:type="dxa"/>
            <w:vAlign w:val="bottom"/>
            <w:gridSpan w:val="2"/>
          </w:tcPr>
          <w:p>
            <w:pPr>
              <w:ind w:left="80"/>
              <w:spacing w:after="0" w:line="122"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69,103</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6,851</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79 %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28,000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w w:val="94"/>
              </w:rPr>
              <w:t>Harris Teeter</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CVS / AMC / Carlyle Grand Café</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3"/>
                <w:szCs w:val="13"/>
                <w:color w:val="auto"/>
              </w:rPr>
              <w:t>Shirlington</w:t>
            </w:r>
          </w:p>
        </w:tc>
        <w:tc>
          <w:tcPr>
            <w:tcW w:w="300" w:type="dxa"/>
            <w:vAlign w:val="bottom"/>
          </w:tcPr>
          <w:p>
            <w:pPr>
              <w:spacing w:after="0"/>
              <w:rPr>
                <w:sz w:val="14"/>
                <w:szCs w:val="14"/>
                <w:color w:val="auto"/>
              </w:rPr>
            </w:pPr>
          </w:p>
        </w:tc>
        <w:tc>
          <w:tcPr>
            <w:tcW w:w="2280" w:type="dxa"/>
            <w:vAlign w:val="bottom"/>
            <w:gridSpan w:val="2"/>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5"/>
              </w:rPr>
              <w:t>Wildwood Shopping</w:t>
            </w:r>
          </w:p>
        </w:tc>
        <w:tc>
          <w:tcPr>
            <w:tcW w:w="300" w:type="dxa"/>
            <w:vAlign w:val="bottom"/>
            <w:shd w:val="clear" w:color="auto" w:fill="CCEEFF"/>
          </w:tcPr>
          <w:p>
            <w:pPr>
              <w:spacing w:after="0"/>
              <w:rPr>
                <w:sz w:val="11"/>
                <w:szCs w:val="11"/>
                <w:color w:val="auto"/>
              </w:rPr>
            </w:pPr>
          </w:p>
        </w:tc>
        <w:tc>
          <w:tcPr>
            <w:tcW w:w="228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w w:val="98"/>
              </w:rPr>
              <w:t>Washington-Arlington-Alexandria, DC-</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27,453</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20,000</w:t>
            </w:r>
          </w:p>
        </w:tc>
        <w:tc>
          <w:tcPr>
            <w:tcW w:w="82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Balducci's</w:t>
            </w:r>
          </w:p>
        </w:tc>
        <w:tc>
          <w:tcPr>
            <w:tcW w:w="20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 / Flower Child</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Center</w:t>
            </w:r>
          </w:p>
        </w:tc>
        <w:tc>
          <w:tcPr>
            <w:tcW w:w="300" w:type="dxa"/>
            <w:vAlign w:val="bottom"/>
            <w:shd w:val="clear" w:color="auto" w:fill="CCEEFF"/>
          </w:tcPr>
          <w:p>
            <w:pPr>
              <w:spacing w:after="0"/>
              <w:rPr>
                <w:sz w:val="15"/>
                <w:szCs w:val="15"/>
                <w:color w:val="auto"/>
              </w:rPr>
            </w:pPr>
          </w:p>
        </w:tc>
        <w:tc>
          <w:tcPr>
            <w:tcW w:w="22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VA-MD-WV</w:t>
            </w: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w w:val="97"/>
              </w:rPr>
              <w:t>Total Washington Metropolitan Area</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2,174,138</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5,975,000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91 %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California</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Azalea</w:t>
            </w:r>
          </w:p>
        </w:tc>
        <w:tc>
          <w:tcPr>
            <w:tcW w:w="2580" w:type="dxa"/>
            <w:vAlign w:val="bottom"/>
            <w:gridSpan w:val="3"/>
            <w:shd w:val="clear" w:color="auto" w:fill="CCEEFF"/>
          </w:tcPr>
          <w:p>
            <w:pPr>
              <w:ind w:left="80"/>
              <w:spacing w:after="0" w:line="122" w:lineRule="exact"/>
              <w:rPr>
                <w:sz w:val="20"/>
                <w:szCs w:val="20"/>
                <w:color w:val="auto"/>
              </w:rPr>
            </w:pPr>
            <w:r>
              <w:rPr>
                <w:rFonts w:ascii="Arial" w:cs="Arial" w:eastAsia="Arial" w:hAnsi="Arial"/>
                <w:sz w:val="13"/>
                <w:szCs w:val="13"/>
                <w:color w:val="auto"/>
                <w:w w:val="98"/>
              </w:rPr>
              <w:t>(4)   Los Angeles-Long Beach-Anaheim, CA</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107,480</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40,000</w:t>
            </w: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223,000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40" w:type="dxa"/>
            <w:vAlign w:val="bottom"/>
            <w:shd w:val="clear" w:color="auto" w:fill="CCEEFF"/>
          </w:tcPr>
          <w:p>
            <w:pPr>
              <w:ind w:left="60"/>
              <w:spacing w:after="0" w:line="122" w:lineRule="exact"/>
              <w:rPr>
                <w:sz w:val="20"/>
                <w:szCs w:val="20"/>
                <w:color w:val="auto"/>
              </w:rPr>
            </w:pPr>
            <w:r>
              <w:rPr>
                <w:rFonts w:ascii="Arial" w:cs="Arial" w:eastAsia="Arial" w:hAnsi="Arial"/>
                <w:sz w:val="13"/>
                <w:szCs w:val="13"/>
                <w:color w:val="auto"/>
                <w:w w:val="90"/>
              </w:rPr>
              <w:t>Marshalls / Ross Dress for Less / Ulta</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Michaels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Arial" w:cs="Arial" w:eastAsia="Arial" w:hAnsi="Arial"/>
                <w:sz w:val="13"/>
                <w:szCs w:val="13"/>
                <w:color w:val="auto"/>
              </w:rPr>
              <w:t>Bell Gardens</w:t>
            </w:r>
          </w:p>
        </w:tc>
        <w:tc>
          <w:tcPr>
            <w:tcW w:w="2580" w:type="dxa"/>
            <w:vAlign w:val="bottom"/>
            <w:gridSpan w:val="3"/>
          </w:tcPr>
          <w:p>
            <w:pPr>
              <w:ind w:left="80"/>
              <w:spacing w:after="0" w:line="122" w:lineRule="exact"/>
              <w:rPr>
                <w:sz w:val="20"/>
                <w:szCs w:val="20"/>
                <w:color w:val="auto"/>
              </w:rPr>
            </w:pPr>
            <w:r>
              <w:rPr>
                <w:rFonts w:ascii="Arial" w:cs="Arial" w:eastAsia="Arial" w:hAnsi="Arial"/>
                <w:sz w:val="13"/>
                <w:szCs w:val="13"/>
                <w:color w:val="auto"/>
                <w:w w:val="98"/>
              </w:rPr>
              <w:t>(4)   Los Angeles-Long Beach-Anaheim,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111,203</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12,339</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330,000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91 %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67,000</w:t>
            </w:r>
          </w:p>
        </w:tc>
        <w:tc>
          <w:tcPr>
            <w:tcW w:w="820" w:type="dxa"/>
            <w:vAlign w:val="bottom"/>
          </w:tcPr>
          <w:p>
            <w:pPr>
              <w:ind w:left="80"/>
              <w:spacing w:after="0" w:line="122" w:lineRule="exact"/>
              <w:rPr>
                <w:sz w:val="20"/>
                <w:szCs w:val="20"/>
                <w:color w:val="auto"/>
              </w:rPr>
            </w:pPr>
            <w:r>
              <w:rPr>
                <w:rFonts w:ascii="Arial" w:cs="Arial" w:eastAsia="Arial" w:hAnsi="Arial"/>
                <w:sz w:val="13"/>
                <w:szCs w:val="13"/>
                <w:color w:val="auto"/>
              </w:rPr>
              <w:t>Food 4 Less</w:t>
            </w:r>
          </w:p>
        </w:tc>
        <w:tc>
          <w:tcPr>
            <w:tcW w:w="2040" w:type="dxa"/>
            <w:vAlign w:val="bottom"/>
          </w:tcPr>
          <w:p>
            <w:pPr>
              <w:ind w:left="60"/>
              <w:spacing w:after="0" w:line="122" w:lineRule="exact"/>
              <w:rPr>
                <w:sz w:val="20"/>
                <w:szCs w:val="20"/>
                <w:color w:val="auto"/>
              </w:rPr>
            </w:pPr>
            <w:r>
              <w:rPr>
                <w:rFonts w:ascii="Arial" w:cs="Arial" w:eastAsia="Arial" w:hAnsi="Arial"/>
                <w:sz w:val="13"/>
                <w:szCs w:val="13"/>
                <w:color w:val="auto"/>
              </w:rPr>
              <w:t>Marshalls / Ross Dress for Less /</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40" w:type="dxa"/>
            <w:vAlign w:val="bottom"/>
          </w:tcPr>
          <w:p>
            <w:pPr>
              <w:ind w:left="60"/>
              <w:spacing w:after="0"/>
              <w:rPr>
                <w:sz w:val="20"/>
                <w:szCs w:val="20"/>
                <w:color w:val="auto"/>
              </w:rPr>
            </w:pPr>
            <w:r>
              <w:rPr>
                <w:rFonts w:ascii="Arial" w:cs="Arial" w:eastAsia="Arial" w:hAnsi="Arial"/>
                <w:sz w:val="13"/>
                <w:szCs w:val="13"/>
                <w:color w:val="auto"/>
              </w:rPr>
              <w:t>Bob's Discount Furniture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30"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8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Property Name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1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Anchor</w:t>
            </w:r>
          </w:p>
        </w:tc>
        <w:tc>
          <w:tcPr>
            <w:tcW w:w="84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1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Colorado Blvd</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5"/>
              </w:rPr>
              <w:t>Los Angeles-Long Beach-Anaheim,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13,294</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Banana Republic / True Food Kitchen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Crow Canyon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99"/>
              </w:rPr>
              <w:t>San Francisco-Oakland-Hayward,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90,605</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243,000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32,000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Sprouts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Total Wine &amp; More / Rite Aid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Commons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East Bay Bridge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San Francisco-Oakland-Hayward,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179,304</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440,000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59,000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Pak-N-Save</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Home Depot / Target / Nordstrom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Escondido</w:t>
            </w:r>
          </w:p>
        </w:tc>
        <w:tc>
          <w:tcPr>
            <w:tcW w:w="40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87"/>
              </w:rPr>
              <w:t>(4)</w:t>
            </w: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rPr>
              <w:t>San Diego-Carlsbad,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54,061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298,000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94 %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TJ Maxx / Dick’s Sporting Goods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Promenade</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89"/>
              </w:rPr>
              <w:t>Ross Dress For Less / Bob's Discount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Fourth Street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San Francisco-Oakland-Hayward,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27,076</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CB2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Freedom Plaza</w:t>
            </w:r>
          </w:p>
        </w:tc>
        <w:tc>
          <w:tcPr>
            <w:tcW w:w="40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87"/>
              </w:rPr>
              <w:t>(4)</w:t>
            </w: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40,814</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31,000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w w:val="96"/>
              </w:rPr>
              <w:t>Smart &amp; Final</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2"/>
              </w:rPr>
              <w:t>Nike / Blink Fitness / Ross Dress For</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Less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Hastings Ranch</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25,283</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8"/>
              </w:rPr>
              <w:t>Marshalls / HomeGoods / CVS / Sears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Plaza</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Hollywood Blvd</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3"/>
                <w:szCs w:val="13"/>
                <w:color w:val="auto"/>
                <w:w w:val="95"/>
              </w:rPr>
              <w:t>Los Angeles-Long Beach-Anaheim, CA</w:t>
            </w:r>
          </w:p>
        </w:tc>
        <w:tc>
          <w:tcPr>
            <w:tcW w:w="640" w:type="dxa"/>
            <w:vAlign w:val="bottom"/>
          </w:tcPr>
          <w:p>
            <w:pPr>
              <w:jc w:val="right"/>
              <w:spacing w:after="0"/>
              <w:rPr>
                <w:sz w:val="20"/>
                <w:szCs w:val="20"/>
                <w:color w:val="auto"/>
              </w:rPr>
            </w:pPr>
            <w:r>
              <w:rPr>
                <w:rFonts w:ascii="Arial" w:cs="Arial" w:eastAsia="Arial" w:hAnsi="Arial"/>
                <w:sz w:val="13"/>
                <w:szCs w:val="13"/>
                <w:color w:val="auto"/>
              </w:rPr>
              <w:t>61,737</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181,000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86 %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Target / Marshalls / L.A.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Kings Court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7"/>
              </w:rPr>
              <w:t>(5)</w:t>
            </w: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San Jose-Sunnyvale-Santa Clara, CA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11,610</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31,000</w:t>
            </w:r>
          </w:p>
        </w:tc>
        <w:tc>
          <w:tcPr>
            <w:tcW w:w="8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Lunardi's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Old Town Center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99"/>
              </w:rPr>
              <w:t>San Jose-Sunnyvale-Santa Clara,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37,877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9"/>
              </w:rPr>
              <w:t>Anthropologie / Banana Republic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Olivo at Mission</w:t>
            </w:r>
          </w:p>
        </w:tc>
        <w:tc>
          <w:tcPr>
            <w:tcW w:w="4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(4)</w:t>
            </w: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81,547</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Target / 24 Hour Fitness / Ross Dress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Hills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For Less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Plaza Del Sol</w:t>
            </w:r>
          </w:p>
        </w:tc>
        <w:tc>
          <w:tcPr>
            <w:tcW w:w="400" w:type="dxa"/>
            <w:vAlign w:val="bottom"/>
            <w:gridSpan w:val="2"/>
          </w:tcPr>
          <w:p>
            <w:pPr>
              <w:jc w:val="center"/>
              <w:spacing w:after="0"/>
              <w:rPr>
                <w:sz w:val="20"/>
                <w:szCs w:val="20"/>
                <w:color w:val="auto"/>
              </w:rPr>
            </w:pPr>
            <w:r>
              <w:rPr>
                <w:rFonts w:ascii="Arial" w:cs="Arial" w:eastAsia="Arial" w:hAnsi="Arial"/>
                <w:sz w:val="13"/>
                <w:szCs w:val="13"/>
                <w:color w:val="auto"/>
                <w:w w:val="87"/>
              </w:rPr>
              <w:t>(4)</w:t>
            </w:r>
          </w:p>
        </w:tc>
        <w:tc>
          <w:tcPr>
            <w:tcW w:w="2220" w:type="dxa"/>
            <w:vAlign w:val="bottom"/>
          </w:tcPr>
          <w:p>
            <w:pPr>
              <w:ind w:left="40"/>
              <w:spacing w:after="0"/>
              <w:rPr>
                <w:sz w:val="20"/>
                <w:szCs w:val="20"/>
                <w:color w:val="auto"/>
              </w:rPr>
            </w:pPr>
            <w:r>
              <w:rPr>
                <w:rFonts w:ascii="Arial" w:cs="Arial" w:eastAsia="Arial" w:hAnsi="Arial"/>
                <w:sz w:val="13"/>
                <w:szCs w:val="13"/>
                <w:color w:val="auto"/>
                <w:w w:val="95"/>
              </w:rPr>
              <w:t>Los Angeles-Long Beach-Anaheim, CA</w:t>
            </w:r>
          </w:p>
        </w:tc>
        <w:tc>
          <w:tcPr>
            <w:tcW w:w="640" w:type="dxa"/>
            <w:vAlign w:val="bottom"/>
          </w:tcPr>
          <w:p>
            <w:pPr>
              <w:jc w:val="right"/>
              <w:spacing w:after="0"/>
              <w:rPr>
                <w:sz w:val="20"/>
                <w:szCs w:val="20"/>
                <w:color w:val="auto"/>
              </w:rPr>
            </w:pPr>
            <w:r>
              <w:rPr>
                <w:rFonts w:ascii="Arial" w:cs="Arial" w:eastAsia="Arial" w:hAnsi="Arial"/>
                <w:sz w:val="13"/>
                <w:szCs w:val="13"/>
                <w:color w:val="auto"/>
              </w:rPr>
              <w:t>17,858</w:t>
            </w:r>
          </w:p>
        </w:tc>
        <w:tc>
          <w:tcPr>
            <w:tcW w:w="1020" w:type="dxa"/>
            <w:vAlign w:val="bottom"/>
          </w:tcPr>
          <w:p>
            <w:pPr>
              <w:jc w:val="right"/>
              <w:spacing w:after="0"/>
              <w:rPr>
                <w:sz w:val="20"/>
                <w:szCs w:val="20"/>
                <w:color w:val="auto"/>
              </w:rPr>
            </w:pPr>
            <w:r>
              <w:rPr>
                <w:rFonts w:ascii="Arial" w:cs="Arial" w:eastAsia="Arial" w:hAnsi="Arial"/>
                <w:sz w:val="13"/>
                <w:szCs w:val="13"/>
                <w:color w:val="auto"/>
              </w:rPr>
              <w:t>7,992</w:t>
            </w:r>
          </w:p>
        </w:tc>
        <w:tc>
          <w:tcPr>
            <w:tcW w:w="46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93 %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94"/>
              </w:rPr>
              <w:t>Plaza El Segundo /</w:t>
            </w:r>
          </w:p>
        </w:tc>
        <w:tc>
          <w:tcPr>
            <w:tcW w:w="4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(4)</w:t>
            </w: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297,111</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125,000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66,000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9"/>
              </w:rPr>
              <w:t>Whole Foods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The Point</w:t>
            </w: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Dick's Sporting Goods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w w:val="91"/>
              </w:rPr>
              <w:t>San Antonio Center</w:t>
            </w:r>
          </w:p>
        </w:tc>
        <w:tc>
          <w:tcPr>
            <w:tcW w:w="400" w:type="dxa"/>
            <w:vAlign w:val="bottom"/>
            <w:gridSpan w:val="2"/>
          </w:tcPr>
          <w:p>
            <w:pPr>
              <w:jc w:val="center"/>
              <w:spacing w:after="0"/>
              <w:rPr>
                <w:sz w:val="20"/>
                <w:szCs w:val="20"/>
                <w:color w:val="auto"/>
              </w:rPr>
            </w:pPr>
            <w:r>
              <w:rPr>
                <w:rFonts w:ascii="Arial" w:cs="Arial" w:eastAsia="Arial" w:hAnsi="Arial"/>
                <w:sz w:val="13"/>
                <w:szCs w:val="13"/>
                <w:color w:val="auto"/>
                <w:w w:val="87"/>
              </w:rPr>
              <w:t>(5)</w:t>
            </w:r>
          </w:p>
        </w:tc>
        <w:tc>
          <w:tcPr>
            <w:tcW w:w="2220" w:type="dxa"/>
            <w:vAlign w:val="bottom"/>
          </w:tcPr>
          <w:p>
            <w:pPr>
              <w:ind w:left="40"/>
              <w:spacing w:after="0"/>
              <w:rPr>
                <w:sz w:val="20"/>
                <w:szCs w:val="20"/>
                <w:color w:val="auto"/>
              </w:rPr>
            </w:pPr>
            <w:r>
              <w:rPr>
                <w:rFonts w:ascii="Arial" w:cs="Arial" w:eastAsia="Arial" w:hAnsi="Arial"/>
                <w:sz w:val="13"/>
                <w:szCs w:val="13"/>
                <w:color w:val="auto"/>
                <w:w w:val="99"/>
              </w:rPr>
              <w:t>San Jose-Sunnyvale-Santa Clara, CA</w:t>
            </w:r>
          </w:p>
        </w:tc>
        <w:tc>
          <w:tcPr>
            <w:tcW w:w="640" w:type="dxa"/>
            <w:vAlign w:val="bottom"/>
          </w:tcPr>
          <w:p>
            <w:pPr>
              <w:jc w:val="right"/>
              <w:spacing w:after="0"/>
              <w:rPr>
                <w:sz w:val="20"/>
                <w:szCs w:val="20"/>
                <w:color w:val="auto"/>
              </w:rPr>
            </w:pPr>
            <w:r>
              <w:rPr>
                <w:rFonts w:ascii="Arial" w:cs="Arial" w:eastAsia="Arial" w:hAnsi="Arial"/>
                <w:sz w:val="13"/>
                <w:szCs w:val="13"/>
                <w:color w:val="auto"/>
              </w:rPr>
              <w:t>46,690</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11,000</w:t>
            </w:r>
          </w:p>
        </w:tc>
        <w:tc>
          <w:tcPr>
            <w:tcW w:w="840" w:type="dxa"/>
            <w:vAlign w:val="bottom"/>
          </w:tcPr>
          <w:p>
            <w:pPr>
              <w:ind w:left="60"/>
              <w:spacing w:after="0"/>
              <w:rPr>
                <w:sz w:val="20"/>
                <w:szCs w:val="20"/>
                <w:color w:val="auto"/>
              </w:rPr>
            </w:pPr>
            <w:r>
              <w:rPr>
                <w:rFonts w:ascii="Arial" w:cs="Arial" w:eastAsia="Arial" w:hAnsi="Arial"/>
                <w:sz w:val="13"/>
                <w:szCs w:val="13"/>
                <w:color w:val="auto"/>
              </w:rPr>
              <w:t>Trader Joe's</w:t>
            </w:r>
          </w:p>
        </w:tc>
        <w:tc>
          <w:tcPr>
            <w:tcW w:w="2020" w:type="dxa"/>
            <w:vAlign w:val="bottom"/>
          </w:tcPr>
          <w:p>
            <w:pPr>
              <w:ind w:left="40"/>
              <w:spacing w:after="0"/>
              <w:rPr>
                <w:sz w:val="20"/>
                <w:szCs w:val="20"/>
                <w:color w:val="auto"/>
              </w:rPr>
            </w:pPr>
            <w:r>
              <w:rPr>
                <w:rFonts w:ascii="Arial" w:cs="Arial" w:eastAsia="Arial" w:hAnsi="Arial"/>
                <w:sz w:val="13"/>
                <w:szCs w:val="13"/>
                <w:color w:val="auto"/>
              </w:rPr>
              <w:t>Walmart / 24 Hour 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Santana Row</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San Jose-Sunnyvale-Santa Clara,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1,182,366</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45</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1,199,000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662</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Crate &amp; Barrel / H&amp;M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Sylmar Towne</w:t>
            </w:r>
          </w:p>
        </w:tc>
        <w:tc>
          <w:tcPr>
            <w:tcW w:w="400" w:type="dxa"/>
            <w:vAlign w:val="bottom"/>
            <w:gridSpan w:val="2"/>
          </w:tcPr>
          <w:p>
            <w:pPr>
              <w:jc w:val="center"/>
              <w:spacing w:after="0" w:line="122" w:lineRule="exact"/>
              <w:rPr>
                <w:sz w:val="20"/>
                <w:szCs w:val="20"/>
                <w:color w:val="auto"/>
              </w:rPr>
            </w:pPr>
            <w:r>
              <w:rPr>
                <w:rFonts w:ascii="Arial" w:cs="Arial" w:eastAsia="Arial" w:hAnsi="Arial"/>
                <w:sz w:val="13"/>
                <w:szCs w:val="13"/>
                <w:color w:val="auto"/>
                <w:w w:val="87"/>
              </w:rPr>
              <w:t>(4)</w:t>
            </w: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46,037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12</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43,000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Food 4 Less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Center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Third Street</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5"/>
              </w:rPr>
              <w:t>Los Angeles-Long Beach-Anaheim, CA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80,675</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61 %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adidas / Old Navy / J. Crew</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Promenade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Westgate Center</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99"/>
              </w:rPr>
              <w:t>San Jose-Sunnyvale-Santa Clara, CA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157,611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44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648,000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Target / Nordstrom Rack / Nike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Factory / TJ Maxx</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California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2,670,239</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5,497,000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NY Metro/New Jersey</w:t>
            </w:r>
          </w:p>
        </w:tc>
        <w:tc>
          <w:tcPr>
            <w:tcW w:w="2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line="122" w:lineRule="exact"/>
              <w:rPr>
                <w:sz w:val="20"/>
                <w:szCs w:val="20"/>
                <w:color w:val="auto"/>
              </w:rPr>
            </w:pPr>
            <w:r>
              <w:rPr>
                <w:rFonts w:ascii="Arial" w:cs="Arial" w:eastAsia="Arial" w:hAnsi="Arial"/>
                <w:sz w:val="13"/>
                <w:szCs w:val="13"/>
                <w:color w:val="auto"/>
              </w:rPr>
              <w:t>Brick Plaza</w:t>
            </w:r>
          </w:p>
        </w:tc>
        <w:tc>
          <w:tcPr>
            <w:tcW w:w="20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2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103,235</w:t>
            </w:r>
          </w:p>
        </w:tc>
        <w:tc>
          <w:tcPr>
            <w:tcW w:w="1020" w:type="dxa"/>
            <w:vAlign w:val="bottom"/>
            <w:tcBorders>
              <w:top w:val="single" w:sz="8" w:color="CCEEFF"/>
            </w:tcBorders>
          </w:tcPr>
          <w:p>
            <w:pPr>
              <w:spacing w:after="0"/>
              <w:rPr>
                <w:sz w:val="10"/>
                <w:szCs w:val="10"/>
                <w:color w:val="auto"/>
              </w:rPr>
            </w:pPr>
          </w:p>
        </w:tc>
        <w:tc>
          <w:tcPr>
            <w:tcW w:w="46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46</w:t>
            </w:r>
          </w:p>
        </w:tc>
        <w:tc>
          <w:tcPr>
            <w:tcW w:w="8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408,000</w:t>
            </w: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jc w:val="right"/>
              <w:spacing w:after="0" w:line="122" w:lineRule="exact"/>
              <w:rPr>
                <w:sz w:val="20"/>
                <w:szCs w:val="20"/>
                <w:color w:val="auto"/>
              </w:rPr>
            </w:pPr>
            <w:r>
              <w:rPr>
                <w:rFonts w:ascii="Arial" w:cs="Arial" w:eastAsia="Arial" w:hAnsi="Arial"/>
                <w:sz w:val="13"/>
                <w:szCs w:val="13"/>
                <w:color w:val="auto"/>
              </w:rPr>
              <w:t>90 %</w:t>
            </w:r>
          </w:p>
        </w:tc>
        <w:tc>
          <w:tcPr>
            <w:tcW w:w="66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jc w:val="center"/>
              <w:spacing w:after="0" w:line="122" w:lineRule="exact"/>
              <w:rPr>
                <w:sz w:val="20"/>
                <w:szCs w:val="20"/>
                <w:color w:val="auto"/>
              </w:rPr>
            </w:pPr>
            <w:r>
              <w:rPr>
                <w:rFonts w:ascii="Arial" w:cs="Arial" w:eastAsia="Arial" w:hAnsi="Arial"/>
                <w:sz w:val="13"/>
                <w:szCs w:val="13"/>
                <w:color w:val="auto"/>
                <w:w w:val="85"/>
              </w:rPr>
              <w:t>14,000</w:t>
            </w:r>
          </w:p>
        </w:tc>
        <w:tc>
          <w:tcPr>
            <w:tcW w:w="840" w:type="dxa"/>
            <w:vAlign w:val="bottom"/>
            <w:tcBorders>
              <w:top w:val="single" w:sz="8" w:color="CCEEFF"/>
            </w:tcBorders>
          </w:tcPr>
          <w:p>
            <w:pPr>
              <w:ind w:left="60"/>
              <w:spacing w:after="0" w:line="122" w:lineRule="exact"/>
              <w:rPr>
                <w:sz w:val="20"/>
                <w:szCs w:val="20"/>
                <w:color w:val="auto"/>
              </w:rPr>
            </w:pPr>
            <w:r>
              <w:rPr>
                <w:rFonts w:ascii="Arial" w:cs="Arial" w:eastAsia="Arial" w:hAnsi="Arial"/>
                <w:sz w:val="13"/>
                <w:szCs w:val="13"/>
                <w:color w:val="auto"/>
              </w:rPr>
              <w:t>Trader Joe's</w:t>
            </w:r>
          </w:p>
        </w:tc>
        <w:tc>
          <w:tcPr>
            <w:tcW w:w="2020" w:type="dxa"/>
            <w:vAlign w:val="bottom"/>
            <w:tcBorders>
              <w:top w:val="single" w:sz="8" w:color="CCEEFF"/>
            </w:tcBorders>
          </w:tcPr>
          <w:p>
            <w:pPr>
              <w:ind w:left="40"/>
              <w:spacing w:after="0" w:line="122" w:lineRule="exact"/>
              <w:rPr>
                <w:sz w:val="20"/>
                <w:szCs w:val="20"/>
                <w:color w:val="auto"/>
              </w:rPr>
            </w:pPr>
            <w:r>
              <w:rPr>
                <w:rFonts w:ascii="Arial" w:cs="Arial" w:eastAsia="Arial" w:hAnsi="Arial"/>
                <w:sz w:val="13"/>
                <w:szCs w:val="13"/>
                <w:color w:val="auto"/>
              </w:rPr>
              <w:t>AMC / HomeGoods / Ulta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Brook 35</w:t>
            </w:r>
          </w:p>
        </w:tc>
        <w:tc>
          <w:tcPr>
            <w:tcW w:w="4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 (5)</w:t>
            </w: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48,627</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11,500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92 %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8"/>
              </w:rPr>
              <w:t>Banana Republic / Gap / Williams-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Sonoma</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Fresh Meadows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rPr>
                <w:sz w:val="20"/>
                <w:szCs w:val="20"/>
                <w:color w:val="auto"/>
              </w:rPr>
            </w:pPr>
            <w:r>
              <w:rPr>
                <w:rFonts w:ascii="Arial" w:cs="Arial" w:eastAsia="Arial" w:hAnsi="Arial"/>
                <w:sz w:val="13"/>
                <w:szCs w:val="13"/>
                <w:color w:val="auto"/>
              </w:rPr>
              <w:t>93,790</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409,000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94 %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15,000</w:t>
            </w:r>
          </w:p>
        </w:tc>
        <w:tc>
          <w:tcPr>
            <w:tcW w:w="840" w:type="dxa"/>
            <w:vAlign w:val="bottom"/>
          </w:tcPr>
          <w:p>
            <w:pPr>
              <w:ind w:left="60"/>
              <w:spacing w:after="0"/>
              <w:rPr>
                <w:sz w:val="20"/>
                <w:szCs w:val="20"/>
                <w:color w:val="auto"/>
              </w:rPr>
            </w:pPr>
            <w:r>
              <w:rPr>
                <w:rFonts w:ascii="Arial" w:cs="Arial" w:eastAsia="Arial" w:hAnsi="Arial"/>
                <w:sz w:val="13"/>
                <w:szCs w:val="13"/>
                <w:color w:val="auto"/>
                <w:w w:val="94"/>
              </w:rPr>
              <w:t>Island of Gold</w:t>
            </w:r>
          </w:p>
        </w:tc>
        <w:tc>
          <w:tcPr>
            <w:tcW w:w="2020" w:type="dxa"/>
            <w:vAlign w:val="bottom"/>
          </w:tcPr>
          <w:p>
            <w:pPr>
              <w:ind w:left="40"/>
              <w:spacing w:after="0"/>
              <w:rPr>
                <w:sz w:val="20"/>
                <w:szCs w:val="20"/>
                <w:color w:val="auto"/>
              </w:rPr>
            </w:pPr>
            <w:r>
              <w:rPr>
                <w:rFonts w:ascii="Arial" w:cs="Arial" w:eastAsia="Arial" w:hAnsi="Arial"/>
                <w:sz w:val="13"/>
                <w:szCs w:val="13"/>
                <w:color w:val="auto"/>
              </w:rPr>
              <w:t>AMC / Kohl's / Michaels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Georgetowne</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83,658</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43,000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Foodway</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Five Below / IHOP</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rPr>
              <w:t>Shopping Center</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Greenlawn Plaza</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32,300</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102,000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93 %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46,000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Greenlawn</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Tuesday Morning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Farms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w w:val="94"/>
              </w:rPr>
              <w:t>Greenwich Avenue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23,748</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Hauppauge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ind w:left="40"/>
              <w:spacing w:after="0"/>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rPr>
                <w:sz w:val="20"/>
                <w:szCs w:val="20"/>
                <w:color w:val="auto"/>
              </w:rPr>
            </w:pPr>
            <w:r>
              <w:rPr>
                <w:rFonts w:ascii="Arial" w:cs="Arial" w:eastAsia="Arial" w:hAnsi="Arial"/>
                <w:sz w:val="13"/>
                <w:szCs w:val="13"/>
                <w:color w:val="auto"/>
              </w:rPr>
              <w:t>30,088</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71 %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auto"/>
                <w:w w:val="85"/>
              </w:rPr>
              <w:t>61,000</w:t>
            </w:r>
          </w:p>
        </w:tc>
        <w:tc>
          <w:tcPr>
            <w:tcW w:w="840" w:type="dxa"/>
            <w:vAlign w:val="bottom"/>
          </w:tcPr>
          <w:p>
            <w:pPr>
              <w:ind w:left="60"/>
              <w:spacing w:after="0"/>
              <w:rPr>
                <w:sz w:val="20"/>
                <w:szCs w:val="20"/>
                <w:color w:val="auto"/>
              </w:rPr>
            </w:pPr>
            <w:r>
              <w:rPr>
                <w:rFonts w:ascii="Arial" w:cs="Arial" w:eastAsia="Arial" w:hAnsi="Arial"/>
                <w:sz w:val="13"/>
                <w:szCs w:val="13"/>
                <w:color w:val="auto"/>
              </w:rPr>
              <w:t>Shop Rite</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Hoboken</w:t>
            </w:r>
          </w:p>
        </w:tc>
        <w:tc>
          <w:tcPr>
            <w:tcW w:w="4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 (8)</w:t>
            </w: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215,885</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105,410</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129</w:t>
            </w: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CVS / New York Sports Club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Sephora / 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Huntington</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48,507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265,000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90 %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Nordstrom Rack / Buy Buy Baby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Michaels / Ulta</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3"/>
                <w:szCs w:val="13"/>
                <w:color w:val="auto"/>
                <w:w w:val="95"/>
              </w:rPr>
              <w:t>Huntington Square</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New York-Newark-Jersey City, NY-NJ-PA</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13,613</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60" w:type="dxa"/>
            <w:vAlign w:val="bottom"/>
          </w:tcPr>
          <w:p>
            <w:pPr>
              <w:spacing w:after="0" w:line="122" w:lineRule="exact"/>
              <w:rPr>
                <w:sz w:val="20"/>
                <w:szCs w:val="20"/>
                <w:color w:val="auto"/>
              </w:rPr>
            </w:pPr>
            <w:r>
              <w:rPr>
                <w:rFonts w:ascii="Arial" w:cs="Arial" w:eastAsia="Arial" w:hAnsi="Arial"/>
                <w:sz w:val="13"/>
                <w:szCs w:val="13"/>
                <w:color w:val="auto"/>
              </w:rPr>
              <w:t>Melville Mall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ind w:left="40"/>
              <w:spacing w:after="0" w:line="122" w:lineRule="exact"/>
              <w:rPr>
                <w:sz w:val="20"/>
                <w:szCs w:val="20"/>
                <w:color w:val="auto"/>
              </w:rPr>
            </w:pPr>
            <w:r>
              <w:rPr>
                <w:rFonts w:ascii="Arial" w:cs="Arial" w:eastAsia="Arial" w:hAnsi="Arial"/>
                <w:sz w:val="13"/>
                <w:szCs w:val="13"/>
                <w:color w:val="auto"/>
                <w:w w:val="89"/>
              </w:rPr>
              <w:t>New York-Newark-Jersey City, NY-NJ-PA</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103,791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243,000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3"/>
                <w:szCs w:val="13"/>
                <w:color w:val="auto"/>
                <w:w w:val="85"/>
              </w:rPr>
              <w:t>53,000</w:t>
            </w: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Uncle</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7"/>
              </w:rPr>
              <w:t>Marshalls / Dick's Sporting Goods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Arial" w:cs="Arial" w:eastAsia="Arial" w:hAnsi="Arial"/>
                <w:sz w:val="13"/>
                <w:szCs w:val="13"/>
                <w:color w:val="auto"/>
              </w:rPr>
              <w:t>Giuseppe's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7"/>
              </w:rPr>
              <w:t>Field &amp; Stream / Macy's Backstage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auto"/>
              </w:rPr>
              <w:t>Marketplace</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Mercer Mall</w:t>
            </w:r>
          </w:p>
        </w:tc>
        <w:tc>
          <w:tcPr>
            <w:tcW w:w="400" w:type="dxa"/>
            <w:vAlign w:val="bottom"/>
            <w:gridSpan w:val="2"/>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(7)</w:t>
            </w:r>
          </w:p>
        </w:tc>
        <w:tc>
          <w:tcPr>
            <w:tcW w:w="22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Trenton, 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128,422</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55,276</w:t>
            </w: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Shop Rite</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Ross Dress For Less / Nordstrom</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 / Bed, Bath &amp; Beyond / REI</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30"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7"/>
              </w:rPr>
              <w:t>Real</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w:t>
            </w: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vMerge w:val="restart"/>
          </w:tcPr>
          <w:p>
            <w:pPr>
              <w:ind w:left="340"/>
              <w:spacing w:after="0"/>
              <w:rPr>
                <w:sz w:val="20"/>
                <w:szCs w:val="20"/>
                <w:color w:val="auto"/>
              </w:rPr>
            </w:pPr>
            <w:r>
              <w:rPr>
                <w:rFonts w:ascii="Arial" w:cs="Arial" w:eastAsia="Arial" w:hAnsi="Arial"/>
                <w:sz w:val="13"/>
                <w:szCs w:val="13"/>
                <w:b w:val="1"/>
                <w:bCs w:val="1"/>
                <w:color w:val="auto"/>
              </w:rPr>
              <w:t>MSA Description</w:t>
            </w:r>
          </w:p>
        </w:tc>
        <w:tc>
          <w:tcPr>
            <w:tcW w:w="6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Estate at</w:t>
            </w:r>
          </w:p>
        </w:tc>
        <w:tc>
          <w:tcPr>
            <w:tcW w:w="10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Acreage</w:t>
            </w:r>
          </w:p>
        </w:tc>
        <w:tc>
          <w:tcPr>
            <w:tcW w:w="72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GLA (3)</w:t>
            </w:r>
          </w:p>
        </w:tc>
        <w:tc>
          <w:tcPr>
            <w:tcW w:w="560" w:type="dxa"/>
            <w:vAlign w:val="bottom"/>
          </w:tcPr>
          <w:p>
            <w:pPr>
              <w:jc w:val="right"/>
              <w:ind w:right="37"/>
              <w:spacing w:after="0" w:line="122" w:lineRule="exact"/>
              <w:rPr>
                <w:sz w:val="20"/>
                <w:szCs w:val="20"/>
                <w:color w:val="auto"/>
              </w:rPr>
            </w:pPr>
            <w:r>
              <w:rPr>
                <w:rFonts w:ascii="Arial" w:cs="Arial" w:eastAsia="Arial" w:hAnsi="Arial"/>
                <w:sz w:val="13"/>
                <w:szCs w:val="13"/>
                <w:b w:val="1"/>
                <w:bCs w:val="1"/>
                <w:color w:val="auto"/>
                <w:w w:val="98"/>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840" w:type="dxa"/>
            <w:vAlign w:val="bottom"/>
            <w:vMerge w:val="continue"/>
          </w:tcPr>
          <w:p>
            <w:pPr>
              <w:spacing w:after="0"/>
              <w:rPr>
                <w:sz w:val="10"/>
                <w:szCs w:val="10"/>
                <w:color w:val="auto"/>
              </w:rPr>
            </w:pPr>
          </w:p>
        </w:tc>
        <w:tc>
          <w:tcPr>
            <w:tcW w:w="20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Cost (1)</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(2)</w:t>
            </w:r>
          </w:p>
        </w:tc>
        <w:tc>
          <w:tcPr>
            <w:tcW w:w="520" w:type="dxa"/>
            <w:vAlign w:val="bottom"/>
            <w:tcBorders>
              <w:bottom w:val="single" w:sz="8" w:color="auto"/>
            </w:tcBorders>
            <w:gridSpan w:val="2"/>
            <w:vMerge w:val="continue"/>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640" w:type="dxa"/>
            <w:vAlign w:val="bottom"/>
          </w:tcPr>
          <w:p>
            <w:pPr>
              <w:jc w:val="center"/>
              <w:spacing w:after="0" w:line="111" w:lineRule="exact"/>
              <w:rPr>
                <w:sz w:val="20"/>
                <w:szCs w:val="20"/>
                <w:color w:val="auto"/>
              </w:rPr>
            </w:pPr>
            <w:r>
              <w:rPr>
                <w:rFonts w:ascii="Arial" w:cs="Arial" w:eastAsia="Arial" w:hAnsi="Arial"/>
                <w:sz w:val="11"/>
                <w:szCs w:val="11"/>
                <w:color w:val="auto"/>
                <w:w w:val="97"/>
              </w:rPr>
              <w:t>(in</w:t>
            </w:r>
          </w:p>
        </w:tc>
        <w:tc>
          <w:tcPr>
            <w:tcW w:w="1020" w:type="dxa"/>
            <w:vAlign w:val="bottom"/>
            <w:vMerge w:val="restart"/>
          </w:tcPr>
          <w:p>
            <w:pPr>
              <w:jc w:val="center"/>
              <w:spacing w:after="0"/>
              <w:rPr>
                <w:sz w:val="20"/>
                <w:szCs w:val="20"/>
                <w:color w:val="auto"/>
              </w:rPr>
            </w:pPr>
            <w:r>
              <w:rPr>
                <w:rFonts w:ascii="Arial" w:cs="Arial" w:eastAsia="Arial" w:hAnsi="Arial"/>
                <w:sz w:val="11"/>
                <w:szCs w:val="11"/>
                <w:color w:val="auto"/>
                <w:w w:val="86"/>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102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40" w:type="dxa"/>
            <w:vAlign w:val="bottom"/>
            <w:gridSpan w:val="3"/>
          </w:tcPr>
          <w:p>
            <w:pPr>
              <w:spacing w:after="0" w:line="144" w:lineRule="exact"/>
              <w:rPr>
                <w:sz w:val="20"/>
                <w:szCs w:val="20"/>
                <w:color w:val="auto"/>
              </w:rPr>
            </w:pPr>
            <w:r>
              <w:rPr>
                <w:rFonts w:ascii="Arial" w:cs="Arial" w:eastAsia="Arial" w:hAnsi="Arial"/>
                <w:sz w:val="13"/>
                <w:szCs w:val="13"/>
                <w:color w:val="auto"/>
              </w:rPr>
              <w:t>The Commons at</w:t>
            </w:r>
          </w:p>
        </w:tc>
        <w:tc>
          <w:tcPr>
            <w:tcW w:w="420" w:type="dxa"/>
            <w:vAlign w:val="bottom"/>
          </w:tcPr>
          <w:p>
            <w:pPr>
              <w:spacing w:after="0"/>
              <w:rPr>
                <w:sz w:val="12"/>
                <w:szCs w:val="12"/>
                <w:color w:val="auto"/>
              </w:rPr>
            </w:pPr>
          </w:p>
        </w:tc>
        <w:tc>
          <w:tcPr>
            <w:tcW w:w="2240" w:type="dxa"/>
            <w:vAlign w:val="bottom"/>
            <w:gridSpan w:val="2"/>
          </w:tcPr>
          <w:p>
            <w:pPr>
              <w:ind w:left="40"/>
              <w:spacing w:after="0" w:line="144" w:lineRule="exact"/>
              <w:rPr>
                <w:sz w:val="20"/>
                <w:szCs w:val="20"/>
                <w:color w:val="auto"/>
              </w:rPr>
            </w:pPr>
            <w:r>
              <w:rPr>
                <w:rFonts w:ascii="Arial" w:cs="Arial" w:eastAsia="Arial" w:hAnsi="Arial"/>
                <w:sz w:val="13"/>
                <w:szCs w:val="13"/>
                <w:color w:val="auto"/>
              </w:rPr>
              <w:t>Bridgeport-Stamford-Norwalk, CT</w:t>
            </w: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83,053</w:t>
            </w:r>
          </w:p>
        </w:tc>
        <w:tc>
          <w:tcPr>
            <w:tcW w:w="10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Arial" w:cs="Arial" w:eastAsia="Arial" w:hAnsi="Arial"/>
                <w:sz w:val="13"/>
                <w:szCs w:val="13"/>
                <w:color w:val="auto"/>
              </w:rPr>
              <w:t>9</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Arial" w:cs="Arial" w:eastAsia="Arial" w:hAnsi="Arial"/>
                <w:sz w:val="13"/>
                <w:szCs w:val="13"/>
                <w:color w:val="auto"/>
              </w:rPr>
              <w:t>58,000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89 %</w:t>
            </w:r>
          </w:p>
        </w:tc>
        <w:tc>
          <w:tcPr>
            <w:tcW w:w="660" w:type="dxa"/>
            <w:vAlign w:val="bottom"/>
          </w:tcPr>
          <w:p>
            <w:pPr>
              <w:jc w:val="center"/>
              <w:spacing w:after="0" w:line="144" w:lineRule="exact"/>
              <w:rPr>
                <w:sz w:val="20"/>
                <w:szCs w:val="20"/>
                <w:color w:val="auto"/>
              </w:rPr>
            </w:pPr>
            <w:r>
              <w:rPr>
                <w:rFonts w:ascii="Arial" w:cs="Arial" w:eastAsia="Arial" w:hAnsi="Arial"/>
                <w:sz w:val="13"/>
                <w:szCs w:val="13"/>
                <w:color w:val="auto"/>
              </w:rPr>
              <w:t>2</w:t>
            </w: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ind w:left="40"/>
              <w:spacing w:after="0" w:line="144" w:lineRule="exact"/>
              <w:rPr>
                <w:sz w:val="20"/>
                <w:szCs w:val="20"/>
                <w:color w:val="auto"/>
              </w:rPr>
            </w:pPr>
            <w:r>
              <w:rPr>
                <w:rFonts w:ascii="Arial" w:cs="Arial" w:eastAsia="Arial" w:hAnsi="Arial"/>
                <w:sz w:val="13"/>
                <w:szCs w:val="13"/>
                <w:color w:val="auto"/>
              </w:rPr>
              <w:t>Equinox / 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Darien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Grove at</w:t>
            </w:r>
          </w:p>
        </w:tc>
        <w:tc>
          <w:tcPr>
            <w:tcW w:w="42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90"/>
              </w:rPr>
              <w:t>(4) (5)</w:t>
            </w: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New York-Newark-Jersey City, NY-NJ-PA</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127,539</w:t>
            </w: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43,600</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6"/>
              </w:rPr>
              <w:t>Lululemon / Anthropologie / Pottery</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Shrewsbury</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 / Williams-Sonoma</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3"/>
          </w:tcPr>
          <w:p>
            <w:pPr>
              <w:spacing w:after="0"/>
              <w:rPr>
                <w:sz w:val="20"/>
                <w:szCs w:val="20"/>
                <w:color w:val="auto"/>
              </w:rPr>
            </w:pPr>
            <w:r>
              <w:rPr>
                <w:rFonts w:ascii="Arial" w:cs="Arial" w:eastAsia="Arial" w:hAnsi="Arial"/>
                <w:sz w:val="13"/>
                <w:szCs w:val="13"/>
                <w:color w:val="auto"/>
              </w:rPr>
              <w:t>Troy</w:t>
            </w:r>
          </w:p>
        </w:tc>
        <w:tc>
          <w:tcPr>
            <w:tcW w:w="42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w w:val="90"/>
              </w:rPr>
              <w:t>New York-Newark-Jersey City, NY-NJ-PA</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41,094</w:t>
            </w:r>
          </w:p>
        </w:tc>
        <w:tc>
          <w:tcPr>
            <w:tcW w:w="10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Target / L.A. Fitness / Michaels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NY Metro/New Jersey</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1,177,350</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3,099,000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00" w:type="dxa"/>
            <w:vAlign w:val="bottom"/>
            <w:gridSpan w:val="6"/>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Philadelphia Metropolitan Area</w:t>
            </w: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Andorra</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31,264</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270,000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24,000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w w:val="89"/>
              </w:rPr>
              <w:t>Acme Markets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Kohl's / L.A.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Bala Cynwyd</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64,823</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2"/>
              </w:rPr>
              <w:t>87</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45,000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89"/>
              </w:rPr>
              <w:t>Acme Markets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Michaels / L.A.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Ellisburg</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34,358</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262,000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47,000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w w:val="96"/>
              </w:rPr>
              <w:t>Whole Foods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Buy Buy Baby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Flourtown</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16,985</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156,000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75,000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Movie Tavern</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w w:val="94"/>
              </w:rPr>
              <w:t>Langhorne Square</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22,469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96 %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rPr>
              <w:t>Redner's</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DE-MD</w:t>
            </w: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rPr>
              <w:t>Warehouse</w:t>
            </w: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Markets</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Lawrence Park</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43,258</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362,000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98 %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53,000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w w:val="89"/>
              </w:rPr>
              <w:t>Acme Markets</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9"/>
              </w:rPr>
              <w:t>TJ Maxx / HomeGoods / Barnes &amp;</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Northeast</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34,059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w w:val="94"/>
              </w:rPr>
              <w:t>Marshalls / Ulta / Skechers / Crunch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Fitness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Town Center of</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16,584</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85 %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36,000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Rite Aid / Dollar Tree</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New Britain</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Willow Grove</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28,667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183,000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82 %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Marshalls / HomeGoods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Wynnewood</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Philadelphia-Camden-Wilmington, PA-NJ-</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42,567</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249,000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rPr>
              <w:t>9</w:t>
            </w: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98,000</w:t>
            </w:r>
          </w:p>
        </w:tc>
        <w:tc>
          <w:tcPr>
            <w:tcW w:w="84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Bed, Bath &amp; Beyond / Old Navy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DE-MD</w:t>
            </w:r>
          </w:p>
        </w:tc>
        <w:tc>
          <w:tcPr>
            <w:tcW w:w="640" w:type="dxa"/>
            <w:vAlign w:val="bottom"/>
            <w:tcBorders>
              <w:bottom w:val="single" w:sz="8" w:color="auto"/>
            </w:tcBorders>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w w:val="96"/>
              </w:rPr>
              <w:t>Total Philadelphia Metropolitan Area</w:t>
            </w:r>
          </w:p>
        </w:tc>
        <w:tc>
          <w:tcPr>
            <w:tcW w:w="640" w:type="dxa"/>
            <w:vAlign w:val="bottom"/>
          </w:tcPr>
          <w:p>
            <w:pPr>
              <w:jc w:val="right"/>
              <w:spacing w:after="0"/>
              <w:rPr>
                <w:sz w:val="20"/>
                <w:szCs w:val="20"/>
                <w:color w:val="auto"/>
              </w:rPr>
            </w:pPr>
            <w:r>
              <w:rPr>
                <w:rFonts w:ascii="Arial" w:cs="Arial" w:eastAsia="Arial" w:hAnsi="Arial"/>
                <w:sz w:val="13"/>
                <w:szCs w:val="13"/>
                <w:color w:val="auto"/>
              </w:rPr>
              <w:t>335,034</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2,231,000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9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New England</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Row /</w:t>
            </w:r>
          </w:p>
        </w:tc>
        <w:tc>
          <w:tcPr>
            <w:tcW w:w="4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rPr>
              <w:t>(6)</w:t>
            </w:r>
          </w:p>
        </w:tc>
        <w:tc>
          <w:tcPr>
            <w:tcW w:w="2240" w:type="dxa"/>
            <w:vAlign w:val="bottom"/>
            <w:gridSpan w:val="2"/>
            <w:shd w:val="clear" w:color="auto" w:fill="CCEEFF"/>
          </w:tcPr>
          <w:p>
            <w:pPr>
              <w:ind w:left="40"/>
              <w:spacing w:after="0" w:line="122" w:lineRule="exact"/>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990,967</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863,000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2"/>
              </w:rPr>
              <w:t>447</w:t>
            </w:r>
          </w:p>
        </w:tc>
        <w:tc>
          <w:tcPr>
            <w:tcW w:w="5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18,000</w:t>
            </w:r>
          </w:p>
        </w:tc>
        <w:tc>
          <w:tcPr>
            <w:tcW w:w="840" w:type="dxa"/>
            <w:vAlign w:val="bottom"/>
            <w:shd w:val="clear" w:color="auto" w:fill="CCEEFF"/>
          </w:tcPr>
          <w:p>
            <w:pPr>
              <w:ind w:left="80"/>
              <w:spacing w:after="0" w:line="122" w:lineRule="exact"/>
              <w:rPr>
                <w:sz w:val="20"/>
                <w:szCs w:val="20"/>
                <w:color w:val="auto"/>
              </w:rPr>
            </w:pPr>
            <w:r>
              <w:rPr>
                <w:rFonts w:ascii="Arial" w:cs="Arial" w:eastAsia="Arial" w:hAnsi="Arial"/>
                <w:sz w:val="13"/>
                <w:szCs w:val="13"/>
                <w:color w:val="auto"/>
              </w:rPr>
              <w:t>Trader Joe's</w:t>
            </w: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TJ Maxx / AMC / LEGOLAND</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Assembly Square</w:t>
            </w: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2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Discovery Center / Multiple</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Marketplace</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Campus Plaza</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30,448</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96 %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40" w:type="dxa"/>
            <w:vAlign w:val="bottom"/>
          </w:tcPr>
          <w:p>
            <w:pPr>
              <w:ind w:left="80"/>
              <w:spacing w:after="0"/>
              <w:rPr>
                <w:sz w:val="20"/>
                <w:szCs w:val="20"/>
                <w:color w:val="auto"/>
              </w:rPr>
            </w:pPr>
            <w:r>
              <w:rPr>
                <w:rFonts w:ascii="Arial" w:cs="Arial" w:eastAsia="Arial" w:hAnsi="Arial"/>
                <w:sz w:val="13"/>
                <w:szCs w:val="13"/>
                <w:color w:val="auto"/>
              </w:rPr>
              <w:t>Roche Bros.</w:t>
            </w:r>
          </w:p>
        </w:tc>
        <w:tc>
          <w:tcPr>
            <w:tcW w:w="2020" w:type="dxa"/>
            <w:vAlign w:val="bottom"/>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2"/>
              </w:rPr>
              <w:t>Chelsea Commons</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30,486</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5,140</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Dedham Plaza</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rPr>
                <w:sz w:val="20"/>
                <w:szCs w:val="20"/>
                <w:color w:val="auto"/>
              </w:rPr>
            </w:pPr>
            <w:r>
              <w:rPr>
                <w:rFonts w:ascii="Arial" w:cs="Arial" w:eastAsia="Arial" w:hAnsi="Arial"/>
                <w:sz w:val="13"/>
                <w:szCs w:val="13"/>
                <w:color w:val="auto"/>
              </w:rPr>
              <w:t>47,269</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90 %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80,000</w:t>
            </w:r>
          </w:p>
        </w:tc>
        <w:tc>
          <w:tcPr>
            <w:tcW w:w="840" w:type="dxa"/>
            <w:vAlign w:val="bottom"/>
          </w:tcPr>
          <w:p>
            <w:pPr>
              <w:ind w:left="80"/>
              <w:spacing w:after="0"/>
              <w:rPr>
                <w:sz w:val="20"/>
                <w:szCs w:val="20"/>
                <w:color w:val="auto"/>
              </w:rPr>
            </w:pPr>
            <w:r>
              <w:rPr>
                <w:rFonts w:ascii="Arial" w:cs="Arial" w:eastAsia="Arial" w:hAnsi="Arial"/>
                <w:sz w:val="13"/>
                <w:szCs w:val="13"/>
                <w:color w:val="auto"/>
              </w:rPr>
              <w:t>Star Market</w:t>
            </w:r>
          </w:p>
        </w:tc>
        <w:tc>
          <w:tcPr>
            <w:tcW w:w="2020" w:type="dxa"/>
            <w:vAlign w:val="bottom"/>
          </w:tcPr>
          <w:p>
            <w:pPr>
              <w:ind w:left="40"/>
              <w:spacing w:after="0"/>
              <w:rPr>
                <w:sz w:val="20"/>
                <w:szCs w:val="20"/>
                <w:color w:val="auto"/>
              </w:rPr>
            </w:pPr>
            <w:r>
              <w:rPr>
                <w:rFonts w:ascii="Arial" w:cs="Arial" w:eastAsia="Arial" w:hAnsi="Arial"/>
                <w:sz w:val="13"/>
                <w:szCs w:val="13"/>
                <w:color w:val="auto"/>
              </w:rPr>
              <w:t>Planet Fitness</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Linden Square</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150,812</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6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w:t>
            </w: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North Dartmouth</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Providence-Warwick, RI-MA</w:t>
            </w:r>
          </w:p>
        </w:tc>
        <w:tc>
          <w:tcPr>
            <w:tcW w:w="640" w:type="dxa"/>
            <w:vAlign w:val="bottom"/>
          </w:tcPr>
          <w:p>
            <w:pPr>
              <w:jc w:val="right"/>
              <w:spacing w:after="0"/>
              <w:rPr>
                <w:sz w:val="20"/>
                <w:szCs w:val="20"/>
                <w:color w:val="auto"/>
              </w:rPr>
            </w:pPr>
            <w:r>
              <w:rPr>
                <w:rFonts w:ascii="Arial" w:cs="Arial" w:eastAsia="Arial" w:hAnsi="Arial"/>
                <w:sz w:val="13"/>
                <w:szCs w:val="13"/>
                <w:color w:val="auto"/>
              </w:rPr>
              <w:t>9,369</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48,000</w:t>
            </w:r>
          </w:p>
        </w:tc>
        <w:tc>
          <w:tcPr>
            <w:tcW w:w="840" w:type="dxa"/>
            <w:vAlign w:val="bottom"/>
          </w:tcPr>
          <w:p>
            <w:pPr>
              <w:ind w:left="80"/>
              <w:spacing w:after="0"/>
              <w:rPr>
                <w:sz w:val="20"/>
                <w:szCs w:val="20"/>
                <w:color w:val="auto"/>
              </w:rPr>
            </w:pPr>
            <w:r>
              <w:rPr>
                <w:rFonts w:ascii="Arial" w:cs="Arial" w:eastAsia="Arial" w:hAnsi="Arial"/>
                <w:sz w:val="13"/>
                <w:szCs w:val="13"/>
                <w:color w:val="auto"/>
              </w:rPr>
              <w:t>Stop &amp; Shop</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Queen Anne Plaza</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18,473</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Big Y Foods</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Saugus Plaza</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Boston-Cambridge-Newton, MA-NH</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17,079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166,000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55,000</w:t>
            </w:r>
          </w:p>
        </w:tc>
        <w:tc>
          <w:tcPr>
            <w:tcW w:w="840" w:type="dxa"/>
            <w:vAlign w:val="bottom"/>
          </w:tcPr>
          <w:p>
            <w:pPr>
              <w:ind w:left="80"/>
              <w:spacing w:after="0" w:line="122" w:lineRule="exact"/>
              <w:rPr>
                <w:sz w:val="20"/>
                <w:szCs w:val="20"/>
                <w:color w:val="auto"/>
              </w:rPr>
            </w:pPr>
            <w:r>
              <w:rPr>
                <w:rFonts w:ascii="Arial" w:cs="Arial" w:eastAsia="Arial" w:hAnsi="Arial"/>
                <w:sz w:val="13"/>
                <w:szCs w:val="13"/>
                <w:color w:val="auto"/>
                <w:w w:val="95"/>
              </w:rPr>
              <w:t>Super Stop &amp;</w:t>
            </w: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Floor &amp; Décor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0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1,294,903</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2,028,000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Baltimore</w:t>
            </w: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Governor Plaza</w:t>
            </w:r>
          </w:p>
        </w:tc>
        <w:tc>
          <w:tcPr>
            <w:tcW w:w="420" w:type="dxa"/>
            <w:vAlign w:val="bottom"/>
          </w:tcPr>
          <w:p>
            <w:pPr>
              <w:spacing w:after="0"/>
              <w:rPr>
                <w:sz w:val="14"/>
                <w:szCs w:val="14"/>
                <w:color w:val="auto"/>
              </w:rPr>
            </w:pPr>
          </w:p>
        </w:tc>
        <w:tc>
          <w:tcPr>
            <w:tcW w:w="2240" w:type="dxa"/>
            <w:vAlign w:val="bottom"/>
            <w:gridSpan w:val="2"/>
          </w:tcPr>
          <w:p>
            <w:pPr>
              <w:ind w:left="40"/>
              <w:spacing w:after="0"/>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rPr>
                <w:sz w:val="20"/>
                <w:szCs w:val="20"/>
                <w:color w:val="auto"/>
              </w:rPr>
            </w:pPr>
            <w:r>
              <w:rPr>
                <w:rFonts w:ascii="Arial" w:cs="Arial" w:eastAsia="Arial" w:hAnsi="Arial"/>
                <w:sz w:val="13"/>
                <w:szCs w:val="13"/>
                <w:color w:val="auto"/>
              </w:rPr>
              <w:t>26,253</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79 %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840" w:type="dxa"/>
            <w:vAlign w:val="bottom"/>
          </w:tcPr>
          <w:p>
            <w:pPr>
              <w:ind w:left="80"/>
              <w:spacing w:after="0"/>
              <w:rPr>
                <w:sz w:val="20"/>
                <w:szCs w:val="20"/>
                <w:color w:val="auto"/>
              </w:rPr>
            </w:pPr>
            <w:r>
              <w:rPr>
                <w:rFonts w:ascii="Arial" w:cs="Arial" w:eastAsia="Arial" w:hAnsi="Arial"/>
                <w:sz w:val="13"/>
                <w:szCs w:val="13"/>
                <w:color w:val="auto"/>
              </w:rPr>
              <w:t>Aldi</w:t>
            </w:r>
          </w:p>
        </w:tc>
        <w:tc>
          <w:tcPr>
            <w:tcW w:w="2020" w:type="dxa"/>
            <w:vAlign w:val="bottom"/>
          </w:tcPr>
          <w:p>
            <w:pPr>
              <w:ind w:left="40"/>
              <w:spacing w:after="0"/>
              <w:rPr>
                <w:sz w:val="20"/>
                <w:szCs w:val="20"/>
                <w:color w:val="auto"/>
              </w:rPr>
            </w:pPr>
            <w:r>
              <w:rPr>
                <w:rFonts w:ascii="Arial" w:cs="Arial" w:eastAsia="Arial" w:hAnsi="Arial"/>
                <w:sz w:val="13"/>
                <w:szCs w:val="13"/>
                <w:color w:val="auto"/>
              </w:rPr>
              <w:t>Dick's Sporting Goods</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Perring Plaza</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32,165</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397,000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58,000</w:t>
            </w:r>
          </w:p>
        </w:tc>
        <w:tc>
          <w:tcPr>
            <w:tcW w:w="2860" w:type="dxa"/>
            <w:vAlign w:val="bottom"/>
            <w:gridSpan w:val="2"/>
            <w:shd w:val="clear" w:color="auto" w:fill="CCEEFF"/>
          </w:tcPr>
          <w:p>
            <w:pPr>
              <w:ind w:left="80"/>
              <w:spacing w:after="0" w:line="129" w:lineRule="exact"/>
              <w:rPr>
                <w:sz w:val="20"/>
                <w:szCs w:val="20"/>
                <w:color w:val="auto"/>
              </w:rPr>
            </w:pPr>
            <w:r>
              <w:rPr>
                <w:rFonts w:ascii="Arial" w:cs="Arial" w:eastAsia="Arial" w:hAnsi="Arial"/>
                <w:sz w:val="13"/>
                <w:szCs w:val="13"/>
                <w:color w:val="auto"/>
              </w:rPr>
              <w:t>Shoppers Food Home Depot / Micro Center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20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rPr>
              <w:t>THE AVENUE at</w:t>
            </w:r>
          </w:p>
        </w:tc>
        <w:tc>
          <w:tcPr>
            <w:tcW w:w="420" w:type="dxa"/>
            <w:vAlign w:val="bottom"/>
          </w:tcPr>
          <w:p>
            <w:pPr>
              <w:jc w:val="center"/>
              <w:spacing w:after="0" w:line="122" w:lineRule="exact"/>
              <w:rPr>
                <w:sz w:val="20"/>
                <w:szCs w:val="20"/>
                <w:color w:val="auto"/>
              </w:rPr>
            </w:pPr>
            <w:r>
              <w:rPr>
                <w:rFonts w:ascii="Arial" w:cs="Arial" w:eastAsia="Arial" w:hAnsi="Arial"/>
                <w:sz w:val="13"/>
                <w:szCs w:val="13"/>
                <w:color w:val="auto"/>
              </w:rPr>
              <w:t>(5)</w:t>
            </w: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122,614</w:t>
            </w:r>
          </w:p>
        </w:tc>
        <w:tc>
          <w:tcPr>
            <w:tcW w:w="1020" w:type="dxa"/>
            <w:vAlign w:val="bottom"/>
          </w:tcPr>
          <w:p>
            <w:pPr>
              <w:jc w:val="right"/>
              <w:spacing w:after="0" w:line="122" w:lineRule="exact"/>
              <w:rPr>
                <w:sz w:val="20"/>
                <w:szCs w:val="20"/>
                <w:color w:val="auto"/>
              </w:rPr>
            </w:pPr>
            <w:r>
              <w:rPr>
                <w:rFonts w:ascii="Arial" w:cs="Arial" w:eastAsia="Arial" w:hAnsi="Arial"/>
                <w:sz w:val="13"/>
                <w:szCs w:val="13"/>
                <w:color w:val="auto"/>
              </w:rPr>
              <w:t>52,705</w:t>
            </w: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35</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315,000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85 %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ind w:left="40"/>
              <w:spacing w:after="0" w:line="122" w:lineRule="exact"/>
              <w:rPr>
                <w:sz w:val="20"/>
                <w:szCs w:val="20"/>
                <w:color w:val="auto"/>
              </w:rPr>
            </w:pPr>
            <w:r>
              <w:rPr>
                <w:rFonts w:ascii="Arial" w:cs="Arial" w:eastAsia="Arial" w:hAnsi="Arial"/>
                <w:sz w:val="13"/>
                <w:szCs w:val="13"/>
                <w:color w:val="auto"/>
              </w:rPr>
              <w:t>AMC / Ulta / Old Navy / Barnes &amp;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White Marsh</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ind w:left="40"/>
              <w:spacing w:after="0"/>
              <w:rPr>
                <w:sz w:val="20"/>
                <w:szCs w:val="20"/>
                <w:color w:val="auto"/>
              </w:rPr>
            </w:pPr>
            <w:r>
              <w:rPr>
                <w:rFonts w:ascii="Arial" w:cs="Arial" w:eastAsia="Arial" w:hAnsi="Arial"/>
                <w:sz w:val="13"/>
                <w:szCs w:val="13"/>
                <w:color w:val="auto"/>
              </w:rPr>
              <w:t>Noble</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rPr>
              <w:t>The Shoppes at</w:t>
            </w:r>
          </w:p>
        </w:tc>
        <w:tc>
          <w:tcPr>
            <w:tcW w:w="420" w:type="dxa"/>
            <w:vAlign w:val="bottom"/>
            <w:shd w:val="clear" w:color="auto" w:fill="CCEEFF"/>
          </w:tcPr>
          <w:p>
            <w:pPr>
              <w:spacing w:after="0"/>
              <w:rPr>
                <w:sz w:val="11"/>
                <w:szCs w:val="11"/>
                <w:color w:val="auto"/>
              </w:rPr>
            </w:pPr>
          </w:p>
        </w:tc>
        <w:tc>
          <w:tcPr>
            <w:tcW w:w="2240" w:type="dxa"/>
            <w:vAlign w:val="bottom"/>
            <w:gridSpan w:val="2"/>
            <w:shd w:val="clear" w:color="auto" w:fill="CCEEFF"/>
          </w:tcPr>
          <w:p>
            <w:pPr>
              <w:ind w:left="40"/>
              <w:spacing w:after="0" w:line="129" w:lineRule="exact"/>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18,372</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1"/>
              </w:rPr>
              <w:t>Nottingham Square</w:t>
            </w:r>
          </w:p>
        </w:tc>
        <w:tc>
          <w:tcPr>
            <w:tcW w:w="4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Arial" w:cs="Arial" w:eastAsia="Arial" w:hAnsi="Arial"/>
                <w:sz w:val="13"/>
                <w:szCs w:val="13"/>
                <w:color w:val="auto"/>
                <w:w w:val="89"/>
              </w:rPr>
              <w:t>Towson Residential</w:t>
            </w:r>
          </w:p>
        </w:tc>
        <w:tc>
          <w:tcPr>
            <w:tcW w:w="420" w:type="dxa"/>
            <w:vAlign w:val="bottom"/>
          </w:tcPr>
          <w:p>
            <w:pPr>
              <w:spacing w:after="0"/>
              <w:rPr>
                <w:sz w:val="10"/>
                <w:szCs w:val="10"/>
                <w:color w:val="auto"/>
              </w:rPr>
            </w:pPr>
          </w:p>
        </w:tc>
        <w:tc>
          <w:tcPr>
            <w:tcW w:w="2240" w:type="dxa"/>
            <w:vAlign w:val="bottom"/>
            <w:gridSpan w:val="2"/>
          </w:tcPr>
          <w:p>
            <w:pPr>
              <w:ind w:left="40"/>
              <w:spacing w:after="0" w:line="122" w:lineRule="exact"/>
              <w:rPr>
                <w:sz w:val="20"/>
                <w:szCs w:val="20"/>
                <w:color w:val="auto"/>
              </w:rPr>
            </w:pPr>
            <w:r>
              <w:rPr>
                <w:rFonts w:ascii="Arial" w:cs="Arial" w:eastAsia="Arial" w:hAnsi="Arial"/>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22,393</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color w:val="auto"/>
              </w:rPr>
              <w:t>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3"/>
                <w:szCs w:val="13"/>
                <w:color w:val="auto"/>
              </w:rPr>
              <w:t>100 %</w:t>
            </w:r>
          </w:p>
        </w:tc>
        <w:tc>
          <w:tcPr>
            <w:tcW w:w="660" w:type="dxa"/>
            <w:vAlign w:val="bottom"/>
          </w:tcPr>
          <w:p>
            <w:pPr>
              <w:jc w:val="center"/>
              <w:spacing w:after="0" w:line="122" w:lineRule="exact"/>
              <w:rPr>
                <w:sz w:val="20"/>
                <w:szCs w:val="20"/>
                <w:color w:val="auto"/>
              </w:rPr>
            </w:pPr>
            <w:r>
              <w:rPr>
                <w:rFonts w:ascii="Arial" w:cs="Arial" w:eastAsia="Arial" w:hAnsi="Arial"/>
                <w:sz w:val="13"/>
                <w:szCs w:val="13"/>
                <w:color w:val="auto"/>
                <w:w w:val="92"/>
              </w:rPr>
              <w:t>105</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3"/>
                <w:szCs w:val="13"/>
                <w:color w:val="auto"/>
              </w:rPr>
              <w:t>(Flats @ 703)</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White Marsh Plaza</w:t>
            </w:r>
          </w:p>
        </w:tc>
        <w:tc>
          <w:tcPr>
            <w:tcW w:w="42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Baltimore-Columbia-Towson, MD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26,428</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54,000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30"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Real Estate</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Mortgage/Finance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6"/>
              </w:rPr>
              <w:t>Residential</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8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Grocery</w:t>
            </w:r>
          </w:p>
        </w:tc>
        <w:tc>
          <w:tcPr>
            <w:tcW w:w="2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9"/>
              </w:rPr>
              <w:t>Property Name</w:t>
            </w:r>
          </w:p>
        </w:tc>
        <w:tc>
          <w:tcPr>
            <w:tcW w:w="400" w:type="dxa"/>
            <w:vAlign w:val="bottom"/>
          </w:tcPr>
          <w:p>
            <w:pPr>
              <w:spacing w:after="0"/>
              <w:rPr>
                <w:sz w:val="10"/>
                <w:szCs w:val="10"/>
                <w:color w:val="auto"/>
              </w:rPr>
            </w:pPr>
          </w:p>
        </w:tc>
        <w:tc>
          <w:tcPr>
            <w:tcW w:w="2240" w:type="dxa"/>
            <w:vAlign w:val="bottom"/>
            <w:vMerge w:val="restart"/>
          </w:tcPr>
          <w:p>
            <w:pPr>
              <w:ind w:left="66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Lease Liabilities</w:t>
            </w:r>
          </w:p>
        </w:tc>
        <w:tc>
          <w:tcPr>
            <w:tcW w:w="5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Acreage</w:t>
            </w: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GLA (3)</w:t>
            </w:r>
          </w:p>
        </w:tc>
        <w:tc>
          <w:tcPr>
            <w:tcW w:w="580" w:type="dxa"/>
            <w:vAlign w:val="bottom"/>
            <w:gridSpan w:val="2"/>
          </w:tcPr>
          <w:p>
            <w:pPr>
              <w:jc w:val="right"/>
              <w:ind w:right="37"/>
              <w:spacing w:after="0" w:line="122" w:lineRule="exact"/>
              <w:rPr>
                <w:sz w:val="20"/>
                <w:szCs w:val="20"/>
                <w:color w:val="auto"/>
              </w:rPr>
            </w:pPr>
            <w:r>
              <w:rPr>
                <w:rFonts w:ascii="Arial" w:cs="Arial" w:eastAsia="Arial" w:hAnsi="Arial"/>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2"/>
              </w:rPr>
              <w:t>Anchor</w:t>
            </w:r>
          </w:p>
        </w:tc>
        <w:tc>
          <w:tcPr>
            <w:tcW w:w="800" w:type="dxa"/>
            <w:vAlign w:val="bottom"/>
            <w:vMerge w:val="continue"/>
          </w:tcPr>
          <w:p>
            <w:pPr>
              <w:spacing w:after="0"/>
              <w:rPr>
                <w:sz w:val="10"/>
                <w:szCs w:val="10"/>
                <w:color w:val="auto"/>
              </w:rPr>
            </w:pPr>
          </w:p>
        </w:tc>
        <w:tc>
          <w:tcPr>
            <w:tcW w:w="20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Other Retail Tenants</w:t>
            </w:r>
          </w:p>
        </w:tc>
        <w:tc>
          <w:tcPr>
            <w:tcW w:w="0" w:type="dxa"/>
            <w:vAlign w:val="bottom"/>
          </w:tcPr>
          <w:p>
            <w:pPr>
              <w:spacing w:after="0"/>
              <w:rPr>
                <w:sz w:val="1"/>
                <w:szCs w:val="1"/>
                <w:color w:val="auto"/>
              </w:rPr>
            </w:pPr>
          </w:p>
        </w:tc>
      </w:tr>
      <w:tr>
        <w:trPr>
          <w:trHeight w:val="170"/>
        </w:trPr>
        <w:tc>
          <w:tcPr>
            <w:tcW w:w="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at Cost (1)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99"/>
              <w:spacing w:after="0"/>
              <w:rPr>
                <w:sz w:val="20"/>
                <w:szCs w:val="20"/>
                <w:color w:val="auto"/>
              </w:rPr>
            </w:pPr>
            <w:r>
              <w:rPr>
                <w:rFonts w:ascii="Arial" w:cs="Arial" w:eastAsia="Arial" w:hAnsi="Arial"/>
                <w:sz w:val="13"/>
                <w:szCs w:val="13"/>
                <w:b w:val="1"/>
                <w:bCs w:val="1"/>
                <w:color w:val="auto"/>
                <w:w w:val="87"/>
              </w:rPr>
              <w:t>(2)</w:t>
            </w:r>
          </w:p>
        </w:tc>
        <w:tc>
          <w:tcPr>
            <w:tcW w:w="5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gridSpan w:val="2"/>
            <w:vMerge w:val="continue"/>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Units</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160" w:type="dxa"/>
            <w:vAlign w:val="bottom"/>
          </w:tcPr>
          <w:p>
            <w:pPr>
              <w:spacing w:after="0"/>
              <w:rPr>
                <w:sz w:val="12"/>
                <w:szCs w:val="12"/>
                <w:color w:val="auto"/>
              </w:rPr>
            </w:pPr>
          </w:p>
        </w:tc>
        <w:tc>
          <w:tcPr>
            <w:tcW w:w="860" w:type="dxa"/>
            <w:vAlign w:val="bottom"/>
          </w:tcPr>
          <w:p>
            <w:pPr>
              <w:jc w:val="center"/>
              <w:ind w:right="59"/>
              <w:spacing w:after="0"/>
              <w:rPr>
                <w:sz w:val="20"/>
                <w:szCs w:val="20"/>
                <w:color w:val="auto"/>
              </w:rPr>
            </w:pPr>
            <w:r>
              <w:rPr>
                <w:rFonts w:ascii="Arial" w:cs="Arial" w:eastAsia="Arial" w:hAnsi="Arial"/>
                <w:sz w:val="11"/>
                <w:szCs w:val="11"/>
                <w:color w:val="auto"/>
                <w:w w:val="88"/>
              </w:rPr>
              <w:t>(in thousands)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w w:val="93"/>
              </w:rPr>
              <w:t>White Marsh Other</w:t>
            </w:r>
          </w:p>
        </w:tc>
        <w:tc>
          <w:tcPr>
            <w:tcW w:w="40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Baltimore-Columbia-Towson, MD</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31,719</w:t>
            </w:r>
          </w:p>
        </w:tc>
        <w:tc>
          <w:tcPr>
            <w:tcW w:w="1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70,000</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2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Baltimore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279,944</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1,140,000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3"/>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w w:val="88"/>
              </w:rPr>
              <w:t>South Florida</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Cocowalk</w:t>
            </w:r>
          </w:p>
        </w:tc>
        <w:tc>
          <w:tcPr>
            <w:tcW w:w="400" w:type="dxa"/>
            <w:vAlign w:val="bottom"/>
          </w:tcPr>
          <w:p>
            <w:pPr>
              <w:jc w:val="right"/>
              <w:spacing w:after="0" w:line="122" w:lineRule="exact"/>
              <w:rPr>
                <w:sz w:val="20"/>
                <w:szCs w:val="20"/>
                <w:color w:val="auto"/>
              </w:rPr>
            </w:pPr>
            <w:r>
              <w:rPr>
                <w:rFonts w:ascii="Arial" w:cs="Arial" w:eastAsia="Arial" w:hAnsi="Arial"/>
                <w:sz w:val="13"/>
                <w:szCs w:val="13"/>
                <w:color w:val="auto"/>
              </w:rPr>
              <w:t>(4) (9)</w:t>
            </w: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184,059</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208,000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88</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Cinepolis Theaters / Youfit Health</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rPr>
              <w:t>FL</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ind w:left="60"/>
              <w:spacing w:after="0"/>
              <w:rPr>
                <w:sz w:val="20"/>
                <w:szCs w:val="20"/>
                <w:color w:val="auto"/>
              </w:rPr>
            </w:pPr>
            <w:r>
              <w:rPr>
                <w:rFonts w:ascii="Arial" w:cs="Arial" w:eastAsia="Arial" w:hAnsi="Arial"/>
                <w:sz w:val="13"/>
                <w:szCs w:val="13"/>
                <w:color w:val="auto"/>
              </w:rPr>
              <w:t>Club / Planta Restaurant</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Del Mar Village</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73,828</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186,000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44,000</w:t>
            </w:r>
          </w:p>
        </w:tc>
        <w:tc>
          <w:tcPr>
            <w:tcW w:w="8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Winn Dixie</w:t>
            </w: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CVS / L.A. Fitness</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FL</w:t>
            </w: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w w:val="90"/>
              </w:rPr>
              <w:t>Miami-Fort Lauderdale-West Palm Beach,</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98,597</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67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426,000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95</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12,000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w w:val="97"/>
              </w:rPr>
              <w:t>Trader Joe's</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w w:val="88"/>
              </w:rPr>
              <w:t>TJ Maxx / Ross Dress For Less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FL</w:t>
            </w: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Buy / Ulta</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356,484</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ind w:left="60"/>
              <w:spacing w:after="0" w:line="135" w:lineRule="exact"/>
              <w:rPr>
                <w:sz w:val="20"/>
                <w:szCs w:val="20"/>
                <w:color w:val="auto"/>
              </w:rPr>
            </w:pPr>
            <w:r>
              <w:rPr>
                <w:rFonts w:ascii="Arial" w:cs="Arial" w:eastAsia="Arial" w:hAnsi="Arial"/>
                <w:sz w:val="13"/>
                <w:szCs w:val="13"/>
                <w:b w:val="1"/>
                <w:bCs w:val="1"/>
                <w:color w:val="auto"/>
              </w:rPr>
              <w:t>Chicago</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Crossroads</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35,913</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168,000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92</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L.A. Fitness / Ulta / Binny's /</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w w:val="94"/>
              </w:rPr>
              <w:t>Ferguson's Bath, Kitchen &amp; Lighting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ind w:left="60"/>
              <w:spacing w:after="0"/>
              <w:rPr>
                <w:sz w:val="20"/>
                <w:szCs w:val="20"/>
                <w:color w:val="auto"/>
              </w:rPr>
            </w:pPr>
            <w:r>
              <w:rPr>
                <w:rFonts w:ascii="Arial" w:cs="Arial" w:eastAsia="Arial" w:hAnsi="Arial"/>
                <w:sz w:val="13"/>
                <w:szCs w:val="13"/>
                <w:color w:val="auto"/>
              </w:rPr>
              <w:t>Gallery</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Finley Square</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Chicago-Naperville-Elgin, IL-IN-WI</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41,426</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280,000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w w:val="92"/>
              </w:rPr>
              <w:t>Bed, Bath &amp; Beyond / Buy Buy Baby</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 Michaels / Portillo's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Garden Market</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14,698</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11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139,000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97</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63,000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rPr>
              <w:t>Mariano's</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3"/>
                <w:szCs w:val="13"/>
                <w:color w:val="auto"/>
                <w:w w:val="91"/>
              </w:rPr>
              <w:t>Fresh Market</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Riverpoint Center</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Chicago-Naperville-Elgin, IL-IN-WI</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121,534</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86,000</w:t>
            </w: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Marshalls / Old Navy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Total Chicago</w:t>
            </w:r>
          </w:p>
        </w:tc>
        <w:tc>
          <w:tcPr>
            <w:tcW w:w="680" w:type="dxa"/>
            <w:vAlign w:val="bottom"/>
          </w:tcPr>
          <w:p>
            <w:pPr>
              <w:jc w:val="right"/>
              <w:spacing w:after="0"/>
              <w:rPr>
                <w:sz w:val="20"/>
                <w:szCs w:val="20"/>
                <w:color w:val="auto"/>
              </w:rPr>
            </w:pPr>
            <w:r>
              <w:rPr>
                <w:rFonts w:ascii="Arial" w:cs="Arial" w:eastAsia="Arial" w:hAnsi="Arial"/>
                <w:sz w:val="13"/>
                <w:szCs w:val="13"/>
                <w:color w:val="auto"/>
              </w:rPr>
              <w:t>213,571</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798,000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0"/>
                <w:szCs w:val="10"/>
                <w:color w:val="auto"/>
              </w:rPr>
            </w:pPr>
          </w:p>
        </w:tc>
        <w:tc>
          <w:tcPr>
            <w:tcW w:w="2240" w:type="dxa"/>
            <w:vAlign w:val="bottom"/>
            <w:shd w:val="clear" w:color="auto" w:fill="CCEEFF"/>
          </w:tcPr>
          <w:p>
            <w:pPr>
              <w:ind w:left="40"/>
              <w:spacing w:after="0" w:line="122" w:lineRule="exact"/>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69,574</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497,000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91</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5"/>
              </w:rPr>
              <w:t>99,000</w:t>
            </w:r>
          </w:p>
        </w:tc>
        <w:tc>
          <w:tcPr>
            <w:tcW w:w="2820" w:type="dxa"/>
            <w:vAlign w:val="bottom"/>
            <w:gridSpan w:val="2"/>
            <w:shd w:val="clear" w:color="auto" w:fill="CCEEFF"/>
          </w:tcPr>
          <w:p>
            <w:pPr>
              <w:ind w:left="80"/>
              <w:spacing w:after="0" w:line="122" w:lineRule="exact"/>
              <w:rPr>
                <w:sz w:val="20"/>
                <w:szCs w:val="20"/>
                <w:color w:val="auto"/>
              </w:rPr>
            </w:pPr>
            <w:r>
              <w:rPr>
                <w:rFonts w:ascii="Arial" w:cs="Arial" w:eastAsia="Arial" w:hAnsi="Arial"/>
                <w:sz w:val="13"/>
                <w:szCs w:val="13"/>
                <w:color w:val="auto"/>
                <w:w w:val="95"/>
              </w:rPr>
              <w:t>Harris Teeter / Anthropologie / Nike / Bed, Bath &amp;</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Beyond / Old Navy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4"/>
                <w:szCs w:val="14"/>
                <w:color w:val="auto"/>
              </w:rPr>
            </w:pPr>
          </w:p>
        </w:tc>
        <w:tc>
          <w:tcPr>
            <w:tcW w:w="2240" w:type="dxa"/>
            <w:vAlign w:val="bottom"/>
          </w:tcPr>
          <w:p>
            <w:pPr>
              <w:ind w:left="40"/>
              <w:spacing w:after="0"/>
              <w:rPr>
                <w:sz w:val="20"/>
                <w:szCs w:val="20"/>
                <w:color w:val="auto"/>
              </w:rPr>
            </w:pPr>
            <w:r>
              <w:rPr>
                <w:rFonts w:ascii="Arial" w:cs="Arial" w:eastAsia="Arial" w:hAnsi="Arial"/>
                <w:sz w:val="13"/>
                <w:szCs w:val="13"/>
                <w:color w:val="auto"/>
                <w:w w:val="91"/>
              </w:rPr>
              <w:t>Hartford-West Hartford-East Hartford, CT</w:t>
            </w:r>
          </w:p>
        </w:tc>
        <w:tc>
          <w:tcPr>
            <w:tcW w:w="680" w:type="dxa"/>
            <w:vAlign w:val="bottom"/>
          </w:tcPr>
          <w:p>
            <w:pPr>
              <w:jc w:val="right"/>
              <w:spacing w:after="0"/>
              <w:rPr>
                <w:sz w:val="20"/>
                <w:szCs w:val="20"/>
                <w:color w:val="auto"/>
              </w:rPr>
            </w:pPr>
            <w:r>
              <w:rPr>
                <w:rFonts w:ascii="Arial" w:cs="Arial" w:eastAsia="Arial" w:hAnsi="Arial"/>
                <w:sz w:val="13"/>
                <w:szCs w:val="13"/>
                <w:color w:val="auto"/>
              </w:rPr>
              <w:t>33,012</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264,000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74,000</w:t>
            </w:r>
          </w:p>
        </w:tc>
        <w:tc>
          <w:tcPr>
            <w:tcW w:w="800" w:type="dxa"/>
            <w:vAlign w:val="bottom"/>
          </w:tcPr>
          <w:p>
            <w:pPr>
              <w:ind w:left="80"/>
              <w:spacing w:after="0"/>
              <w:rPr>
                <w:sz w:val="20"/>
                <w:szCs w:val="20"/>
                <w:color w:val="auto"/>
              </w:rPr>
            </w:pPr>
            <w:r>
              <w:rPr>
                <w:rFonts w:ascii="Arial" w:cs="Arial" w:eastAsia="Arial" w:hAnsi="Arial"/>
                <w:sz w:val="13"/>
                <w:szCs w:val="13"/>
                <w:color w:val="auto"/>
                <w:w w:val="95"/>
              </w:rPr>
              <w:t>Stop &amp; Shop</w:t>
            </w:r>
          </w:p>
        </w:tc>
        <w:tc>
          <w:tcPr>
            <w:tcW w:w="2020" w:type="dxa"/>
            <w:vAlign w:val="bottom"/>
          </w:tcPr>
          <w:p>
            <w:pPr>
              <w:ind w:left="60"/>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9" w:lineRule="exact"/>
              <w:rPr>
                <w:sz w:val="20"/>
                <w:szCs w:val="20"/>
                <w:color w:val="auto"/>
              </w:rPr>
            </w:pPr>
            <w:r>
              <w:rPr>
                <w:rFonts w:ascii="Arial" w:cs="Arial" w:eastAsia="Arial" w:hAnsi="Arial"/>
                <w:sz w:val="13"/>
                <w:szCs w:val="13"/>
                <w:color w:val="auto"/>
              </w:rPr>
              <w:t>Gratiot Plaza</w:t>
            </w:r>
          </w:p>
        </w:tc>
        <w:tc>
          <w:tcPr>
            <w:tcW w:w="400" w:type="dxa"/>
            <w:vAlign w:val="bottom"/>
            <w:shd w:val="clear" w:color="auto" w:fill="CCEEFF"/>
          </w:tcPr>
          <w:p>
            <w:pPr>
              <w:spacing w:after="0"/>
              <w:rPr>
                <w:sz w:val="11"/>
                <w:szCs w:val="11"/>
                <w:color w:val="auto"/>
              </w:rPr>
            </w:pPr>
          </w:p>
        </w:tc>
        <w:tc>
          <w:tcPr>
            <w:tcW w:w="2240" w:type="dxa"/>
            <w:vAlign w:val="bottom"/>
            <w:shd w:val="clear" w:color="auto" w:fill="CCEEFF"/>
          </w:tcPr>
          <w:p>
            <w:pPr>
              <w:ind w:left="40"/>
              <w:spacing w:after="0" w:line="129" w:lineRule="exact"/>
              <w:rPr>
                <w:sz w:val="20"/>
                <w:szCs w:val="20"/>
                <w:color w:val="auto"/>
              </w:rPr>
            </w:pPr>
            <w:r>
              <w:rPr>
                <w:rFonts w:ascii="Arial" w:cs="Arial" w:eastAsia="Arial" w:hAnsi="Arial"/>
                <w:sz w:val="13"/>
                <w:szCs w:val="13"/>
                <w:color w:val="auto"/>
              </w:rPr>
              <w:t>Detroit-Warren-Dearborn, MI</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20,098</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100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9" w:lineRule="exact"/>
              <w:rPr>
                <w:sz w:val="20"/>
                <w:szCs w:val="20"/>
                <w:color w:val="auto"/>
              </w:rPr>
            </w:pPr>
            <w:r>
              <w:rPr>
                <w:rFonts w:ascii="Arial" w:cs="Arial" w:eastAsia="Arial" w:hAnsi="Arial"/>
                <w:sz w:val="13"/>
                <w:szCs w:val="13"/>
                <w:color w:val="auto"/>
                <w:w w:val="85"/>
              </w:rPr>
              <w:t>69,000</w:t>
            </w:r>
          </w:p>
        </w:tc>
        <w:tc>
          <w:tcPr>
            <w:tcW w:w="800" w:type="dxa"/>
            <w:vAlign w:val="bottom"/>
            <w:shd w:val="clear" w:color="auto" w:fill="CCEEFF"/>
          </w:tcPr>
          <w:p>
            <w:pPr>
              <w:ind w:left="80"/>
              <w:spacing w:after="0" w:line="129" w:lineRule="exact"/>
              <w:rPr>
                <w:sz w:val="20"/>
                <w:szCs w:val="20"/>
                <w:color w:val="auto"/>
              </w:rPr>
            </w:pPr>
            <w:r>
              <w:rPr>
                <w:rFonts w:ascii="Arial" w:cs="Arial" w:eastAsia="Arial" w:hAnsi="Arial"/>
                <w:sz w:val="13"/>
                <w:szCs w:val="13"/>
                <w:color w:val="auto"/>
              </w:rPr>
              <w:t>Kroger</w:t>
            </w:r>
          </w:p>
        </w:tc>
        <w:tc>
          <w:tcPr>
            <w:tcW w:w="2020" w:type="dxa"/>
            <w:vAlign w:val="bottom"/>
            <w:shd w:val="clear" w:color="auto" w:fill="CCEEFF"/>
          </w:tcPr>
          <w:p>
            <w:pPr>
              <w:ind w:left="60"/>
              <w:spacing w:after="0" w:line="129" w:lineRule="exact"/>
              <w:rPr>
                <w:sz w:val="20"/>
                <w:szCs w:val="20"/>
                <w:color w:val="auto"/>
              </w:rPr>
            </w:pPr>
            <w:r>
              <w:rPr>
                <w:rFonts w:ascii="Arial" w:cs="Arial" w:eastAsia="Arial" w:hAnsi="Arial"/>
                <w:sz w:val="13"/>
                <w:szCs w:val="13"/>
                <w:color w:val="auto"/>
              </w:rPr>
              <w:t>Bed, Bath &amp; Beyond / Best Buy /</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3"/>
                <w:szCs w:val="13"/>
                <w:color w:val="auto"/>
              </w:rPr>
              <w:t>Lancaster</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2240" w:type="dxa"/>
            <w:vAlign w:val="bottom"/>
          </w:tcPr>
          <w:p>
            <w:pPr>
              <w:ind w:left="40"/>
              <w:spacing w:after="0"/>
              <w:rPr>
                <w:sz w:val="20"/>
                <w:szCs w:val="20"/>
                <w:color w:val="auto"/>
              </w:rPr>
            </w:pPr>
            <w:r>
              <w:rPr>
                <w:rFonts w:ascii="Arial" w:cs="Arial" w:eastAsia="Arial" w:hAnsi="Arial"/>
                <w:sz w:val="13"/>
                <w:szCs w:val="13"/>
                <w:color w:val="auto"/>
              </w:rPr>
              <w:t>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13,155</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5,532</w:t>
            </w: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126,000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81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0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29th Place</w:t>
            </w: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38,802</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HomeGoods / DSW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Arial" w:cs="Arial" w:eastAsia="Arial" w:hAnsi="Arial"/>
                <w:sz w:val="13"/>
                <w:szCs w:val="13"/>
                <w:color w:val="auto"/>
              </w:rPr>
              <w:t>Willow Lawn</w:t>
            </w:r>
          </w:p>
        </w:tc>
        <w:tc>
          <w:tcPr>
            <w:tcW w:w="400" w:type="dxa"/>
            <w:vAlign w:val="bottom"/>
          </w:tcPr>
          <w:p>
            <w:pPr>
              <w:spacing w:after="0"/>
              <w:rPr>
                <w:sz w:val="10"/>
                <w:szCs w:val="10"/>
                <w:color w:val="auto"/>
              </w:rPr>
            </w:pPr>
          </w:p>
        </w:tc>
        <w:tc>
          <w:tcPr>
            <w:tcW w:w="2240" w:type="dxa"/>
            <w:vAlign w:val="bottom"/>
          </w:tcPr>
          <w:p>
            <w:pPr>
              <w:ind w:left="40"/>
              <w:spacing w:after="0" w:line="122" w:lineRule="exact"/>
              <w:rPr>
                <w:sz w:val="20"/>
                <w:szCs w:val="20"/>
                <w:color w:val="auto"/>
              </w:rPr>
            </w:pPr>
            <w:r>
              <w:rPr>
                <w:rFonts w:ascii="Arial" w:cs="Arial" w:eastAsia="Arial" w:hAnsi="Arial"/>
                <w:sz w:val="13"/>
                <w:szCs w:val="13"/>
                <w:color w:val="auto"/>
              </w:rPr>
              <w:t>Richmond, VA</w:t>
            </w:r>
          </w:p>
        </w:tc>
        <w:tc>
          <w:tcPr>
            <w:tcW w:w="680" w:type="dxa"/>
            <w:vAlign w:val="bottom"/>
          </w:tcPr>
          <w:p>
            <w:pPr>
              <w:jc w:val="right"/>
              <w:spacing w:after="0" w:line="122" w:lineRule="exact"/>
              <w:rPr>
                <w:sz w:val="20"/>
                <w:szCs w:val="20"/>
                <w:color w:val="auto"/>
              </w:rPr>
            </w:pPr>
            <w:r>
              <w:rPr>
                <w:rFonts w:ascii="Arial" w:cs="Arial" w:eastAsia="Arial" w:hAnsi="Arial"/>
                <w:sz w:val="13"/>
                <w:szCs w:val="13"/>
                <w:color w:val="auto"/>
              </w:rPr>
              <w:t>104,412</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3"/>
                <w:szCs w:val="13"/>
                <w:color w:val="auto"/>
              </w:rPr>
              <w:t>37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color w:val="auto"/>
              </w:rPr>
              <w:t>464,000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3"/>
                <w:szCs w:val="13"/>
                <w:color w:val="auto"/>
              </w:rPr>
              <w:t>96</w:t>
            </w:r>
          </w:p>
        </w:tc>
        <w:tc>
          <w:tcPr>
            <w:tcW w:w="160" w:type="dxa"/>
            <w:vAlign w:val="bottom"/>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3"/>
                <w:szCs w:val="13"/>
                <w:color w:val="auto"/>
                <w:w w:val="85"/>
              </w:rPr>
              <w:t>66,000</w:t>
            </w:r>
          </w:p>
        </w:tc>
        <w:tc>
          <w:tcPr>
            <w:tcW w:w="800" w:type="dxa"/>
            <w:vAlign w:val="bottom"/>
          </w:tcPr>
          <w:p>
            <w:pPr>
              <w:ind w:left="80"/>
              <w:spacing w:after="0" w:line="122" w:lineRule="exact"/>
              <w:rPr>
                <w:sz w:val="20"/>
                <w:szCs w:val="20"/>
                <w:color w:val="auto"/>
              </w:rPr>
            </w:pPr>
            <w:r>
              <w:rPr>
                <w:rFonts w:ascii="Arial" w:cs="Arial" w:eastAsia="Arial" w:hAnsi="Arial"/>
                <w:sz w:val="13"/>
                <w:szCs w:val="13"/>
                <w:color w:val="auto"/>
              </w:rPr>
              <w:t>Kroger</w:t>
            </w:r>
          </w:p>
        </w:tc>
        <w:tc>
          <w:tcPr>
            <w:tcW w:w="2020" w:type="dxa"/>
            <w:vAlign w:val="bottom"/>
          </w:tcPr>
          <w:p>
            <w:pPr>
              <w:ind w:left="60"/>
              <w:spacing w:after="0" w:line="122" w:lineRule="exact"/>
              <w:rPr>
                <w:sz w:val="20"/>
                <w:szCs w:val="20"/>
                <w:color w:val="auto"/>
              </w:rPr>
            </w:pPr>
            <w:r>
              <w:rPr>
                <w:rFonts w:ascii="Arial" w:cs="Arial" w:eastAsia="Arial" w:hAnsi="Arial"/>
                <w:sz w:val="13"/>
                <w:szCs w:val="13"/>
                <w:color w:val="auto"/>
              </w:rPr>
              <w:t>Old Navy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w w:val="93"/>
              </w:rPr>
              <w:t>Gold's Gym / Dick's Sporting 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4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279,053</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1,734,000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7"/>
              </w:rPr>
              <w:t>$ 8,780,716</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540,840</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1,895</w:t>
            </w: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6"/>
              </w:rPr>
              <w:t>23,322,000</w:t>
            </w: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92 %</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5"/>
              </w:rPr>
              <w:t>2,869</w:t>
            </w:r>
          </w:p>
        </w:tc>
        <w:tc>
          <w:tcPr>
            <w:tcW w:w="5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0"/>
        <w:spacing w:after="0"/>
        <w:rPr>
          <w:sz w:val="20"/>
          <w:szCs w:val="20"/>
          <w:color w:val="auto"/>
        </w:rPr>
      </w:pPr>
      <w:r>
        <w:rPr>
          <w:rFonts w:ascii="Arial" w:cs="Arial" w:eastAsia="Arial" w:hAnsi="Arial"/>
          <w:sz w:val="14"/>
          <w:szCs w:val="14"/>
          <w:u w:val="single" w:color="auto"/>
          <w:color w:val="auto"/>
        </w:rPr>
        <w:t>Notes:</w:t>
      </w:r>
    </w:p>
    <w:p>
      <w:pPr>
        <w:spacing w:after="0" w:line="36" w:lineRule="exact"/>
        <w:rPr>
          <w:sz w:val="20"/>
          <w:szCs w:val="20"/>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Includes "Finance lease right of use assets."</w:t>
      </w:r>
    </w:p>
    <w:p>
      <w:pPr>
        <w:spacing w:after="0" w:line="28" w:lineRule="exact"/>
        <w:rPr>
          <w:rFonts w:ascii="Arial" w:cs="Arial" w:eastAsia="Arial" w:hAnsi="Arial"/>
          <w:sz w:val="14"/>
          <w:szCs w:val="14"/>
          <w:color w:val="auto"/>
        </w:rPr>
      </w:pPr>
    </w:p>
    <w:p>
      <w:pPr>
        <w:ind w:left="600" w:right="80" w:hanging="561"/>
        <w:spacing w:after="0" w:line="237"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7" w:lineRule="exact"/>
        <w:rPr>
          <w:rFonts w:ascii="Arial" w:cs="Arial" w:eastAsia="Arial" w:hAnsi="Arial"/>
          <w:sz w:val="14"/>
          <w:szCs w:val="14"/>
          <w:color w:val="auto"/>
        </w:rPr>
      </w:pPr>
    </w:p>
    <w:p>
      <w:pPr>
        <w:ind w:left="600" w:right="320" w:hanging="561"/>
        <w:spacing w:after="0" w:line="237"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The Trust has a controlling financial interest in this property.</w:t>
      </w:r>
    </w:p>
    <w:p>
      <w:pPr>
        <w:spacing w:after="0" w:line="28" w:lineRule="exact"/>
        <w:rPr>
          <w:rFonts w:ascii="Arial" w:cs="Arial" w:eastAsia="Arial" w:hAnsi="Arial"/>
          <w:sz w:val="14"/>
          <w:szCs w:val="14"/>
          <w:color w:val="auto"/>
        </w:rPr>
      </w:pPr>
    </w:p>
    <w:p>
      <w:pPr>
        <w:ind w:left="600" w:right="360" w:hanging="561"/>
        <w:spacing w:after="0" w:line="237" w:lineRule="auto"/>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7" w:lineRule="exact"/>
        <w:rPr>
          <w:rFonts w:ascii="Arial" w:cs="Arial" w:eastAsia="Arial" w:hAnsi="Arial"/>
          <w:sz w:val="14"/>
          <w:szCs w:val="14"/>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Portion of property is currently under development. See further discussion in the Assembly Row and Pike &amp; Rose schedules.</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All or a portion of the property is subject to finance lease liabilities.</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This property includes 39 buildings primarily along Washington Street and 14th Street in Hoboken, New Jersey.</w:t>
      </w:r>
    </w:p>
    <w:p>
      <w:pPr>
        <w:spacing w:after="0" w:line="28" w:lineRule="exact"/>
        <w:rPr>
          <w:rFonts w:ascii="Arial" w:cs="Arial" w:eastAsia="Arial" w:hAnsi="Arial"/>
          <w:sz w:val="14"/>
          <w:szCs w:val="14"/>
          <w:color w:val="auto"/>
        </w:rPr>
      </w:pPr>
    </w:p>
    <w:p>
      <w:pPr>
        <w:ind w:left="600" w:hanging="561"/>
        <w:spacing w:after="0"/>
        <w:tabs>
          <w:tab w:leader="none" w:pos="600" w:val="left"/>
        </w:tabs>
        <w:numPr>
          <w:ilvl w:val="0"/>
          <w:numId w:val="17"/>
        </w:numPr>
        <w:rPr>
          <w:rFonts w:ascii="Arial" w:cs="Arial" w:eastAsia="Arial" w:hAnsi="Arial"/>
          <w:sz w:val="14"/>
          <w:szCs w:val="14"/>
          <w:color w:val="auto"/>
        </w:rPr>
      </w:pPr>
      <w:r>
        <w:rPr>
          <w:rFonts w:ascii="Arial" w:cs="Arial" w:eastAsia="Arial" w:hAnsi="Arial"/>
          <w:sz w:val="13"/>
          <w:szCs w:val="13"/>
          <w:color w:val="auto"/>
        </w:rPr>
        <w:t>This property includes interests in five buildings in addition to our initial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30"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2021</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0"/>
                <w:szCs w:val="10"/>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Annual</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Pr>
          <w:p>
            <w:pPr>
              <w:spacing w:after="0"/>
              <w:rPr>
                <w:sz w:val="10"/>
                <w:szCs w:val="10"/>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3"/>
              </w:rPr>
              <w:t>Straight-lined</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0"/>
                <w:szCs w:val="10"/>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0"/>
                <w:szCs w:val="10"/>
                <w:color w:val="auto"/>
              </w:rPr>
            </w:pPr>
          </w:p>
        </w:tc>
        <w:tc>
          <w:tcPr>
            <w:tcW w:w="72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(Decrease)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5"/>
              </w:rPr>
              <w:t>(Decrease)</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Increase Over</w:t>
            </w:r>
          </w:p>
        </w:tc>
        <w:tc>
          <w:tcPr>
            <w:tcW w:w="9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6"/>
              </w:rPr>
              <w:t>Basis % Increase</w:t>
            </w: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Increase in Rent</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1"/>
                <w:szCs w:val="11"/>
                <w:b w:val="1"/>
                <w:bCs w:val="1"/>
                <w:color w:val="auto"/>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506,307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36.58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1,488,763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16,231,682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32.06</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449,783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32.16</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31.95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93,635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12,945,573</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28.78</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2020</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471,726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37.38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(169,801)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16,274,556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8"/>
              </w:rPr>
              <w:t>2nd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277,681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28.55</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25.64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805,618</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8,590,153</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30.94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1,705,497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2,218,215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54,041,964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31.69</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54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Annual</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3"/>
              </w:rPr>
              <w:t>Straight-lined</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2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(Decrease)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5"/>
              </w:rPr>
              <w:t>(Decrease)</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Increase Over</w:t>
            </w:r>
          </w:p>
        </w:tc>
        <w:tc>
          <w:tcPr>
            <w:tcW w:w="9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6"/>
              </w:rPr>
              <w:t>Basis % Increase</w:t>
            </w: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Increase in Rent</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1"/>
                <w:szCs w:val="11"/>
                <w:b w:val="1"/>
                <w:bCs w:val="1"/>
                <w:color w:val="auto"/>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39.70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1,337,437</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14,773,582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67.15</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156,262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37.27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(253,720)</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12,731,293</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81.47</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2020</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36.23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(100,451)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15,427,773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93.67</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8"/>
              </w:rPr>
              <w:t>2nd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122,726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26.79</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20.36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789,852</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8,483,168</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69.12</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144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663,714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35.50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1,773,118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51,415,816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77.47</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28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Renewal Lease Summary - Comparable (2) (8)</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4"/>
              </w:rPr>
              <w:t>Number of</w:t>
            </w: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1"/>
                <w:szCs w:val="11"/>
                <w:b w:val="1"/>
                <w:bCs w:val="1"/>
                <w:color w:val="auto"/>
                <w:w w:val="91"/>
              </w:rPr>
              <w:t>Contractual</w:t>
            </w:r>
          </w:p>
        </w:tc>
        <w:tc>
          <w:tcPr>
            <w:tcW w:w="6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90"/>
              </w:rPr>
              <w:t>Prior Rent</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91"/>
              </w:rPr>
              <w:t>Annual</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Cash Basis %</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3"/>
              </w:rPr>
              <w:t>Straight-lined</w:t>
            </w: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2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1"/>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8"/>
              </w:rPr>
              <w:t>(Decrease)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6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85"/>
              </w:rPr>
              <w:t>Leases</w:t>
            </w:r>
          </w:p>
        </w:tc>
        <w:tc>
          <w:tcPr>
            <w:tcW w:w="1000" w:type="dxa"/>
            <w:vAlign w:val="bottom"/>
            <w:gridSpan w:val="3"/>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9"/>
                <w:szCs w:val="9"/>
                <w:color w:val="auto"/>
              </w:rPr>
            </w:pPr>
          </w:p>
        </w:tc>
        <w:tc>
          <w:tcPr>
            <w:tcW w:w="760" w:type="dxa"/>
            <w:vAlign w:val="bottom"/>
            <w:gridSpan w:val="3"/>
          </w:tcPr>
          <w:p>
            <w:pPr>
              <w:jc w:val="center"/>
              <w:ind w:right="200"/>
              <w:spacing w:after="0" w:line="108" w:lineRule="exact"/>
              <w:rPr>
                <w:sz w:val="20"/>
                <w:szCs w:val="20"/>
                <w:color w:val="auto"/>
              </w:rPr>
            </w:pPr>
            <w:r>
              <w:rPr>
                <w:rFonts w:ascii="Arial" w:cs="Arial" w:eastAsia="Arial" w:hAnsi="Arial"/>
                <w:sz w:val="11"/>
                <w:szCs w:val="11"/>
                <w:b w:val="1"/>
                <w:bCs w:val="1"/>
                <w:color w:val="auto"/>
                <w:w w:val="90"/>
              </w:rPr>
              <w:t>Rent (3) Per</w:t>
            </w:r>
          </w:p>
        </w:tc>
        <w:tc>
          <w:tcPr>
            <w:tcW w:w="6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(4) Per Sq.</w:t>
            </w:r>
          </w:p>
        </w:tc>
        <w:tc>
          <w:tcPr>
            <w:tcW w:w="140" w:type="dxa"/>
            <w:vAlign w:val="bottom"/>
          </w:tcPr>
          <w:p>
            <w:pPr>
              <w:spacing w:after="0"/>
              <w:rPr>
                <w:sz w:val="9"/>
                <w:szCs w:val="9"/>
                <w:color w:val="auto"/>
              </w:rPr>
            </w:pPr>
          </w:p>
        </w:tc>
        <w:tc>
          <w:tcPr>
            <w:tcW w:w="820" w:type="dxa"/>
            <w:vAlign w:val="bottom"/>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85"/>
              </w:rPr>
              <w:t>(Decrease)</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1"/>
                <w:szCs w:val="11"/>
                <w:b w:val="1"/>
                <w:bCs w:val="1"/>
                <w:color w:val="auto"/>
                <w:w w:val="90"/>
              </w:rPr>
              <w:t>Increase Over</w:t>
            </w:r>
          </w:p>
        </w:tc>
        <w:tc>
          <w:tcPr>
            <w:tcW w:w="980" w:type="dxa"/>
            <w:vAlign w:val="bottom"/>
            <w:gridSpan w:val="3"/>
          </w:tcPr>
          <w:p>
            <w:pPr>
              <w:jc w:val="center"/>
              <w:ind w:right="120"/>
              <w:spacing w:after="0" w:line="108" w:lineRule="exact"/>
              <w:rPr>
                <w:sz w:val="20"/>
                <w:szCs w:val="20"/>
                <w:color w:val="auto"/>
              </w:rPr>
            </w:pPr>
            <w:r>
              <w:rPr>
                <w:rFonts w:ascii="Arial" w:cs="Arial" w:eastAsia="Arial" w:hAnsi="Arial"/>
                <w:sz w:val="11"/>
                <w:szCs w:val="11"/>
                <w:b w:val="1"/>
                <w:bCs w:val="1"/>
                <w:color w:val="auto"/>
                <w:w w:val="86"/>
              </w:rPr>
              <w:t>Basis % Increase</w:t>
            </w: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Signed</w:t>
            </w:r>
          </w:p>
        </w:tc>
        <w:tc>
          <w:tcPr>
            <w:tcW w:w="100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85"/>
              </w:rPr>
              <w:t>Leases Signed</w:t>
            </w: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Sq. Ft.</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Ft.</w:t>
            </w:r>
          </w:p>
        </w:tc>
        <w:tc>
          <w:tcPr>
            <w:tcW w:w="96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9"/>
              </w:rPr>
              <w:t>Increase in Rent</w:t>
            </w:r>
          </w:p>
        </w:tc>
        <w:tc>
          <w:tcPr>
            <w:tcW w:w="9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Prior Rent</w:t>
            </w:r>
          </w:p>
        </w:tc>
        <w:tc>
          <w:tcPr>
            <w:tcW w:w="9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Over Prior Rent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1"/>
                <w:szCs w:val="11"/>
                <w:b w:val="1"/>
                <w:bCs w:val="1"/>
                <w:color w:val="auto"/>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48 %</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34.18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151,326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1,458,100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293,521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30.30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347,355</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214,280</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0.73</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2020</w:t>
            </w:r>
          </w:p>
        </w:tc>
        <w:tc>
          <w:tcPr>
            <w:tcW w:w="660" w:type="dxa"/>
            <w:vAlign w:val="bottom"/>
            <w:gridSpan w:val="2"/>
            <w:shd w:val="clear" w:color="auto" w:fill="CCEEFF"/>
          </w:tcPr>
          <w:p>
            <w:pPr>
              <w:jc w:val="right"/>
              <w:ind w:right="2"/>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60 %</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38.00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(69,350)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846,783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w w:val="98"/>
              </w:rPr>
              <w:t>2nd Quarter 2020</w:t>
            </w:r>
          </w:p>
        </w:tc>
        <w:tc>
          <w:tcPr>
            <w:tcW w:w="660" w:type="dxa"/>
            <w:vAlign w:val="bottom"/>
            <w:gridSpan w:val="2"/>
          </w:tcPr>
          <w:p>
            <w:pPr>
              <w:jc w:val="right"/>
              <w:ind w:right="2"/>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74 %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154,955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6"/>
              <w:spacing w:after="0"/>
              <w:rPr>
                <w:sz w:val="20"/>
                <w:szCs w:val="20"/>
                <w:color w:val="auto"/>
              </w:rPr>
            </w:pPr>
            <w:r>
              <w:rPr>
                <w:rFonts w:ascii="Arial" w:cs="Arial" w:eastAsia="Arial" w:hAnsi="Arial"/>
                <w:sz w:val="14"/>
                <w:szCs w:val="14"/>
                <w:color w:val="auto"/>
              </w:rPr>
              <w:t>29.93</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29.83</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15,766</w:t>
            </w:r>
          </w:p>
        </w:tc>
        <w:tc>
          <w:tcPr>
            <w:tcW w:w="10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106,985</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0.69</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4"/>
                <w:szCs w:val="14"/>
                <w:color w:val="auto"/>
              </w:rPr>
              <w:t>200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58 %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1,041,783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4"/>
                <w:szCs w:val="14"/>
                <w:color w:val="auto"/>
              </w:rPr>
              <w:t>33.58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445,097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2,626,148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62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8"/>
              </w:rPr>
              <w:t>Weighted</w:t>
            </w:r>
          </w:p>
        </w:tc>
        <w:tc>
          <w:tcPr>
            <w:tcW w:w="8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8"/>
              </w:rPr>
              <w:t>Tenant</w:t>
            </w:r>
          </w:p>
        </w:tc>
        <w:tc>
          <w:tcPr>
            <w:tcW w:w="180" w:type="dxa"/>
            <w:vAlign w:val="bottom"/>
          </w:tcPr>
          <w:p>
            <w:pPr>
              <w:spacing w:after="0"/>
              <w:rPr>
                <w:sz w:val="11"/>
                <w:szCs w:val="11"/>
                <w:color w:val="auto"/>
              </w:rPr>
            </w:pPr>
          </w:p>
        </w:tc>
        <w:tc>
          <w:tcPr>
            <w:tcW w:w="720" w:type="dxa"/>
            <w:vAlign w:val="bottom"/>
          </w:tcPr>
          <w:p>
            <w:pPr>
              <w:jc w:val="center"/>
              <w:ind w:right="93"/>
              <w:spacing w:after="0"/>
              <w:rPr>
                <w:sz w:val="20"/>
                <w:szCs w:val="20"/>
                <w:color w:val="auto"/>
              </w:rPr>
            </w:pPr>
            <w:r>
              <w:rPr>
                <w:rFonts w:ascii="Arial" w:cs="Arial" w:eastAsia="Arial" w:hAnsi="Arial"/>
                <w:sz w:val="11"/>
                <w:szCs w:val="11"/>
                <w:b w:val="1"/>
                <w:bCs w:val="1"/>
                <w:color w:val="auto"/>
                <w:w w:val="88"/>
              </w:rPr>
              <w:t>Tenant</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Contractual Rent</w:t>
            </w: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Average</w:t>
            </w:r>
          </w:p>
        </w:tc>
        <w:tc>
          <w:tcPr>
            <w:tcW w:w="8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1"/>
                <w:szCs w:val="11"/>
                <w:b w:val="1"/>
                <w:bCs w:val="1"/>
                <w:color w:val="auto"/>
              </w:rPr>
              <w:t>Quarter</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5"/>
              </w:rPr>
              <w:t>Leases</w:t>
            </w:r>
          </w:p>
        </w:tc>
        <w:tc>
          <w:tcPr>
            <w:tcW w:w="140" w:type="dxa"/>
            <w:vAlign w:val="bottom"/>
          </w:tcPr>
          <w:p>
            <w:pPr>
              <w:spacing w:after="0"/>
              <w:rPr>
                <w:sz w:val="9"/>
                <w:szCs w:val="9"/>
                <w:color w:val="auto"/>
              </w:rPr>
            </w:pPr>
          </w:p>
        </w:tc>
        <w:tc>
          <w:tcPr>
            <w:tcW w:w="1780" w:type="dxa"/>
            <w:vAlign w:val="bottom"/>
            <w:gridSpan w:val="4"/>
            <w:vMerge w:val="restart"/>
          </w:tcPr>
          <w:p>
            <w:pPr>
              <w:ind w:left="480"/>
              <w:spacing w:after="0"/>
              <w:rPr>
                <w:sz w:val="20"/>
                <w:szCs w:val="20"/>
                <w:color w:val="auto"/>
              </w:rPr>
            </w:pPr>
            <w:r>
              <w:rPr>
                <w:rFonts w:ascii="Arial" w:cs="Arial" w:eastAsia="Arial" w:hAnsi="Arial"/>
                <w:sz w:val="11"/>
                <w:szCs w:val="11"/>
                <w:b w:val="1"/>
                <w:bCs w:val="1"/>
                <w:color w:val="auto"/>
              </w:rPr>
              <w:t>GLA Signed</w:t>
            </w:r>
          </w:p>
        </w:tc>
        <w:tc>
          <w:tcPr>
            <w:tcW w:w="980" w:type="dxa"/>
            <w:vAlign w:val="bottom"/>
            <w:gridSpan w:val="3"/>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8"/>
              </w:rPr>
              <w:t>Lease Term</w:t>
            </w:r>
          </w:p>
        </w:tc>
        <w:tc>
          <w:tcPr>
            <w:tcW w:w="80" w:type="dxa"/>
            <w:vAlign w:val="bottom"/>
          </w:tcPr>
          <w:p>
            <w:pPr>
              <w:spacing w:after="0"/>
              <w:rPr>
                <w:sz w:val="9"/>
                <w:szCs w:val="9"/>
                <w:color w:val="auto"/>
              </w:rPr>
            </w:pPr>
          </w:p>
        </w:tc>
        <w:tc>
          <w:tcPr>
            <w:tcW w:w="100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0"/>
              </w:rPr>
              <w:t>Improvements &amp;</w:t>
            </w:r>
          </w:p>
        </w:tc>
        <w:tc>
          <w:tcPr>
            <w:tcW w:w="90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6"/>
              </w:rPr>
              <w:t>Incentives Per Sq.</w:t>
            </w: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7"/>
              </w:rPr>
              <w:t>Signed</w:t>
            </w:r>
          </w:p>
        </w:tc>
        <w:tc>
          <w:tcPr>
            <w:tcW w:w="14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(3) Per Sq. Ft.</w:t>
            </w: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13"/>
              <w:spacing w:after="0"/>
              <w:rPr>
                <w:sz w:val="20"/>
                <w:szCs w:val="20"/>
                <w:color w:val="auto"/>
              </w:rPr>
            </w:pPr>
            <w:r>
              <w:rPr>
                <w:rFonts w:ascii="Arial" w:cs="Arial" w:eastAsia="Arial" w:hAnsi="Arial"/>
                <w:sz w:val="11"/>
                <w:szCs w:val="11"/>
                <w:b w:val="1"/>
                <w:bCs w:val="1"/>
                <w:color w:val="auto"/>
              </w:rPr>
              <w:t>Ft.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2021</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514,636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36.94</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17,005,312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w:t>
            </w: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4th Quarter 2020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color w:val="auto"/>
              </w:rPr>
              <w:t>468,901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11"/>
              <w:spacing w:after="0"/>
              <w:rPr>
                <w:sz w:val="20"/>
                <w:szCs w:val="20"/>
                <w:color w:val="auto"/>
              </w:rPr>
            </w:pPr>
            <w:r>
              <w:rPr>
                <w:rFonts w:ascii="Arial" w:cs="Arial" w:eastAsia="Arial" w:hAnsi="Arial"/>
                <w:sz w:val="14"/>
                <w:szCs w:val="14"/>
                <w:color w:val="auto"/>
              </w:rPr>
              <w:t>32.67</w:t>
            </w:r>
          </w:p>
        </w:tc>
        <w:tc>
          <w:tcPr>
            <w:tcW w:w="120" w:type="dxa"/>
            <w:vAlign w:val="bottom"/>
          </w:tcPr>
          <w:p>
            <w:pPr>
              <w:spacing w:after="0"/>
              <w:rPr>
                <w:sz w:val="16"/>
                <w:szCs w:val="16"/>
                <w:color w:val="auto"/>
              </w:rPr>
            </w:pPr>
          </w:p>
        </w:tc>
        <w:tc>
          <w:tcPr>
            <w:tcW w:w="640" w:type="dxa"/>
            <w:vAlign w:val="bottom"/>
          </w:tcPr>
          <w:p>
            <w:pPr>
              <w:jc w:val="right"/>
              <w:ind w:right="16"/>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13,430,989</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28.64</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2020</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15"/>
              <w:spacing w:after="0"/>
              <w:rPr>
                <w:sz w:val="20"/>
                <w:szCs w:val="20"/>
                <w:color w:val="auto"/>
              </w:rPr>
            </w:pPr>
            <w:r>
              <w:rPr>
                <w:rFonts w:ascii="Arial" w:cs="Arial" w:eastAsia="Arial" w:hAnsi="Arial"/>
                <w:sz w:val="14"/>
                <w:szCs w:val="14"/>
                <w:color w:val="auto"/>
              </w:rPr>
              <w:t>481,105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37.66</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16,304,772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33.89</w:t>
            </w: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8"/>
              </w:rPr>
              <w:t>2nd Quarter 2020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314,679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26.16</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9,314,002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29.60</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Total - 12 months</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4"/>
                <w:szCs w:val="14"/>
                <w:color w:val="auto"/>
              </w:rPr>
              <w:t>1,779,321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34.10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56,055,075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31.50</w:t>
            </w:r>
          </w:p>
        </w:tc>
        <w:tc>
          <w:tcPr>
            <w:tcW w:w="3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sz w:val="20"/>
          <w:szCs w:val="20"/>
          <w:color w:val="auto"/>
        </w:rPr>
      </w:pPr>
      <w:r>
        <w:rPr>
          <w:rFonts w:ascii="Arial" w:cs="Arial" w:eastAsia="Arial" w:hAnsi="Arial"/>
          <w:sz w:val="13"/>
          <w:szCs w:val="13"/>
          <w:u w:val="single" w:color="auto"/>
          <w:color w:val="auto"/>
        </w:rPr>
        <w:t>Notes:</w:t>
      </w:r>
    </w:p>
    <w:p>
      <w:pPr>
        <w:spacing w:after="0" w:line="26" w:lineRule="exact"/>
        <w:rPr>
          <w:sz w:val="20"/>
          <w:szCs w:val="20"/>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Information reflects activity in retail spaces only; office and residential spaces are not included. See Glossary of Terms for further discussion of information included above.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Contractual rent represents annual market rent under the new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Prior rent represents contractual rent from the prior tenant in the final 12 months of the term.</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lease.</w:t>
      </w:r>
    </w:p>
    <w:p>
      <w:pPr>
        <w:spacing w:after="0" w:line="26"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26" w:lineRule="exact"/>
        <w:rPr>
          <w:rFonts w:ascii="Arial" w:cs="Arial" w:eastAsia="Arial" w:hAnsi="Arial"/>
          <w:sz w:val="13"/>
          <w:szCs w:val="13"/>
          <w:color w:val="auto"/>
        </w:rPr>
      </w:pPr>
    </w:p>
    <w:p>
      <w:pPr>
        <w:ind w:left="620" w:right="240" w:hanging="567"/>
        <w:spacing w:after="0" w:line="226" w:lineRule="auto"/>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Approximately $0.1 million ($0.03 per square foot) in 4th Quarter 2020 and $0.5 million ($0.90 per square foot) in 3rd Quarter 2020 of the Tenant Improvements &amp; Incentives are for properties under active redevelopment and are included in the Projected Cost for those properties on the Summary of Redevelopment Opportunities.</w:t>
      </w:r>
    </w:p>
    <w:p>
      <w:pPr>
        <w:spacing w:after="0" w:line="15" w:lineRule="exact"/>
        <w:rPr>
          <w:rFonts w:ascii="Arial" w:cs="Arial" w:eastAsia="Arial" w:hAnsi="Arial"/>
          <w:sz w:val="13"/>
          <w:szCs w:val="13"/>
          <w:color w:val="auto"/>
        </w:rPr>
      </w:pPr>
    </w:p>
    <w:p>
      <w:pPr>
        <w:ind w:left="620" w:hanging="567"/>
        <w:spacing w:after="0"/>
        <w:tabs>
          <w:tab w:leader="none" w:pos="6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26" w:lineRule="exact"/>
        <w:rPr>
          <w:rFonts w:ascii="Arial" w:cs="Arial" w:eastAsia="Arial" w:hAnsi="Arial"/>
          <w:sz w:val="13"/>
          <w:szCs w:val="13"/>
          <w:color w:val="auto"/>
        </w:rPr>
      </w:pPr>
    </w:p>
    <w:p>
      <w:pPr>
        <w:ind w:left="620" w:right="80" w:hanging="567"/>
        <w:spacing w:after="0" w:line="300" w:lineRule="auto"/>
        <w:tabs>
          <w:tab w:leader="none" w:pos="620" w:val="left"/>
        </w:tabs>
        <w:numPr>
          <w:ilvl w:val="0"/>
          <w:numId w:val="18"/>
        </w:numPr>
        <w:rPr>
          <w:rFonts w:ascii="Arial" w:cs="Arial" w:eastAsia="Arial" w:hAnsi="Arial"/>
          <w:sz w:val="10"/>
          <w:szCs w:val="10"/>
          <w:color w:val="auto"/>
        </w:rPr>
      </w:pPr>
      <w:r>
        <w:rPr>
          <w:rFonts w:ascii="Arial" w:cs="Arial" w:eastAsia="Arial" w:hAnsi="Arial"/>
          <w:sz w:val="10"/>
          <w:szCs w:val="10"/>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30" w:right="339" w:bottom="1440" w:gutter="0" w:footer="0" w:header="0"/>
        </w:sectPr>
      </w:pPr>
    </w:p>
    <w:bookmarkStart w:id="28" w:name="page29"/>
    <w:bookmarkEnd w:id="28"/>
    <w:p>
      <w:pPr>
        <w:ind w:left="1"/>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2" w:lineRule="exact"/>
        <w:rPr>
          <w:sz w:val="20"/>
          <w:szCs w:val="20"/>
          <w:color w:val="auto"/>
        </w:rPr>
      </w:pPr>
    </w:p>
    <w:p>
      <w:pPr>
        <w:ind w:left="21"/>
        <w:spacing w:after="0"/>
        <w:rPr>
          <w:sz w:val="20"/>
          <w:szCs w:val="20"/>
          <w:color w:val="auto"/>
        </w:rPr>
      </w:pPr>
      <w:r>
        <w:rPr>
          <w:rFonts w:ascii="Arial" w:cs="Arial" w:eastAsia="Arial" w:hAnsi="Arial"/>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2"/>
        </w:trPr>
        <w:tc>
          <w:tcPr>
            <w:tcW w:w="980" w:type="dxa"/>
            <w:vAlign w:val="bottom"/>
          </w:tcPr>
          <w:p>
            <w:pPr>
              <w:spacing w:after="0"/>
              <w:rPr>
                <w:sz w:val="16"/>
                <w:szCs w:val="16"/>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547,000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38.62</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991,000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1,704,000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12 % $</w:t>
            </w:r>
          </w:p>
        </w:tc>
        <w:tc>
          <w:tcPr>
            <w:tcW w:w="900" w:type="dxa"/>
            <w:vAlign w:val="bottom"/>
          </w:tcPr>
          <w:p>
            <w:pPr>
              <w:jc w:val="right"/>
              <w:spacing w:after="0"/>
              <w:rPr>
                <w:sz w:val="20"/>
                <w:szCs w:val="20"/>
                <w:color w:val="auto"/>
              </w:rPr>
            </w:pPr>
            <w:r>
              <w:rPr>
                <w:rFonts w:ascii="Arial" w:cs="Arial" w:eastAsia="Arial" w:hAnsi="Arial"/>
                <w:sz w:val="16"/>
                <w:szCs w:val="16"/>
                <w:color w:val="auto"/>
              </w:rPr>
              <w:t>17.10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877,000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45.01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2,581,000</w:t>
            </w:r>
          </w:p>
        </w:tc>
        <w:tc>
          <w:tcPr>
            <w:tcW w:w="920" w:type="dxa"/>
            <w:vAlign w:val="bottom"/>
          </w:tcPr>
          <w:p>
            <w:pPr>
              <w:jc w:val="right"/>
              <w:spacing w:after="0"/>
              <w:rPr>
                <w:sz w:val="20"/>
                <w:szCs w:val="20"/>
                <w:color w:val="auto"/>
              </w:rPr>
            </w:pPr>
            <w:r>
              <w:rPr>
                <w:rFonts w:ascii="Arial" w:cs="Arial" w:eastAsia="Arial" w:hAnsi="Arial"/>
                <w:sz w:val="16"/>
                <w:szCs w:val="16"/>
                <w:color w:val="auto"/>
              </w:rPr>
              <w:t>12 % $</w:t>
            </w:r>
          </w:p>
        </w:tc>
        <w:tc>
          <w:tcPr>
            <w:tcW w:w="1020" w:type="dxa"/>
            <w:vAlign w:val="bottom"/>
          </w:tcPr>
          <w:p>
            <w:pPr>
              <w:jc w:val="right"/>
              <w:spacing w:after="0"/>
              <w:rPr>
                <w:sz w:val="20"/>
                <w:szCs w:val="20"/>
                <w:color w:val="auto"/>
              </w:rPr>
            </w:pPr>
            <w:r>
              <w:rPr>
                <w:rFonts w:ascii="Arial" w:cs="Arial" w:eastAsia="Arial" w:hAnsi="Arial"/>
                <w:sz w:val="16"/>
                <w:szCs w:val="16"/>
                <w:color w:val="auto"/>
              </w:rPr>
              <w:t>26.59</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10 %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938,000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2,290,000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2,421,000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17 % $</w:t>
            </w:r>
          </w:p>
        </w:tc>
        <w:tc>
          <w:tcPr>
            <w:tcW w:w="900" w:type="dxa"/>
            <w:vAlign w:val="bottom"/>
          </w:tcPr>
          <w:p>
            <w:pPr>
              <w:jc w:val="right"/>
              <w:spacing w:after="0"/>
              <w:rPr>
                <w:sz w:val="20"/>
                <w:szCs w:val="20"/>
                <w:color w:val="auto"/>
              </w:rPr>
            </w:pPr>
            <w:r>
              <w:rPr>
                <w:rFonts w:ascii="Arial" w:cs="Arial" w:eastAsia="Arial" w:hAnsi="Arial"/>
                <w:sz w:val="16"/>
                <w:szCs w:val="16"/>
                <w:color w:val="auto"/>
              </w:rPr>
              <w:t>18.12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904,000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14 % $</w:t>
            </w:r>
          </w:p>
        </w:tc>
        <w:tc>
          <w:tcPr>
            <w:tcW w:w="880" w:type="dxa"/>
            <w:vAlign w:val="bottom"/>
          </w:tcPr>
          <w:p>
            <w:pPr>
              <w:jc w:val="right"/>
              <w:spacing w:after="0"/>
              <w:rPr>
                <w:sz w:val="20"/>
                <w:szCs w:val="20"/>
                <w:color w:val="auto"/>
              </w:rPr>
            </w:pPr>
            <w:r>
              <w:rPr>
                <w:rFonts w:ascii="Arial" w:cs="Arial" w:eastAsia="Arial" w:hAnsi="Arial"/>
                <w:sz w:val="16"/>
                <w:szCs w:val="16"/>
                <w:color w:val="auto"/>
              </w:rPr>
              <w:t>46.63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3,324,000</w:t>
            </w:r>
          </w:p>
        </w:tc>
        <w:tc>
          <w:tcPr>
            <w:tcW w:w="920" w:type="dxa"/>
            <w:vAlign w:val="bottom"/>
          </w:tcPr>
          <w:p>
            <w:pPr>
              <w:jc w:val="right"/>
              <w:spacing w:after="0"/>
              <w:rPr>
                <w:sz w:val="20"/>
                <w:szCs w:val="20"/>
                <w:color w:val="auto"/>
              </w:rPr>
            </w:pPr>
            <w:r>
              <w:rPr>
                <w:rFonts w:ascii="Arial" w:cs="Arial" w:eastAsia="Arial" w:hAnsi="Arial"/>
                <w:sz w:val="16"/>
                <w:szCs w:val="16"/>
                <w:color w:val="auto"/>
              </w:rPr>
              <w:t>16 % $</w:t>
            </w:r>
          </w:p>
        </w:tc>
        <w:tc>
          <w:tcPr>
            <w:tcW w:w="1020" w:type="dxa"/>
            <w:vAlign w:val="bottom"/>
          </w:tcPr>
          <w:p>
            <w:pPr>
              <w:jc w:val="right"/>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11 %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780,000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2,393,000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1,183,000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8 % $</w:t>
            </w:r>
          </w:p>
        </w:tc>
        <w:tc>
          <w:tcPr>
            <w:tcW w:w="900" w:type="dxa"/>
            <w:vAlign w:val="bottom"/>
          </w:tcPr>
          <w:p>
            <w:pPr>
              <w:jc w:val="right"/>
              <w:spacing w:after="0"/>
              <w:rPr>
                <w:sz w:val="20"/>
                <w:szCs w:val="20"/>
                <w:color w:val="auto"/>
              </w:rPr>
            </w:pPr>
            <w:r>
              <w:rPr>
                <w:rFonts w:ascii="Arial" w:cs="Arial" w:eastAsia="Arial" w:hAnsi="Arial"/>
                <w:sz w:val="16"/>
                <w:szCs w:val="16"/>
                <w:color w:val="auto"/>
              </w:rPr>
              <w:t>22.12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628,000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10 % $</w:t>
            </w:r>
          </w:p>
        </w:tc>
        <w:tc>
          <w:tcPr>
            <w:tcW w:w="880" w:type="dxa"/>
            <w:vAlign w:val="bottom"/>
          </w:tcPr>
          <w:p>
            <w:pPr>
              <w:jc w:val="right"/>
              <w:spacing w:after="0"/>
              <w:rPr>
                <w:sz w:val="20"/>
                <w:szCs w:val="20"/>
                <w:color w:val="auto"/>
              </w:rPr>
            </w:pPr>
            <w:r>
              <w:rPr>
                <w:rFonts w:ascii="Arial" w:cs="Arial" w:eastAsia="Arial" w:hAnsi="Arial"/>
                <w:sz w:val="16"/>
                <w:szCs w:val="16"/>
                <w:color w:val="auto"/>
              </w:rPr>
              <w:t>49.42</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1,811,000</w:t>
            </w:r>
          </w:p>
        </w:tc>
        <w:tc>
          <w:tcPr>
            <w:tcW w:w="920" w:type="dxa"/>
            <w:vAlign w:val="bottom"/>
          </w:tcPr>
          <w:p>
            <w:pPr>
              <w:jc w:val="right"/>
              <w:spacing w:after="0"/>
              <w:rPr>
                <w:sz w:val="20"/>
                <w:szCs w:val="20"/>
                <w:color w:val="auto"/>
              </w:rPr>
            </w:pPr>
            <w:r>
              <w:rPr>
                <w:rFonts w:ascii="Arial" w:cs="Arial" w:eastAsia="Arial" w:hAnsi="Arial"/>
                <w:sz w:val="16"/>
                <w:szCs w:val="16"/>
                <w:color w:val="auto"/>
              </w:rPr>
              <w:t>9 % $</w:t>
            </w:r>
          </w:p>
        </w:tc>
        <w:tc>
          <w:tcPr>
            <w:tcW w:w="1020" w:type="dxa"/>
            <w:vAlign w:val="bottom"/>
          </w:tcPr>
          <w:p>
            <w:pPr>
              <w:jc w:val="right"/>
              <w:spacing w:after="0"/>
              <w:rPr>
                <w:sz w:val="20"/>
                <w:szCs w:val="20"/>
                <w:color w:val="auto"/>
              </w:rPr>
            </w:pPr>
            <w:r>
              <w:rPr>
                <w:rFonts w:ascii="Arial" w:cs="Arial" w:eastAsia="Arial" w:hAnsi="Arial"/>
                <w:sz w:val="16"/>
                <w:szCs w:val="16"/>
                <w:color w:val="auto"/>
              </w:rPr>
              <w:t>31.59</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519,000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1,569,000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883,000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Pr>
          <w:p>
            <w:pPr>
              <w:jc w:val="right"/>
              <w:spacing w:after="0"/>
              <w:rPr>
                <w:sz w:val="20"/>
                <w:szCs w:val="20"/>
                <w:color w:val="auto"/>
              </w:rPr>
            </w:pPr>
            <w:r>
              <w:rPr>
                <w:rFonts w:ascii="Arial" w:cs="Arial" w:eastAsia="Arial" w:hAnsi="Arial"/>
                <w:sz w:val="16"/>
                <w:szCs w:val="16"/>
                <w:color w:val="auto"/>
              </w:rPr>
              <w:t>20.96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400,000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52.65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1,283,000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376,000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1,376,000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981,000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900" w:type="dxa"/>
            <w:vAlign w:val="bottom"/>
          </w:tcPr>
          <w:p>
            <w:pPr>
              <w:jc w:val="right"/>
              <w:spacing w:after="0"/>
              <w:rPr>
                <w:sz w:val="20"/>
                <w:szCs w:val="20"/>
                <w:color w:val="auto"/>
              </w:rPr>
            </w:pPr>
            <w:r>
              <w:rPr>
                <w:rFonts w:ascii="Arial" w:cs="Arial" w:eastAsia="Arial" w:hAnsi="Arial"/>
                <w:sz w:val="16"/>
                <w:szCs w:val="16"/>
                <w:color w:val="auto"/>
              </w:rPr>
              <w:t>28.31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260,000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Pr>
          <w:p>
            <w:pPr>
              <w:jc w:val="right"/>
              <w:spacing w:after="0"/>
              <w:rPr>
                <w:sz w:val="20"/>
                <w:szCs w:val="20"/>
                <w:color w:val="auto"/>
              </w:rPr>
            </w:pPr>
            <w:r>
              <w:rPr>
                <w:rFonts w:ascii="Arial" w:cs="Arial" w:eastAsia="Arial" w:hAnsi="Arial"/>
                <w:sz w:val="16"/>
                <w:szCs w:val="16"/>
                <w:color w:val="auto"/>
              </w:rPr>
              <w:t>50.98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1,242,000</w:t>
            </w:r>
          </w:p>
        </w:tc>
        <w:tc>
          <w:tcPr>
            <w:tcW w:w="920" w:type="dxa"/>
            <w:vAlign w:val="bottom"/>
          </w:tcPr>
          <w:p>
            <w:pPr>
              <w:jc w:val="right"/>
              <w:spacing w:after="0"/>
              <w:rPr>
                <w:sz w:val="20"/>
                <w:szCs w:val="20"/>
                <w:color w:val="auto"/>
              </w:rPr>
            </w:pPr>
            <w:r>
              <w:rPr>
                <w:rFonts w:ascii="Arial" w:cs="Arial" w:eastAsia="Arial" w:hAnsi="Arial"/>
                <w:sz w:val="16"/>
                <w:szCs w:val="16"/>
                <w:color w:val="auto"/>
              </w:rPr>
              <w:t>6 % $</w:t>
            </w:r>
          </w:p>
        </w:tc>
        <w:tc>
          <w:tcPr>
            <w:tcW w:w="1020" w:type="dxa"/>
            <w:vAlign w:val="bottom"/>
          </w:tcPr>
          <w:p>
            <w:pPr>
              <w:jc w:val="right"/>
              <w:spacing w:after="0"/>
              <w:rPr>
                <w:sz w:val="20"/>
                <w:szCs w:val="20"/>
                <w:color w:val="auto"/>
              </w:rPr>
            </w:pPr>
            <w:r>
              <w:rPr>
                <w:rFonts w:ascii="Arial" w:cs="Arial" w:eastAsia="Arial" w:hAnsi="Arial"/>
                <w:sz w:val="16"/>
                <w:szCs w:val="16"/>
                <w:color w:val="auto"/>
              </w:rPr>
              <w:t>33.06</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12 %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286,000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2,005,000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14,349,000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6,515,000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20,865,000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Assumes all lease options are exercised</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980" w:type="dxa"/>
            <w:vAlign w:val="bottom"/>
          </w:tcPr>
          <w:p>
            <w:pPr>
              <w:spacing w:after="0"/>
              <w:rPr>
                <w:sz w:val="22"/>
                <w:szCs w:val="22"/>
                <w:color w:val="auto"/>
              </w:rPr>
            </w:pPr>
          </w:p>
        </w:tc>
        <w:tc>
          <w:tcPr>
            <w:tcW w:w="222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92"/>
              </w:rPr>
              <w:t>Anchor Tenants (1)</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w w:val="89"/>
              </w:rPr>
              <w:t>Small Shop Tenants</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980" w:type="dxa"/>
            <w:vAlign w:val="bottom"/>
            <w:vMerge w:val="restart"/>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120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 of Anchor</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9"/>
              </w:rPr>
              <w:t>Minimum Rent</w:t>
            </w:r>
          </w:p>
        </w:tc>
        <w:tc>
          <w:tcPr>
            <w:tcW w:w="220" w:type="dxa"/>
            <w:vAlign w:val="bottom"/>
          </w:tcPr>
          <w:p>
            <w:pPr>
              <w:spacing w:after="0"/>
              <w:rPr>
                <w:sz w:val="11"/>
                <w:szCs w:val="11"/>
                <w:color w:val="auto"/>
              </w:rPr>
            </w:pPr>
          </w:p>
        </w:tc>
        <w:tc>
          <w:tcPr>
            <w:tcW w:w="12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Expiring SF</w:t>
            </w: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 of Small</w:t>
            </w:r>
          </w:p>
        </w:tc>
        <w:tc>
          <w:tcPr>
            <w:tcW w:w="10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240" w:type="dxa"/>
            <w:vAlign w:val="bottom"/>
          </w:tcPr>
          <w:p>
            <w:pPr>
              <w:spacing w:after="0"/>
              <w:rPr>
                <w:sz w:val="11"/>
                <w:szCs w:val="11"/>
                <w:color w:val="auto"/>
              </w:rPr>
            </w:pPr>
          </w:p>
        </w:tc>
        <w:tc>
          <w:tcPr>
            <w:tcW w:w="13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920" w:type="dxa"/>
            <w:vAlign w:val="bottom"/>
          </w:tcPr>
          <w:p>
            <w:pPr>
              <w:jc w:val="right"/>
              <w:ind w:right="101"/>
              <w:spacing w:after="0" w:line="135" w:lineRule="exact"/>
              <w:rPr>
                <w:sz w:val="20"/>
                <w:szCs w:val="20"/>
                <w:color w:val="auto"/>
              </w:rPr>
            </w:pPr>
            <w:r>
              <w:rPr>
                <w:rFonts w:ascii="Arial" w:cs="Arial" w:eastAsia="Arial" w:hAnsi="Arial"/>
                <w:sz w:val="14"/>
                <w:szCs w:val="14"/>
                <w:b w:val="1"/>
                <w:bCs w:val="1"/>
                <w:color w:val="auto"/>
              </w:rPr>
              <w:t>% of Total</w:t>
            </w:r>
          </w:p>
        </w:tc>
        <w:tc>
          <w:tcPr>
            <w:tcW w:w="10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Minimum Rent</w:t>
            </w:r>
          </w:p>
        </w:tc>
        <w:tc>
          <w:tcPr>
            <w:tcW w:w="0" w:type="dxa"/>
            <w:vAlign w:val="bottom"/>
          </w:tcPr>
          <w:p>
            <w:pPr>
              <w:spacing w:after="0"/>
              <w:rPr>
                <w:sz w:val="1"/>
                <w:szCs w:val="1"/>
                <w:color w:val="auto"/>
              </w:rPr>
            </w:pPr>
          </w:p>
        </w:tc>
      </w:tr>
      <w:tr>
        <w:trPr>
          <w:trHeight w:val="188"/>
        </w:trPr>
        <w:tc>
          <w:tcPr>
            <w:tcW w:w="9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SF</w:t>
            </w:r>
          </w:p>
        </w:tc>
        <w:tc>
          <w:tcPr>
            <w:tcW w:w="1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40" w:type="dxa"/>
            <w:vAlign w:val="bottom"/>
            <w:vMerge w:val="continue"/>
          </w:tcPr>
          <w:p>
            <w:pPr>
              <w:spacing w:after="0"/>
              <w:rPr>
                <w:sz w:val="16"/>
                <w:szCs w:val="16"/>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Shop SF</w:t>
            </w:r>
          </w:p>
        </w:tc>
        <w:tc>
          <w:tcPr>
            <w:tcW w:w="1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PSF (2)</w:t>
            </w:r>
          </w:p>
        </w:tc>
        <w:tc>
          <w:tcPr>
            <w:tcW w:w="1300" w:type="dxa"/>
            <w:vAlign w:val="bottom"/>
            <w:vMerge w:val="continue"/>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Arial" w:cs="Arial" w:eastAsia="Arial" w:hAnsi="Arial"/>
                <w:sz w:val="14"/>
                <w:szCs w:val="14"/>
                <w:b w:val="1"/>
                <w:bCs w:val="1"/>
                <w:color w:val="auto"/>
              </w:rPr>
              <w:t>SF</w:t>
            </w:r>
          </w:p>
        </w:tc>
        <w:tc>
          <w:tcPr>
            <w:tcW w:w="10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11"/>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508,000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8 % $</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722,000</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34.55</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00" w:type="dxa"/>
            <w:vAlign w:val="bottom"/>
          </w:tcPr>
          <w:p>
            <w:pPr>
              <w:jc w:val="right"/>
              <w:spacing w:after="0"/>
              <w:rPr>
                <w:sz w:val="20"/>
                <w:szCs w:val="20"/>
                <w:color w:val="auto"/>
              </w:rPr>
            </w:pPr>
            <w:r>
              <w:rPr>
                <w:rFonts w:ascii="Arial" w:cs="Arial" w:eastAsia="Arial" w:hAnsi="Arial"/>
                <w:sz w:val="16"/>
                <w:szCs w:val="16"/>
                <w:color w:val="auto"/>
              </w:rPr>
              <w:t>340,000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Pr>
          <w:p>
            <w:pPr>
              <w:jc w:val="right"/>
              <w:spacing w:after="0"/>
              <w:rPr>
                <w:sz w:val="20"/>
                <w:szCs w:val="20"/>
                <w:color w:val="auto"/>
              </w:rPr>
            </w:pPr>
            <w:r>
              <w:rPr>
                <w:rFonts w:ascii="Arial" w:cs="Arial" w:eastAsia="Arial" w:hAnsi="Arial"/>
                <w:sz w:val="16"/>
                <w:szCs w:val="16"/>
                <w:color w:val="auto"/>
              </w:rPr>
              <w:t>20.68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589,000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tcPr>
          <w:p>
            <w:pPr>
              <w:jc w:val="right"/>
              <w:spacing w:after="0"/>
              <w:rPr>
                <w:sz w:val="20"/>
                <w:szCs w:val="20"/>
                <w:color w:val="auto"/>
              </w:rPr>
            </w:pPr>
            <w:r>
              <w:rPr>
                <w:rFonts w:ascii="Arial" w:cs="Arial" w:eastAsia="Arial" w:hAnsi="Arial"/>
                <w:sz w:val="16"/>
                <w:szCs w:val="16"/>
                <w:color w:val="auto"/>
              </w:rPr>
              <w:t>45.05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928,000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36.13</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20.08</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598,000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9 %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953,000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00" w:type="dxa"/>
            <w:vAlign w:val="bottom"/>
          </w:tcPr>
          <w:p>
            <w:pPr>
              <w:jc w:val="right"/>
              <w:spacing w:after="0"/>
              <w:rPr>
                <w:sz w:val="20"/>
                <w:szCs w:val="20"/>
                <w:color w:val="auto"/>
              </w:rPr>
            </w:pPr>
            <w:r>
              <w:rPr>
                <w:rFonts w:ascii="Arial" w:cs="Arial" w:eastAsia="Arial" w:hAnsi="Arial"/>
                <w:sz w:val="16"/>
                <w:szCs w:val="16"/>
                <w:color w:val="auto"/>
              </w:rPr>
              <w:t>578,000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20.61</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488,000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tcPr>
          <w:p>
            <w:pPr>
              <w:jc w:val="right"/>
              <w:spacing w:after="0"/>
              <w:rPr>
                <w:sz w:val="20"/>
                <w:szCs w:val="20"/>
                <w:color w:val="auto"/>
              </w:rPr>
            </w:pPr>
            <w:r>
              <w:rPr>
                <w:rFonts w:ascii="Arial" w:cs="Arial" w:eastAsia="Arial" w:hAnsi="Arial"/>
                <w:sz w:val="16"/>
                <w:szCs w:val="16"/>
                <w:color w:val="auto"/>
              </w:rPr>
              <w:t>45.04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1,067,000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31.80</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24.65</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454,000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43.09</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781,000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35.37</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1200" w:type="dxa"/>
            <w:vAlign w:val="bottom"/>
          </w:tcPr>
          <w:p>
            <w:pPr>
              <w:jc w:val="right"/>
              <w:spacing w:after="0"/>
              <w:rPr>
                <w:sz w:val="20"/>
                <w:szCs w:val="20"/>
                <w:color w:val="auto"/>
              </w:rPr>
            </w:pPr>
            <w:r>
              <w:rPr>
                <w:rFonts w:ascii="Arial" w:cs="Arial" w:eastAsia="Arial" w:hAnsi="Arial"/>
                <w:sz w:val="16"/>
                <w:szCs w:val="16"/>
                <w:color w:val="auto"/>
              </w:rPr>
              <w:t>392,000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3 % $</w:t>
            </w:r>
          </w:p>
        </w:tc>
        <w:tc>
          <w:tcPr>
            <w:tcW w:w="900" w:type="dxa"/>
            <w:vAlign w:val="bottom"/>
          </w:tcPr>
          <w:p>
            <w:pPr>
              <w:jc w:val="right"/>
              <w:spacing w:after="0"/>
              <w:rPr>
                <w:sz w:val="20"/>
                <w:szCs w:val="20"/>
                <w:color w:val="auto"/>
              </w:rPr>
            </w:pPr>
            <w:r>
              <w:rPr>
                <w:rFonts w:ascii="Arial" w:cs="Arial" w:eastAsia="Arial" w:hAnsi="Arial"/>
                <w:sz w:val="16"/>
                <w:szCs w:val="16"/>
                <w:color w:val="auto"/>
              </w:rPr>
              <w:t>24.05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332,000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50.14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724,000</w:t>
            </w:r>
          </w:p>
        </w:tc>
        <w:tc>
          <w:tcPr>
            <w:tcW w:w="920" w:type="dxa"/>
            <w:vAlign w:val="bottom"/>
          </w:tcPr>
          <w:p>
            <w:pPr>
              <w:jc w:val="right"/>
              <w:spacing w:after="0"/>
              <w:rPr>
                <w:sz w:val="20"/>
                <w:szCs w:val="20"/>
                <w:color w:val="auto"/>
              </w:rPr>
            </w:pPr>
            <w:r>
              <w:rPr>
                <w:rFonts w:ascii="Arial" w:cs="Arial" w:eastAsia="Arial" w:hAnsi="Arial"/>
                <w:sz w:val="16"/>
                <w:szCs w:val="16"/>
                <w:color w:val="auto"/>
              </w:rPr>
              <w:t>3 % $</w:t>
            </w:r>
          </w:p>
        </w:tc>
        <w:tc>
          <w:tcPr>
            <w:tcW w:w="1020" w:type="dxa"/>
            <w:vAlign w:val="bottom"/>
          </w:tcPr>
          <w:p>
            <w:pPr>
              <w:jc w:val="right"/>
              <w:spacing w:after="0"/>
              <w:rPr>
                <w:sz w:val="20"/>
                <w:szCs w:val="20"/>
                <w:color w:val="auto"/>
              </w:rPr>
            </w:pPr>
            <w:r>
              <w:rPr>
                <w:rFonts w:ascii="Arial" w:cs="Arial" w:eastAsia="Arial" w:hAnsi="Arial"/>
                <w:sz w:val="16"/>
                <w:szCs w:val="16"/>
                <w:color w:val="auto"/>
              </w:rPr>
              <w:t>36.01</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430,000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7 %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1,039,000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1200" w:type="dxa"/>
            <w:vAlign w:val="bottom"/>
          </w:tcPr>
          <w:p>
            <w:pPr>
              <w:jc w:val="right"/>
              <w:spacing w:after="0"/>
              <w:rPr>
                <w:sz w:val="20"/>
                <w:szCs w:val="20"/>
                <w:color w:val="auto"/>
              </w:rPr>
            </w:pPr>
            <w:r>
              <w:rPr>
                <w:rFonts w:ascii="Arial" w:cs="Arial" w:eastAsia="Arial" w:hAnsi="Arial"/>
                <w:sz w:val="16"/>
                <w:szCs w:val="16"/>
                <w:color w:val="auto"/>
              </w:rPr>
              <w:t>657,000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900" w:type="dxa"/>
            <w:vAlign w:val="bottom"/>
          </w:tcPr>
          <w:p>
            <w:pPr>
              <w:jc w:val="right"/>
              <w:spacing w:after="0"/>
              <w:rPr>
                <w:sz w:val="20"/>
                <w:szCs w:val="20"/>
                <w:color w:val="auto"/>
              </w:rPr>
            </w:pPr>
            <w:r>
              <w:rPr>
                <w:rFonts w:ascii="Arial" w:cs="Arial" w:eastAsia="Arial" w:hAnsi="Arial"/>
                <w:sz w:val="16"/>
                <w:szCs w:val="16"/>
                <w:color w:val="auto"/>
              </w:rPr>
              <w:t>18.19</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383,000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tcPr>
          <w:p>
            <w:pPr>
              <w:jc w:val="right"/>
              <w:spacing w:after="0"/>
              <w:rPr>
                <w:sz w:val="20"/>
                <w:szCs w:val="20"/>
                <w:color w:val="auto"/>
              </w:rPr>
            </w:pPr>
            <w:r>
              <w:rPr>
                <w:rFonts w:ascii="Arial" w:cs="Arial" w:eastAsia="Arial" w:hAnsi="Arial"/>
                <w:sz w:val="16"/>
                <w:szCs w:val="16"/>
                <w:color w:val="auto"/>
              </w:rPr>
              <w:t>48.28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1,041,000</w:t>
            </w:r>
          </w:p>
        </w:tc>
        <w:tc>
          <w:tcPr>
            <w:tcW w:w="920" w:type="dxa"/>
            <w:vAlign w:val="bottom"/>
          </w:tcPr>
          <w:p>
            <w:pPr>
              <w:jc w:val="right"/>
              <w:spacing w:after="0"/>
              <w:rPr>
                <w:sz w:val="20"/>
                <w:szCs w:val="20"/>
                <w:color w:val="auto"/>
              </w:rPr>
            </w:pPr>
            <w:r>
              <w:rPr>
                <w:rFonts w:ascii="Arial" w:cs="Arial" w:eastAsia="Arial" w:hAnsi="Arial"/>
                <w:sz w:val="16"/>
                <w:szCs w:val="16"/>
                <w:color w:val="auto"/>
              </w:rPr>
              <w:t>5 % $</w:t>
            </w:r>
          </w:p>
        </w:tc>
        <w:tc>
          <w:tcPr>
            <w:tcW w:w="1020" w:type="dxa"/>
            <w:vAlign w:val="bottom"/>
          </w:tcPr>
          <w:p>
            <w:pPr>
              <w:jc w:val="right"/>
              <w:spacing w:after="0"/>
              <w:rPr>
                <w:sz w:val="20"/>
                <w:szCs w:val="20"/>
                <w:color w:val="auto"/>
              </w:rPr>
            </w:pPr>
            <w:r>
              <w:rPr>
                <w:rFonts w:ascii="Arial" w:cs="Arial" w:eastAsia="Arial" w:hAnsi="Arial"/>
                <w:sz w:val="16"/>
                <w:szCs w:val="16"/>
                <w:color w:val="auto"/>
              </w:rPr>
              <w:t>29.27</w:t>
            </w:r>
          </w:p>
        </w:tc>
        <w:tc>
          <w:tcPr>
            <w:tcW w:w="0" w:type="dxa"/>
            <w:vAlign w:val="bottom"/>
          </w:tcPr>
          <w:p>
            <w:pPr>
              <w:spacing w:after="0"/>
              <w:rPr>
                <w:sz w:val="1"/>
                <w:szCs w:val="1"/>
                <w:color w:val="auto"/>
              </w:rPr>
            </w:pPr>
          </w:p>
        </w:tc>
      </w:tr>
      <w:tr>
        <w:trPr>
          <w:trHeight w:val="219"/>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367,000</w:t>
            </w:r>
          </w:p>
        </w:tc>
        <w:tc>
          <w:tcPr>
            <w:tcW w:w="1140" w:type="dxa"/>
            <w:vAlign w:val="bottom"/>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44.25</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1,162,000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 $</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31.13</w:t>
            </w:r>
          </w:p>
        </w:tc>
        <w:tc>
          <w:tcPr>
            <w:tcW w:w="0" w:type="dxa"/>
            <w:vAlign w:val="bottom"/>
          </w:tcPr>
          <w:p>
            <w:pPr>
              <w:spacing w:after="0"/>
              <w:rPr>
                <w:sz w:val="1"/>
                <w:szCs w:val="1"/>
                <w:color w:val="auto"/>
              </w:rPr>
            </w:pPr>
          </w:p>
        </w:tc>
      </w:tr>
      <w:tr>
        <w:trPr>
          <w:trHeight w:val="213"/>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2030</w:t>
            </w:r>
          </w:p>
        </w:tc>
        <w:tc>
          <w:tcPr>
            <w:tcW w:w="1200" w:type="dxa"/>
            <w:vAlign w:val="bottom"/>
          </w:tcPr>
          <w:p>
            <w:pPr>
              <w:jc w:val="right"/>
              <w:spacing w:after="0"/>
              <w:rPr>
                <w:sz w:val="20"/>
                <w:szCs w:val="20"/>
                <w:color w:val="auto"/>
              </w:rPr>
            </w:pPr>
            <w:r>
              <w:rPr>
                <w:rFonts w:ascii="Arial" w:cs="Arial" w:eastAsia="Arial" w:hAnsi="Arial"/>
                <w:sz w:val="16"/>
                <w:szCs w:val="16"/>
                <w:color w:val="auto"/>
              </w:rPr>
              <w:t>524,000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4 % $</w:t>
            </w:r>
          </w:p>
        </w:tc>
        <w:tc>
          <w:tcPr>
            <w:tcW w:w="900" w:type="dxa"/>
            <w:vAlign w:val="bottom"/>
          </w:tcPr>
          <w:p>
            <w:pPr>
              <w:jc w:val="right"/>
              <w:spacing w:after="0"/>
              <w:rPr>
                <w:sz w:val="20"/>
                <w:szCs w:val="20"/>
                <w:color w:val="auto"/>
              </w:rPr>
            </w:pPr>
            <w:r>
              <w:rPr>
                <w:rFonts w:ascii="Arial" w:cs="Arial" w:eastAsia="Arial" w:hAnsi="Arial"/>
                <w:sz w:val="16"/>
                <w:szCs w:val="16"/>
                <w:color w:val="auto"/>
              </w:rPr>
              <w:t>19.62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343,000</w:t>
            </w:r>
          </w:p>
        </w:tc>
        <w:tc>
          <w:tcPr>
            <w:tcW w:w="1140" w:type="dxa"/>
            <w:vAlign w:val="bottom"/>
            <w:gridSpan w:val="2"/>
          </w:tcPr>
          <w:p>
            <w:pPr>
              <w:jc w:val="right"/>
              <w:ind w:right="28"/>
              <w:spacing w:after="0"/>
              <w:rPr>
                <w:sz w:val="20"/>
                <w:szCs w:val="20"/>
                <w:color w:val="auto"/>
              </w:rPr>
            </w:pPr>
            <w:r>
              <w:rPr>
                <w:rFonts w:ascii="Arial" w:cs="Arial" w:eastAsia="Arial" w:hAnsi="Arial"/>
                <w:sz w:val="16"/>
                <w:szCs w:val="16"/>
                <w:color w:val="auto"/>
              </w:rPr>
              <w:t>5 % $</w:t>
            </w:r>
          </w:p>
        </w:tc>
        <w:tc>
          <w:tcPr>
            <w:tcW w:w="880" w:type="dxa"/>
            <w:vAlign w:val="bottom"/>
          </w:tcPr>
          <w:p>
            <w:pPr>
              <w:jc w:val="right"/>
              <w:spacing w:after="0"/>
              <w:rPr>
                <w:sz w:val="20"/>
                <w:szCs w:val="20"/>
                <w:color w:val="auto"/>
              </w:rPr>
            </w:pPr>
            <w:r>
              <w:rPr>
                <w:rFonts w:ascii="Arial" w:cs="Arial" w:eastAsia="Arial" w:hAnsi="Arial"/>
                <w:sz w:val="16"/>
                <w:szCs w:val="16"/>
                <w:color w:val="auto"/>
              </w:rPr>
              <w:t>45.61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867,000</w:t>
            </w:r>
          </w:p>
        </w:tc>
        <w:tc>
          <w:tcPr>
            <w:tcW w:w="920" w:type="dxa"/>
            <w:vAlign w:val="bottom"/>
          </w:tcPr>
          <w:p>
            <w:pPr>
              <w:jc w:val="right"/>
              <w:spacing w:after="0"/>
              <w:rPr>
                <w:sz w:val="20"/>
                <w:szCs w:val="20"/>
                <w:color w:val="auto"/>
              </w:rPr>
            </w:pPr>
            <w:r>
              <w:rPr>
                <w:rFonts w:ascii="Arial" w:cs="Arial" w:eastAsia="Arial" w:hAnsi="Arial"/>
                <w:sz w:val="16"/>
                <w:szCs w:val="16"/>
                <w:color w:val="auto"/>
              </w:rPr>
              <w:t>4 % $</w:t>
            </w:r>
          </w:p>
        </w:tc>
        <w:tc>
          <w:tcPr>
            <w:tcW w:w="1020" w:type="dxa"/>
            <w:vAlign w:val="bottom"/>
          </w:tcPr>
          <w:p>
            <w:pPr>
              <w:jc w:val="right"/>
              <w:spacing w:after="0"/>
              <w:rPr>
                <w:sz w:val="20"/>
                <w:szCs w:val="20"/>
                <w:color w:val="auto"/>
              </w:rPr>
            </w:pPr>
            <w:r>
              <w:rPr>
                <w:rFonts w:ascii="Arial" w:cs="Arial" w:eastAsia="Arial" w:hAnsi="Arial"/>
                <w:sz w:val="16"/>
                <w:szCs w:val="16"/>
                <w:color w:val="auto"/>
              </w:rPr>
              <w:t>29.89</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9,558,000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67 %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22.91</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2,023,000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6"/>
                <w:szCs w:val="16"/>
                <w:color w:val="auto"/>
              </w:rPr>
              <w:t>31 %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11,581,000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27.69</w:t>
            </w:r>
          </w:p>
        </w:tc>
        <w:tc>
          <w:tcPr>
            <w:tcW w:w="0" w:type="dxa"/>
            <w:vAlign w:val="bottom"/>
          </w:tcPr>
          <w:p>
            <w:pPr>
              <w:spacing w:after="0"/>
              <w:rPr>
                <w:sz w:val="1"/>
                <w:szCs w:val="1"/>
                <w:color w:val="auto"/>
              </w:rPr>
            </w:pPr>
          </w:p>
        </w:tc>
      </w:tr>
      <w:tr>
        <w:trPr>
          <w:trHeight w:val="212"/>
        </w:trPr>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14,349,000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6,515,000</w:t>
            </w:r>
          </w:p>
        </w:tc>
        <w:tc>
          <w:tcPr>
            <w:tcW w:w="11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20,865,000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ind w:left="1"/>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Anchor is defined as a commercial tenant leasing 10,000 square feet or more.</w:t>
      </w:r>
    </w:p>
    <w:p>
      <w:pPr>
        <w:spacing w:after="0" w:line="32" w:lineRule="exact"/>
        <w:rPr>
          <w:rFonts w:ascii="Arial" w:cs="Arial" w:eastAsia="Arial" w:hAnsi="Arial"/>
          <w:sz w:val="16"/>
          <w:szCs w:val="16"/>
          <w:color w:val="auto"/>
        </w:rPr>
      </w:pPr>
    </w:p>
    <w:p>
      <w:pPr>
        <w:ind w:left="781" w:right="180" w:hanging="781"/>
        <w:spacing w:after="0"/>
        <w:tabs>
          <w:tab w:leader="none" w:pos="7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Minimum Rent reflects in-place contractual (defined as rents on a cash-basis without taking the impacts of rent abatements into account) rent as of March 31, 2021.</w:t>
      </w:r>
    </w:p>
    <w:p>
      <w:pPr>
        <w:spacing w:after="0" w:line="10" w:lineRule="exact"/>
        <w:rPr>
          <w:rFonts w:ascii="Arial" w:cs="Arial" w:eastAsia="Arial" w:hAnsi="Arial"/>
          <w:sz w:val="16"/>
          <w:szCs w:val="16"/>
          <w:color w:val="auto"/>
        </w:rPr>
      </w:pPr>
    </w:p>
    <w:p>
      <w:pPr>
        <w:ind w:left="781" w:hanging="781"/>
        <w:spacing w:after="0"/>
        <w:tabs>
          <w:tab w:leader="none" w:pos="7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occupied square footage of the commercial portion of our portfolio as of March 31, 2021.</w:t>
      </w:r>
    </w:p>
    <w:p>
      <w:pPr>
        <w:spacing w:after="0" w:line="32" w:lineRule="exact"/>
        <w:rPr>
          <w:rFonts w:ascii="Arial" w:cs="Arial" w:eastAsia="Arial" w:hAnsi="Arial"/>
          <w:sz w:val="16"/>
          <w:szCs w:val="16"/>
          <w:color w:val="auto"/>
        </w:rPr>
      </w:pPr>
    </w:p>
    <w:p>
      <w:pPr>
        <w:ind w:left="781" w:hanging="781"/>
        <w:spacing w:after="0"/>
        <w:tabs>
          <w:tab w:leader="none" w:pos="781"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1"/>
          </w:cols>
          <w:pgMar w:left="359" w:top="1026" w:right="35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March 31,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Overall Portfolio Statistics (1)</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31, 2021</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31, 2020</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100" w:type="dxa"/>
            <w:vAlign w:val="bottom"/>
            <w:gridSpan w:val="3"/>
          </w:tcPr>
          <w:p>
            <w:pPr>
              <w:ind w:left="80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(3) (4) (sf)</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23,322,000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21,411,000</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91.8 %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24,055,000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22,508,000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93.6 %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(units) (5)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2,673</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96.1 %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2,794</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95.6 %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b w:val="1"/>
                <w:bCs w:val="1"/>
                <w:color w:val="auto"/>
              </w:rPr>
              <w:t>Comparable Property Statistics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31, 2021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At March 31, 2020</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Arial" w:cs="Arial" w:eastAsia="Arial" w:hAnsi="Arial"/>
                <w:sz w:val="16"/>
                <w:szCs w:val="16"/>
                <w:color w:val="auto"/>
              </w:rPr>
              <w:t>Type</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Size</w:t>
            </w:r>
          </w:p>
        </w:tc>
        <w:tc>
          <w:tcPr>
            <w:tcW w:w="66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rPr>
              <w:t>Leased</w:t>
            </w:r>
          </w:p>
        </w:tc>
        <w:tc>
          <w:tcPr>
            <w:tcW w:w="102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6"/>
                <w:szCs w:val="16"/>
                <w:color w:val="auto"/>
              </w:rPr>
              <w:t>Leased %</w:t>
            </w:r>
          </w:p>
        </w:tc>
        <w:tc>
          <w:tcPr>
            <w:tcW w:w="1100" w:type="dxa"/>
            <w:vAlign w:val="bottom"/>
            <w:gridSpan w:val="3"/>
          </w:tcPr>
          <w:p>
            <w:pPr>
              <w:ind w:left="80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6"/>
                <w:szCs w:val="16"/>
                <w:color w:val="auto"/>
              </w:rPr>
              <w:t>Leased</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w w:val="87"/>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Commercial Properties (2) (4) (sf)</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22,521,000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20,643,000</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91.7 %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22,628,000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21,328,000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94.3 %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Residential Properties (5) (units)</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2,671</w:t>
            </w:r>
          </w:p>
        </w:tc>
        <w:tc>
          <w:tcPr>
            <w:tcW w:w="2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96.1 %</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2,780</w:t>
            </w:r>
          </w:p>
        </w:tc>
        <w:tc>
          <w:tcPr>
            <w:tcW w:w="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2,656</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95.5 %</w:t>
            </w:r>
          </w:p>
        </w:tc>
      </w:tr>
    </w:tbl>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289" w:lineRule="exact"/>
        <w:rPr>
          <w:sz w:val="20"/>
          <w:szCs w:val="20"/>
          <w:color w:val="auto"/>
        </w:rPr>
      </w:pPr>
    </w:p>
    <w:p>
      <w:pPr>
        <w:ind w:left="600" w:hanging="57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00" w:hanging="57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32" w:lineRule="exact"/>
        <w:rPr>
          <w:rFonts w:ascii="Arial" w:cs="Arial" w:eastAsia="Arial" w:hAnsi="Arial"/>
          <w:sz w:val="16"/>
          <w:szCs w:val="16"/>
          <w:color w:val="auto"/>
        </w:rPr>
      </w:pPr>
    </w:p>
    <w:p>
      <w:pPr>
        <w:ind w:left="600" w:hanging="57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March 31, 2021, leased percentage was 96.0% for anchor tenants and 83.8% for small shop tenants.</w:t>
      </w:r>
    </w:p>
    <w:p>
      <w:pPr>
        <w:spacing w:after="0" w:line="32" w:lineRule="exact"/>
        <w:rPr>
          <w:rFonts w:ascii="Arial" w:cs="Arial" w:eastAsia="Arial" w:hAnsi="Arial"/>
          <w:sz w:val="16"/>
          <w:szCs w:val="16"/>
          <w:color w:val="auto"/>
        </w:rPr>
      </w:pPr>
    </w:p>
    <w:p>
      <w:pPr>
        <w:ind w:left="600" w:right="340" w:hanging="57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Occupied percentage was 89.5% and 91.5% at March 31, 2021 and 2020, respectively, and comparable property occupied percentage was 89.4% and 92.3% at March 31, 2021 and 2020, respectively.</w:t>
      </w:r>
    </w:p>
    <w:p>
      <w:pPr>
        <w:spacing w:after="0" w:line="10" w:lineRule="exact"/>
        <w:rPr>
          <w:rFonts w:ascii="Arial" w:cs="Arial" w:eastAsia="Arial" w:hAnsi="Arial"/>
          <w:sz w:val="16"/>
          <w:szCs w:val="16"/>
          <w:color w:val="auto"/>
        </w:rPr>
      </w:pPr>
    </w:p>
    <w:p>
      <w:pPr>
        <w:ind w:left="600" w:right="260" w:hanging="574"/>
        <w:spacing w:after="0" w:line="272" w:lineRule="auto"/>
        <w:tabs>
          <w:tab w:leader="none" w:pos="6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Our residential metrics exclude "The Delwyn," our 87 unit residential building that opened at Bala Cynwyd in late 2020, and is currently in the process of being leased-up for the first time. If these units were included, our total residential units would be 2,869 and our percentage leased would be 94.6%.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026" w:right="35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80" w:type="dxa"/>
            <w:vAlign w:val="bottom"/>
            <w:vMerge w:val="restart"/>
          </w:tcPr>
          <w:p>
            <w:pPr>
              <w:jc w:val="center"/>
              <w:ind w:left="140"/>
              <w:spacing w:after="0"/>
              <w:rPr>
                <w:sz w:val="20"/>
                <w:szCs w:val="20"/>
                <w:color w:val="auto"/>
              </w:rPr>
            </w:pPr>
            <w:r>
              <w:rPr>
                <w:rFonts w:ascii="Arial" w:cs="Arial" w:eastAsia="Arial" w:hAnsi="Arial"/>
                <w:sz w:val="14"/>
                <w:szCs w:val="14"/>
                <w:b w:val="1"/>
                <w:bCs w:val="1"/>
                <w:color w:val="auto"/>
                <w:w w:val="94"/>
              </w:rPr>
              <w:t>Credit Ratings</w:t>
            </w: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Annualized Base</w:t>
            </w:r>
          </w:p>
        </w:tc>
        <w:tc>
          <w:tcPr>
            <w:tcW w:w="1640" w:type="dxa"/>
            <w:vAlign w:val="bottom"/>
          </w:tcPr>
          <w:p>
            <w:pPr>
              <w:jc w:val="right"/>
              <w:ind w:right="40"/>
              <w:spacing w:after="0"/>
              <w:rPr>
                <w:sz w:val="20"/>
                <w:szCs w:val="20"/>
                <w:color w:val="auto"/>
              </w:rPr>
            </w:pPr>
            <w:r>
              <w:rPr>
                <w:rFonts w:ascii="Arial" w:cs="Arial" w:eastAsia="Arial" w:hAnsi="Arial"/>
                <w:sz w:val="14"/>
                <w:szCs w:val="14"/>
                <w:b w:val="1"/>
                <w:bCs w:val="1"/>
                <w:color w:val="auto"/>
              </w:rPr>
              <w:t>Percentage of Total</w:t>
            </w:r>
          </w:p>
        </w:tc>
        <w:tc>
          <w:tcPr>
            <w:tcW w:w="920" w:type="dxa"/>
            <w:vAlign w:val="bottom"/>
          </w:tcPr>
          <w:p>
            <w:pPr>
              <w:spacing w:after="0"/>
              <w:rPr>
                <w:sz w:val="14"/>
                <w:szCs w:val="14"/>
                <w:color w:val="auto"/>
              </w:rPr>
            </w:pPr>
          </w:p>
        </w:tc>
        <w:tc>
          <w:tcPr>
            <w:tcW w:w="11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Percentage of</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35"/>
        </w:trPr>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Rank</w:t>
            </w:r>
          </w:p>
        </w:tc>
        <w:tc>
          <w:tcPr>
            <w:tcW w:w="2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Tenant Name</w:t>
            </w:r>
          </w:p>
        </w:tc>
        <w:tc>
          <w:tcPr>
            <w:tcW w:w="2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640" w:type="dxa"/>
            <w:vAlign w:val="bottom"/>
          </w:tcPr>
          <w:p>
            <w:pPr>
              <w:jc w:val="right"/>
              <w:ind w:right="40"/>
              <w:spacing w:after="0" w:line="135" w:lineRule="exact"/>
              <w:rPr>
                <w:sz w:val="20"/>
                <w:szCs w:val="20"/>
                <w:color w:val="auto"/>
              </w:rPr>
            </w:pPr>
            <w:r>
              <w:rPr>
                <w:rFonts w:ascii="Arial" w:cs="Arial" w:eastAsia="Arial" w:hAnsi="Arial"/>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1180" w:type="dxa"/>
            <w:vAlign w:val="bottom"/>
            <w:vMerge w:val="continue"/>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Locations</w:t>
            </w:r>
          </w:p>
        </w:tc>
        <w:tc>
          <w:tcPr>
            <w:tcW w:w="0" w:type="dxa"/>
            <w:vAlign w:val="bottom"/>
          </w:tcPr>
          <w:p>
            <w:pPr>
              <w:spacing w:after="0"/>
              <w:rPr>
                <w:sz w:val="1"/>
                <w:szCs w:val="1"/>
                <w:color w:val="auto"/>
              </w:rPr>
            </w:pPr>
          </w:p>
        </w:tc>
      </w:tr>
      <w:tr>
        <w:trPr>
          <w:trHeight w:val="188"/>
        </w:trPr>
        <w:tc>
          <w:tcPr>
            <w:tcW w:w="560" w:type="dxa"/>
            <w:vAlign w:val="bottom"/>
            <w:tcBorders>
              <w:bottom w:val="single" w:sz="8" w:color="auto"/>
            </w:tcBorders>
            <w:vMerge w:val="continue"/>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95"/>
              </w:rPr>
              <w:t>(S&amp;P/Moody's/Fitch) (1)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(3)</w:t>
            </w:r>
          </w:p>
        </w:tc>
        <w:tc>
          <w:tcPr>
            <w:tcW w:w="9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Total GLA (3)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197"/>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Splunk,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25,818,000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800" w:type="dxa"/>
            <w:vAlign w:val="bottom"/>
          </w:tcPr>
          <w:p>
            <w:pPr>
              <w:ind w:left="80"/>
              <w:spacing w:after="0"/>
              <w:rPr>
                <w:sz w:val="20"/>
                <w:szCs w:val="20"/>
                <w:color w:val="auto"/>
              </w:rPr>
            </w:pPr>
            <w:r>
              <w:rPr>
                <w:rFonts w:ascii="Arial" w:cs="Arial" w:eastAsia="Arial" w:hAnsi="Arial"/>
                <w:sz w:val="16"/>
                <w:szCs w:val="16"/>
                <w:color w:val="auto"/>
              </w:rPr>
              <w:t>TJX Companies, The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A / 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19,605,000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2.78 %</w:t>
            </w:r>
          </w:p>
        </w:tc>
        <w:tc>
          <w:tcPr>
            <w:tcW w:w="920" w:type="dxa"/>
            <w:vAlign w:val="bottom"/>
          </w:tcPr>
          <w:p>
            <w:pPr>
              <w:jc w:val="right"/>
              <w:spacing w:after="0"/>
              <w:rPr>
                <w:sz w:val="20"/>
                <w:szCs w:val="20"/>
                <w:color w:val="auto"/>
              </w:rPr>
            </w:pPr>
            <w:r>
              <w:rPr>
                <w:rFonts w:ascii="Arial" w:cs="Arial" w:eastAsia="Arial" w:hAnsi="Arial"/>
                <w:sz w:val="16"/>
                <w:szCs w:val="16"/>
                <w:color w:val="auto"/>
              </w:rPr>
              <w:t>984,000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3.78 %</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Ahold Delhaize</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BBB / Baa1 / BBB+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15,166,000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2.15 %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3.27 %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800" w:type="dxa"/>
            <w:vAlign w:val="bottom"/>
          </w:tcPr>
          <w:p>
            <w:pPr>
              <w:ind w:left="80"/>
              <w:spacing w:after="0"/>
              <w:rPr>
                <w:sz w:val="20"/>
                <w:szCs w:val="20"/>
                <w:color w:val="auto"/>
              </w:rPr>
            </w:pPr>
            <w:r>
              <w:rPr>
                <w:rFonts w:ascii="Arial" w:cs="Arial" w:eastAsia="Arial" w:hAnsi="Arial"/>
                <w:sz w:val="16"/>
                <w:szCs w:val="16"/>
                <w:color w:val="auto"/>
              </w:rPr>
              <w:t>Gap, Inc., The</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BB- / Ba2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12,064,000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1.71 %</w:t>
            </w:r>
          </w:p>
        </w:tc>
        <w:tc>
          <w:tcPr>
            <w:tcW w:w="920" w:type="dxa"/>
            <w:vAlign w:val="bottom"/>
          </w:tcPr>
          <w:p>
            <w:pPr>
              <w:jc w:val="right"/>
              <w:spacing w:after="0"/>
              <w:rPr>
                <w:sz w:val="20"/>
                <w:szCs w:val="20"/>
                <w:color w:val="auto"/>
              </w:rPr>
            </w:pPr>
            <w:r>
              <w:rPr>
                <w:rFonts w:ascii="Arial" w:cs="Arial" w:eastAsia="Arial" w:hAnsi="Arial"/>
                <w:sz w:val="16"/>
                <w:szCs w:val="16"/>
                <w:color w:val="auto"/>
              </w:rPr>
              <w:t>311,000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1.19 %</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2"/>
              </w:rPr>
              <w:t>CCC+ / Caa3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10,383,000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800" w:type="dxa"/>
            <w:vAlign w:val="bottom"/>
          </w:tcPr>
          <w:p>
            <w:pPr>
              <w:ind w:left="80"/>
              <w:spacing w:after="0"/>
              <w:rPr>
                <w:sz w:val="20"/>
                <w:szCs w:val="20"/>
                <w:color w:val="auto"/>
              </w:rPr>
            </w:pPr>
            <w:r>
              <w:rPr>
                <w:rFonts w:ascii="Arial" w:cs="Arial" w:eastAsia="Arial" w:hAnsi="Arial"/>
                <w:sz w:val="16"/>
                <w:szCs w:val="16"/>
                <w:color w:val="auto"/>
              </w:rPr>
              <w:t>CVS Corporation</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BBB / Baa2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9,573,000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1.36 %</w:t>
            </w:r>
          </w:p>
        </w:tc>
        <w:tc>
          <w:tcPr>
            <w:tcW w:w="920" w:type="dxa"/>
            <w:vAlign w:val="bottom"/>
          </w:tcPr>
          <w:p>
            <w:pPr>
              <w:jc w:val="right"/>
              <w:spacing w:after="0"/>
              <w:rPr>
                <w:sz w:val="20"/>
                <w:szCs w:val="20"/>
                <w:color w:val="auto"/>
              </w:rPr>
            </w:pPr>
            <w:r>
              <w:rPr>
                <w:rFonts w:ascii="Arial" w:cs="Arial" w:eastAsia="Arial" w:hAnsi="Arial"/>
                <w:sz w:val="16"/>
                <w:szCs w:val="16"/>
                <w:color w:val="auto"/>
              </w:rPr>
              <w:t>248,000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0.95 %</w:t>
            </w: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Bed, Bath &amp; Beyond,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5"/>
              </w:rPr>
              <w:t>B+ / Ba3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1.89 %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2800" w:type="dxa"/>
            <w:vAlign w:val="bottom"/>
          </w:tcPr>
          <w:p>
            <w:pPr>
              <w:ind w:left="80"/>
              <w:spacing w:after="0"/>
              <w:rPr>
                <w:sz w:val="20"/>
                <w:szCs w:val="20"/>
                <w:color w:val="auto"/>
              </w:rPr>
            </w:pPr>
            <w:r>
              <w:rPr>
                <w:rFonts w:ascii="Arial" w:cs="Arial" w:eastAsia="Arial" w:hAnsi="Arial"/>
                <w:sz w:val="16"/>
                <w:szCs w:val="16"/>
                <w:color w:val="auto"/>
              </w:rPr>
              <w:t>Home Depot,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7,193,000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1.02 %</w:t>
            </w:r>
          </w:p>
        </w:tc>
        <w:tc>
          <w:tcPr>
            <w:tcW w:w="920" w:type="dxa"/>
            <w:vAlign w:val="bottom"/>
          </w:tcPr>
          <w:p>
            <w:pPr>
              <w:jc w:val="right"/>
              <w:spacing w:after="0"/>
              <w:rPr>
                <w:sz w:val="20"/>
                <w:szCs w:val="20"/>
                <w:color w:val="auto"/>
              </w:rPr>
            </w:pPr>
            <w:r>
              <w:rPr>
                <w:rFonts w:ascii="Arial" w:cs="Arial" w:eastAsia="Arial" w:hAnsi="Arial"/>
                <w:sz w:val="16"/>
                <w:szCs w:val="16"/>
                <w:color w:val="auto"/>
              </w:rPr>
              <w:t>478,000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1.84 %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Ross Stores,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9"/>
              </w:rPr>
              <w:t>BBB+ / 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6,591,000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0.94 %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1.21 %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800" w:type="dxa"/>
            <w:vAlign w:val="bottom"/>
          </w:tcPr>
          <w:p>
            <w:pPr>
              <w:ind w:left="80"/>
              <w:spacing w:after="0"/>
              <w:rPr>
                <w:sz w:val="20"/>
                <w:szCs w:val="20"/>
                <w:color w:val="auto"/>
              </w:rPr>
            </w:pPr>
            <w:r>
              <w:rPr>
                <w:rFonts w:ascii="Arial" w:cs="Arial" w:eastAsia="Arial" w:hAnsi="Arial"/>
                <w:sz w:val="16"/>
                <w:szCs w:val="16"/>
                <w:color w:val="auto"/>
              </w:rPr>
              <w:t>Michaels Stores,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6"/>
              </w:rPr>
              <w:t>B / Ba3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6,383,000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0.91 %</w:t>
            </w:r>
          </w:p>
        </w:tc>
        <w:tc>
          <w:tcPr>
            <w:tcW w:w="920" w:type="dxa"/>
            <w:vAlign w:val="bottom"/>
          </w:tcPr>
          <w:p>
            <w:pPr>
              <w:jc w:val="right"/>
              <w:spacing w:after="0"/>
              <w:rPr>
                <w:sz w:val="20"/>
                <w:szCs w:val="20"/>
                <w:color w:val="auto"/>
              </w:rPr>
            </w:pPr>
            <w:r>
              <w:rPr>
                <w:rFonts w:ascii="Arial" w:cs="Arial" w:eastAsia="Arial" w:hAnsi="Arial"/>
                <w:sz w:val="16"/>
                <w:szCs w:val="16"/>
                <w:color w:val="auto"/>
              </w:rPr>
              <w:t>327,000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1.26 %</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Dick's Sporting Goods,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6,318,000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0.90 %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1.11 %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800" w:type="dxa"/>
            <w:vAlign w:val="bottom"/>
          </w:tcPr>
          <w:p>
            <w:pPr>
              <w:ind w:left="80"/>
              <w:spacing w:after="0"/>
              <w:rPr>
                <w:sz w:val="20"/>
                <w:szCs w:val="20"/>
                <w:color w:val="auto"/>
              </w:rPr>
            </w:pPr>
            <w:r>
              <w:rPr>
                <w:rFonts w:ascii="Arial" w:cs="Arial" w:eastAsia="Arial" w:hAnsi="Arial"/>
                <w:sz w:val="16"/>
                <w:szCs w:val="16"/>
                <w:color w:val="auto"/>
              </w:rPr>
              <w:t>Bank of America, N.A.</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9"/>
              </w:rPr>
              <w:t>A- / A2 / 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6,296,000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0.89 %</w:t>
            </w:r>
          </w:p>
        </w:tc>
        <w:tc>
          <w:tcPr>
            <w:tcW w:w="920" w:type="dxa"/>
            <w:vAlign w:val="bottom"/>
          </w:tcPr>
          <w:p>
            <w:pPr>
              <w:jc w:val="right"/>
              <w:spacing w:after="0"/>
              <w:rPr>
                <w:sz w:val="20"/>
                <w:szCs w:val="20"/>
                <w:color w:val="auto"/>
              </w:rPr>
            </w:pPr>
            <w:r>
              <w:rPr>
                <w:rFonts w:ascii="Arial" w:cs="Arial" w:eastAsia="Arial" w:hAnsi="Arial"/>
                <w:sz w:val="16"/>
                <w:szCs w:val="16"/>
                <w:color w:val="auto"/>
              </w:rPr>
              <w:t>107,000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0.41 %</w:t>
            </w:r>
          </w:p>
        </w:tc>
        <w:tc>
          <w:tcPr>
            <w:tcW w:w="7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Kroger Co., The</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5"/>
              </w:rPr>
              <w:t>BBB / Baa1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2.03 %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800" w:type="dxa"/>
            <w:vAlign w:val="bottom"/>
          </w:tcPr>
          <w:p>
            <w:pPr>
              <w:ind w:left="80"/>
              <w:spacing w:after="0"/>
              <w:rPr>
                <w:sz w:val="20"/>
                <w:szCs w:val="20"/>
                <w:color w:val="auto"/>
              </w:rPr>
            </w:pPr>
            <w:r>
              <w:rPr>
                <w:rFonts w:ascii="Arial" w:cs="Arial" w:eastAsia="Arial" w:hAnsi="Arial"/>
                <w:sz w:val="16"/>
                <w:szCs w:val="16"/>
                <w:color w:val="auto"/>
              </w:rPr>
              <w:t>Nordstrom,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5"/>
              </w:rPr>
              <w:t>BB+ / Baa3 / BBB-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6,136,000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0.87 %</w:t>
            </w:r>
          </w:p>
        </w:tc>
        <w:tc>
          <w:tcPr>
            <w:tcW w:w="920" w:type="dxa"/>
            <w:vAlign w:val="bottom"/>
          </w:tcPr>
          <w:p>
            <w:pPr>
              <w:jc w:val="right"/>
              <w:spacing w:after="0"/>
              <w:rPr>
                <w:sz w:val="20"/>
                <w:szCs w:val="20"/>
                <w:color w:val="auto"/>
              </w:rPr>
            </w:pPr>
            <w:r>
              <w:rPr>
                <w:rFonts w:ascii="Arial" w:cs="Arial" w:eastAsia="Arial" w:hAnsi="Arial"/>
                <w:sz w:val="16"/>
                <w:szCs w:val="16"/>
                <w:color w:val="auto"/>
              </w:rPr>
              <w:t>218,000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0.84 %</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56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15</w:t>
            </w:r>
          </w:p>
        </w:tc>
        <w:tc>
          <w:tcPr>
            <w:tcW w:w="2800" w:type="dxa"/>
            <w:vAlign w:val="bottom"/>
            <w:shd w:val="clear" w:color="auto" w:fill="CCEEFF"/>
          </w:tcPr>
          <w:p>
            <w:pPr>
              <w:ind w:left="80"/>
              <w:spacing w:after="0" w:line="169" w:lineRule="exact"/>
              <w:rPr>
                <w:sz w:val="20"/>
                <w:szCs w:val="20"/>
                <w:color w:val="auto"/>
              </w:rPr>
            </w:pPr>
            <w:r>
              <w:rPr>
                <w:rFonts w:ascii="Arial" w:cs="Arial" w:eastAsia="Arial" w:hAnsi="Arial"/>
                <w:sz w:val="16"/>
                <w:szCs w:val="16"/>
                <w:color w:val="auto"/>
              </w:rPr>
              <w:t>Albertsons Companies, Inc. (Acme,</w:t>
            </w:r>
          </w:p>
        </w:tc>
        <w:tc>
          <w:tcPr>
            <w:tcW w:w="2080" w:type="dxa"/>
            <w:vAlign w:val="bottom"/>
            <w:shd w:val="clear" w:color="auto" w:fill="CCEEFF"/>
          </w:tcPr>
          <w:p>
            <w:pPr>
              <w:jc w:val="center"/>
              <w:ind w:left="140"/>
              <w:spacing w:after="0" w:line="169" w:lineRule="exact"/>
              <w:rPr>
                <w:sz w:val="20"/>
                <w:szCs w:val="20"/>
                <w:color w:val="auto"/>
              </w:rPr>
            </w:pPr>
            <w:r>
              <w:rPr>
                <w:rFonts w:ascii="Arial" w:cs="Arial" w:eastAsia="Arial" w:hAnsi="Arial"/>
                <w:sz w:val="16"/>
                <w:szCs w:val="16"/>
                <w:color w:val="auto"/>
                <w:w w:val="97"/>
              </w:rPr>
              <w:t>BB- / Ba3 / NR</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5,783,000</w:t>
            </w:r>
          </w:p>
        </w:tc>
        <w:tc>
          <w:tcPr>
            <w:tcW w:w="1640" w:type="dxa"/>
            <w:vAlign w:val="bottom"/>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0.82 %</w:t>
            </w: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432,000</w:t>
            </w:r>
          </w:p>
        </w:tc>
        <w:tc>
          <w:tcPr>
            <w:tcW w:w="1180" w:type="dxa"/>
            <w:vAlign w:val="bottom"/>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1.66 %</w:t>
            </w:r>
          </w:p>
        </w:tc>
        <w:tc>
          <w:tcPr>
            <w:tcW w:w="7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560" w:type="dxa"/>
            <w:vAlign w:val="bottom"/>
            <w:shd w:val="clear" w:color="auto" w:fill="CCEEFF"/>
          </w:tcPr>
          <w:p>
            <w:pPr>
              <w:spacing w:after="0"/>
              <w:rPr>
                <w:sz w:val="18"/>
                <w:szCs w:val="18"/>
                <w:color w:val="auto"/>
              </w:rPr>
            </w:pP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Balducci's, Safeway)</w:t>
            </w:r>
          </w:p>
        </w:tc>
        <w:tc>
          <w:tcPr>
            <w:tcW w:w="2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800" w:type="dxa"/>
            <w:vAlign w:val="bottom"/>
          </w:tcPr>
          <w:p>
            <w:pPr>
              <w:ind w:left="80"/>
              <w:spacing w:after="0"/>
              <w:rPr>
                <w:sz w:val="20"/>
                <w:szCs w:val="20"/>
                <w:color w:val="auto"/>
              </w:rPr>
            </w:pPr>
            <w:r>
              <w:rPr>
                <w:rFonts w:ascii="Arial" w:cs="Arial" w:eastAsia="Arial" w:hAnsi="Arial"/>
                <w:sz w:val="16"/>
                <w:szCs w:val="16"/>
                <w:color w:val="auto"/>
              </w:rPr>
              <w:t>DSW,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5,692,000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0.81 %</w:t>
            </w:r>
          </w:p>
        </w:tc>
        <w:tc>
          <w:tcPr>
            <w:tcW w:w="920" w:type="dxa"/>
            <w:vAlign w:val="bottom"/>
          </w:tcPr>
          <w:p>
            <w:pPr>
              <w:jc w:val="right"/>
              <w:spacing w:after="0"/>
              <w:rPr>
                <w:sz w:val="20"/>
                <w:szCs w:val="20"/>
                <w:color w:val="auto"/>
              </w:rPr>
            </w:pPr>
            <w:r>
              <w:rPr>
                <w:rFonts w:ascii="Arial" w:cs="Arial" w:eastAsia="Arial" w:hAnsi="Arial"/>
                <w:sz w:val="16"/>
                <w:szCs w:val="16"/>
                <w:color w:val="auto"/>
              </w:rPr>
              <w:t>224,000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0.86 %</w:t>
            </w:r>
          </w:p>
        </w:tc>
        <w:tc>
          <w:tcPr>
            <w:tcW w:w="7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Best Buy Co., Inc.</w:t>
            </w:r>
          </w:p>
        </w:tc>
        <w:tc>
          <w:tcPr>
            <w:tcW w:w="208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w w:val="98"/>
              </w:rPr>
              <w:t>BBB / A3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5,670,000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0.81 %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0.71 %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800" w:type="dxa"/>
            <w:vAlign w:val="bottom"/>
          </w:tcPr>
          <w:p>
            <w:pPr>
              <w:ind w:left="80"/>
              <w:spacing w:after="0"/>
              <w:rPr>
                <w:sz w:val="20"/>
                <w:szCs w:val="20"/>
                <w:color w:val="auto"/>
              </w:rPr>
            </w:pPr>
            <w:r>
              <w:rPr>
                <w:rFonts w:ascii="Arial" w:cs="Arial" w:eastAsia="Arial" w:hAnsi="Arial"/>
                <w:sz w:val="16"/>
                <w:szCs w:val="16"/>
                <w:color w:val="auto"/>
              </w:rPr>
              <w:t>AMC Entertainment Inc.</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2"/>
              </w:rPr>
              <w:t>CCC- / Caa3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5,424,000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0.77 %</w:t>
            </w:r>
          </w:p>
        </w:tc>
        <w:tc>
          <w:tcPr>
            <w:tcW w:w="920" w:type="dxa"/>
            <w:vAlign w:val="bottom"/>
          </w:tcPr>
          <w:p>
            <w:pPr>
              <w:jc w:val="right"/>
              <w:spacing w:after="0"/>
              <w:rPr>
                <w:sz w:val="20"/>
                <w:szCs w:val="20"/>
                <w:color w:val="auto"/>
              </w:rPr>
            </w:pPr>
            <w:r>
              <w:rPr>
                <w:rFonts w:ascii="Arial" w:cs="Arial" w:eastAsia="Arial" w:hAnsi="Arial"/>
                <w:sz w:val="16"/>
                <w:szCs w:val="16"/>
                <w:color w:val="auto"/>
              </w:rPr>
              <w:t>233,000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0.90 %</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Ulta Beauty,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0.77 %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0.58 %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2800" w:type="dxa"/>
            <w:vAlign w:val="bottom"/>
          </w:tcPr>
          <w:p>
            <w:pPr>
              <w:ind w:left="80"/>
              <w:spacing w:after="0"/>
              <w:rPr>
                <w:sz w:val="20"/>
                <w:szCs w:val="20"/>
                <w:color w:val="auto"/>
              </w:rPr>
            </w:pPr>
            <w:r>
              <w:rPr>
                <w:rFonts w:ascii="Arial" w:cs="Arial" w:eastAsia="Arial" w:hAnsi="Arial"/>
                <w:sz w:val="16"/>
                <w:szCs w:val="16"/>
                <w:color w:val="auto"/>
              </w:rPr>
              <w:t>Hudson's Bay Company (Saks)</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NR / NR / NR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5,042,000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0.72 %</w:t>
            </w:r>
          </w:p>
        </w:tc>
        <w:tc>
          <w:tcPr>
            <w:tcW w:w="920" w:type="dxa"/>
            <w:vAlign w:val="bottom"/>
          </w:tcPr>
          <w:p>
            <w:pPr>
              <w:jc w:val="right"/>
              <w:spacing w:after="0"/>
              <w:rPr>
                <w:sz w:val="20"/>
                <w:szCs w:val="20"/>
                <w:color w:val="auto"/>
              </w:rPr>
            </w:pPr>
            <w:r>
              <w:rPr>
                <w:rFonts w:ascii="Arial" w:cs="Arial" w:eastAsia="Arial" w:hAnsi="Arial"/>
                <w:sz w:val="16"/>
                <w:szCs w:val="16"/>
                <w:color w:val="auto"/>
              </w:rPr>
              <w:t>100,000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0.38 %</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 / A2 / NR</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4,772,000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0.68 %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0.64 %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800" w:type="dxa"/>
            <w:vAlign w:val="bottom"/>
          </w:tcPr>
          <w:p>
            <w:pPr>
              <w:ind w:left="80"/>
              <w:spacing w:after="0"/>
              <w:rPr>
                <w:sz w:val="20"/>
                <w:szCs w:val="20"/>
                <w:color w:val="auto"/>
              </w:rPr>
            </w:pPr>
            <w:r>
              <w:rPr>
                <w:rFonts w:ascii="Arial" w:cs="Arial" w:eastAsia="Arial" w:hAnsi="Arial"/>
                <w:sz w:val="16"/>
                <w:szCs w:val="16"/>
                <w:color w:val="auto"/>
              </w:rPr>
              <w:t>Starbucks Corporation</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w w:val="97"/>
              </w:rPr>
              <w:t>BBB+ / Baa1 / BBB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4,438,000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0.63 %</w:t>
            </w:r>
          </w:p>
        </w:tc>
        <w:tc>
          <w:tcPr>
            <w:tcW w:w="920" w:type="dxa"/>
            <w:vAlign w:val="bottom"/>
          </w:tcPr>
          <w:p>
            <w:pPr>
              <w:jc w:val="right"/>
              <w:spacing w:after="0"/>
              <w:rPr>
                <w:sz w:val="20"/>
                <w:szCs w:val="20"/>
                <w:color w:val="auto"/>
              </w:rPr>
            </w:pPr>
            <w:r>
              <w:rPr>
                <w:rFonts w:ascii="Arial" w:cs="Arial" w:eastAsia="Arial" w:hAnsi="Arial"/>
                <w:sz w:val="16"/>
                <w:szCs w:val="16"/>
                <w:color w:val="auto"/>
              </w:rPr>
              <w:t>67,000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0.26 %</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Wells Fargo Bank, N.A.</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w w:val="98"/>
              </w:rPr>
              <w:t>BBB+ / A2 / A+</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4,329,000</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0.61 %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0.20 %</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2800" w:type="dxa"/>
            <w:vAlign w:val="bottom"/>
          </w:tcPr>
          <w:p>
            <w:pPr>
              <w:ind w:left="80"/>
              <w:spacing w:after="0"/>
              <w:rPr>
                <w:sz w:val="20"/>
                <w:szCs w:val="20"/>
                <w:color w:val="auto"/>
              </w:rPr>
            </w:pPr>
            <w:r>
              <w:rPr>
                <w:rFonts w:ascii="Arial" w:cs="Arial" w:eastAsia="Arial" w:hAnsi="Arial"/>
                <w:sz w:val="16"/>
                <w:szCs w:val="16"/>
                <w:color w:val="auto"/>
              </w:rPr>
              <w:t>JPMorgan Chase Bank</w:t>
            </w:r>
          </w:p>
        </w:tc>
        <w:tc>
          <w:tcPr>
            <w:tcW w:w="2080" w:type="dxa"/>
            <w:vAlign w:val="bottom"/>
          </w:tcPr>
          <w:p>
            <w:pPr>
              <w:jc w:val="center"/>
              <w:ind w:left="140"/>
              <w:spacing w:after="0"/>
              <w:rPr>
                <w:sz w:val="20"/>
                <w:szCs w:val="20"/>
                <w:color w:val="auto"/>
              </w:rPr>
            </w:pPr>
            <w:r>
              <w:rPr>
                <w:rFonts w:ascii="Arial" w:cs="Arial" w:eastAsia="Arial" w:hAnsi="Arial"/>
                <w:sz w:val="16"/>
                <w:szCs w:val="16"/>
                <w:color w:val="auto"/>
              </w:rPr>
              <w:t>A- / A2 / 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4,275,000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0.61 %</w:t>
            </w:r>
          </w:p>
        </w:tc>
        <w:tc>
          <w:tcPr>
            <w:tcW w:w="920" w:type="dxa"/>
            <w:vAlign w:val="bottom"/>
          </w:tcPr>
          <w:p>
            <w:pPr>
              <w:jc w:val="right"/>
              <w:spacing w:after="0"/>
              <w:rPr>
                <w:sz w:val="20"/>
                <w:szCs w:val="20"/>
                <w:color w:val="auto"/>
              </w:rPr>
            </w:pPr>
            <w:r>
              <w:rPr>
                <w:rFonts w:ascii="Arial" w:cs="Arial" w:eastAsia="Arial" w:hAnsi="Arial"/>
                <w:sz w:val="16"/>
                <w:szCs w:val="16"/>
                <w:color w:val="auto"/>
              </w:rPr>
              <w:t>71,000</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0.27 %</w:t>
            </w: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2800" w:type="dxa"/>
            <w:vAlign w:val="bottom"/>
            <w:shd w:val="clear" w:color="auto" w:fill="CCEEFF"/>
          </w:tcPr>
          <w:p>
            <w:pPr>
              <w:ind w:left="80"/>
              <w:spacing w:after="0"/>
              <w:rPr>
                <w:sz w:val="20"/>
                <w:szCs w:val="20"/>
                <w:color w:val="auto"/>
              </w:rPr>
            </w:pPr>
            <w:r>
              <w:rPr>
                <w:rFonts w:ascii="Arial" w:cs="Arial" w:eastAsia="Arial" w:hAnsi="Arial"/>
                <w:sz w:val="16"/>
                <w:szCs w:val="16"/>
                <w:color w:val="auto"/>
              </w:rPr>
              <w:t>Target Corporation</w:t>
            </w:r>
          </w:p>
        </w:tc>
        <w:tc>
          <w:tcPr>
            <w:tcW w:w="2080" w:type="dxa"/>
            <w:vAlign w:val="bottom"/>
            <w:shd w:val="clear" w:color="auto" w:fill="CCEEFF"/>
          </w:tcPr>
          <w:p>
            <w:pPr>
              <w:jc w:val="center"/>
              <w:ind w:left="140"/>
              <w:spacing w:after="0"/>
              <w:rPr>
                <w:sz w:val="20"/>
                <w:szCs w:val="20"/>
                <w:color w:val="auto"/>
              </w:rPr>
            </w:pPr>
            <w:r>
              <w:rPr>
                <w:rFonts w:ascii="Arial" w:cs="Arial" w:eastAsia="Arial" w:hAnsi="Arial"/>
                <w:sz w:val="16"/>
                <w:szCs w:val="16"/>
                <w:color w:val="auto"/>
              </w:rPr>
              <w:t>A / A2 / 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0.57 %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199,763,000</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28.37 %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8,226,000</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31.61 %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Arial" w:cs="Arial" w:eastAsia="Arial" w:hAnsi="Arial"/>
                <w:sz w:val="16"/>
                <w:szCs w:val="16"/>
                <w:color w:val="auto"/>
              </w:rPr>
              <w:t>Total (5):</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704,113,000</w:t>
            </w:r>
          </w:p>
        </w:tc>
        <w:tc>
          <w:tcPr>
            <w:tcW w:w="1640" w:type="dxa"/>
            <w:vAlign w:val="bottom"/>
          </w:tcPr>
          <w:p>
            <w:pPr>
              <w:jc w:val="right"/>
              <w:ind w:right="1340"/>
              <w:spacing w:after="0"/>
              <w:rPr>
                <w:sz w:val="20"/>
                <w:szCs w:val="20"/>
                <w:color w:val="auto"/>
              </w:rPr>
            </w:pPr>
            <w:r>
              <w:rPr>
                <w:rFonts w:ascii="Arial" w:cs="Arial" w:eastAsia="Arial" w:hAnsi="Arial"/>
                <w:sz w:val="16"/>
                <w:szCs w:val="16"/>
                <w:color w:val="auto"/>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26,027,000</w:t>
            </w:r>
          </w:p>
        </w:tc>
        <w:tc>
          <w:tcPr>
            <w:tcW w:w="1180" w:type="dxa"/>
            <w:vAlign w:val="bottom"/>
          </w:tcPr>
          <w:p>
            <w:pPr>
              <w:jc w:val="right"/>
              <w:ind w:right="880"/>
              <w:spacing w:after="0"/>
              <w:rPr>
                <w:sz w:val="20"/>
                <w:szCs w:val="20"/>
                <w:color w:val="auto"/>
              </w:rPr>
            </w:pPr>
            <w:r>
              <w:rPr>
                <w:rFonts w:ascii="Arial" w:cs="Arial" w:eastAsia="Arial" w:hAnsi="Arial"/>
                <w:sz w:val="16"/>
                <w:szCs w:val="16"/>
                <w:color w:val="auto"/>
              </w:rPr>
              <w:t>(4)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Credit Ratings are as of March 31, 2021. Subsequent rating changes have not been reflected.</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32" w:lineRule="exact"/>
        <w:rPr>
          <w:rFonts w:ascii="Arial" w:cs="Arial" w:eastAsia="Arial" w:hAnsi="Arial"/>
          <w:sz w:val="16"/>
          <w:szCs w:val="16"/>
          <w:color w:val="auto"/>
        </w:rPr>
      </w:pPr>
    </w:p>
    <w:p>
      <w:pPr>
        <w:ind w:left="640" w:hanging="621"/>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40" w:top="1026" w:right="359" w:bottom="1440" w:gutter="0" w:footer="0" w:header="0"/>
        </w:sectPr>
      </w:pPr>
    </w:p>
    <w:bookmarkStart w:id="31" w:name="page32"/>
    <w:bookmarkEnd w:id="31"/>
    <w:p>
      <w:pPr>
        <w:ind w:left="1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Tenant Diversification by Category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37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below reflects the breakout of our Annualized Base Rent</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as of March 31, 2021 by type of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0</wp:posOffset>
            </wp:positionV>
            <wp:extent cx="7115175" cy="4594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25% of Annualized Base Rent comes from Essential Retail</w:t>
      </w:r>
    </w:p>
    <w:p>
      <w:pPr>
        <w:spacing w:after="0" w:line="77"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21% of Annualized Base Rent comes from Office and Residential</w:t>
      </w:r>
    </w:p>
    <w:p>
      <w:pPr>
        <w:spacing w:after="0" w:line="200" w:lineRule="exact"/>
        <w:rPr>
          <w:sz w:val="20"/>
          <w:szCs w:val="20"/>
          <w:color w:val="auto"/>
        </w:rPr>
      </w:pPr>
    </w:p>
    <w:p>
      <w:pPr>
        <w:spacing w:after="0" w:line="390" w:lineRule="exact"/>
        <w:rPr>
          <w:sz w:val="20"/>
          <w:szCs w:val="20"/>
          <w:color w:val="auto"/>
        </w:rPr>
      </w:pPr>
    </w:p>
    <w:p>
      <w:pPr>
        <w:ind w:left="100"/>
        <w:spacing w:after="0"/>
        <w:rPr>
          <w:sz w:val="20"/>
          <w:szCs w:val="20"/>
          <w:color w:val="auto"/>
        </w:rPr>
      </w:pPr>
      <w:r>
        <w:rPr>
          <w:rFonts w:ascii="Arial" w:cs="Arial" w:eastAsia="Arial" w:hAnsi="Arial"/>
          <w:sz w:val="18"/>
          <w:szCs w:val="18"/>
          <w:u w:val="single" w:color="auto"/>
          <w:color w:val="auto"/>
        </w:rPr>
        <w:t>Notes:</w:t>
      </w:r>
    </w:p>
    <w:p>
      <w:pPr>
        <w:spacing w:after="0" w:line="144" w:lineRule="exact"/>
        <w:rPr>
          <w:sz w:val="20"/>
          <w:szCs w:val="20"/>
          <w:color w:val="auto"/>
        </w:rPr>
      </w:pPr>
    </w:p>
    <w:p>
      <w:pPr>
        <w:ind w:left="300" w:hanging="300"/>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See Glossary of Terms. Excludes redevelopment square footage not yet placed in service.</w:t>
      </w:r>
    </w:p>
    <w:p>
      <w:pPr>
        <w:spacing w:after="0" w:line="35" w:lineRule="exact"/>
        <w:rPr>
          <w:sz w:val="20"/>
          <w:szCs w:val="20"/>
          <w:color w:val="auto"/>
        </w:rPr>
      </w:pPr>
    </w:p>
    <w:p>
      <w:pPr>
        <w:ind w:left="300" w:hanging="300"/>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Communications &amp; Home Office includes: Telecommunications, Electronics, and Office Supply.</w:t>
      </w:r>
    </w:p>
    <w:p>
      <w:pPr>
        <w:spacing w:after="0" w:line="34" w:lineRule="exact"/>
        <w:rPr>
          <w:rFonts w:ascii="Arial" w:cs="Arial" w:eastAsia="Arial" w:hAnsi="Arial"/>
          <w:sz w:val="17"/>
          <w:szCs w:val="17"/>
          <w:color w:val="auto"/>
        </w:rPr>
      </w:pPr>
    </w:p>
    <w:p>
      <w:pPr>
        <w:ind w:left="300" w:hanging="300"/>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Essential includes: Auto, Liquor, Home Improvement, Pets, and Medical.</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Restaurants comprise full service (8%) and quick service (8%).</w:t>
      </w:r>
    </w:p>
    <w:p>
      <w:pPr>
        <w:spacing w:after="0" w:line="22" w:lineRule="exact"/>
        <w:rPr>
          <w:rFonts w:ascii="Arial" w:cs="Arial" w:eastAsia="Arial" w:hAnsi="Arial"/>
          <w:sz w:val="18"/>
          <w:szCs w:val="18"/>
          <w:color w:val="auto"/>
        </w:rPr>
      </w:pPr>
    </w:p>
    <w:p>
      <w:pPr>
        <w:ind w:left="300" w:hanging="300"/>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Experiential includes: Activity, Cinema, and Entertainment.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39"/>
          </w:cols>
          <w:pgMar w:left="220" w:top="1026" w:right="1440"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March 31, 2021</w:t>
      </w:r>
    </w:p>
    <w:p>
      <w:pPr>
        <w:spacing w:after="0" w:line="200" w:lineRule="exact"/>
        <w:rPr>
          <w:sz w:val="20"/>
          <w:szCs w:val="20"/>
          <w:color w:val="auto"/>
        </w:rPr>
      </w:pPr>
    </w:p>
    <w:p>
      <w:pPr>
        <w:spacing w:after="0" w:line="38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following tables provide a reconciliation of the range of estimated earnings per diluted share to estimated FFO per diluted share for the full year 2021 and 2022. Estimates do not include the impact from potential acquisitions or dispositions which have not closed as of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136525</wp:posOffset>
            </wp:positionV>
            <wp:extent cx="1877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gain on sale of real estate,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725805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net income available to common shareholders, per diluted share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Estimated FFO per diluted share (1)</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 See Glossary of Terms. Individual items may not add up to total due to rounding.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Full Year 2021 Guidance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8770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0"/>
                <w:szCs w:val="20"/>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1.54</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1.70</w:t>
            </w:r>
          </w:p>
        </w:tc>
      </w:tr>
      <w:tr>
        <w:trPr>
          <w:trHeight w:val="457"/>
        </w:trPr>
        <w:tc>
          <w:tcPr>
            <w:tcW w:w="180" w:type="dxa"/>
            <w:vAlign w:val="bottom"/>
          </w:tcPr>
          <w:p>
            <w:pPr>
              <w:spacing w:after="0"/>
              <w:rPr>
                <w:sz w:val="24"/>
                <w:szCs w:val="24"/>
                <w:color w:val="auto"/>
              </w:rPr>
            </w:pPr>
          </w:p>
        </w:tc>
        <w:tc>
          <w:tcPr>
            <w:tcW w:w="1260" w:type="dxa"/>
            <w:vAlign w:val="bottom"/>
          </w:tcPr>
          <w:p>
            <w:pPr>
              <w:jc w:val="center"/>
              <w:ind w:left="670"/>
              <w:spacing w:after="0"/>
              <w:rPr>
                <w:sz w:val="20"/>
                <w:szCs w:val="20"/>
                <w:color w:val="auto"/>
              </w:rPr>
            </w:pPr>
            <w:r>
              <w:rPr>
                <w:rFonts w:ascii="Arial" w:cs="Arial" w:eastAsia="Arial" w:hAnsi="Arial"/>
                <w:sz w:val="18"/>
                <w:szCs w:val="18"/>
                <w:color w:val="auto"/>
                <w:w w:val="89"/>
              </w:rPr>
              <w:t>(0.22)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center"/>
              <w:ind w:left="530"/>
              <w:spacing w:after="0"/>
              <w:rPr>
                <w:sz w:val="20"/>
                <w:szCs w:val="20"/>
                <w:color w:val="auto"/>
              </w:rPr>
            </w:pPr>
            <w:r>
              <w:rPr>
                <w:rFonts w:ascii="Arial" w:cs="Arial" w:eastAsia="Arial" w:hAnsi="Arial"/>
                <w:sz w:val="18"/>
                <w:szCs w:val="18"/>
                <w:color w:val="auto"/>
                <w:w w:val="93"/>
              </w:rPr>
              <w:t>(0.22)</w:t>
            </w:r>
          </w:p>
        </w:tc>
      </w:tr>
      <w:tr>
        <w:trPr>
          <w:trHeight w:val="230"/>
        </w:trPr>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3.22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3.22</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4.54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4.70</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88"/>
        </w:trPr>
        <w:tc>
          <w:tcPr>
            <w:tcW w:w="1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spacing w:after="0"/>
              <w:rPr>
                <w:sz w:val="24"/>
                <w:szCs w:val="24"/>
                <w:color w:val="auto"/>
              </w:rPr>
            </w:pPr>
          </w:p>
        </w:tc>
      </w:tr>
      <w:tr>
        <w:trPr>
          <w:trHeight w:val="223"/>
        </w:trPr>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9"/>
              </w:rPr>
              <w:t>Full Year 2022 Guidance Range</w:t>
            </w:r>
          </w:p>
        </w:tc>
      </w:tr>
      <w:tr>
        <w:trPr>
          <w:trHeight w:val="426"/>
        </w:trPr>
        <w:tc>
          <w:tcPr>
            <w:tcW w:w="180" w:type="dxa"/>
            <w:vAlign w:val="bottom"/>
          </w:tcPr>
          <w:p>
            <w:pPr>
              <w:spacing w:after="0"/>
              <w:rPr>
                <w:sz w:val="24"/>
                <w:szCs w:val="24"/>
                <w:color w:val="auto"/>
              </w:rPr>
            </w:pPr>
          </w:p>
        </w:tc>
        <w:tc>
          <w:tcPr>
            <w:tcW w:w="1340" w:type="dxa"/>
            <w:vAlign w:val="bottom"/>
            <w:gridSpan w:val="2"/>
          </w:tcPr>
          <w:p>
            <w:pPr>
              <w:ind w:left="380"/>
              <w:spacing w:after="0"/>
              <w:rPr>
                <w:sz w:val="20"/>
                <w:szCs w:val="20"/>
                <w:color w:val="auto"/>
              </w:rPr>
            </w:pPr>
            <w:r>
              <w:rPr>
                <w:rFonts w:ascii="Arial" w:cs="Arial" w:eastAsia="Arial" w:hAnsi="Arial"/>
                <w:sz w:val="18"/>
                <w:szCs w:val="18"/>
                <w:color w:val="auto"/>
              </w:rPr>
              <w:t>Low</w:t>
            </w:r>
          </w:p>
        </w:tc>
        <w:tc>
          <w:tcPr>
            <w:tcW w:w="340" w:type="dxa"/>
            <w:vAlign w:val="bottom"/>
          </w:tcPr>
          <w:p>
            <w:pPr>
              <w:spacing w:after="0"/>
              <w:rPr>
                <w:sz w:val="24"/>
                <w:szCs w:val="24"/>
                <w:color w:val="auto"/>
              </w:rPr>
            </w:pPr>
          </w:p>
        </w:tc>
        <w:tc>
          <w:tcPr>
            <w:tcW w:w="1100" w:type="dxa"/>
            <w:vAlign w:val="bottom"/>
          </w:tcPr>
          <w:p>
            <w:pPr>
              <w:ind w:left="200"/>
              <w:spacing w:after="0"/>
              <w:rPr>
                <w:sz w:val="20"/>
                <w:szCs w:val="20"/>
                <w:color w:val="auto"/>
              </w:rPr>
            </w:pPr>
            <w:r>
              <w:rPr>
                <w:rFonts w:ascii="Arial" w:cs="Arial" w:eastAsia="Arial" w:hAnsi="Arial"/>
                <w:sz w:val="18"/>
                <w:szCs w:val="18"/>
                <w:color w:val="auto"/>
              </w:rPr>
              <w:t>High</w:t>
            </w:r>
          </w:p>
        </w:tc>
      </w:tr>
      <w:tr>
        <w:trPr>
          <w:trHeight w:val="224"/>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center"/>
              <w:ind w:left="690"/>
              <w:spacing w:after="0"/>
              <w:rPr>
                <w:sz w:val="20"/>
                <w:szCs w:val="20"/>
                <w:color w:val="auto"/>
              </w:rPr>
            </w:pPr>
            <w:r>
              <w:rPr>
                <w:rFonts w:ascii="Arial" w:cs="Arial" w:eastAsia="Arial" w:hAnsi="Arial"/>
                <w:sz w:val="18"/>
                <w:szCs w:val="18"/>
                <w:color w:val="auto"/>
                <w:w w:val="91"/>
              </w:rPr>
              <w:t>1.74</w:t>
            </w:r>
          </w:p>
        </w:tc>
        <w:tc>
          <w:tcPr>
            <w:tcW w:w="8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85"/>
              </w:rPr>
              <w:t>1.94</w:t>
            </w:r>
          </w:p>
        </w:tc>
      </w:tr>
      <w:tr>
        <w:trPr>
          <w:trHeight w:val="458"/>
        </w:trPr>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3.31</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3.31</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center"/>
              <w:ind w:left="690"/>
              <w:spacing w:after="0"/>
              <w:rPr>
                <w:sz w:val="20"/>
                <w:szCs w:val="20"/>
                <w:color w:val="auto"/>
              </w:rPr>
            </w:pPr>
            <w:r>
              <w:rPr>
                <w:rFonts w:ascii="Arial" w:cs="Arial" w:eastAsia="Arial" w:hAnsi="Arial"/>
                <w:sz w:val="18"/>
                <w:szCs w:val="18"/>
                <w:color w:val="auto"/>
                <w:w w:val="91"/>
              </w:rPr>
              <w:t>5.05</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color w:val="auto"/>
                <w:w w:val="85"/>
              </w:rPr>
              <w:t>5.25</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63" w:lineRule="exact"/>
        <w:rPr>
          <w:sz w:val="20"/>
          <w:szCs w:val="20"/>
          <w:color w:val="auto"/>
        </w:rPr>
      </w:pPr>
    </w:p>
    <w:p>
      <w:pPr>
        <w:sectPr>
          <w:pgSz w:w="11900" w:h="16838" w:orient="portrait"/>
          <w:cols w:equalWidth="0" w:num="2">
            <w:col w:w="7560" w:space="720"/>
            <w:col w:w="2960"/>
          </w:cols>
          <w:pgMar w:left="320" w:top="931" w:right="339" w:bottom="1440"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93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135"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b w:val="1"/>
          <w:bCs w:val="1"/>
          <w:color w:val="auto"/>
        </w:rPr>
        <w:t xml:space="preserve">EBITDA for Real Estate ("EBITDAre"): </w:t>
      </w:r>
      <w:r>
        <w:rPr>
          <w:rFonts w:ascii="Arial" w:cs="Arial" w:eastAsia="Arial" w:hAnsi="Arial"/>
          <w:sz w:val="14"/>
          <w:szCs w:val="14"/>
          <w:color w:val="auto"/>
        </w:rPr>
        <w:t>EBITDAre is a non-GAAP measure that the National Association of Real Estate Investment Trusts ("NAREIT") defines as: net</w:t>
      </w:r>
      <w:r>
        <w:rPr>
          <w:rFonts w:ascii="Arial" w:cs="Arial" w:eastAsia="Arial" w:hAnsi="Arial"/>
          <w:sz w:val="14"/>
          <w:szCs w:val="14"/>
          <w:b w:val="1"/>
          <w:bCs w:val="1"/>
          <w:color w:val="auto"/>
        </w:rPr>
        <w:t xml:space="preserve"> </w:t>
      </w:r>
      <w:r>
        <w:rPr>
          <w:rFonts w:ascii="Arial" w:cs="Arial" w:eastAsia="Arial" w:hAnsi="Arial"/>
          <w:sz w:val="14"/>
          <w:szCs w:val="14"/>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2021 and 2020 is as follows: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4"/>
          </w:tcPr>
          <w:p>
            <w:pPr>
              <w:jc w:val="center"/>
              <w:ind w:right="179"/>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1"/>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6"/>
                <w:szCs w:val="16"/>
                <w:color w:val="auto"/>
              </w:rPr>
            </w:pPr>
          </w:p>
        </w:tc>
      </w:tr>
      <w:tr>
        <w:trPr>
          <w:trHeight w:val="187"/>
        </w:trPr>
        <w:tc>
          <w:tcPr>
            <w:tcW w:w="8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3"/>
          </w:tcPr>
          <w:p>
            <w:pPr>
              <w:jc w:val="center"/>
              <w:ind w:left="441"/>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5"/>
                <w:szCs w:val="15"/>
                <w:color w:val="auto"/>
              </w:rPr>
            </w:pPr>
          </w:p>
        </w:tc>
      </w:tr>
      <w:tr>
        <w:trPr>
          <w:trHeight w:val="217"/>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49,739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7"/>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56,441</w:t>
            </w:r>
          </w:p>
        </w:tc>
      </w:tr>
      <w:tr>
        <w:trPr>
          <w:trHeight w:val="213"/>
        </w:trPr>
        <w:tc>
          <w:tcPr>
            <w:tcW w:w="868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32,085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28,445</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interest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r>
      <w:tr>
        <w:trPr>
          <w:trHeight w:val="213"/>
        </w:trPr>
        <w:tc>
          <w:tcPr>
            <w:tcW w:w="868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9"/>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62,188</w:t>
            </w:r>
          </w:p>
        </w:tc>
      </w:tr>
      <w:tr>
        <w:trPr>
          <w:trHeight w:val="213"/>
        </w:trPr>
        <w:tc>
          <w:tcPr>
            <w:tcW w:w="8680" w:type="dxa"/>
            <w:vAlign w:val="bottom"/>
          </w:tcPr>
          <w:p>
            <w:pPr>
              <w:ind w:left="20"/>
              <w:spacing w:after="0"/>
              <w:rPr>
                <w:sz w:val="20"/>
                <w:szCs w:val="20"/>
                <w:color w:val="auto"/>
              </w:rPr>
            </w:pPr>
            <w:r>
              <w:rPr>
                <w:rFonts w:ascii="Arial" w:cs="Arial" w:eastAsia="Arial" w:hAnsi="Arial"/>
                <w:sz w:val="17"/>
                <w:szCs w:val="17"/>
                <w:color w:val="auto"/>
              </w:rPr>
              <w:t>Gain on sale of real estate and change in control of interest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(17,428)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8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of EBITDAre of unconsolidated affiliates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w:t>
            </w:r>
          </w:p>
        </w:tc>
      </w:tr>
      <w:tr>
        <w:trPr>
          <w:trHeight w:val="213"/>
        </w:trPr>
        <w:tc>
          <w:tcPr>
            <w:tcW w:w="8680" w:type="dxa"/>
            <w:vAlign w:val="bottom"/>
          </w:tcPr>
          <w:p>
            <w:pPr>
              <w:ind w:left="360"/>
              <w:spacing w:after="0"/>
              <w:rPr>
                <w:sz w:val="20"/>
                <w:szCs w:val="20"/>
                <w:color w:val="auto"/>
              </w:rPr>
            </w:pPr>
            <w:r>
              <w:rPr>
                <w:rFonts w:ascii="Arial" w:cs="Arial" w:eastAsia="Arial" w:hAnsi="Arial"/>
                <w:sz w:val="17"/>
                <w:szCs w:val="17"/>
                <w:color w:val="auto"/>
              </w:rPr>
              <w:t>EBITDAre</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128,615</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148,421</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line="269" w:lineRule="auto"/>
        <w:rPr>
          <w:sz w:val="20"/>
          <w:szCs w:val="20"/>
          <w:color w:val="auto"/>
        </w:rPr>
      </w:pPr>
      <w:r>
        <w:rPr>
          <w:rFonts w:ascii="Arial" w:cs="Arial" w:eastAsia="Arial" w:hAnsi="Arial"/>
          <w:sz w:val="15"/>
          <w:szCs w:val="15"/>
          <w:b w:val="1"/>
          <w:bCs w:val="1"/>
          <w:color w:val="auto"/>
        </w:rPr>
        <w:t xml:space="preserve">Funds From Operations (FFO): </w:t>
      </w:r>
      <w:r>
        <w:rPr>
          <w:rFonts w:ascii="Arial" w:cs="Arial" w:eastAsia="Arial" w:hAnsi="Arial"/>
          <w:sz w:val="15"/>
          <w:szCs w:val="15"/>
          <w:color w:val="auto"/>
        </w:rPr>
        <w:t>FFO is a supplemental measure of real estate companies' operating performances. NAREIT defines FFO as follows: net income, computed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Property Operating Income: </w:t>
      </w:r>
      <w:r>
        <w:rPr>
          <w:rFonts w:ascii="Arial" w:cs="Arial" w:eastAsia="Arial" w:hAnsi="Arial"/>
          <w:sz w:val="16"/>
          <w:szCs w:val="16"/>
          <w:color w:val="auto"/>
        </w:rPr>
        <w:t>Rental income and mortgage interest income, less rental expenses and real estate taxes.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Overall Portfolio: </w:t>
      </w:r>
      <w:r>
        <w:rPr>
          <w:rFonts w:ascii="Arial" w:cs="Arial" w:eastAsia="Arial" w:hAnsi="Arial"/>
          <w:sz w:val="16"/>
          <w:szCs w:val="16"/>
          <w:color w:val="auto"/>
        </w:rPr>
        <w:t>Includes all operating properties owned in reporting period.</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Comparable Properties: </w:t>
      </w:r>
      <w:r>
        <w:rPr>
          <w:rFonts w:ascii="Arial" w:cs="Arial" w:eastAsia="Arial" w:hAnsi="Arial"/>
          <w:sz w:val="15"/>
          <w:szCs w:val="15"/>
          <w:color w:val="auto"/>
        </w:rPr>
        <w:t>Represents our consolidated property portfolio other than those properties that distort comparability between periods in two primary categories:</w:t>
      </w:r>
    </w:p>
    <w:p>
      <w:pPr>
        <w:spacing w:after="0" w:line="35" w:lineRule="exact"/>
        <w:rPr>
          <w:sz w:val="20"/>
          <w:szCs w:val="20"/>
          <w:color w:val="auto"/>
        </w:rPr>
      </w:pPr>
    </w:p>
    <w:p>
      <w:pPr>
        <w:ind w:right="160" w:firstLine="8"/>
        <w:spacing w:after="0" w:line="257" w:lineRule="auto"/>
        <w:tabs>
          <w:tab w:leader="none" w:pos="22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01" w:lineRule="exact"/>
        <w:rPr>
          <w:sz w:val="20"/>
          <w:szCs w:val="20"/>
          <w:color w:val="auto"/>
        </w:rPr>
      </w:pPr>
    </w:p>
    <w:p>
      <w:pPr>
        <w:ind w:right="160"/>
        <w:spacing w:after="0" w:line="280" w:lineRule="auto"/>
        <w:rPr>
          <w:sz w:val="20"/>
          <w:szCs w:val="20"/>
          <w:color w:val="auto"/>
        </w:rPr>
      </w:pPr>
      <w:r>
        <w:rPr>
          <w:rFonts w:ascii="Arial" w:cs="Arial" w:eastAsia="Arial" w:hAnsi="Arial"/>
          <w:sz w:val="16"/>
          <w:szCs w:val="16"/>
          <w:b w:val="1"/>
          <w:bCs w:val="1"/>
          <w:color w:val="auto"/>
        </w:rPr>
        <w:t xml:space="preserve">Annualized Base Rent (ABR): </w:t>
      </w:r>
      <w:r>
        <w:rPr>
          <w:rFonts w:ascii="Arial" w:cs="Arial" w:eastAsia="Arial" w:hAnsi="Arial"/>
          <w:sz w:val="16"/>
          <w:szCs w:val="16"/>
          <w:color w:val="auto"/>
        </w:rPr>
        <w:t>Represents aggregate, annualized in-place contractual (defined as rents billed on a cash basis without taking the impact of rent abatements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into account) minimum rent for all occupied spaces as of the reporting period.</w:t>
      </w:r>
    </w:p>
    <w:p>
      <w:pPr>
        <w:spacing w:after="0" w:line="70" w:lineRule="exact"/>
        <w:rPr>
          <w:sz w:val="20"/>
          <w:szCs w:val="20"/>
          <w:color w:val="auto"/>
        </w:rPr>
      </w:pPr>
    </w:p>
    <w:p>
      <w:pPr>
        <w:ind w:right="60"/>
        <w:spacing w:after="0" w:line="269" w:lineRule="auto"/>
        <w:rPr>
          <w:sz w:val="20"/>
          <w:szCs w:val="20"/>
          <w:color w:val="auto"/>
        </w:rPr>
      </w:pPr>
      <w:r>
        <w:rPr>
          <w:rFonts w:ascii="Arial" w:cs="Arial" w:eastAsia="Arial" w:hAnsi="Arial"/>
          <w:sz w:val="15"/>
          <w:szCs w:val="15"/>
          <w:b w:val="1"/>
          <w:bCs w:val="1"/>
          <w:color w:val="auto"/>
        </w:rPr>
        <w:t xml:space="preserve">Retail Leasing Summary - Lease Rollover Calculation: </w:t>
      </w:r>
      <w:r>
        <w:rPr>
          <w:rFonts w:ascii="Arial" w:cs="Arial" w:eastAsia="Arial" w:hAnsi="Arial"/>
          <w:sz w:val="15"/>
          <w:szCs w:val="15"/>
          <w:color w:val="auto"/>
        </w:rPr>
        <w:t>The rental increases associated with comparable spaces generally include all leases signed for retail space in</w:t>
      </w:r>
      <w:r>
        <w:rPr>
          <w:rFonts w:ascii="Arial" w:cs="Arial" w:eastAsia="Arial" w:hAnsi="Arial"/>
          <w:sz w:val="15"/>
          <w:szCs w:val="15"/>
          <w:b w:val="1"/>
          <w:bCs w:val="1"/>
          <w:color w:val="auto"/>
        </w:rPr>
        <w:t xml:space="preserve"> </w:t>
      </w:r>
      <w:r>
        <w:rPr>
          <w:rFonts w:ascii="Arial" w:cs="Arial" w:eastAsia="Arial" w:hAnsi="Arial"/>
          <w:sz w:val="15"/>
          <w:szCs w:val="15"/>
          <w:color w:val="auto"/>
        </w:rPr>
        <w:t>arms-length transactions reflecting market leverage between landlords and tenants during the period. The comparison between average rent for expiring leases and new leases is determined by including contractual rent on the expiring lease and annual market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stay open during and after the COVID-19 pandemic, we have found it necessary to exercise more judgement in 2020 and 2021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83" w:lineRule="exact"/>
        <w:rPr>
          <w:sz w:val="20"/>
          <w:szCs w:val="20"/>
          <w:color w:val="auto"/>
        </w:rPr>
      </w:pPr>
    </w:p>
    <w:p>
      <w:pPr>
        <w:ind w:right="240"/>
        <w:spacing w:after="0" w:line="280" w:lineRule="auto"/>
        <w:rPr>
          <w:sz w:val="20"/>
          <w:szCs w:val="20"/>
          <w:color w:val="auto"/>
        </w:rPr>
      </w:pPr>
      <w:r>
        <w:rPr>
          <w:rFonts w:ascii="Arial" w:cs="Arial" w:eastAsia="Arial" w:hAnsi="Arial"/>
          <w:sz w:val="16"/>
          <w:szCs w:val="16"/>
          <w:b w:val="1"/>
          <w:bCs w:val="1"/>
          <w:color w:val="auto"/>
        </w:rPr>
        <w:t xml:space="preserve">Tenant Improvements and Incentives: </w:t>
      </w:r>
      <w:r>
        <w:rPr>
          <w:rFonts w:ascii="Arial" w:cs="Arial" w:eastAsia="Arial" w:hAnsi="Arial"/>
          <w:sz w:val="16"/>
          <w:szCs w:val="16"/>
          <w:color w:val="auto"/>
        </w:rPr>
        <w:t>Represents the total dollars committed for the improvement (fit-out) of a space as it relates to a specific lease. Incentives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3"/>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2"/>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2"/>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2021-05-05T15:23:47Z</dcterms:created>
  <dcterms:modified xsi:type="dcterms:W3CDTF">2021-05-05T15:23:47Z</dcterms:modified>
</cp:coreProperties>
</file>