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8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CURRENT REPORT</w:t>
      </w:r>
    </w:p>
    <w:p>
      <w:pPr>
        <w:spacing w:after="0" w:line="20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218" w:lineRule="exact"/>
        <w:rPr>
          <w:sz w:val="24"/>
          <w:szCs w:val="24"/>
          <w:color w:val="auto"/>
        </w:rPr>
      </w:pPr>
    </w:p>
    <w:p>
      <w:pPr>
        <w:ind w:left="620"/>
        <w:spacing w:after="0"/>
        <w:rPr>
          <w:sz w:val="20"/>
          <w:szCs w:val="20"/>
          <w:color w:val="auto"/>
        </w:rPr>
      </w:pPr>
      <w:r>
        <w:rPr>
          <w:rFonts w:ascii="Courier New" w:cs="Courier New" w:eastAsia="Courier New" w:hAnsi="Courier New"/>
          <w:sz w:val="18"/>
          <w:szCs w:val="18"/>
          <w:color w:val="auto"/>
        </w:rPr>
        <w:t>Date of Report (Date of earliest event reported) November 13, 2002</w:t>
      </w:r>
    </w:p>
    <w:p>
      <w:pPr>
        <w:spacing w:after="0" w:line="200" w:lineRule="exact"/>
        <w:rPr>
          <w:sz w:val="24"/>
          <w:szCs w:val="24"/>
          <w:color w:val="auto"/>
        </w:rPr>
      </w:pPr>
    </w:p>
    <w:p>
      <w:pPr>
        <w:spacing w:after="0" w:line="204" w:lineRule="exact"/>
        <w:rPr>
          <w:sz w:val="24"/>
          <w:szCs w:val="24"/>
          <w:color w:val="auto"/>
        </w:rPr>
      </w:pPr>
    </w:p>
    <w:p>
      <w:pPr>
        <w:ind w:left="2520"/>
        <w:spacing w:after="0"/>
        <w:rPr>
          <w:sz w:val="20"/>
          <w:szCs w:val="20"/>
          <w:color w:val="auto"/>
        </w:rPr>
      </w:pPr>
      <w:r>
        <w:rPr>
          <w:rFonts w:ascii="Courier New" w:cs="Courier New" w:eastAsia="Courier New" w:hAnsi="Courier New"/>
          <w:sz w:val="18"/>
          <w:szCs w:val="18"/>
          <w:color w:val="auto"/>
        </w:rPr>
        <w:t>Federal Realty Investment Trust</w:t>
      </w:r>
    </w:p>
    <w:p>
      <w:pPr>
        <w:ind w:left="2520"/>
        <w:spacing w:after="0" w:line="238" w:lineRule="auto"/>
        <w:rPr>
          <w:sz w:val="20"/>
          <w:szCs w:val="20"/>
          <w:color w:val="auto"/>
        </w:rPr>
      </w:pPr>
      <w:r>
        <w:rPr>
          <w:rFonts w:ascii="Courier New" w:cs="Courier New" w:eastAsia="Courier New" w:hAnsi="Courier New"/>
          <w:sz w:val="18"/>
          <w:szCs w:val="18"/>
          <w:color w:val="auto"/>
        </w:rPr>
        <w:t>-------------------------------</w:t>
      </w:r>
    </w:p>
    <w:p>
      <w:pPr>
        <w:ind w:left="126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099"/>
          </w:cols>
          <w:pgMar w:left="360" w:top="852" w:right="1440" w:bottom="1440" w:gutter="0" w:footer="0" w:header="0"/>
        </w:sectPr>
      </w:pPr>
    </w:p>
    <w:p>
      <w:pPr>
        <w:spacing w:after="0" w:line="200" w:lineRule="exact"/>
        <w:rPr>
          <w:sz w:val="24"/>
          <w:szCs w:val="24"/>
          <w:color w:val="auto"/>
        </w:rPr>
      </w:pPr>
    </w:p>
    <w:p>
      <w:pPr>
        <w:spacing w:after="0" w:line="203"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Maryland</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62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1-07533</w:t>
      </w:r>
    </w:p>
    <w:p>
      <w:pPr>
        <w:ind w:left="2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(Commission</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52-0782497</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200"/>
        <w:spacing w:after="0"/>
        <w:rPr>
          <w:sz w:val="20"/>
          <w:szCs w:val="20"/>
          <w:color w:val="auto"/>
        </w:rPr>
      </w:pPr>
      <w:r>
        <w:rPr>
          <w:rFonts w:ascii="Courier New" w:cs="Courier New" w:eastAsia="Courier New" w:hAnsi="Courier New"/>
          <w:sz w:val="18"/>
          <w:szCs w:val="18"/>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3060" w:space="720"/>
            <w:col w:w="1820" w:space="720"/>
            <w:col w:w="3779"/>
          </w:cols>
          <w:pgMar w:left="360" w:top="852" w:right="1440" w:bottom="1440" w:gutter="0" w:footer="0" w:header="0"/>
          <w:type w:val="continuous"/>
        </w:sectPr>
      </w:pPr>
    </w:p>
    <w:p>
      <w:pPr>
        <w:spacing w:after="0" w:line="209" w:lineRule="exact"/>
        <w:rPr>
          <w:sz w:val="24"/>
          <w:szCs w:val="24"/>
          <w:color w:val="auto"/>
        </w:rPr>
      </w:pPr>
    </w:p>
    <w:p>
      <w:pPr>
        <w:jc w:val="both"/>
        <w:ind w:left="100" w:right="1080"/>
        <w:spacing w:after="0" w:line="279" w:lineRule="auto"/>
        <w:rPr>
          <w:sz w:val="20"/>
          <w:szCs w:val="20"/>
          <w:color w:val="auto"/>
        </w:rPr>
      </w:pPr>
      <w:r>
        <w:rPr>
          <w:rFonts w:ascii="Courier New" w:cs="Courier New" w:eastAsia="Courier New" w:hAnsi="Courier New"/>
          <w:sz w:val="16"/>
          <w:szCs w:val="16"/>
          <w:color w:val="auto"/>
        </w:rPr>
        <w:t>1626 East Jefferson Street, Rockville, Maryland ----------------------------------------------- (Address of principal executive offices)</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20852-4041</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45" w:lineRule="exact"/>
        <w:rPr>
          <w:sz w:val="24"/>
          <w:szCs w:val="24"/>
          <w:color w:val="auto"/>
        </w:rPr>
      </w:pPr>
    </w:p>
    <w:p>
      <w:pPr>
        <w:sectPr>
          <w:pgSz w:w="11900" w:h="16838" w:orient="portrait"/>
          <w:cols w:equalWidth="0" w:num="2">
            <w:col w:w="6120" w:space="720"/>
            <w:col w:w="3259"/>
          </w:cols>
          <w:pgMar w:left="360" w:top="852" w:right="1440" w:bottom="1440" w:gutter="0" w:footer="0" w:header="0"/>
          <w:type w:val="continuous"/>
        </w:sectPr>
      </w:pPr>
    </w:p>
    <w:p>
      <w:pPr>
        <w:spacing w:after="0" w:line="181" w:lineRule="exact"/>
        <w:rPr>
          <w:sz w:val="24"/>
          <w:szCs w:val="24"/>
          <w:color w:val="auto"/>
        </w:rPr>
      </w:pPr>
    </w:p>
    <w:p>
      <w:pPr>
        <w:ind w:left="840"/>
        <w:spacing w:after="0"/>
        <w:rPr>
          <w:sz w:val="20"/>
          <w:szCs w:val="20"/>
          <w:color w:val="auto"/>
        </w:rPr>
      </w:pPr>
      <w:r>
        <w:rPr>
          <w:rFonts w:ascii="Courier New" w:cs="Courier New" w:eastAsia="Courier New" w:hAnsi="Courier New"/>
          <w:sz w:val="16"/>
          <w:szCs w:val="16"/>
          <w:color w:val="auto"/>
        </w:rPr>
        <w:t>Registrant's telephone number including area code: 301/998-8100</w:t>
      </w:r>
    </w:p>
    <w:p>
      <w:pPr>
        <w:spacing w:after="0" w:line="21" w:lineRule="exact"/>
        <w:rPr>
          <w:sz w:val="24"/>
          <w:szCs w:val="24"/>
          <w:color w:val="auto"/>
        </w:rPr>
      </w:pPr>
    </w:p>
    <w:p>
      <w:pPr>
        <w:ind w:left="8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099"/>
          </w:cols>
          <w:pgMar w:left="360" w:top="852" w:right="1440" w:bottom="1440" w:gutter="0" w:footer="0" w:header="0"/>
          <w:type w:val="continuous"/>
        </w:sectPr>
      </w:pPr>
    </w:p>
    <w:bookmarkStart w:id="1" w:name="page2"/>
    <w:bookmarkEnd w:id="1"/>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right="2099" w:firstLine="948"/>
        <w:spacing w:after="0" w:line="279" w:lineRule="auto"/>
        <w:rPr>
          <w:sz w:val="20"/>
          <w:szCs w:val="20"/>
          <w:color w:val="auto"/>
        </w:rPr>
      </w:pPr>
      <w:r>
        <w:rPr>
          <w:rFonts w:ascii="Courier New" w:cs="Courier New" w:eastAsia="Courier New" w:hAnsi="Courier New"/>
          <w:sz w:val="16"/>
          <w:szCs w:val="16"/>
          <w:color w:val="auto"/>
        </w:rPr>
        <w:t>References to "we," "us" or "our" refer to Federal Realty Investment Trust and its directly or indirectly owned subsidiaries, unless the context otherwise requires. The term "you" refers to a prospective investor.</w:t>
      </w:r>
    </w:p>
    <w:p>
      <w:pPr>
        <w:spacing w:after="0" w:line="17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Following is a description of the material U.S. federal income tax consequences relating to our taxation as a REIT and the ownership and disposition of our common shares. This description replaces and supersedes prior descriptions of the material federal income tax treatment of us and our shareholders to the extent that they are inconsistent with the description contained in this current report.</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description contains forward-looking statements within the meaning of Section 27A of the Securities Act of 1933, Section 21E of the Exchange Act and the Private Securities Litigation Reform Act of 1995. When we refer to forward-looking statements or information, sometimes we use words such as "may," "will," "could," "should," "plans," "intends," "expects," "believes," "estimates," "anticipates" and "continues." The risk factors in our Annual Report on Form 10-K filed with the SEC on March 28, 2002 describe risks that may affect these statements but are not all-inclusive, particularly with respect to possible future events. Many things can happen that can cause actual results to be different from those we describe. These factors include, but are not limited to:</w:t>
      </w:r>
    </w:p>
    <w:p>
      <w:pPr>
        <w:spacing w:after="0" w:line="216" w:lineRule="exact"/>
        <w:rPr>
          <w:sz w:val="20"/>
          <w:szCs w:val="20"/>
          <w:color w:val="auto"/>
        </w:rPr>
      </w:pPr>
    </w:p>
    <w:p>
      <w:pPr>
        <w:ind w:left="1900" w:right="2319" w:hanging="944"/>
        <w:spacing w:after="0" w:line="235" w:lineRule="auto"/>
        <w:tabs>
          <w:tab w:leader="none" w:pos="1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risks that our growth will be limited if we cannot obtain additional capital;</w:t>
      </w:r>
    </w:p>
    <w:p>
      <w:pPr>
        <w:spacing w:after="0" w:line="208" w:lineRule="exact"/>
        <w:rPr>
          <w:rFonts w:ascii="Courier New" w:cs="Courier New" w:eastAsia="Courier New" w:hAnsi="Courier New"/>
          <w:sz w:val="18"/>
          <w:szCs w:val="18"/>
          <w:color w:val="auto"/>
        </w:rPr>
      </w:pPr>
    </w:p>
    <w:p>
      <w:pPr>
        <w:ind w:left="1900" w:right="1779" w:hanging="944"/>
        <w:spacing w:after="0" w:line="237" w:lineRule="auto"/>
        <w:tabs>
          <w:tab w:leader="none" w:pos="1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risks of financing, such as our ability to consummate additional financings on terms which are acceptable to us, our ability to meet existing financial covenants and the possibility of increases in interest rates that would result in increased interest expense;</w:t>
      </w:r>
    </w:p>
    <w:p>
      <w:pPr>
        <w:spacing w:after="0" w:line="208" w:lineRule="exact"/>
        <w:rPr>
          <w:rFonts w:ascii="Courier New" w:cs="Courier New" w:eastAsia="Courier New" w:hAnsi="Courier New"/>
          <w:sz w:val="18"/>
          <w:szCs w:val="18"/>
          <w:color w:val="auto"/>
        </w:rPr>
      </w:pPr>
    </w:p>
    <w:p>
      <w:pPr>
        <w:ind w:left="1900" w:right="1779" w:hanging="944"/>
        <w:spacing w:after="0" w:line="237" w:lineRule="auto"/>
        <w:tabs>
          <w:tab w:leader="none" w:pos="1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risks normally associated with the real estate industry, including risks that our tenants will not pay rent or that we may be unable to renew leases or relet space at favorable rents as leases expire, that new acquisitions and our development, construction and renovation projects, including our Santana Row project, may fail to perform as expected, that competition for acquisitions could result in increased prices, environmental risks, and, because real estate is illiquid, that we may not be able to sell properties when appropriate; and</w:t>
      </w:r>
    </w:p>
    <w:p>
      <w:pPr>
        <w:spacing w:after="0" w:line="214" w:lineRule="exact"/>
        <w:rPr>
          <w:rFonts w:ascii="Courier New" w:cs="Courier New" w:eastAsia="Courier New" w:hAnsi="Courier New"/>
          <w:sz w:val="18"/>
          <w:szCs w:val="18"/>
          <w:color w:val="auto"/>
        </w:rPr>
      </w:pPr>
    </w:p>
    <w:p>
      <w:pPr>
        <w:ind w:left="1900" w:right="1779" w:hanging="944"/>
        <w:spacing w:after="0" w:line="272" w:lineRule="auto"/>
        <w:tabs>
          <w:tab w:leader="none" w:pos="19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risks related to our status as a real estate investment trust, commonly referred to as a REIT, for federal income tax purposes, such as the existence of complex regulations relating to our status as a REIT, the effect of future changes in REIT requirements as a result of new legislation and the adverse consequences if we fail to qualify as a REIT.</w:t>
      </w:r>
    </w:p>
    <w:p>
      <w:pPr>
        <w:spacing w:after="0" w:line="186"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Given these uncertainties, readers are cautioned not to place undue reliance on these forward-looking statements. We also make no promise to update any of the forward-looking statements, or to publicly release the results if we revise any of them.</w:t>
      </w:r>
    </w:p>
    <w:p>
      <w:pPr>
        <w:sectPr>
          <w:pgSz w:w="11900" w:h="16838" w:orient="portrait"/>
          <w:cols w:equalWidth="0" w:num="1">
            <w:col w:w="10219"/>
          </w:cols>
          <w:pgMar w:left="240" w:top="919" w:right="1440" w:bottom="1440" w:gutter="0" w:footer="0" w:header="0"/>
        </w:sectPr>
      </w:pPr>
    </w:p>
    <w:bookmarkStart w:id="2" w:name="page3"/>
    <w:bookmarkEnd w:id="2"/>
    <w:p>
      <w:pPr>
        <w:ind w:left="2640"/>
        <w:spacing w:after="0"/>
        <w:rPr>
          <w:sz w:val="20"/>
          <w:szCs w:val="20"/>
          <w:color w:val="auto"/>
        </w:rPr>
      </w:pPr>
      <w:r>
        <w:rPr>
          <w:rFonts w:ascii="Courier New" w:cs="Courier New" w:eastAsia="Courier New" w:hAnsi="Courier New"/>
          <w:sz w:val="18"/>
          <w:szCs w:val="18"/>
          <w:color w:val="auto"/>
        </w:rPr>
        <w:t>FEDERAL INCOME TAX CONSEQUENCES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following sections summarize the federal income tax issues that you may consider relevant. Because this section is a summary, it does not address all of the tax issues that may be important to you. In addition, this section does not address the tax issues that may be important to certain types of shareholders that are subject to special treatment under the federal income tax laws, such as insurance companies, tax-exempt organizations (except to the extent discussed in "-Taxation of Tax-Exempt U.S. Shareholders" below), financial institutions and broker-dealers, and non-U.S. individuals and foreign corporations (except to the extent discussed in "-Taxation of Non-U.S. Shareholders" below).</w:t>
      </w:r>
    </w:p>
    <w:p>
      <w:pPr>
        <w:spacing w:after="0" w:line="215" w:lineRule="exact"/>
        <w:rPr>
          <w:sz w:val="20"/>
          <w:szCs w:val="20"/>
          <w:color w:val="auto"/>
        </w:rPr>
      </w:pPr>
    </w:p>
    <w:p>
      <w:pPr>
        <w:ind w:right="1879" w:firstLine="948"/>
        <w:spacing w:after="0" w:line="275" w:lineRule="auto"/>
        <w:rPr>
          <w:sz w:val="20"/>
          <w:szCs w:val="20"/>
          <w:color w:val="auto"/>
        </w:rPr>
      </w:pPr>
      <w:r>
        <w:rPr>
          <w:rFonts w:ascii="Courier New" w:cs="Courier New" w:eastAsia="Courier New" w:hAnsi="Courier New"/>
          <w:sz w:val="16"/>
          <w:szCs w:val="16"/>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182"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We urge you to consult your own tax advisor regarding the specific federal, state, local, foreign and other tax consequences to you of purchasing, owning and disposing of our securities, our election to be taxed as a REIT and the effect of potential changes in applicable tax laws.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Taxation of the Company</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We elected to be taxed as a REIT under the federal income tax laws when we filed our 1962 tax return. We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209"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In the opinion of our tax counsel, Shaw Pittman LLP, (i) we qualified as a REIT under Sections 856 through 859 of the Code with respect to our taxable years ended through December 31, 2001; and (ii) we are organized in conformity with the requirements for qualification as a REIT under the Code and our current method of operation will enable us to meet the requirements for qualification as a REIT for the current taxable year and for future taxable years, provided that we have operated and continue to operate in accordance with various assumptions and factual representations made by us concerning our business, properties and operations. We may not, however, have met or continue to meet such requirements. You should be aware that opinions of counsel are not binding on the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Shaw Pittman LLP will not monitor our compliance with the requirements for REIT qualification on an ongoing basis. Accordingly, no assurance can be given that our actual operating results will satisfy the qualification tests. For a discussion of the tax treatment of us and our shareholders if we fail to qualify as a REIT, see "-Requirements for REIT Qualification-Failure to Qualify."</w:t>
      </w:r>
    </w:p>
    <w:p>
      <w:pPr>
        <w:spacing w:after="0" w:line="200" w:lineRule="exact"/>
        <w:rPr>
          <w:sz w:val="20"/>
          <w:szCs w:val="20"/>
          <w:color w:val="auto"/>
        </w:rPr>
      </w:pPr>
    </w:p>
    <w:p>
      <w:pPr>
        <w:spacing w:after="0" w:line="396"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If we qualify as a REIT, we generally will not be subject to federal income tax on the</w:t>
      </w:r>
    </w:p>
    <w:p>
      <w:pPr>
        <w:sectPr>
          <w:pgSz w:w="11900" w:h="16838" w:orient="portrait"/>
          <w:cols w:equalWidth="0" w:num="1">
            <w:col w:w="10219"/>
          </w:cols>
          <w:pgMar w:left="240" w:top="919" w:right="1440" w:bottom="1440" w:gutter="0" w:footer="0" w:header="0"/>
        </w:sectPr>
      </w:pPr>
    </w:p>
    <w:bookmarkStart w:id="3" w:name="page4"/>
    <w:bookmarkEnd w:id="3"/>
    <w:p>
      <w:pPr>
        <w:ind w:right="1999"/>
        <w:spacing w:after="0" w:line="237" w:lineRule="auto"/>
        <w:rPr>
          <w:sz w:val="20"/>
          <w:szCs w:val="20"/>
          <w:color w:val="auto"/>
        </w:rPr>
      </w:pPr>
      <w:r>
        <w:rPr>
          <w:rFonts w:ascii="Courier New" w:cs="Courier New" w:eastAsia="Courier New" w:hAnsi="Courier New"/>
          <w:sz w:val="18"/>
          <w:szCs w:val="18"/>
          <w:color w:val="auto"/>
        </w:rPr>
        <w:t>taxable income that we distribute to our shareholders. The benefit of that tax treatment is that it avoids the "double taxation" (i.e., at both the corporate and stockholder levels) that generally results from owning stock in a corporation. However, we will be subject to federal tax in the following circumstances:</w:t>
      </w:r>
    </w:p>
    <w:p>
      <w:pPr>
        <w:spacing w:after="0" w:line="209" w:lineRule="exact"/>
        <w:rPr>
          <w:sz w:val="20"/>
          <w:szCs w:val="20"/>
          <w:color w:val="auto"/>
        </w:rPr>
      </w:pPr>
    </w:p>
    <w:p>
      <w:pPr>
        <w:ind w:left="1480" w:right="1779" w:hanging="524"/>
        <w:spacing w:after="0" w:line="237" w:lineRule="auto"/>
        <w:tabs>
          <w:tab w:leader="none" w:pos="14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207" w:lineRule="exact"/>
        <w:rPr>
          <w:rFonts w:ascii="Courier New" w:cs="Courier New" w:eastAsia="Courier New" w:hAnsi="Courier New"/>
          <w:sz w:val="18"/>
          <w:szCs w:val="18"/>
          <w:color w:val="auto"/>
        </w:rPr>
      </w:pPr>
    </w:p>
    <w:p>
      <w:pPr>
        <w:ind w:left="1480" w:right="1999" w:hanging="524"/>
        <w:spacing w:after="0" w:line="236" w:lineRule="auto"/>
        <w:tabs>
          <w:tab w:leader="none" w:pos="14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may be subject to the " alternative minimum tax" on any items of tax preference that we do not distribute or allocate to our shareholders;</w:t>
      </w:r>
    </w:p>
    <w:p>
      <w:pPr>
        <w:spacing w:after="0" w:line="208" w:lineRule="exact"/>
        <w:rPr>
          <w:rFonts w:ascii="Courier New" w:cs="Courier New" w:eastAsia="Courier New" w:hAnsi="Courier New"/>
          <w:sz w:val="18"/>
          <w:szCs w:val="18"/>
          <w:color w:val="auto"/>
        </w:rPr>
      </w:pPr>
    </w:p>
    <w:p>
      <w:pPr>
        <w:ind w:left="1480" w:right="1999" w:hanging="524"/>
        <w:spacing w:after="0" w:line="237" w:lineRule="auto"/>
        <w:tabs>
          <w:tab w:leader="none" w:pos="14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will pay income tax at the highest corporate rate on (i) net income from the sale or other disposition of property acquired through foreclosure that we hold primarily for sale to customers in the ordinary course of business and (ii) other non-qualifying income from foreclosure property;</w:t>
      </w:r>
    </w:p>
    <w:p>
      <w:pPr>
        <w:spacing w:after="0" w:line="208" w:lineRule="exact"/>
        <w:rPr>
          <w:rFonts w:ascii="Courier New" w:cs="Courier New" w:eastAsia="Courier New" w:hAnsi="Courier New"/>
          <w:sz w:val="18"/>
          <w:szCs w:val="18"/>
          <w:color w:val="auto"/>
        </w:rPr>
      </w:pPr>
    </w:p>
    <w:p>
      <w:pPr>
        <w:ind w:left="1480" w:right="1779" w:hanging="524"/>
        <w:spacing w:after="0" w:line="237" w:lineRule="auto"/>
        <w:tabs>
          <w:tab w:leader="none" w:pos="14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207" w:lineRule="exact"/>
        <w:rPr>
          <w:rFonts w:ascii="Courier New" w:cs="Courier New" w:eastAsia="Courier New" w:hAnsi="Courier New"/>
          <w:sz w:val="18"/>
          <w:szCs w:val="18"/>
          <w:color w:val="auto"/>
        </w:rPr>
      </w:pPr>
    </w:p>
    <w:p>
      <w:pPr>
        <w:ind w:left="1480" w:right="1999" w:hanging="524"/>
        <w:spacing w:after="0" w:line="237" w:lineRule="auto"/>
        <w:tabs>
          <w:tab w:leader="none" w:pos="14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we fail to satisfy the 75% gross income test or the 95% gross income test (as described below under "-Requirements for REIT Qualification - Income Tests"), and nonetheless continue to qualify as a REIT because we meet certain other requirements, we will pay a 100% tax on (i) the gross income attributable to the greater of the amount by which we fail, respectively, the 75% or 95% gross income test, multiplied by (ii) a fraction intended to reflect our profitability;</w:t>
      </w:r>
    </w:p>
    <w:p>
      <w:pPr>
        <w:spacing w:after="0" w:line="212" w:lineRule="exact"/>
        <w:rPr>
          <w:rFonts w:ascii="Courier New" w:cs="Courier New" w:eastAsia="Courier New" w:hAnsi="Courier New"/>
          <w:sz w:val="18"/>
          <w:szCs w:val="18"/>
          <w:color w:val="auto"/>
        </w:rPr>
      </w:pPr>
    </w:p>
    <w:p>
      <w:pPr>
        <w:ind w:left="1480" w:right="1879" w:hanging="524"/>
        <w:spacing w:after="0" w:line="237" w:lineRule="auto"/>
        <w:tabs>
          <w:tab w:leader="none" w:pos="14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4% excise tax on the excess of such required distribution over the amount we actually distributed;</w:t>
      </w:r>
    </w:p>
    <w:p>
      <w:pPr>
        <w:spacing w:after="0" w:line="209" w:lineRule="exact"/>
        <w:rPr>
          <w:rFonts w:ascii="Courier New" w:cs="Courier New" w:eastAsia="Courier New" w:hAnsi="Courier New"/>
          <w:sz w:val="18"/>
          <w:szCs w:val="18"/>
          <w:color w:val="auto"/>
        </w:rPr>
      </w:pPr>
    </w:p>
    <w:p>
      <w:pPr>
        <w:ind w:left="1480" w:right="2199" w:hanging="524"/>
        <w:spacing w:after="0" w:line="235" w:lineRule="auto"/>
        <w:tabs>
          <w:tab w:leader="none" w:pos="14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may elect to retain and pay income tax on our net long-term capital gain; or</w:t>
      </w:r>
    </w:p>
    <w:p>
      <w:pPr>
        <w:spacing w:after="0" w:line="208" w:lineRule="exact"/>
        <w:rPr>
          <w:rFonts w:ascii="Courier New" w:cs="Courier New" w:eastAsia="Courier New" w:hAnsi="Courier New"/>
          <w:sz w:val="18"/>
          <w:szCs w:val="18"/>
          <w:color w:val="auto"/>
        </w:rPr>
      </w:pPr>
    </w:p>
    <w:p>
      <w:pPr>
        <w:ind w:left="1480" w:right="1779" w:hanging="524"/>
        <w:spacing w:after="0" w:line="238" w:lineRule="auto"/>
        <w:tabs>
          <w:tab w:leader="none" w:pos="14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we will pay tax at the highest regular corporate rate applicable if we recognize gain on the sale or disposition of such asset during the 10-year period after we acquire such asset. The amount of gain on which we will pay tax is the lesser of (i) the amount of gain that we recognize at the time of the sale or disposition and (ii) the amount of gain that we would have recognized if we had sold the asset at the time we acquired the asset.</w:t>
      </w:r>
    </w:p>
    <w:p>
      <w:pPr>
        <w:sectPr>
          <w:pgSz w:w="11900" w:h="16838" w:orient="portrait"/>
          <w:cols w:equalWidth="0" w:num="1">
            <w:col w:w="10219"/>
          </w:cols>
          <w:pgMar w:left="240" w:top="925"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Requirements for REIT Qualification</w:t>
      </w:r>
    </w:p>
    <w:p>
      <w:pPr>
        <w:spacing w:after="0" w:line="207"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In order to qualify as a REIT, we must be a corporation, trust or association and meet the following requirements:</w:t>
      </w:r>
    </w:p>
    <w:p>
      <w:pPr>
        <w:spacing w:after="0" w:line="203" w:lineRule="exact"/>
        <w:rPr>
          <w:sz w:val="20"/>
          <w:szCs w:val="20"/>
          <w:color w:val="auto"/>
        </w:rPr>
      </w:pPr>
    </w:p>
    <w:p>
      <w:pPr>
        <w:ind w:left="1480" w:hanging="524"/>
        <w:spacing w:after="0"/>
        <w:tabs>
          <w:tab w:leader="none" w:pos="14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are managed by one or more trustees or directors;</w:t>
      </w:r>
    </w:p>
    <w:p>
      <w:pPr>
        <w:spacing w:after="0" w:line="206" w:lineRule="exact"/>
        <w:rPr>
          <w:rFonts w:ascii="Courier New" w:cs="Courier New" w:eastAsia="Courier New" w:hAnsi="Courier New"/>
          <w:sz w:val="18"/>
          <w:szCs w:val="18"/>
          <w:color w:val="auto"/>
        </w:rPr>
      </w:pPr>
    </w:p>
    <w:p>
      <w:pPr>
        <w:ind w:left="1480" w:right="1999" w:hanging="524"/>
        <w:spacing w:after="0" w:line="235" w:lineRule="auto"/>
        <w:tabs>
          <w:tab w:leader="none" w:pos="14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beneficial ownership is evidenced by transferable shares, or by transferable certificates of beneficial interest;</w:t>
      </w:r>
    </w:p>
    <w:p>
      <w:pPr>
        <w:spacing w:after="0" w:line="208" w:lineRule="exact"/>
        <w:rPr>
          <w:rFonts w:ascii="Courier New" w:cs="Courier New" w:eastAsia="Courier New" w:hAnsi="Courier New"/>
          <w:sz w:val="18"/>
          <w:szCs w:val="18"/>
          <w:color w:val="auto"/>
        </w:rPr>
      </w:pPr>
    </w:p>
    <w:p>
      <w:pPr>
        <w:ind w:left="1480" w:right="2099" w:hanging="524"/>
        <w:spacing w:after="0" w:line="235" w:lineRule="auto"/>
        <w:tabs>
          <w:tab w:leader="none" w:pos="14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would be taxable as a domestic corporation, but for Sections 856 through 860 of the Code;</w:t>
      </w:r>
    </w:p>
    <w:p>
      <w:pPr>
        <w:spacing w:after="0" w:line="208" w:lineRule="exact"/>
        <w:rPr>
          <w:rFonts w:ascii="Courier New" w:cs="Courier New" w:eastAsia="Courier New" w:hAnsi="Courier New"/>
          <w:sz w:val="18"/>
          <w:szCs w:val="18"/>
          <w:color w:val="auto"/>
        </w:rPr>
      </w:pPr>
    </w:p>
    <w:p>
      <w:pPr>
        <w:ind w:left="1480" w:right="2099" w:hanging="524"/>
        <w:spacing w:after="0" w:line="235" w:lineRule="auto"/>
        <w:tabs>
          <w:tab w:leader="none" w:pos="14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are neither a financial institution nor an insurance company subject to certain provisions of the Code;</w:t>
      </w:r>
    </w:p>
    <w:p>
      <w:pPr>
        <w:spacing w:after="0" w:line="208" w:lineRule="exact"/>
        <w:rPr>
          <w:rFonts w:ascii="Courier New" w:cs="Courier New" w:eastAsia="Courier New" w:hAnsi="Courier New"/>
          <w:sz w:val="18"/>
          <w:szCs w:val="18"/>
          <w:color w:val="auto"/>
        </w:rPr>
      </w:pPr>
    </w:p>
    <w:p>
      <w:pPr>
        <w:ind w:left="1480" w:right="2519" w:hanging="524"/>
        <w:spacing w:after="0" w:line="235" w:lineRule="auto"/>
        <w:tabs>
          <w:tab w:leader="none" w:pos="14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least 100 persons are beneficial owners of our shares or ownership certificates;</w:t>
      </w:r>
    </w:p>
    <w:p>
      <w:pPr>
        <w:spacing w:after="0" w:line="208" w:lineRule="exact"/>
        <w:rPr>
          <w:rFonts w:ascii="Courier New" w:cs="Courier New" w:eastAsia="Courier New" w:hAnsi="Courier New"/>
          <w:sz w:val="18"/>
          <w:szCs w:val="18"/>
          <w:color w:val="auto"/>
        </w:rPr>
      </w:pPr>
    </w:p>
    <w:p>
      <w:pPr>
        <w:ind w:left="1480" w:right="1879" w:hanging="524"/>
        <w:spacing w:after="0" w:line="275" w:lineRule="auto"/>
        <w:tabs>
          <w:tab w:leader="none" w:pos="14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182" w:lineRule="exact"/>
        <w:rPr>
          <w:rFonts w:ascii="Courier New" w:cs="Courier New" w:eastAsia="Courier New" w:hAnsi="Courier New"/>
          <w:sz w:val="16"/>
          <w:szCs w:val="16"/>
          <w:color w:val="auto"/>
        </w:rPr>
      </w:pPr>
    </w:p>
    <w:p>
      <w:pPr>
        <w:ind w:left="1480" w:right="1999" w:hanging="524"/>
        <w:spacing w:after="0" w:line="275" w:lineRule="auto"/>
        <w:tabs>
          <w:tab w:leader="none" w:pos="14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elect to be a REIT (or have made such election for a previous taxable year) and satisfy all relevant filing and other administrative requirements established by the Internal Revenue Service that must be met to elect and maintain REIT status;</w:t>
      </w:r>
    </w:p>
    <w:p>
      <w:pPr>
        <w:spacing w:after="0" w:line="182" w:lineRule="exact"/>
        <w:rPr>
          <w:rFonts w:ascii="Courier New" w:cs="Courier New" w:eastAsia="Courier New" w:hAnsi="Courier New"/>
          <w:sz w:val="16"/>
          <w:szCs w:val="16"/>
          <w:color w:val="auto"/>
        </w:rPr>
      </w:pPr>
    </w:p>
    <w:p>
      <w:pPr>
        <w:ind w:left="1480" w:right="1879" w:hanging="524"/>
        <w:spacing w:after="0" w:line="236" w:lineRule="auto"/>
        <w:tabs>
          <w:tab w:leader="none" w:pos="14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use a calendar year for federal income tax purposes and comply with the record keeping requirements of the Code and the related Treasury regulations; and</w:t>
      </w:r>
    </w:p>
    <w:p>
      <w:pPr>
        <w:spacing w:after="0" w:line="208" w:lineRule="exact"/>
        <w:rPr>
          <w:rFonts w:ascii="Courier New" w:cs="Courier New" w:eastAsia="Courier New" w:hAnsi="Courier New"/>
          <w:sz w:val="18"/>
          <w:szCs w:val="18"/>
          <w:color w:val="auto"/>
        </w:rPr>
      </w:pPr>
    </w:p>
    <w:p>
      <w:pPr>
        <w:ind w:left="1480" w:right="2519" w:hanging="524"/>
        <w:spacing w:after="0" w:line="235" w:lineRule="auto"/>
        <w:tabs>
          <w:tab w:leader="none" w:pos="14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meet certain other qualification tests, described below, regarding the nature of our income and assets.</w:t>
      </w:r>
    </w:p>
    <w:p>
      <w:pPr>
        <w:spacing w:after="0" w:line="208"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388"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We believe we have issued sufficient common shares with sufficient diversity of ownership to satisfy requirements 5 and 6 set forth above. In addition, our declaration of trust restricts the ownership and transfer of the common shares so that we should continue to satisfy</w:t>
      </w:r>
    </w:p>
    <w:p>
      <w:pPr>
        <w:sectPr>
          <w:pgSz w:w="11900" w:h="16838" w:orient="portrait"/>
          <w:cols w:equalWidth="0" w:num="1">
            <w:col w:w="10219"/>
          </w:cols>
          <w:pgMar w:left="240" w:top="717" w:right="1440" w:bottom="1440" w:gutter="0" w:footer="0" w:header="0"/>
        </w:sectPr>
      </w:pPr>
    </w:p>
    <w:bookmarkStart w:id="5" w:name="page6"/>
    <w:bookmarkEnd w:id="5"/>
    <w:p>
      <w:pPr>
        <w:ind w:right="2199"/>
        <w:spacing w:after="0" w:line="235" w:lineRule="auto"/>
        <w:rPr>
          <w:sz w:val="20"/>
          <w:szCs w:val="20"/>
          <w:color w:val="auto"/>
        </w:rPr>
      </w:pPr>
      <w:r>
        <w:rPr>
          <w:rFonts w:ascii="Courier New" w:cs="Courier New" w:eastAsia="Courier New" w:hAnsi="Courier New"/>
          <w:sz w:val="18"/>
          <w:szCs w:val="18"/>
          <w:color w:val="auto"/>
        </w:rPr>
        <w:t>requirements 5 and 6. Our declaration of trust is filed as an exhibit to our annual reports on Form 10-K filed with the SEC.</w:t>
      </w:r>
    </w:p>
    <w:p>
      <w:pPr>
        <w:spacing w:after="0" w:line="208"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our direct corporate subsidiaries are qualified REIT subsidiaries, except for those which are taxable REIT subsidiaries. Accordingly, they are not subject to federal corporate income taxation, though they may be subject to state and local taxation.</w:t>
      </w:r>
    </w:p>
    <w:p>
      <w:pPr>
        <w:spacing w:after="0" w:line="396"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A REIT is treated as owning its proportionate share of the assets of any partnership in which it is a partner and as earning its allocable share of the gross income of the partnership for purposes of the applicable REIT qualification tests. Thus, our proportionate share of the assets, liabilities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w:t>
      </w:r>
    </w:p>
    <w:p>
      <w:pPr>
        <w:spacing w:after="0" w:line="212"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Income Tests. We must satisfy two gross income tests annually to maintain our qualification as a REIT:</w:t>
      </w:r>
    </w:p>
    <w:p>
      <w:pPr>
        <w:spacing w:after="0" w:line="208" w:lineRule="exact"/>
        <w:rPr>
          <w:sz w:val="20"/>
          <w:szCs w:val="20"/>
          <w:color w:val="auto"/>
        </w:rPr>
      </w:pPr>
    </w:p>
    <w:p>
      <w:pPr>
        <w:ind w:left="1480" w:right="1779" w:hanging="524"/>
        <w:spacing w:after="0" w:line="237" w:lineRule="auto"/>
        <w:tabs>
          <w:tab w:leader="none" w:pos="14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least 75% of our gross income (excluding gross income from prohibited transactions) for each taxable year must consist of defined types of income that we derive, directly or indirectly, from investments relating to real property or mortgages on real property or temporary investment income (the "75% gross income test"). Qualifying income for purposes of the 75% gross income test includes "rents from real property," interest on debt secured by mortgages on real property or on interests in real property, and dividends or other distributions on and gain from the sale of shares in other REITs; and</w:t>
      </w:r>
    </w:p>
    <w:p>
      <w:pPr>
        <w:spacing w:after="0" w:line="214" w:lineRule="exact"/>
        <w:rPr>
          <w:rFonts w:ascii="Courier New" w:cs="Courier New" w:eastAsia="Courier New" w:hAnsi="Courier New"/>
          <w:sz w:val="18"/>
          <w:szCs w:val="18"/>
          <w:color w:val="auto"/>
        </w:rPr>
      </w:pPr>
    </w:p>
    <w:p>
      <w:pPr>
        <w:ind w:left="1480" w:right="1879" w:hanging="524"/>
        <w:spacing w:after="0" w:line="237" w:lineRule="auto"/>
        <w:tabs>
          <w:tab w:leader="none" w:pos="14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least 95% of our gross income (excluding gross income from prohibited transactions)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210"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The following paragraphs discuss the specific application of these tests to us.</w:t>
      </w:r>
    </w:p>
    <w:p>
      <w:pPr>
        <w:spacing w:after="0" w:line="208" w:lineRule="exact"/>
        <w:rPr>
          <w:sz w:val="20"/>
          <w:szCs w:val="20"/>
          <w:color w:val="auto"/>
        </w:rPr>
      </w:pPr>
    </w:p>
    <w:p>
      <w:pPr>
        <w:ind w:left="120" w:right="2419" w:firstLine="843"/>
        <w:spacing w:after="0" w:line="235" w:lineRule="auto"/>
        <w:rPr>
          <w:sz w:val="20"/>
          <w:szCs w:val="20"/>
          <w:color w:val="auto"/>
        </w:rPr>
      </w:pPr>
      <w:r>
        <w:rPr>
          <w:rFonts w:ascii="Courier New" w:cs="Courier New" w:eastAsia="Courier New" w:hAnsi="Courier New"/>
          <w:sz w:val="18"/>
          <w:szCs w:val="18"/>
          <w:color w:val="auto"/>
        </w:rPr>
        <w:t>Rental Income. Our primary source of income derives from leasing properties. Rent that</w:t>
      </w:r>
    </w:p>
    <w:p>
      <w:pPr>
        <w:sectPr>
          <w:pgSz w:w="11900" w:h="16838" w:orient="portrait"/>
          <w:cols w:equalWidth="0" w:num="1">
            <w:col w:w="10219"/>
          </w:cols>
          <w:pgMar w:left="240" w:top="723" w:right="1440" w:bottom="1440" w:gutter="0" w:footer="0" w:header="0"/>
        </w:sectPr>
      </w:pPr>
    </w:p>
    <w:bookmarkStart w:id="6" w:name="page7"/>
    <w:bookmarkEnd w:id="6"/>
    <w:p>
      <w:pPr>
        <w:ind w:right="1999"/>
        <w:spacing w:after="0" w:line="237" w:lineRule="auto"/>
        <w:rPr>
          <w:sz w:val="20"/>
          <w:szCs w:val="20"/>
          <w:color w:val="auto"/>
        </w:rPr>
      </w:pPr>
      <w:r>
        <w:rPr>
          <w:rFonts w:ascii="Courier New" w:cs="Courier New" w:eastAsia="Courier New" w:hAnsi="Courier New"/>
          <w:sz w:val="18"/>
          <w:szCs w:val="18"/>
          <w:color w:val="auto"/>
        </w:rPr>
        <w:t>we receive from real property that we own and lease to tenants will qualify as "rents from real property" (which is qualifying income for purposes of the 75% and 95% gross income tests) only if several conditions are met under the REIT tax rules:</w:t>
      </w:r>
    </w:p>
    <w:p>
      <w:pPr>
        <w:spacing w:after="0" w:line="207" w:lineRule="exact"/>
        <w:rPr>
          <w:sz w:val="20"/>
          <w:szCs w:val="20"/>
          <w:color w:val="auto"/>
        </w:rPr>
      </w:pPr>
    </w:p>
    <w:p>
      <w:pPr>
        <w:ind w:left="1480" w:right="1779" w:hanging="524"/>
        <w:spacing w:after="0" w:line="273" w:lineRule="auto"/>
        <w:tabs>
          <w:tab w:leader="none" w:pos="14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rent must not be based, in whole or in part, on the income or profits of any person although, generally, rent may be based on a fixed percentage or percentages of receipts or sales. We have not entered into any lease based in whole or part on the net income of any person and do not anticipate entering into such arrangements.</w:t>
      </w:r>
    </w:p>
    <w:p>
      <w:pPr>
        <w:spacing w:after="0" w:line="184" w:lineRule="exact"/>
        <w:rPr>
          <w:rFonts w:ascii="Courier New" w:cs="Courier New" w:eastAsia="Courier New" w:hAnsi="Courier New"/>
          <w:sz w:val="16"/>
          <w:szCs w:val="16"/>
          <w:color w:val="auto"/>
        </w:rPr>
      </w:pPr>
    </w:p>
    <w:p>
      <w:pPr>
        <w:ind w:left="1480" w:right="1779" w:hanging="524"/>
        <w:spacing w:after="0" w:line="238" w:lineRule="auto"/>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in certain limited circumstances involving taxable REIT subsidiaries, neither we nor someone who owns 10% or more of our shares may own 10% or more of a tenant from whom we receive rent.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will use our best efforts not to rent any property to a related party tenant (taking into account the applicable constructive ownership rules), unless we determine in our discretion that the rent received from such related party tenant is not material and will not jeopardize our status as a REIT. We believe that we have not leased property to any related party tenant.</w:t>
      </w:r>
    </w:p>
    <w:p>
      <w:pPr>
        <w:spacing w:after="0" w:line="210" w:lineRule="exact"/>
        <w:rPr>
          <w:rFonts w:ascii="Courier New" w:cs="Courier New" w:eastAsia="Courier New" w:hAnsi="Courier New"/>
          <w:sz w:val="18"/>
          <w:szCs w:val="18"/>
          <w:color w:val="auto"/>
        </w:rPr>
      </w:pPr>
    </w:p>
    <w:p>
      <w:pPr>
        <w:ind w:left="1480" w:right="1779" w:hanging="524"/>
        <w:spacing w:after="0" w:line="238" w:lineRule="auto"/>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rent from a taxable REIT subsidiary which would, but for this exception, be considered rent from a related party tenant, the space leased to the taxable REIT subsidiary must be part of a property at least 90 percent of which is rented to persons other than taxable REIT subsidiaries and related party tenants, and the amounts of rent paid to us by the taxable REIT subsidiary must be substantially comparable to the rents paid by such other persons for comparable space. All space currently leased to taxable REIT subsidiaries meets these conditions, and we intend to meet them in the future, unless we determine in our discretion that the rent received from a taxable REIT subsidiary is not material and will not jeopardize our status as a REIT.</w:t>
      </w:r>
    </w:p>
    <w:p>
      <w:pPr>
        <w:spacing w:after="0" w:line="207" w:lineRule="exact"/>
        <w:rPr>
          <w:rFonts w:ascii="Courier New" w:cs="Courier New" w:eastAsia="Courier New" w:hAnsi="Courier New"/>
          <w:sz w:val="18"/>
          <w:szCs w:val="18"/>
          <w:color w:val="auto"/>
        </w:rPr>
      </w:pPr>
    </w:p>
    <w:p>
      <w:pPr>
        <w:ind w:left="1480" w:right="1779" w:hanging="524"/>
        <w:spacing w:after="0" w:line="237" w:lineRule="auto"/>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rent attributable to any personal property leased in connection with a lease of property is no more than 15% of the total rent received under the lease. In general, we have not leased a significant amount of personal property under our current leases. If any incidental personal property has been leased, we believe that rent under each lease from the personal property would be less than 15% of total rent from that lease. If we lease personal property in connection with a future lease, we intend to satisfy the 15% test described above.</w:t>
      </w:r>
    </w:p>
    <w:p>
      <w:pPr>
        <w:spacing w:after="0" w:line="213" w:lineRule="exact"/>
        <w:rPr>
          <w:rFonts w:ascii="Courier New" w:cs="Courier New" w:eastAsia="Courier New" w:hAnsi="Courier New"/>
          <w:sz w:val="18"/>
          <w:szCs w:val="18"/>
          <w:color w:val="auto"/>
        </w:rPr>
      </w:pPr>
    </w:p>
    <w:p>
      <w:pPr>
        <w:jc w:val="both"/>
        <w:ind w:left="1480" w:right="1779" w:hanging="524"/>
        <w:spacing w:after="0" w:line="236" w:lineRule="auto"/>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generally must not operate or manage our property or furnish or render services to our tenants, other than through an "independent contractor" who is adequately</w:t>
      </w:r>
    </w:p>
    <w:p>
      <w:pPr>
        <w:sectPr>
          <w:pgSz w:w="11900" w:h="16838" w:orient="portrait"/>
          <w:cols w:equalWidth="0" w:num="1">
            <w:col w:w="10219"/>
          </w:cols>
          <w:pgMar w:left="240" w:top="925" w:right="1440" w:bottom="1440" w:gutter="0" w:footer="0" w:header="0"/>
        </w:sectPr>
      </w:pPr>
    </w:p>
    <w:bookmarkStart w:id="7" w:name="page8"/>
    <w:bookmarkEnd w:id="7"/>
    <w:p>
      <w:pPr>
        <w:ind w:left="1480" w:right="1779"/>
        <w:spacing w:after="0" w:line="270" w:lineRule="auto"/>
        <w:rPr>
          <w:sz w:val="20"/>
          <w:szCs w:val="20"/>
          <w:color w:val="auto"/>
        </w:rPr>
      </w:pPr>
      <w:r>
        <w:rPr>
          <w:rFonts w:ascii="Courier New" w:cs="Courier New" w:eastAsia="Courier New" w:hAnsi="Courier New"/>
          <w:sz w:val="16"/>
          <w:szCs w:val="16"/>
          <w:color w:val="auto"/>
        </w:rPr>
        <w:t>compensated and from whom we do not derive revenue, or through a taxable REIT subsidiary. We may provide services directly, if the services are "usually or customarily rendered" in connection with the rental of space for occupancy only and are not otherwise considered "rendered to the occupant." In addition, we may render directly a de minimis amount of "non-customary" services to the tenants of a property without disqualifying the income as "rents from real property," as long as our income from the services does not exceed 1% of our income from the related property. We have not provided services to leased properties that have caused rents to be disqualified as rents from real property, and in the future, we intend that any services provided will not cause rents to be disqualified as rents from real property.</w:t>
      </w:r>
    </w:p>
    <w:p>
      <w:pPr>
        <w:spacing w:after="0" w:line="38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Based on the foregoing, we believe that rent from leases should qualify as "rents from real property" for purposes of the 75% and 95% gross income tests. However, there can be no complete assurance that the IRS will not assert successfully a contrary position and, therefore, prevent us from qualifying as a REIT.</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On an ongoing basis, we will use our best efforts not to:</w:t>
      </w:r>
    </w:p>
    <w:p>
      <w:pPr>
        <w:spacing w:after="0" w:line="207" w:lineRule="exact"/>
        <w:rPr>
          <w:sz w:val="20"/>
          <w:szCs w:val="20"/>
          <w:color w:val="auto"/>
        </w:rPr>
      </w:pPr>
    </w:p>
    <w:p>
      <w:pPr>
        <w:ind w:left="1480" w:right="1879" w:hanging="524"/>
        <w:spacing w:after="0" w:line="279" w:lineRule="auto"/>
        <w:tabs>
          <w:tab w:leader="none" w:pos="14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charge rent for any property that is based in whole or in part on the income or profits of any person (except by reason of being based on a percentage of receipts or sales, as described above);</w:t>
      </w:r>
    </w:p>
    <w:p>
      <w:pPr>
        <w:spacing w:after="0" w:line="178" w:lineRule="exact"/>
        <w:rPr>
          <w:rFonts w:ascii="Courier New" w:cs="Courier New" w:eastAsia="Courier New" w:hAnsi="Courier New"/>
          <w:sz w:val="16"/>
          <w:szCs w:val="16"/>
          <w:color w:val="auto"/>
        </w:rPr>
      </w:pPr>
    </w:p>
    <w:p>
      <w:pPr>
        <w:ind w:left="1480" w:right="1879" w:hanging="524"/>
        <w:spacing w:after="0" w:line="273" w:lineRule="auto"/>
        <w:tabs>
          <w:tab w:leader="none" w:pos="14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rent any property to a related party tenant (taking into account the applicable constructive ownership rules and the exception for taxable REIT subsidiaries), unless we determine in our discretion that the rent received from such related party tenant is not material and will not jeopardize our status as a REIT;</w:t>
      </w:r>
    </w:p>
    <w:p>
      <w:pPr>
        <w:spacing w:after="0" w:line="184" w:lineRule="exact"/>
        <w:rPr>
          <w:rFonts w:ascii="Courier New" w:cs="Courier New" w:eastAsia="Courier New" w:hAnsi="Courier New"/>
          <w:sz w:val="16"/>
          <w:szCs w:val="16"/>
          <w:color w:val="auto"/>
        </w:rPr>
      </w:pPr>
    </w:p>
    <w:p>
      <w:pPr>
        <w:ind w:left="1480" w:right="1779" w:hanging="524"/>
        <w:spacing w:after="0" w:line="237" w:lineRule="auto"/>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derive rental income attributable to personal property (other than personal property leased in connection with the lease of real property, the amount of which is less than 15% of the total rent received under the lease); and</w:t>
      </w:r>
    </w:p>
    <w:p>
      <w:pPr>
        <w:spacing w:after="0" w:line="207" w:lineRule="exact"/>
        <w:rPr>
          <w:rFonts w:ascii="Courier New" w:cs="Courier New" w:eastAsia="Courier New" w:hAnsi="Courier New"/>
          <w:sz w:val="18"/>
          <w:szCs w:val="18"/>
          <w:color w:val="auto"/>
        </w:rPr>
      </w:pPr>
    </w:p>
    <w:p>
      <w:pPr>
        <w:ind w:left="1480" w:right="1779" w:hanging="524"/>
        <w:spacing w:after="0" w:line="272" w:lineRule="auto"/>
        <w:tabs>
          <w:tab w:leader="none" w:pos="14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 services considered to be rendered to the occupant of the property that generate rents exceeding 1% of all amounts received or accrued during the taxable year with respect to such property, other than through an independent contractor from whom we derive no revenue, through a taxable REIT subsidiary, or if the provision of such services will not jeopardize our status as a REIT.</w:t>
      </w:r>
    </w:p>
    <w:p>
      <w:pPr>
        <w:spacing w:after="0" w:line="186"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Because the Code provisions applicable to REITs are complex, however, we may fail to meet one or more of the foregoing.</w:t>
      </w:r>
    </w:p>
    <w:p>
      <w:pPr>
        <w:spacing w:after="0" w:line="208" w:lineRule="exact"/>
        <w:rPr>
          <w:sz w:val="20"/>
          <w:szCs w:val="20"/>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Tax on Income From Property Acquired in Foreclosure. We will be subject to tax at the maximum corporate rate on any income from foreclosure property (other than income that would be qualifying income for purposes of the 75% gross income test), less expenses directly connected to the production of such income. "Foreclosure property" is any real property (including interests in real property) and any personal property incident to such real property:</w:t>
      </w:r>
    </w:p>
    <w:p>
      <w:pPr>
        <w:sectPr>
          <w:pgSz w:w="11900" w:h="16838" w:orient="portrait"/>
          <w:cols w:equalWidth="0" w:num="1">
            <w:col w:w="10219"/>
          </w:cols>
          <w:pgMar w:left="240" w:top="925" w:right="1440" w:bottom="1440" w:gutter="0" w:footer="0" w:header="0"/>
        </w:sectPr>
      </w:pPr>
    </w:p>
    <w:bookmarkStart w:id="8" w:name="page9"/>
    <w:bookmarkEnd w:id="8"/>
    <w:p>
      <w:pPr>
        <w:ind w:left="1480" w:right="1779" w:hanging="524"/>
        <w:spacing w:after="0" w:line="237" w:lineRule="auto"/>
        <w:tabs>
          <w:tab w:leader="none" w:pos="14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is acquired by a REIT at a foreclosure sale, or having otherwise become the owner or in possession of the property by agreement or process of law, after a default (or imminent default) on a lease of such property or on an debt owed to the REIT secured by the property;</w:t>
      </w:r>
    </w:p>
    <w:p>
      <w:pPr>
        <w:spacing w:after="0" w:line="208" w:lineRule="exact"/>
        <w:rPr>
          <w:rFonts w:ascii="Courier New" w:cs="Courier New" w:eastAsia="Courier New" w:hAnsi="Courier New"/>
          <w:sz w:val="18"/>
          <w:szCs w:val="18"/>
          <w:color w:val="auto"/>
        </w:rPr>
      </w:pPr>
    </w:p>
    <w:p>
      <w:pPr>
        <w:ind w:left="1480" w:right="1779" w:hanging="524"/>
        <w:spacing w:after="0" w:line="235" w:lineRule="auto"/>
        <w:tabs>
          <w:tab w:leader="none" w:pos="14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which the related loan was acquired by the REIT at a time when default was not imminent or anticipated; and</w:t>
      </w:r>
    </w:p>
    <w:p>
      <w:pPr>
        <w:spacing w:after="0" w:line="208" w:lineRule="exact"/>
        <w:rPr>
          <w:rFonts w:ascii="Courier New" w:cs="Courier New" w:eastAsia="Courier New" w:hAnsi="Courier New"/>
          <w:sz w:val="18"/>
          <w:szCs w:val="18"/>
          <w:color w:val="auto"/>
        </w:rPr>
      </w:pPr>
    </w:p>
    <w:p>
      <w:pPr>
        <w:ind w:left="1480" w:right="1999" w:hanging="524"/>
        <w:spacing w:after="0" w:line="235" w:lineRule="auto"/>
        <w:tabs>
          <w:tab w:leader="none" w:pos="14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which the REIT makes a proper election to treat the property as foreclosure property.</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209" w:lineRule="exact"/>
        <w:rPr>
          <w:sz w:val="20"/>
          <w:szCs w:val="20"/>
          <w:color w:val="auto"/>
        </w:rPr>
      </w:pPr>
    </w:p>
    <w:p>
      <w:pPr>
        <w:ind w:left="1480" w:right="1779" w:hanging="524"/>
        <w:spacing w:after="0" w:line="236" w:lineRule="auto"/>
        <w:tabs>
          <w:tab w:leader="none" w:pos="14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last day of the third taxable year following the taxable year in which the REIT acquired the property (or longer if an extension is granted by the Secretary of the Treasury);</w:t>
      </w:r>
    </w:p>
    <w:p>
      <w:pPr>
        <w:spacing w:after="0" w:line="208" w:lineRule="exact"/>
        <w:rPr>
          <w:rFonts w:ascii="Courier New" w:cs="Courier New" w:eastAsia="Courier New" w:hAnsi="Courier New"/>
          <w:sz w:val="18"/>
          <w:szCs w:val="18"/>
          <w:color w:val="auto"/>
        </w:rPr>
      </w:pPr>
    </w:p>
    <w:p>
      <w:pPr>
        <w:ind w:left="1480" w:right="1879" w:hanging="524"/>
        <w:spacing w:after="0" w:line="237" w:lineRule="auto"/>
        <w:tabs>
          <w:tab w:leader="none" w:pos="14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209" w:lineRule="exact"/>
        <w:rPr>
          <w:rFonts w:ascii="Courier New" w:cs="Courier New" w:eastAsia="Courier New" w:hAnsi="Courier New"/>
          <w:sz w:val="18"/>
          <w:szCs w:val="18"/>
          <w:color w:val="auto"/>
        </w:rPr>
      </w:pPr>
    </w:p>
    <w:p>
      <w:pPr>
        <w:ind w:left="1480" w:right="1879" w:hanging="524"/>
        <w:spacing w:after="0" w:line="237" w:lineRule="auto"/>
        <w:tabs>
          <w:tab w:leader="none" w:pos="14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208" w:lineRule="exact"/>
        <w:rPr>
          <w:rFonts w:ascii="Courier New" w:cs="Courier New" w:eastAsia="Courier New" w:hAnsi="Courier New"/>
          <w:sz w:val="18"/>
          <w:szCs w:val="18"/>
          <w:color w:val="auto"/>
        </w:rPr>
      </w:pPr>
    </w:p>
    <w:p>
      <w:pPr>
        <w:ind w:left="1480" w:right="1779" w:hanging="524"/>
        <w:spacing w:after="0" w:line="237" w:lineRule="auto"/>
        <w:tabs>
          <w:tab w:leader="none" w:pos="14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209"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Tax on Prohibited Transactions. A REIT will incur a 100% tax on net income derived from any "prohibited transaction." A "prohibited transaction" generally is a sale or other disposition of property (other than foreclosure property) that the REIT holds primarily for sale to customers in the ordinary course of a trade or business. We believe that none of our assets are held for sale to customers and that a sale of any such asset would not be in the ordinary course of its business. Whether a REIT holds an asset "primarily for sale</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 customers in the ordinary course of a trade or business" depends, however, on the facts and circumstances in effect from time to time, including those related to a particular asset. Nevertheless, we will attempt to comply with the terms of safe-harbor provisions in the Code prescribing when an asset sale will not be characterized as a prohibited transaction. We may fail to comply with such safe-harbor provisions or may own property that could be characterized as property held "primarily for sale</w:t>
      </w:r>
    </w:p>
    <w:p>
      <w:pPr>
        <w:sectPr>
          <w:pgSz w:w="11900" w:h="16838" w:orient="portrait"/>
          <w:cols w:equalWidth="0" w:num="1">
            <w:col w:w="10219"/>
          </w:cols>
          <w:pgMar w:left="240" w:top="723" w:right="1440" w:bottom="1440" w:gutter="0" w:footer="0" w:header="0"/>
        </w:sectPr>
      </w:pPr>
    </w:p>
    <w:bookmarkStart w:id="9" w:name="page10"/>
    <w:bookmarkEnd w:id="9"/>
    <w:p>
      <w:pPr>
        <w:ind w:left="120"/>
        <w:spacing w:after="0"/>
        <w:rPr>
          <w:sz w:val="20"/>
          <w:szCs w:val="20"/>
          <w:color w:val="auto"/>
        </w:rPr>
      </w:pPr>
      <w:r>
        <w:rPr>
          <w:rFonts w:ascii="Courier New" w:cs="Courier New" w:eastAsia="Courier New" w:hAnsi="Courier New"/>
          <w:sz w:val="18"/>
          <w:szCs w:val="18"/>
          <w:color w:val="auto"/>
        </w:rPr>
        <w:t>to customers in the ordinary course of a trade or business."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Tax and Deduction Limits on Certain Transactions with Taxable REIT Subsidiaries. A REIT will incur a 100% tax on certain transactions between a REIT and a taxable REIT subsidiary to the extent the transactions are not on an arms-length basis. In addition, under certain circumstances the interest paid by a taxable REIT subsidiary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212"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Relief from Consequences of Failing to Meet Income Tests. If we fail to satisfy one or both of the 75% and 95% gross income tests for any taxable year, we nevertheless may qualify as a REIT for such year if we qualify for relief under certain provisions of the Code. Those relief provisions generally will be available if our failure to meet such tests is due to reasonable cause and not due to willful neglect, we attach a schedule of the sources of our income to our tax return, and any incorrect information on the schedule was not due to fraud with intent to evade tax. We may not qualify for the relief provisions in all circumstances. In addition, as discussed above in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87" w:lineRule="exact"/>
        <w:rPr>
          <w:sz w:val="20"/>
          <w:szCs w:val="20"/>
          <w:color w:val="auto"/>
        </w:rPr>
      </w:pPr>
    </w:p>
    <w:p>
      <w:pPr>
        <w:ind w:right="2199" w:firstLine="948"/>
        <w:spacing w:after="0" w:line="290" w:lineRule="auto"/>
        <w:rPr>
          <w:sz w:val="20"/>
          <w:szCs w:val="20"/>
          <w:color w:val="auto"/>
        </w:rPr>
      </w:pPr>
      <w:r>
        <w:rPr>
          <w:rFonts w:ascii="Courier New" w:cs="Courier New" w:eastAsia="Courier New" w:hAnsi="Courier New"/>
          <w:sz w:val="16"/>
          <w:szCs w:val="16"/>
          <w:color w:val="auto"/>
        </w:rPr>
        <w:t>Asset Tests. To maintain our qualification as a REIT, we also must satisfy two asset tests at the close of each quarter of each taxable year:</w:t>
      </w:r>
    </w:p>
    <w:p>
      <w:pPr>
        <w:spacing w:after="0" w:line="170" w:lineRule="exact"/>
        <w:rPr>
          <w:sz w:val="20"/>
          <w:szCs w:val="20"/>
          <w:color w:val="auto"/>
        </w:rPr>
      </w:pPr>
    </w:p>
    <w:p>
      <w:pPr>
        <w:ind w:left="1480" w:right="1779" w:hanging="524"/>
        <w:spacing w:after="0" w:line="237" w:lineRule="auto"/>
        <w:tabs>
          <w:tab w:leader="none" w:pos="14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least 75% of the value of our total assets must consist of cash or cash items (including certain receivables), government securities, "real estate assets," or qualifying temporary investments (the "75% asset test").</w:t>
      </w:r>
    </w:p>
    <w:p>
      <w:pPr>
        <w:spacing w:after="0" w:line="207" w:lineRule="exact"/>
        <w:rPr>
          <w:rFonts w:ascii="Courier New" w:cs="Courier New" w:eastAsia="Courier New" w:hAnsi="Courier New"/>
          <w:sz w:val="18"/>
          <w:szCs w:val="18"/>
          <w:color w:val="auto"/>
        </w:rPr>
      </w:pPr>
    </w:p>
    <w:p>
      <w:pPr>
        <w:ind w:left="2320" w:right="1779" w:hanging="843"/>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o"Real estate assets" include interests in real property, interests in mortgages on real property and stock in other REITs. We believe that the properties qualify as real estate assets.</w:t>
      </w:r>
    </w:p>
    <w:p>
      <w:pPr>
        <w:spacing w:after="0" w:line="207" w:lineRule="exact"/>
        <w:rPr>
          <w:rFonts w:ascii="Courier New" w:cs="Courier New" w:eastAsia="Courier New" w:hAnsi="Courier New"/>
          <w:sz w:val="18"/>
          <w:szCs w:val="18"/>
          <w:color w:val="auto"/>
        </w:rPr>
      </w:pPr>
    </w:p>
    <w:p>
      <w:pPr>
        <w:ind w:left="2320" w:right="1879" w:hanging="843"/>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211" w:lineRule="exact"/>
        <w:rPr>
          <w:rFonts w:ascii="Courier New" w:cs="Courier New" w:eastAsia="Courier New" w:hAnsi="Courier New"/>
          <w:sz w:val="18"/>
          <w:szCs w:val="18"/>
          <w:color w:val="auto"/>
        </w:rPr>
      </w:pPr>
    </w:p>
    <w:p>
      <w:pPr>
        <w:ind w:left="2320" w:right="1779" w:hanging="843"/>
        <w:spacing w:after="0" w:line="2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w:t>
      </w:r>
      <w:r>
        <w:rPr>
          <w:rFonts w:ascii="Courier New" w:cs="Courier New" w:eastAsia="Courier New" w:hAnsi="Courier New"/>
          <w:sz w:val="16"/>
          <w:szCs w:val="16"/>
          <w:color w:val="auto"/>
        </w:rPr>
        <w:t>Qualifying temporary investments are investments in stock or debt instruments during the one-year period following our receipt of new capital that we raise through equity or long-term (at least five-year) debt offerings.</w:t>
      </w:r>
    </w:p>
    <w:p>
      <w:pPr>
        <w:spacing w:after="0" w:line="182" w:lineRule="exact"/>
        <w:rPr>
          <w:rFonts w:ascii="Courier New" w:cs="Courier New" w:eastAsia="Courier New" w:hAnsi="Courier New"/>
          <w:sz w:val="18"/>
          <w:szCs w:val="18"/>
          <w:color w:val="auto"/>
        </w:rPr>
      </w:pPr>
    </w:p>
    <w:p>
      <w:pPr>
        <w:ind w:left="1480" w:right="1879" w:hanging="524"/>
        <w:spacing w:after="0" w:line="237" w:lineRule="auto"/>
        <w:tabs>
          <w:tab w:leader="none" w:pos="14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investments not included in the 75% asset test, (A) the value of our interest in any one issuer's securities (which does not include our equity ownership of other REITs, any qualified REIT subsidiary, or any taxable REIT subsidiary) may not exceed 5% of the value of our total assets (the "5% asset test"), (B) we may not own more than 10% of the voting power or value of any one issuer's outstanding securities, which</w:t>
      </w:r>
    </w:p>
    <w:p>
      <w:pPr>
        <w:sectPr>
          <w:pgSz w:w="11900" w:h="16838" w:orient="portrait"/>
          <w:cols w:equalWidth="0" w:num="1">
            <w:col w:w="10219"/>
          </w:cols>
          <w:pgMar w:left="240" w:top="919" w:right="1440" w:bottom="1440" w:gutter="0" w:footer="0" w:header="0"/>
        </w:sectPr>
      </w:pPr>
    </w:p>
    <w:bookmarkStart w:id="10" w:name="page11"/>
    <w:bookmarkEnd w:id="10"/>
    <w:p>
      <w:pPr>
        <w:ind w:left="1480" w:right="1879"/>
        <w:spacing w:after="0" w:line="237" w:lineRule="auto"/>
        <w:rPr>
          <w:sz w:val="20"/>
          <w:szCs w:val="20"/>
          <w:color w:val="auto"/>
        </w:rPr>
      </w:pPr>
      <w:r>
        <w:rPr>
          <w:rFonts w:ascii="Courier New" w:cs="Courier New" w:eastAsia="Courier New" w:hAnsi="Courier New"/>
          <w:sz w:val="18"/>
          <w:szCs w:val="18"/>
          <w:color w:val="auto"/>
        </w:rPr>
        <w:t>does not include our equity ownership in other REITs, any qualified REIT subsidiary, or any taxable REIT subsidiary (the "10% asset test"), and (C) the value of our securities in one or more taxable REIT subsidiaries may not exceed 20% of the value of our total assets.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We intend to select future investments so as to comply with the asset</w:t>
      </w:r>
    </w:p>
    <w:p>
      <w:pPr>
        <w:spacing w:after="0" w:line="238" w:lineRule="auto"/>
        <w:rPr>
          <w:sz w:val="20"/>
          <w:szCs w:val="20"/>
          <w:color w:val="auto"/>
        </w:rPr>
      </w:pPr>
      <w:r>
        <w:rPr>
          <w:rFonts w:ascii="Courier New" w:cs="Courier New" w:eastAsia="Courier New" w:hAnsi="Courier New"/>
          <w:sz w:val="18"/>
          <w:szCs w:val="18"/>
          <w:color w:val="auto"/>
        </w:rPr>
        <w:t>tests.</w:t>
      </w:r>
    </w:p>
    <w:p>
      <w:pPr>
        <w:spacing w:after="0" w:line="207"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If we failed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8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Distribution Requirements. Each taxable year, we must distribute dividends (other than capital gain dividends and deemed distributions of retained capital 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211"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We must pay such distributions in the taxable year to which they relate, or in the following taxable year if we declare the distribution before we timely file our federal income tax return for such year and pay the distribution on or before the first regular dividend payment date after such declaration.</w:t>
      </w:r>
    </w:p>
    <w:p>
      <w:pPr>
        <w:spacing w:after="0" w:line="209"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We will pay federal income tax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38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net capital gain attributable to the sale of depreciated property that exceeds our allocable share of cash attributable to that sale. As a result of the foregoing, we may have less cash than is necessary to distribute all of our</w:t>
      </w:r>
    </w:p>
    <w:p>
      <w:pPr>
        <w:sectPr>
          <w:pgSz w:w="11900" w:h="16838" w:orient="portrait"/>
          <w:cols w:equalWidth="0" w:num="1">
            <w:col w:w="10219"/>
          </w:cols>
          <w:pgMar w:left="240" w:top="723" w:right="1440" w:bottom="1440" w:gutter="0" w:footer="0" w:header="0"/>
        </w:sectPr>
      </w:pPr>
    </w:p>
    <w:bookmarkStart w:id="11" w:name="page12"/>
    <w:bookmarkEnd w:id="11"/>
    <w:p>
      <w:pPr>
        <w:ind w:right="1779"/>
        <w:spacing w:after="0" w:line="236" w:lineRule="auto"/>
        <w:rPr>
          <w:sz w:val="20"/>
          <w:szCs w:val="20"/>
          <w:color w:val="auto"/>
        </w:rPr>
      </w:pPr>
      <w:r>
        <w:rPr>
          <w:rFonts w:ascii="Courier New" w:cs="Courier New" w:eastAsia="Courier New" w:hAnsi="Courier New"/>
          <w:sz w:val="18"/>
          <w:szCs w:val="18"/>
          <w:color w:val="auto"/>
        </w:rPr>
        <w:t>taxable income and thereby avoid corporate income tax and the excise tax imposed on certain undistributed income. In such a situation, we may need to borrow funds or issue preferred shares or additional common shares.</w:t>
      </w:r>
    </w:p>
    <w:p>
      <w:pPr>
        <w:spacing w:after="0" w:line="209"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Record Keeping Requirements. We must maintain certain records in order to qualify as a REIT. In addition, to avoid a monetary penalty, we must request on an annual basis certain information from our shareholders designed to disclose the actual ownership of our outstanding stock. We have complied, and we intend to continue to comply, with such requirements.</w:t>
      </w:r>
    </w:p>
    <w:p>
      <w:pPr>
        <w:spacing w:after="0" w:line="209"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Failure to Qualify. If we failed to qualify as a REIT in any taxable year, and no relief provision applied, we would be subject to federal income tax (including any applicable alternative minimum tax) on our taxable income at regular corporate rates. In calculating our taxable income in a year in which we failed to qualify as a REIT, we would not be able to deduct amounts paid out to shareholders. In fact, we would not be required to distribute any amounts to shareholders in such year. In such event, to the extent of our current and accumulated earnings and profits, all distributions to shareholders would be taxable as ordinary income.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Taxation of Taxable U.S. Shareholders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As long as we qualify as a REIT, a taxable "U.S. shareholder" must take into account distributions out of our current or accumulated earnings and profits (and that we do not designate as capital gain dividends or retained long-term capital gain) as ordinary income. A corporate U.S. shareholder will not qualify for the dividends received deduction generally available to corporations. As used herein, the term "U.S. shareholder" means a holder of common shares that for U.S. federal income tax purposes is</w:t>
      </w:r>
    </w:p>
    <w:p>
      <w:pPr>
        <w:spacing w:after="0" w:line="205" w:lineRule="exact"/>
        <w:rPr>
          <w:sz w:val="20"/>
          <w:szCs w:val="20"/>
          <w:color w:val="auto"/>
        </w:rPr>
      </w:pPr>
    </w:p>
    <w:p>
      <w:pPr>
        <w:ind w:left="1480" w:hanging="524"/>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citizen or resident of the United States;</w:t>
      </w:r>
    </w:p>
    <w:p>
      <w:pPr>
        <w:spacing w:after="0" w:line="206" w:lineRule="exact"/>
        <w:rPr>
          <w:rFonts w:ascii="Courier New" w:cs="Courier New" w:eastAsia="Courier New" w:hAnsi="Courier New"/>
          <w:sz w:val="18"/>
          <w:szCs w:val="18"/>
          <w:color w:val="auto"/>
        </w:rPr>
      </w:pPr>
    </w:p>
    <w:p>
      <w:pPr>
        <w:ind w:left="1480" w:right="1999" w:hanging="524"/>
        <w:spacing w:after="0" w:line="236"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corporation, partnership, or other entity created or organized in or under the laws of the United States or of a political subdivision thereof;</w:t>
      </w:r>
    </w:p>
    <w:p>
      <w:pPr>
        <w:spacing w:after="0" w:line="208" w:lineRule="exact"/>
        <w:rPr>
          <w:rFonts w:ascii="Courier New" w:cs="Courier New" w:eastAsia="Courier New" w:hAnsi="Courier New"/>
          <w:sz w:val="18"/>
          <w:szCs w:val="18"/>
          <w:color w:val="auto"/>
        </w:rPr>
      </w:pPr>
    </w:p>
    <w:p>
      <w:pPr>
        <w:ind w:left="1480" w:right="1879" w:hanging="524"/>
        <w:spacing w:after="0" w:line="235"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estate whose income is subject to U.S. federal income taxation regardless of its source; or</w:t>
      </w:r>
    </w:p>
    <w:p>
      <w:pPr>
        <w:sectPr>
          <w:pgSz w:w="11900" w:h="16838" w:orient="portrait"/>
          <w:cols w:equalWidth="0" w:num="1">
            <w:col w:w="10219"/>
          </w:cols>
          <w:pgMar w:left="240" w:top="925" w:right="1440" w:bottom="1440" w:gutter="0" w:footer="0" w:header="0"/>
        </w:sectPr>
      </w:pPr>
    </w:p>
    <w:bookmarkStart w:id="12" w:name="page13"/>
    <w:bookmarkEnd w:id="12"/>
    <w:p>
      <w:pPr>
        <w:ind w:left="1480" w:right="2419" w:hanging="524"/>
        <w:spacing w:after="0" w:line="275" w:lineRule="auto"/>
        <w:tabs>
          <w:tab w:leader="none" w:pos="14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trust with respect to which (A) a U.S. court is able to exercise primary supervision over the administration of such trust and (B) one or more U.S. persons have the authority to control all substantial decisions of the trust.</w:t>
      </w:r>
    </w:p>
    <w:p>
      <w:pPr>
        <w:spacing w:after="0" w:line="182"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A U.S. shareholder will recognize distributions that we designate as capital gain dividends as long-term capital gain (to the extent they do not exceed our actual net capital gain for the taxable year) without regard to the period for which the U.S. shareholder has held its common shares. Subject to certain limitations, we will designate our capital gain dividends as either 20% or 25% rate distributions. A corporate U.S. shareholder, however, may be required to treat up to 20% of certain capital gain dividends as ordinary income.</w:t>
      </w:r>
    </w:p>
    <w:p>
      <w:pPr>
        <w:spacing w:after="0" w:line="21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We may elect to retain and pay income tax on the net long-term capital gain that we receive in a taxable year. In that case, a U.S. shareholder would be taxed on its proportionate share of our undistributed long-term capital gain. The U.S. shareholder would receive a credit or refund for its proportionate share of the tax we paid. The U.S. shareholder would increase the basis in its stock by the amount of its proportionate share of our undistributed long-term capital gain, minus its share of the tax we paid.</w:t>
      </w:r>
    </w:p>
    <w:p>
      <w:pPr>
        <w:spacing w:after="0" w:line="211"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A U.S. shareholder will not incur tax on a distribution to the extent it exceeds our current and accumulated earnings and profits if such distribution does not exceed the adjusted basis of the U.S. shareholder's common shares. Instead, such distribution in excess of earnings and profits will reduce the adjusted basis of such common shares. To the extent a distribution exceeds both our current and accumulated earnings and profits and the U.S. shareholder's adjusted basis in its common shares, the U.S. shareholder will recognize long-term capital gain (or short-term capital gain if the common shares have been held for one year or less), assuming the common shares are a capital asset in the hands of the U.S. shareholder. In addition, if we declare a distribution in October, November, or December of any year that is payable to a U.S. shareholder of record on a specified date in any such month, such distribution shall be treated as both paid by us and received by the U.S. shareholder on December 31 of such year, provided that we actually pay the distribution during January of the following calendar year. We will notify U.S. shareholders after the close of our taxable year as to the portions of the distributions attributable to that year that constitute ordinary income or capital gain dividends.</w:t>
      </w:r>
    </w:p>
    <w:p>
      <w:pPr>
        <w:spacing w:after="0" w:line="209"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Taxation of U.S. Shareholders on the Disposition of the Common Shares. In general, a U.S. shareholder who is not a dealer in securities must treat any gain or loss realized upon a taxable disposition of the common shares as long-term capital gain or loss if the U.S. shareholder has held the common stock for more than one year and otherwise as short-term capital gain or loss. However, a U.S. shareholder must treat any loss upon a sale or exchange of common shares held by such shareholder for six months or less (after applying certain holding period rules) as a long-term capital loss to the extent of capital gain dividends and other distributions from us that such U.S. shareholder treats as long-term capital gain. All or a portion of any loss a U.S. shareholder realizes upon a taxable disposition of the common shares may be disallowed if the U.S. shareholder purchases additional common shares within 30 days before or after the disposition.</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Capital Gains and Losses. A taxpayer generally must hold a capital asset for more than one year for gain or loss derived from its sale or exchange to be treated as long-term capital gain</w:t>
      </w:r>
    </w:p>
    <w:p>
      <w:pPr>
        <w:sectPr>
          <w:pgSz w:w="11900" w:h="16838" w:orient="portrait"/>
          <w:cols w:equalWidth="0" w:num="1">
            <w:col w:w="10219"/>
          </w:cols>
          <w:pgMar w:left="240" w:top="723" w:right="1440" w:bottom="1440" w:gutter="0" w:footer="0" w:header="0"/>
        </w:sectPr>
      </w:pPr>
    </w:p>
    <w:bookmarkStart w:id="13" w:name="page14"/>
    <w:bookmarkEnd w:id="13"/>
    <w:p>
      <w:pPr>
        <w:ind w:right="1779"/>
        <w:spacing w:after="0" w:line="269" w:lineRule="auto"/>
        <w:rPr>
          <w:sz w:val="20"/>
          <w:szCs w:val="20"/>
          <w:color w:val="auto"/>
        </w:rPr>
      </w:pPr>
      <w:r>
        <w:rPr>
          <w:rFonts w:ascii="Courier New" w:cs="Courier New" w:eastAsia="Courier New" w:hAnsi="Courier New"/>
          <w:sz w:val="16"/>
          <w:szCs w:val="16"/>
          <w:color w:val="auto"/>
        </w:rPr>
        <w:t>or loss. The highest marginal individual income tax rate for 2002 and 2003 is 38.6%. The maximum tax rate on long-term capital gain applicable to non-corporate taxpayers is generally 20% for sales and exchanges of assets held for more than one year. The maximum tax rate on long-term capital gain from the sale or exchange of "Section 1250 property" (i.e., depreciable real property) is 25% to the extent that such gain would have been treated as ordinary income if the property were "Section 1245 property." With respect to distributions that we designate as capital gain dividends and any retained capital gain that it is deemed to distribute, we may designate (subject to certain limits) whether such a distribution is taxable to our non-corporate shareholders at a 20% or 25% rate. Thus, the tax rate differential between capital gain and ordinary income for non-corporate taxpayers may be significant. A U.S. shareholder required to include retained long-term capital gains in income will be deemed to have paid, in the taxable year of the inclusion, its proportionate share of the tax paid by us in respect of such undistributed net capital gains. U.S. shareholders subject to these rules will be allowed a credit or a refund, as the case may be, for the tax deemed to have been paid by such shareholders. U.S. shareholders will increase their basis in their common shares by the difference between the amount of such includible gains and the tax deemed paid by the U.S. shareholder in respect of such gains. In addition, the characterization of income as capital gain or ordinary income may affect the deductibility of capital losses. A non-corporate taxpayer may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200" w:lineRule="exact"/>
        <w:rPr>
          <w:sz w:val="20"/>
          <w:szCs w:val="20"/>
          <w:color w:val="auto"/>
        </w:rPr>
      </w:pPr>
    </w:p>
    <w:p>
      <w:pPr>
        <w:spacing w:after="0" w:line="393"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Information Reporting Requirements and Backup Withholding. We will report to our shareholders and to the IRS the amount of distributions we pay during each calendar year, and the amount of tax we withhold, if any. Under the backup withholding rules, a shareholder may be subject to backup withholding (at the rate of 30% for 2002 and 2003) with respect to distributions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Any amount paid as backup withholding will be creditable against the shareholder's income tax liability. In addition, we may be required to withhold a portion of capital gain distributions to any shareholders who fail to certify their non-foreign status to us.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Taxation of Tax-Exempt U.S. Shareholders</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w:t>
      </w:r>
    </w:p>
    <w:p>
      <w:pPr>
        <w:sectPr>
          <w:pgSz w:w="11900" w:h="16838" w:orient="portrait"/>
          <w:cols w:equalWidth="0" w:num="1">
            <w:col w:w="10219"/>
          </w:cols>
          <w:pgMar w:left="240" w:top="925" w:right="1440" w:bottom="1440" w:gutter="0" w:footer="0" w:header="0"/>
        </w:sectPr>
      </w:pPr>
    </w:p>
    <w:bookmarkStart w:id="14" w:name="page15"/>
    <w:bookmarkEnd w:id="14"/>
    <w:p>
      <w:pPr>
        <w:ind w:right="1779"/>
        <w:spacing w:after="0" w:line="270" w:lineRule="auto"/>
        <w:rPr>
          <w:sz w:val="20"/>
          <w:szCs w:val="20"/>
          <w:color w:val="auto"/>
        </w:rPr>
      </w:pPr>
      <w:r>
        <w:rPr>
          <w:rFonts w:ascii="Courier New" w:cs="Courier New" w:eastAsia="Courier New" w:hAnsi="Courier New"/>
          <w:sz w:val="16"/>
          <w:szCs w:val="16"/>
          <w:color w:val="auto"/>
        </w:rPr>
        <w:t>UBTI. However, if an exempt organization were to finance its acquisition of common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it were a pension trust) divided by our total gross income for the year in which we pay the dividends. The UBTI rule applies to a pension trust holding more than 10% of our shares only if:</w:t>
      </w:r>
    </w:p>
    <w:p>
      <w:pPr>
        <w:spacing w:after="0" w:line="381" w:lineRule="exact"/>
        <w:rPr>
          <w:sz w:val="20"/>
          <w:szCs w:val="20"/>
          <w:color w:val="auto"/>
        </w:rPr>
      </w:pPr>
    </w:p>
    <w:p>
      <w:pPr>
        <w:ind w:left="1480" w:hanging="524"/>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UBTI Percentage is at least 5%;</w:t>
      </w:r>
    </w:p>
    <w:p>
      <w:pPr>
        <w:spacing w:after="0" w:line="206" w:lineRule="exact"/>
        <w:rPr>
          <w:rFonts w:ascii="Courier New" w:cs="Courier New" w:eastAsia="Courier New" w:hAnsi="Courier New"/>
          <w:sz w:val="18"/>
          <w:szCs w:val="18"/>
          <w:color w:val="auto"/>
        </w:rPr>
      </w:pPr>
    </w:p>
    <w:p>
      <w:pPr>
        <w:ind w:left="1480" w:right="2199" w:hanging="524"/>
        <w:spacing w:after="0" w:line="237"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207" w:lineRule="exact"/>
        <w:rPr>
          <w:rFonts w:ascii="Courier New" w:cs="Courier New" w:eastAsia="Courier New" w:hAnsi="Courier New"/>
          <w:sz w:val="18"/>
          <w:szCs w:val="18"/>
          <w:color w:val="auto"/>
        </w:rPr>
      </w:pPr>
    </w:p>
    <w:p>
      <w:pPr>
        <w:ind w:left="1480" w:right="1879" w:hanging="524"/>
        <w:spacing w:after="0" w:line="237"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Tax-exempt entities will be subject to the rules described above, under the heading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Taxation of Non-U.S. Shareholders</w:t>
      </w:r>
    </w:p>
    <w:p>
      <w:pPr>
        <w:spacing w:after="0" w:line="207" w:lineRule="exact"/>
        <w:rPr>
          <w:sz w:val="20"/>
          <w:szCs w:val="20"/>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The rules governing U.S. federal income taxation of nonresident alien individuals, foreign corporations, foreign partnerships, and other foreign shareholders (collectively, "non-U.S. shareholders") are complex. This section is only a summary of such rules. We urge non-U.S. shareholders to consult their own tax advisors to determine the impact of federal, state, and local income tax laws on ownership of common shares, including any reporting requirements.</w:t>
      </w:r>
    </w:p>
    <w:p>
      <w:pPr>
        <w:spacing w:after="0" w:line="186"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Ordinary Dividends. A non-U.S. shareholder that receives a distribution that is not attributable to gain from our sale or exchange of U.S. real property interests (as defined below) and that we do not designate as a capital gain dividend or retained capital gain will recognize ordinary income to the extent that we pay such distribution out of our current or accumulated earnings and profits. A withholding tax equal to 30% of the gross amount of the distribution ordinarily will apply to such distribution unless an applicable tax treaty reduces or eliminates the tax. However, if a distribution is treated as effectively connected with the non-U.S. shareholder's conduct of a U.S. trade or business, the non-U.S. shareholder generally will be subject to federal</w:t>
      </w:r>
    </w:p>
    <w:p>
      <w:pPr>
        <w:sectPr>
          <w:pgSz w:w="11900" w:h="16838" w:orient="portrait"/>
          <w:cols w:equalWidth="0" w:num="1">
            <w:col w:w="10219"/>
          </w:cols>
          <w:pgMar w:left="240" w:top="925" w:right="1440" w:bottom="1440" w:gutter="0" w:footer="0" w:header="0"/>
        </w:sectPr>
      </w:pPr>
    </w:p>
    <w:bookmarkStart w:id="15" w:name="page16"/>
    <w:bookmarkEnd w:id="15"/>
    <w:p>
      <w:pPr>
        <w:ind w:right="1779"/>
        <w:spacing w:after="0" w:line="237" w:lineRule="auto"/>
        <w:rPr>
          <w:sz w:val="20"/>
          <w:szCs w:val="20"/>
          <w:color w:val="auto"/>
        </w:rPr>
      </w:pPr>
      <w:r>
        <w:rPr>
          <w:rFonts w:ascii="Courier New" w:cs="Courier New" w:eastAsia="Courier New" w:hAnsi="Courier New"/>
          <w:sz w:val="18"/>
          <w:szCs w:val="18"/>
          <w:color w:val="auto"/>
        </w:rPr>
        <w:t>income tax on the distribution at graduated rates, in the same manner as U.S. shareholders are taxed with respect to such distributions (and also may be subject to the 30% branch profits tax in the case of a non-U.S. shareholder that is a non-U.S. corporation). We plan to withhold U.S. income tax at the rate of 30% on the gross amount of any such distribution paid to a non-U.S. shareholder unless (i) a lower treaty rate applies and the non-U.S. shareholder files IRS Form W-8BEN with us evidencing eligibility for that reduced rate, (ii) the non-U.S. shareholder files an IRS Form W-8ECI with us claiming that the distribution is effectively connected income, or (iii) the non-U.S. shareholder holds shares through a "qualified intermediary" that has elected to perform any necessary withholding itself.</w:t>
      </w:r>
    </w:p>
    <w:p>
      <w:pPr>
        <w:spacing w:after="0" w:line="216"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Return of Capital. A non-U.S. shareholder will not incur tax on a distribution to the extent it exceeds our current and accumulated earnings and profits if such distribution does not exceed the adjusted basis of its common shares. Instead, such distribution in excess of earnings and profits will reduce the adjusted basis of such common shares. A non-U.S. shareholder will be subject to tax to the extent a distribution exceeds both our current and accumulated earnings and profits and the adjusted basis of its common shares, if the non-U.S. shareholder otherwise would be subject to tax on gain from the sale or disposition of its common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208"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Capital Gain Dividends. For any year in which we qualify as a REIT, a non-U.S. shareholder will incur tax on distributions that are attributable to gain from our sale or exchange of "U.S. real property interests" under the provisions of the Foreign Investment in 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U.S. shareholders (subject to applicable alternative minimum tax and a special alternative minimum tax in the case of a nonresident alien individual). A non- U.S. corporate shareholder not entitled to treaty relief or exemption also may be subject to the 30% branch profits tax on distributions subject to FIRPTA.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 35% equals the amount of the distribution designated as a capital gain dividend. A non-U.S. shareholder may receive a credit against its FIRPTA tax liability for the amount we withhold.</w:t>
      </w:r>
    </w:p>
    <w:p>
      <w:pPr>
        <w:spacing w:after="0" w:line="200" w:lineRule="exact"/>
        <w:rPr>
          <w:sz w:val="20"/>
          <w:szCs w:val="20"/>
          <w:color w:val="auto"/>
        </w:rPr>
      </w:pPr>
    </w:p>
    <w:p>
      <w:pPr>
        <w:spacing w:after="0" w:line="395" w:lineRule="exact"/>
        <w:rPr>
          <w:sz w:val="20"/>
          <w:szCs w:val="20"/>
          <w:color w:val="auto"/>
        </w:rPr>
      </w:pPr>
    </w:p>
    <w:p>
      <w:pPr>
        <w:ind w:right="1999" w:firstLine="948"/>
        <w:spacing w:after="0" w:line="275" w:lineRule="auto"/>
        <w:rPr>
          <w:sz w:val="20"/>
          <w:szCs w:val="20"/>
          <w:color w:val="auto"/>
        </w:rPr>
      </w:pPr>
      <w:r>
        <w:rPr>
          <w:rFonts w:ascii="Courier New" w:cs="Courier New" w:eastAsia="Courier New" w:hAnsi="Courier New"/>
          <w:sz w:val="16"/>
          <w:szCs w:val="16"/>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w:t>
      </w:r>
    </w:p>
    <w:p>
      <w:pPr>
        <w:sectPr>
          <w:pgSz w:w="11900" w:h="16838" w:orient="portrait"/>
          <w:cols w:equalWidth="0" w:num="1">
            <w:col w:w="10219"/>
          </w:cols>
          <w:pgMar w:left="240" w:top="925"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as described below under "--Sale of Shares."</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Sale of Shares. A non-U.S. shareholder generally will not incur tax under FIRPTA on gain from the sale of its common shares as long as we are a "domestically controlled REIT." A "domestically controlled REIT" is a REIT in which at all times during a specified testing period non-U.S. persons held, directly or indirectly, less than 50% in value of the stock. We anticipate that we will continue to be a "domestically controlled REIT." In addition, a non-U.S. shareholder that owns, actually or constructively, 5% or less of outstanding common shares at all times during a specified testing period will not incur tax under FIRPTA if the common shares are "regularly traded" on an established securities market. If neither of these exceptions were to apply, the gain on the sale of the common shares would be taxed under FIRPTA, in which case a non-U.S. shareholder would be taxed in the same manner as U.S. shareholders with respect to such gain (subject to applicable alternative minimum tax and a special alternative minimum tax in the case of nonresident alien individuals.</w:t>
      </w:r>
    </w:p>
    <w:p>
      <w:pPr>
        <w:spacing w:after="0" w:line="38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A non-U.S. shareholder will incur tax on gain not subject to FIRPTA if</w:t>
      </w:r>
    </w:p>
    <w:p>
      <w:pPr>
        <w:spacing w:after="0" w:line="21" w:lineRule="exact"/>
        <w:rPr>
          <w:sz w:val="20"/>
          <w:szCs w:val="20"/>
          <w:color w:val="auto"/>
        </w:rPr>
      </w:pPr>
    </w:p>
    <w:p>
      <w:pPr>
        <w:ind w:right="1779" w:firstLine="8"/>
        <w:spacing w:after="0" w:line="268" w:lineRule="auto"/>
        <w:tabs>
          <w:tab w:leader="none" w:pos="42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gain is effectively connected with the non-U.S. shareholder's U.S. trade or business, in which case the non-U.S. shareholder will be subject to the same treatment as U.S. shareholders with respect to such gain, or (2) the non-U.S. shareholder is a nonresident alien individual who was present in the U.S. for</w:t>
      </w:r>
    </w:p>
    <w:p>
      <w:pPr>
        <w:ind w:right="17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183 days or more during the taxable year, in which case the non-U.S. shareholder will incur a 30% tax on his capital gains. Capital gains dividends not subject to FIRPTA will be subject to similar rules.</w:t>
      </w:r>
    </w:p>
    <w:p>
      <w:pPr>
        <w:spacing w:after="0" w:line="209"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Backup Withholding. Backup withholding tax (which generally is withholding tax, imposed at the rate of 30% in 2002 and 2003, on certain payments to persons that fail to furnish certain information under the United States information reporting requirements) and information reporting will generally not apply to distributions to a non-U.S. shareholder provided that the non-U.S. shareholder certifies under penalty of perjury that the shareholder is a non-U.S. shareholder, or otherwise establishes an exemption. As a general matter, backup withholding and information reporting will not apply to a payment of the proceeds of a sale of common shares effected at a foreign office of a foreign broker. Information reporting (but not backup withholding) will apply, however, to a payment of the proceeds of a sale of common shares by a foreign office of a broker that:</w:t>
      </w:r>
    </w:p>
    <w:p>
      <w:pPr>
        <w:spacing w:after="0" w:line="201" w:lineRule="exact"/>
        <w:rPr>
          <w:sz w:val="20"/>
          <w:szCs w:val="20"/>
          <w:color w:val="auto"/>
        </w:rPr>
      </w:pPr>
    </w:p>
    <w:p>
      <w:pPr>
        <w:ind w:left="1480" w:hanging="524"/>
        <w:spacing w:after="0"/>
        <w:tabs>
          <w:tab w:leader="none" w:pos="14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a U.S. person;</w:t>
      </w:r>
    </w:p>
    <w:p>
      <w:pPr>
        <w:spacing w:after="0" w:line="206" w:lineRule="exact"/>
        <w:rPr>
          <w:rFonts w:ascii="Courier New" w:cs="Courier New" w:eastAsia="Courier New" w:hAnsi="Courier New"/>
          <w:sz w:val="18"/>
          <w:szCs w:val="18"/>
          <w:color w:val="auto"/>
        </w:rPr>
      </w:pPr>
    </w:p>
    <w:p>
      <w:pPr>
        <w:ind w:left="1480" w:right="1779" w:hanging="524"/>
        <w:spacing w:after="0" w:line="235" w:lineRule="auto"/>
        <w:tabs>
          <w:tab w:leader="none" w:pos="14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derives 50% or more of its gross income for a specified three-year period from the conduct of a trade or business in the U.S.;</w:t>
      </w:r>
    </w:p>
    <w:p>
      <w:pPr>
        <w:spacing w:after="0" w:line="208" w:lineRule="exact"/>
        <w:rPr>
          <w:rFonts w:ascii="Courier New" w:cs="Courier New" w:eastAsia="Courier New" w:hAnsi="Courier New"/>
          <w:sz w:val="18"/>
          <w:szCs w:val="18"/>
          <w:color w:val="auto"/>
        </w:rPr>
      </w:pPr>
    </w:p>
    <w:p>
      <w:pPr>
        <w:ind w:left="1480" w:right="2519" w:hanging="524"/>
        <w:spacing w:after="0" w:line="236" w:lineRule="auto"/>
        <w:tabs>
          <w:tab w:leader="none" w:pos="14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a "controlled foreign corporation" (generally, a foreign corporation controlled by U.S. shareholders) for U.S. tax purposes; or</w:t>
      </w:r>
    </w:p>
    <w:p>
      <w:pPr>
        <w:spacing w:after="0" w:line="208" w:lineRule="exact"/>
        <w:rPr>
          <w:rFonts w:ascii="Courier New" w:cs="Courier New" w:eastAsia="Courier New" w:hAnsi="Courier New"/>
          <w:sz w:val="18"/>
          <w:szCs w:val="18"/>
          <w:color w:val="auto"/>
        </w:rPr>
      </w:pPr>
    </w:p>
    <w:p>
      <w:pPr>
        <w:ind w:left="1480" w:right="1879" w:hanging="524"/>
        <w:spacing w:after="0" w:line="237" w:lineRule="auto"/>
        <w:tabs>
          <w:tab w:leader="none" w:pos="14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is a foreign partnership, if at any time during its tax year 50% or more of its income or capital interest are held by U.S. persons or if it is engaged in the conduct of a trade or business in the U.S.,</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unless the broker has documentary evidence in its records that the holder or beneficial owner is a</w:t>
      </w:r>
    </w:p>
    <w:p>
      <w:pPr>
        <w:sectPr>
          <w:pgSz w:w="11900" w:h="16838" w:orient="portrait"/>
          <w:cols w:equalWidth="0" w:num="1">
            <w:col w:w="10219"/>
          </w:cols>
          <w:pgMar w:left="240" w:top="919" w:right="1440" w:bottom="1440" w:gutter="0" w:footer="0" w:header="0"/>
        </w:sectPr>
      </w:pPr>
    </w:p>
    <w:bookmarkStart w:id="17" w:name="page18"/>
    <w:bookmarkEnd w:id="17"/>
    <w:p>
      <w:pPr>
        <w:ind w:right="1879"/>
        <w:spacing w:after="0" w:line="237" w:lineRule="auto"/>
        <w:rPr>
          <w:sz w:val="20"/>
          <w:szCs w:val="20"/>
          <w:color w:val="auto"/>
        </w:rPr>
      </w:pPr>
      <w:r>
        <w:rPr>
          <w:rFonts w:ascii="Courier New" w:cs="Courier New" w:eastAsia="Courier New" w:hAnsi="Courier New"/>
          <w:sz w:val="18"/>
          <w:szCs w:val="18"/>
          <w:color w:val="auto"/>
        </w:rPr>
        <w:t>non-U.S. shareholder and certain other conditions are met, or the shareholder otherwise establishes an exemption. Payment of the proceeds of a sale of common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 non-U.S. shareholder may obtain a refund of excess amounts withheld under the backup withholding rules by filing the appropriate claim for refund with the IRS.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Tax Consequences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State and Local Taxes. We and/or you may be subject to state and local tax in various states and localities, including those states and localities in which we or you transact business, own property or reside. The state and local tax treatment in such jurisdictions may differ from the federal income tax treatment described above. Consequently, you should consult your own tax advisor regarding the effect of state and local tax laws upon an investment in our securities.</w:t>
      </w:r>
    </w:p>
    <w:p>
      <w:pPr>
        <w:sectPr>
          <w:pgSz w:w="11900" w:h="16838" w:orient="portrait"/>
          <w:cols w:equalWidth="0" w:num="1">
            <w:col w:w="10219"/>
          </w:cols>
          <w:pgMar w:left="240" w:top="925" w:right="1440" w:bottom="1440" w:gutter="0" w:footer="0" w:header="0"/>
        </w:sectPr>
      </w:pPr>
    </w:p>
    <w:bookmarkStart w:id="18" w:name="page19"/>
    <w:bookmarkEnd w:id="18"/>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9"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FEDERAL REALTY INVESTMENT TRUST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13,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Larry E. Finger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Larry E. Finger</w:t>
      </w:r>
    </w:p>
    <w:p>
      <w:pPr>
        <w:spacing w:after="0" w:line="238" w:lineRule="auto"/>
        <w:rPr>
          <w:sz w:val="20"/>
          <w:szCs w:val="20"/>
          <w:color w:val="auto"/>
        </w:rPr>
      </w:pPr>
      <w:r>
        <w:rPr>
          <w:rFonts w:ascii="Courier New" w:cs="Courier New" w:eastAsia="Courier New" w:hAnsi="Courier New"/>
          <w:sz w:val="18"/>
          <w:szCs w:val="18"/>
          <w:color w:val="auto"/>
        </w:rPr>
        <w:t>Senior Vice President,</w:t>
      </w:r>
    </w:p>
    <w:p>
      <w:pPr>
        <w:spacing w:after="0"/>
        <w:rPr>
          <w:sz w:val="20"/>
          <w:szCs w:val="20"/>
          <w:color w:val="auto"/>
        </w:rPr>
      </w:pPr>
      <w:r>
        <w:rPr>
          <w:rFonts w:ascii="Courier New" w:cs="Courier New" w:eastAsia="Courier New" w:hAnsi="Courier New"/>
          <w:sz w:val="18"/>
          <w:szCs w:val="18"/>
          <w:color w:val="auto"/>
        </w:rPr>
        <w:t>Chief Financial Officer and Treasurer</w:t>
      </w:r>
    </w:p>
    <w:sectPr>
      <w:pgSz w:w="11900" w:h="16838" w:orient="portrait"/>
      <w:cols w:equalWidth="0" w:num="3">
        <w:col w:w="540" w:space="200"/>
        <w:col w:w="2860" w:space="720"/>
        <w:col w:w="589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o"/>
      <w:numFmt w:val="bullet"/>
      <w:start w:val="1"/>
    </w:lvl>
  </w:abstractNum>
  <w:abstractNum w:abstractNumId="1">
    <w:nsid w:val="7545E146"/>
    <w:multiLevelType w:val="hybridMultilevel"/>
    <w:lvl w:ilvl="0">
      <w:lvlJc w:val="left"/>
      <w:lvlText w:val="o"/>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o"/>
      <w:numFmt w:val="bullet"/>
      <w:start w:val="1"/>
    </w:lvl>
  </w:abstractNum>
  <w:abstractNum w:abstractNumId="4">
    <w:nsid w:val="12200854"/>
    <w:multiLevelType w:val="hybridMultilevel"/>
    <w:lvl w:ilvl="0">
      <w:lvlJc w:val="left"/>
      <w:lvlText w:val="o"/>
      <w:numFmt w:val="bullet"/>
      <w:start w:val="1"/>
    </w:lvl>
  </w:abstractNum>
  <w:abstractNum w:abstractNumId="5">
    <w:nsid w:val="4DB127F8"/>
    <w:multiLevelType w:val="hybridMultilevel"/>
    <w:lvl w:ilvl="0">
      <w:lvlJc w:val="left"/>
      <w:lvlText w:val="o"/>
      <w:numFmt w:val="bullet"/>
      <w:start w:val="1"/>
    </w:lvl>
  </w:abstractNum>
  <w:abstractNum w:abstractNumId="6">
    <w:nsid w:val="216231B"/>
    <w:multiLevelType w:val="hybridMultilevel"/>
    <w:lvl w:ilvl="0">
      <w:lvlJc w:val="left"/>
      <w:lvlText w:val="o"/>
      <w:numFmt w:val="bullet"/>
      <w:start w:val="1"/>
    </w:lvl>
  </w:abstractNum>
  <w:abstractNum w:abstractNumId="7">
    <w:nsid w:val="1F16E9E8"/>
    <w:multiLevelType w:val="hybridMultilevel"/>
    <w:lvl w:ilvl="0">
      <w:lvlJc w:val="left"/>
      <w:lvlText w:val="o"/>
      <w:numFmt w:val="bullet"/>
      <w:start w:val="1"/>
    </w:lvl>
  </w:abstractNum>
  <w:abstractNum w:abstractNumId="8">
    <w:nsid w:val="1190CDE7"/>
    <w:multiLevelType w:val="hybridMultilevel"/>
    <w:lvl w:ilvl="0">
      <w:lvlJc w:val="left"/>
      <w:lvlText w:val="o"/>
      <w:numFmt w:val="bullet"/>
      <w:start w:val="1"/>
    </w:lvl>
  </w:abstractNum>
  <w:abstractNum w:abstractNumId="9">
    <w:nsid w:val="66EF438D"/>
    <w:multiLevelType w:val="hybridMultilevel"/>
    <w:lvl w:ilvl="0">
      <w:lvlJc w:val="left"/>
      <w:lvlText w:val="o"/>
      <w:numFmt w:val="bullet"/>
      <w:start w:val="1"/>
    </w:lvl>
  </w:abstractNum>
  <w:abstractNum w:abstractNumId="10">
    <w:nsid w:val="140E0F76"/>
    <w:multiLevelType w:val="hybridMultilevel"/>
    <w:lvl w:ilvl="0">
      <w:lvlJc w:val="left"/>
      <w:lvlText w:val="o"/>
      <w:numFmt w:val="bullet"/>
      <w:start w:val="1"/>
    </w:lvl>
  </w:abstractNum>
  <w:abstractNum w:abstractNumId="11">
    <w:nsid w:val="3352255A"/>
    <w:multiLevelType w:val="hybridMultilevel"/>
    <w:lvl w:ilvl="0">
      <w:lvlJc w:val="left"/>
      <w:lvlText w:val="o"/>
      <w:numFmt w:val="bullet"/>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2019-12-12T09:24:14Z</dcterms:created>
  <dcterms:modified xsi:type="dcterms:W3CDTF">2019-12-12T09:24:14Z</dcterms:modified>
</cp:coreProperties>
</file>