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03</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49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x Rule 13d-1(b)</w:t>
      </w:r>
    </w:p>
    <w:p>
      <w:pPr>
        <w:spacing w:after="0" w:line="252" w:lineRule="exact"/>
        <w:rPr>
          <w:sz w:val="24"/>
          <w:szCs w:val="24"/>
          <w:color w:val="auto"/>
        </w:rPr>
      </w:pPr>
    </w:p>
    <w:p>
      <w:pPr>
        <w:jc w:val="both"/>
        <w:ind w:left="480" w:right="9720"/>
        <w:spacing w:after="0" w:line="532" w:lineRule="auto"/>
        <w:rPr>
          <w:sz w:val="24"/>
          <w:szCs w:val="24"/>
          <w:color w:val="auto"/>
        </w:rPr>
      </w:pPr>
      <w:r>
        <w:rPr>
          <w:rFonts w:ascii="Times New Roman" w:cs="Times New Roman" w:eastAsia="Times New Roman" w:hAnsi="Times New Roman"/>
          <w:sz w:val="18"/>
          <w:szCs w:val="18"/>
          <w:color w:val="auto"/>
        </w:rPr>
        <w:t>Rule 13d-1(c) Rule 13d-1(d)</w:t>
      </w:r>
    </w:p>
    <w:p>
      <w:pPr>
        <w:spacing w:after="0" w:line="282"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-189865</wp:posOffset>
            </wp:positionV>
            <wp:extent cx="7132320" cy="3234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234055"/>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520" w:space="440"/>
            <w:col w:w="10280"/>
          </w:cols>
          <w:pgMar w:left="320" w:top="513" w:right="339" w:bottom="1440" w:gutter="0" w:footer="0" w:header="0"/>
        </w:sectPr>
      </w:pP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0" w:val="left"/>
        </w:tabs>
        <w:numPr>
          <w:ilvl w:val="0"/>
          <w:numId w:val="3"/>
        </w:numPr>
        <w:rPr>
          <w:rFonts w:ascii="Times New Roman" w:cs="Times New Roman" w:eastAsia="Times New Roman" w:hAnsi="Times New Roman"/>
          <w:sz w:val="18"/>
          <w:szCs w:val="18"/>
          <w:color w:val="auto"/>
        </w:rPr>
      </w:pPr>
    </w:p>
    <w:p>
      <w:pPr>
        <w:spacing w:after="0" w:line="27"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3,673,676</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3,732,025</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3,733,725</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32"/>
          <w:szCs w:val="32"/>
          <w:b w:val="1"/>
          <w:bCs w:val="1"/>
          <w:color w:val="auto"/>
        </w:rPr>
        <w:t>10</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4.9 %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REALTY INVESTMENT TRUST</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909 Rose Avenue, Suite 200, North Bethesda, Maryland 20852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Beneficial Interest, $.01 par value per share</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313747206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20" w:type="dxa"/>
            <w:vAlign w:val="bottom"/>
          </w:tcPr>
          <w:p>
            <w:pPr>
              <w:spacing w:after="0"/>
              <w:rPr>
                <w:sz w:val="20"/>
                <w:szCs w:val="20"/>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Investment company registered under section 8 of the Investment Company Act of 1940 (15 U.S.C 80a-8).</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bl>
    <w:p>
      <w:pPr>
        <w:spacing w:after="0" w:line="200" w:lineRule="exact"/>
        <w:rPr>
          <w:sz w:val="20"/>
          <w:szCs w:val="20"/>
          <w:color w:val="auto"/>
        </w:rPr>
      </w:pPr>
    </w:p>
    <w:p>
      <w:pPr>
        <w:spacing w:after="0" w:line="268"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 parent holding company or control person in accordance with § 240.13d-1(b)(1)(ii)(G);</w:t>
      </w:r>
    </w:p>
    <w:p>
      <w:pPr>
        <w:spacing w:after="0" w:line="200" w:lineRule="exact"/>
        <w:rPr>
          <w:sz w:val="20"/>
          <w:szCs w:val="20"/>
          <w:color w:val="auto"/>
        </w:rPr>
      </w:pP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62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68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 church plan that is excluded from the definition of an investment company under section 3(c)(14) of the Investment Company</w:t>
            </w: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 of 1940 (15 U.S.C. 80a-3);</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bl>
    <w:p>
      <w:pPr>
        <w:sectPr>
          <w:pgSz w:w="11900" w:h="16838" w:orient="portrait"/>
          <w:cols w:equalWidth="0" w:num="1">
            <w:col w:w="11200"/>
          </w:cols>
          <w:pgMar w:left="320" w:top="509" w:right="379" w:bottom="1"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w:t>
            </w:r>
          </w:p>
        </w:tc>
        <w:tc>
          <w:tcPr>
            <w:tcW w:w="620" w:type="dxa"/>
            <w:vAlign w:val="bottom"/>
          </w:tcPr>
          <w:p>
            <w:pPr>
              <w:spacing w:after="0"/>
              <w:rPr>
                <w:sz w:val="18"/>
                <w:szCs w:val="18"/>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group, in accordance with § 240.13d-1(b)(1)(ii)(K). If filing as a non-U.S. institution in accordance with § 240.13d-1(b)(1)(ii)</w:t>
            </w:r>
          </w:p>
        </w:tc>
      </w:tr>
      <w:tr>
        <w:trPr>
          <w:trHeight w:val="234"/>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 please specify the type of institution:</w:t>
            </w:r>
          </w:p>
        </w:tc>
      </w:tr>
      <w:tr>
        <w:trPr>
          <w:trHeight w:val="1141"/>
        </w:trPr>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3,733,725</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4.9 %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3,673,676</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3,732,025</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658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Security Capital Research &amp;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China International Fund Management Co. Ltd.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06,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2021-01-06T12:02:18Z</dcterms:created>
  <dcterms:modified xsi:type="dcterms:W3CDTF">2021-01-06T12:02:18Z</dcterms:modified>
</cp:coreProperties>
</file>