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November 10,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2200" w:type="dxa"/>
        <w:tblCellMar>
          <w:top w:w="0" w:type="dxa"/>
          <w:left w:w="0" w:type="dxa"/>
          <w:bottom w:w="0" w:type="dxa"/>
          <w:right w:w="0" w:type="dxa"/>
        </w:tblCellMar>
      </w:tblPr>
      <w:tr>
        <w:trPr>
          <w:trHeight w:val="234"/>
        </w:trPr>
        <w:tc>
          <w:tcPr>
            <w:tcW w:w="2340" w:type="dxa"/>
            <w:vAlign w:val="bottom"/>
          </w:tcPr>
          <w:p>
            <w:pPr>
              <w:jc w:val="center"/>
              <w:ind w:right="828"/>
              <w:spacing w:after="0"/>
              <w:rPr>
                <w:sz w:val="20"/>
                <w:szCs w:val="20"/>
                <w:color w:val="auto"/>
              </w:rPr>
            </w:pPr>
            <w:r>
              <w:rPr>
                <w:rFonts w:ascii="Arial" w:cs="Arial" w:eastAsia="Arial" w:hAnsi="Arial"/>
                <w:sz w:val="18"/>
                <w:szCs w:val="18"/>
                <w:b w:val="1"/>
                <w:bCs w:val="1"/>
                <w:color w:val="auto"/>
                <w:w w:val="96"/>
              </w:rPr>
              <w:t>Maryland</w:t>
            </w:r>
          </w:p>
        </w:tc>
        <w:tc>
          <w:tcPr>
            <w:tcW w:w="2580" w:type="dxa"/>
            <w:vAlign w:val="bottom"/>
          </w:tcPr>
          <w:p>
            <w:pPr>
              <w:jc w:val="center"/>
              <w:ind w:right="28"/>
              <w:spacing w:after="0"/>
              <w:rPr>
                <w:sz w:val="20"/>
                <w:szCs w:val="20"/>
                <w:color w:val="auto"/>
              </w:rPr>
            </w:pPr>
            <w:r>
              <w:rPr>
                <w:rFonts w:ascii="Arial" w:cs="Arial" w:eastAsia="Arial" w:hAnsi="Arial"/>
                <w:sz w:val="18"/>
                <w:szCs w:val="18"/>
                <w:b w:val="1"/>
                <w:bCs w:val="1"/>
                <w:color w:val="auto"/>
                <w:w w:val="90"/>
              </w:rPr>
              <w:t>1-07533</w:t>
            </w:r>
          </w:p>
        </w:tc>
        <w:tc>
          <w:tcPr>
            <w:tcW w:w="1960" w:type="dxa"/>
            <w:vAlign w:val="bottom"/>
          </w:tcPr>
          <w:p>
            <w:pPr>
              <w:jc w:val="center"/>
              <w:ind w:left="88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(State or other jurisdiction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of incorporation)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93"/>
              </w:rPr>
              <w:t>File Number)</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186"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November 10, 2016, the Board of Trustees (the “Board”) of Federal Realty Investment Trust (the “Trust”) approved the following matters which will be effective as of February 1, 2017: (a) increasing the number of Trustees from seven to eight as permitted by the Trust’s Declaration of Trust and Bylaws; and (b) electing Ms. Elizabeth I. Holland to serve as a trustee to fill the vacancy created by the increase in the size of the Board. At this time, Ms. Holland has not been named to any committee of the Board of Trustees.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Ms. Holland is the Chief Executive Officer of Abbell Credit Corporation and Abbell Associates, LLC (“Abbell”), a seventy-year-old private real estate acquisition, development and management company with a portfolio of shopping center, office, and enclosed mall properties. Prior to joining Abbell, Ms. Holland was a Senior Staff Attorney with the National Bankruptcy Review Commission and, prior to that time, was a restructuring and business reorganization attorney with the law firm of Skadden, Arps, Slate, Meagher &amp; Flom in New York. Ms. Holland was also a fixed income portfolio manager at Brown, Brothers Harriman &amp; Co. in New York prior to becoming an attorney. She is active in the International Council of Shopping Centers and is currently serving as the Chairman of the Board of Trustees of that organization. Ms. Holland is also a member of the Urban Land Institute and its CRC Blue Council.</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her service on the Board, Ms. Holland will receive the same compensation as that paid to all other non-executive Trustees (other than the Chairman of the Board).</w:t>
      </w:r>
    </w:p>
    <w:p>
      <w:pPr>
        <w:sectPr>
          <w:pgSz w:w="11900" w:h="16838" w:orient="portrait"/>
          <w:cols w:equalWidth="0" w:num="1">
            <w:col w:w="11420"/>
          </w:cols>
          <w:pgMar w:left="240" w:top="576"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FEDERAL REALTY INVESTMENT TRUST</w:t>
      </w:r>
    </w:p>
    <w:p>
      <w:pPr>
        <w:spacing w:after="0" w:line="337" w:lineRule="exact"/>
        <w:rPr>
          <w:sz w:val="20"/>
          <w:szCs w:val="20"/>
          <w:color w:val="auto"/>
        </w:rPr>
      </w:pPr>
    </w:p>
    <w:p>
      <w:pPr>
        <w:ind w:left="1120"/>
        <w:spacing w:after="0"/>
        <w:tabs>
          <w:tab w:leader="none" w:pos="65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31750</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Dawn M. Becker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Executive Vice President-General Counsel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380"/>
      </w:cols>
      <w:pgMar w:left="240" w:top="79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2019-12-05T05:47:10Z</dcterms:created>
  <dcterms:modified xsi:type="dcterms:W3CDTF">2019-12-05T05:47:10Z</dcterms:modified>
</cp:coreProperties>
</file>