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March 10, 2004</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305435</wp:posOffset>
            </wp:positionV>
            <wp:extent cx="4227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bottom w:val="single" w:sz="8" w:color="808080"/>
            </w:tcBorders>
          </w:tcPr>
          <w:p>
            <w:pPr>
              <w:spacing w:after="0"/>
              <w:rPr>
                <w:sz w:val="20"/>
                <w:szCs w:val="20"/>
                <w:color w:val="auto"/>
              </w:rPr>
            </w:pPr>
          </w:p>
        </w:tc>
        <w:tc>
          <w:tcPr>
            <w:tcW w:w="3780" w:type="dxa"/>
            <w:vAlign w:val="bottom"/>
            <w:tcBorders>
              <w:bottom w:val="single" w:sz="8" w:color="808080"/>
            </w:tcBorders>
          </w:tcPr>
          <w:p>
            <w:pPr>
              <w:jc w:val="center"/>
              <w:ind w:right="1910"/>
              <w:spacing w:after="0"/>
              <w:rPr>
                <w:sz w:val="20"/>
                <w:szCs w:val="20"/>
                <w:color w:val="auto"/>
              </w:rPr>
            </w:pPr>
            <w:r>
              <w:rPr>
                <w:rFonts w:ascii="Arial" w:cs="Arial" w:eastAsia="Arial" w:hAnsi="Arial"/>
                <w:sz w:val="18"/>
                <w:szCs w:val="18"/>
                <w:color w:val="auto"/>
                <w:w w:val="94"/>
              </w:rPr>
              <w:t>Maryland</w:t>
            </w:r>
          </w:p>
        </w:tc>
        <w:tc>
          <w:tcPr>
            <w:tcW w:w="1640" w:type="dxa"/>
            <w:vAlign w:val="bottom"/>
            <w:tcBorders>
              <w:bottom w:val="single" w:sz="8" w:color="808080"/>
            </w:tcBorders>
          </w:tcPr>
          <w:p>
            <w:pPr>
              <w:jc w:val="center"/>
              <w:ind w:right="550"/>
              <w:spacing w:after="0"/>
              <w:rPr>
                <w:sz w:val="20"/>
                <w:szCs w:val="20"/>
                <w:color w:val="auto"/>
              </w:rPr>
            </w:pPr>
            <w:r>
              <w:rPr>
                <w:rFonts w:ascii="Arial" w:cs="Arial" w:eastAsia="Arial" w:hAnsi="Arial"/>
                <w:sz w:val="18"/>
                <w:szCs w:val="18"/>
                <w:color w:val="auto"/>
                <w:w w:val="90"/>
              </w:rPr>
              <w:t>1-07533</w:t>
            </w:r>
          </w:p>
        </w:tc>
        <w:tc>
          <w:tcPr>
            <w:tcW w:w="3120" w:type="dxa"/>
            <w:vAlign w:val="bottom"/>
            <w:tcBorders>
              <w:bottom w:val="single" w:sz="8" w:color="808080"/>
            </w:tcBorders>
          </w:tcPr>
          <w:p>
            <w:pPr>
              <w:jc w:val="center"/>
              <w:ind w:left="1290"/>
              <w:spacing w:after="0"/>
              <w:rPr>
                <w:sz w:val="20"/>
                <w:szCs w:val="20"/>
                <w:color w:val="auto"/>
              </w:rPr>
            </w:pPr>
            <w:r>
              <w:rPr>
                <w:rFonts w:ascii="Arial" w:cs="Arial" w:eastAsia="Arial" w:hAnsi="Arial"/>
                <w:sz w:val="18"/>
                <w:szCs w:val="18"/>
                <w:color w:val="auto"/>
                <w:w w:val="89"/>
              </w:rPr>
              <w:t>52-0782497</w:t>
            </w:r>
          </w:p>
        </w:tc>
        <w:tc>
          <w:tcPr>
            <w:tcW w:w="580" w:type="dxa"/>
            <w:vAlign w:val="bottom"/>
            <w:tcBorders>
              <w:bottom w:val="single" w:sz="8" w:color="808080"/>
            </w:tcBorders>
          </w:tcPr>
          <w:p>
            <w:pPr>
              <w:spacing w:after="0"/>
              <w:rPr>
                <w:sz w:val="20"/>
                <w:szCs w:val="20"/>
                <w:color w:val="auto"/>
              </w:rPr>
            </w:pPr>
          </w:p>
        </w:tc>
      </w:tr>
      <w:tr>
        <w:trPr>
          <w:trHeight w:val="222"/>
        </w:trPr>
        <w:tc>
          <w:tcPr>
            <w:tcW w:w="4340" w:type="dxa"/>
            <w:vAlign w:val="bottom"/>
            <w:gridSpan w:val="2"/>
          </w:tcPr>
          <w:p>
            <w:pPr>
              <w:jc w:val="center"/>
              <w:ind w:right="1350"/>
              <w:spacing w:after="0"/>
              <w:rPr>
                <w:sz w:val="20"/>
                <w:szCs w:val="20"/>
                <w:color w:val="auto"/>
              </w:rPr>
            </w:pPr>
            <w:r>
              <w:rPr>
                <w:rFonts w:ascii="Arial" w:cs="Arial" w:eastAsia="Arial" w:hAnsi="Arial"/>
                <w:sz w:val="18"/>
                <w:szCs w:val="18"/>
                <w:color w:val="auto"/>
                <w:w w:val="92"/>
              </w:rPr>
              <w:t>(State or other jurisdiction</w:t>
            </w:r>
          </w:p>
        </w:tc>
        <w:tc>
          <w:tcPr>
            <w:tcW w:w="1640" w:type="dxa"/>
            <w:vAlign w:val="bottom"/>
          </w:tcPr>
          <w:p>
            <w:pPr>
              <w:jc w:val="center"/>
              <w:ind w:right="530"/>
              <w:spacing w:after="0"/>
              <w:rPr>
                <w:sz w:val="20"/>
                <w:szCs w:val="20"/>
                <w:color w:val="auto"/>
              </w:rPr>
            </w:pPr>
            <w:r>
              <w:rPr>
                <w:rFonts w:ascii="Arial" w:cs="Arial" w:eastAsia="Arial" w:hAnsi="Arial"/>
                <w:sz w:val="18"/>
                <w:szCs w:val="18"/>
                <w:color w:val="auto"/>
                <w:w w:val="93"/>
              </w:rPr>
              <w:t>(Commission</w:t>
            </w:r>
          </w:p>
        </w:tc>
        <w:tc>
          <w:tcPr>
            <w:tcW w:w="3700" w:type="dxa"/>
            <w:vAlign w:val="bottom"/>
            <w:gridSpan w:val="2"/>
          </w:tcPr>
          <w:p>
            <w:pPr>
              <w:jc w:val="center"/>
              <w:ind w:left="710"/>
              <w:spacing w:after="0"/>
              <w:rPr>
                <w:sz w:val="20"/>
                <w:szCs w:val="20"/>
                <w:color w:val="auto"/>
              </w:rPr>
            </w:pPr>
            <w:r>
              <w:rPr>
                <w:rFonts w:ascii="Arial" w:cs="Arial" w:eastAsia="Arial" w:hAnsi="Arial"/>
                <w:sz w:val="18"/>
                <w:szCs w:val="18"/>
                <w:color w:val="auto"/>
                <w:w w:val="93"/>
              </w:rPr>
              <w:t>(IRS Employer</w:t>
            </w:r>
          </w:p>
        </w:tc>
      </w:tr>
      <w:tr>
        <w:trPr>
          <w:trHeight w:val="230"/>
        </w:trPr>
        <w:tc>
          <w:tcPr>
            <w:tcW w:w="560" w:type="dxa"/>
            <w:vAlign w:val="bottom"/>
          </w:tcPr>
          <w:p>
            <w:pPr>
              <w:spacing w:after="0"/>
              <w:rPr>
                <w:sz w:val="20"/>
                <w:szCs w:val="20"/>
                <w:color w:val="auto"/>
              </w:rPr>
            </w:pPr>
          </w:p>
        </w:tc>
        <w:tc>
          <w:tcPr>
            <w:tcW w:w="3780" w:type="dxa"/>
            <w:vAlign w:val="bottom"/>
          </w:tcPr>
          <w:p>
            <w:pPr>
              <w:jc w:val="center"/>
              <w:ind w:right="1910"/>
              <w:spacing w:after="0"/>
              <w:rPr>
                <w:sz w:val="20"/>
                <w:szCs w:val="20"/>
                <w:color w:val="auto"/>
              </w:rPr>
            </w:pPr>
            <w:r>
              <w:rPr>
                <w:rFonts w:ascii="Arial" w:cs="Arial" w:eastAsia="Arial" w:hAnsi="Arial"/>
                <w:sz w:val="18"/>
                <w:szCs w:val="18"/>
                <w:color w:val="auto"/>
                <w:w w:val="93"/>
              </w:rPr>
              <w:t>of incorporation)</w:t>
            </w:r>
          </w:p>
        </w:tc>
        <w:tc>
          <w:tcPr>
            <w:tcW w:w="1640" w:type="dxa"/>
            <w:vAlign w:val="bottom"/>
          </w:tcPr>
          <w:p>
            <w:pPr>
              <w:jc w:val="center"/>
              <w:ind w:right="530"/>
              <w:spacing w:after="0"/>
              <w:rPr>
                <w:sz w:val="20"/>
                <w:szCs w:val="20"/>
                <w:color w:val="auto"/>
              </w:rPr>
            </w:pPr>
            <w:r>
              <w:rPr>
                <w:rFonts w:ascii="Arial" w:cs="Arial" w:eastAsia="Arial" w:hAnsi="Arial"/>
                <w:sz w:val="18"/>
                <w:szCs w:val="18"/>
                <w:color w:val="auto"/>
                <w:w w:val="94"/>
              </w:rPr>
              <w:t>File Number)</w:t>
            </w:r>
          </w:p>
        </w:tc>
        <w:tc>
          <w:tcPr>
            <w:tcW w:w="3700" w:type="dxa"/>
            <w:vAlign w:val="bottom"/>
            <w:gridSpan w:val="2"/>
          </w:tcPr>
          <w:p>
            <w:pPr>
              <w:jc w:val="center"/>
              <w:ind w:left="7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560" w:type="dxa"/>
            <w:vAlign w:val="bottom"/>
          </w:tcPr>
          <w:p>
            <w:pPr>
              <w:spacing w:after="0"/>
              <w:rPr>
                <w:sz w:val="24"/>
                <w:szCs w:val="24"/>
                <w:color w:val="auto"/>
              </w:rPr>
            </w:pPr>
          </w:p>
        </w:tc>
        <w:tc>
          <w:tcPr>
            <w:tcW w:w="3780" w:type="dxa"/>
            <w:vAlign w:val="bottom"/>
            <w:tcBorders>
              <w:bottom w:val="single" w:sz="8" w:color="808080"/>
            </w:tcBorders>
          </w:tcPr>
          <w:p>
            <w:pPr>
              <w:jc w:val="center"/>
              <w:ind w:left="190"/>
              <w:spacing w:after="0"/>
              <w:rPr>
                <w:sz w:val="20"/>
                <w:szCs w:val="20"/>
                <w:color w:val="auto"/>
              </w:rPr>
            </w:pPr>
            <w:r>
              <w:rPr>
                <w:rFonts w:ascii="Arial" w:cs="Arial" w:eastAsia="Arial" w:hAnsi="Arial"/>
                <w:sz w:val="18"/>
                <w:szCs w:val="18"/>
                <w:color w:val="auto"/>
                <w:w w:val="91"/>
              </w:rPr>
              <w:t>1626 East Jefferson Street, Rockville, Maryland</w:t>
            </w:r>
          </w:p>
        </w:tc>
        <w:tc>
          <w:tcPr>
            <w:tcW w:w="164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jc w:val="right"/>
              <w:ind w:right="1510"/>
              <w:spacing w:after="0"/>
              <w:rPr>
                <w:sz w:val="20"/>
                <w:szCs w:val="20"/>
                <w:color w:val="auto"/>
              </w:rPr>
            </w:pPr>
            <w:r>
              <w:rPr>
                <w:rFonts w:ascii="Arial" w:cs="Arial" w:eastAsia="Arial" w:hAnsi="Arial"/>
                <w:sz w:val="18"/>
                <w:szCs w:val="18"/>
                <w:color w:val="auto"/>
              </w:rPr>
              <w:t>20852-4041</w:t>
            </w:r>
          </w:p>
        </w:tc>
        <w:tc>
          <w:tcPr>
            <w:tcW w:w="580" w:type="dxa"/>
            <w:vAlign w:val="bottom"/>
          </w:tcPr>
          <w:p>
            <w:pPr>
              <w:spacing w:after="0"/>
              <w:rPr>
                <w:sz w:val="24"/>
                <w:szCs w:val="24"/>
                <w:color w:val="auto"/>
              </w:rPr>
            </w:pPr>
          </w:p>
        </w:tc>
      </w:tr>
      <w:tr>
        <w:trPr>
          <w:trHeight w:val="237"/>
        </w:trPr>
        <w:tc>
          <w:tcPr>
            <w:tcW w:w="560" w:type="dxa"/>
            <w:vAlign w:val="bottom"/>
          </w:tcPr>
          <w:p>
            <w:pPr>
              <w:spacing w:after="0"/>
              <w:rPr>
                <w:sz w:val="20"/>
                <w:szCs w:val="20"/>
                <w:color w:val="auto"/>
              </w:rPr>
            </w:pP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spacing w:after="0"/>
              <w:rPr>
                <w:sz w:val="20"/>
                <w:szCs w:val="20"/>
                <w:color w:val="auto"/>
              </w:rPr>
            </w:pPr>
          </w:p>
        </w:tc>
        <w:tc>
          <w:tcPr>
            <w:tcW w:w="3700" w:type="dxa"/>
            <w:vAlign w:val="bottom"/>
            <w:gridSpan w:val="2"/>
          </w:tcPr>
          <w:p>
            <w:pPr>
              <w:jc w:val="center"/>
              <w:ind w:right="1520"/>
              <w:spacing w:after="0"/>
              <w:rPr>
                <w:sz w:val="20"/>
                <w:szCs w:val="20"/>
                <w:color w:val="auto"/>
              </w:rPr>
            </w:pPr>
            <w:r>
              <w:rPr>
                <w:rFonts w:ascii="Arial" w:cs="Arial" w:eastAsia="Arial" w:hAnsi="Arial"/>
                <w:sz w:val="18"/>
                <w:szCs w:val="18"/>
                <w:color w:val="auto"/>
                <w:w w:val="91"/>
              </w:rPr>
              <w:t>(Zip Code)</w:t>
            </w: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301/998-8100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126365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527685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80"/>
          </w:cols>
          <w:pgMar w:left="1120" w:top="630" w:right="10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 Other Events</w:t>
      </w:r>
    </w:p>
    <w:p>
      <w:pPr>
        <w:spacing w:after="0" w:line="202"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and our representatives may make oral or written “forward-looking statements,” as that term is defined in the Private Securities Litigation Reform Act of 1995, or the Reform Act, from time to time. When we refer to forward-looking statements or information, sometimes we use words such as “may,” “will,” “could,” “should,” “plans,” “intends,” “expects,” “believes,” “estimates,” “anticipates” and “continues.” We desire to invoke to the fullest extent possible the protections of the Reform Act and the judicially created “bespeaks caution” doctrine with respect to any and all of those statements. Accordingly, we are filing this Form 8-K, which lists certain factors that in some cases may have affected, and in the future could affect, our actual operating results and could cause those results to differ materially from those in the forward-looking statements. This list is not necessarily exhaustive, and new risk factors emerge periodically. There can be no assurance that this disclosure lists all material risks to us at any specific point in time. Many of the important factors discussed below have been disclosed in our prior filings with the Securities and Exchange Commission.</w:t>
      </w:r>
    </w:p>
    <w:p>
      <w:pPr>
        <w:spacing w:after="0" w:line="13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20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increase our net income depends on the success and continued presence of our shopping center “anchor” tenants.</w:t>
      </w:r>
    </w:p>
    <w:p>
      <w:pPr>
        <w:spacing w:after="0" w:line="18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Our net income could be adversely affected in the event of a downturn in the business, or the bankruptcy or insolvency, of any anchor store or anchor tenant. The closing of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ind w:right="40"/>
        <w:spacing w:after="0" w:line="264" w:lineRule="auto"/>
        <w:rPr>
          <w:sz w:val="20"/>
          <w:szCs w:val="20"/>
          <w:color w:val="auto"/>
        </w:rPr>
      </w:pPr>
      <w:r>
        <w:rPr>
          <w:rFonts w:ascii="Arial" w:cs="Arial" w:eastAsia="Arial" w:hAnsi="Arial"/>
          <w:sz w:val="18"/>
          <w:szCs w:val="18"/>
          <w:color w:val="auto"/>
        </w:rPr>
        <w:t>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189"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20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 substantial amount of debt. As of December 31, 2003, we had approximately $1.3 billion of debt outstanding. Of that outstanding debt, approximately $255 million was secured by 12 of our properties and approximately $159 million represented capital lease obligations on 11 of our properties. All of our secured debt and capital lease obligations are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188" w:lineRule="exact"/>
        <w:rPr>
          <w:sz w:val="20"/>
          <w:szCs w:val="20"/>
          <w:color w:val="auto"/>
        </w:rPr>
      </w:pPr>
    </w:p>
    <w:p>
      <w:pPr>
        <w:ind w:left="900" w:right="560" w:hanging="172"/>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23" w:lineRule="exact"/>
        <w:rPr>
          <w:rFonts w:ascii="Arial" w:cs="Arial" w:eastAsia="Arial" w:hAnsi="Arial"/>
          <w:sz w:val="16"/>
          <w:szCs w:val="16"/>
          <w:color w:val="auto"/>
        </w:rPr>
      </w:pPr>
    </w:p>
    <w:p>
      <w:pPr>
        <w:ind w:left="900" w:hanging="17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248" w:lineRule="exact"/>
        <w:rPr>
          <w:rFonts w:ascii="Arial" w:cs="Arial" w:eastAsia="Arial" w:hAnsi="Arial"/>
          <w:sz w:val="16"/>
          <w:szCs w:val="16"/>
          <w:color w:val="auto"/>
        </w:rPr>
      </w:pPr>
    </w:p>
    <w:p>
      <w:pPr>
        <w:ind w:left="900" w:hanging="17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225" w:lineRule="exact"/>
        <w:rPr>
          <w:rFonts w:ascii="Arial" w:cs="Arial" w:eastAsia="Arial" w:hAnsi="Arial"/>
          <w:sz w:val="18"/>
          <w:szCs w:val="18"/>
          <w:color w:val="auto"/>
        </w:rPr>
      </w:pPr>
    </w:p>
    <w:p>
      <w:pPr>
        <w:ind w:left="900" w:right="680" w:hanging="172"/>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left="900" w:right="260" w:hanging="172"/>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3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125"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These covenants require us, among other things, to:</w:t>
      </w:r>
    </w:p>
    <w:p>
      <w:pPr>
        <w:spacing w:after="0" w:line="170" w:lineRule="exact"/>
        <w:rPr>
          <w:sz w:val="20"/>
          <w:szCs w:val="20"/>
          <w:color w:val="auto"/>
        </w:rPr>
      </w:pPr>
    </w:p>
    <w:p>
      <w:pPr>
        <w:ind w:left="900" w:hanging="172"/>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.55 to 1 (we maintained a ratio of .51 to 1 as of December 31, 2003);</w:t>
      </w:r>
    </w:p>
    <w:p>
      <w:pPr>
        <w:spacing w:after="0" w:line="248" w:lineRule="exact"/>
        <w:rPr>
          <w:rFonts w:ascii="Arial" w:cs="Arial" w:eastAsia="Arial" w:hAnsi="Arial"/>
          <w:sz w:val="16"/>
          <w:szCs w:val="16"/>
          <w:color w:val="auto"/>
        </w:rPr>
      </w:pPr>
    </w:p>
    <w:p>
      <w:pPr>
        <w:ind w:left="900" w:right="300" w:hanging="172"/>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the amount of secured debt as a percentage of total asset value to less than .30 to 1 (we maintained a ratio of .16 to 1 as of December 31, 2003);</w:t>
      </w:r>
    </w:p>
    <w:p>
      <w:pPr>
        <w:spacing w:after="0" w:line="170" w:lineRule="exact"/>
        <w:rPr>
          <w:rFonts w:ascii="Arial" w:cs="Arial" w:eastAsia="Arial" w:hAnsi="Arial"/>
          <w:sz w:val="18"/>
          <w:szCs w:val="18"/>
          <w:color w:val="auto"/>
        </w:rPr>
      </w:pPr>
    </w:p>
    <w:p>
      <w:pPr>
        <w:ind w:left="900" w:right="560" w:hanging="172"/>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2.38 to 1 as of December 31, 2003);</w:t>
      </w:r>
    </w:p>
    <w:p>
      <w:pPr>
        <w:spacing w:after="0" w:line="170" w:lineRule="exact"/>
        <w:rPr>
          <w:rFonts w:ascii="Arial" w:cs="Arial" w:eastAsia="Arial" w:hAnsi="Arial"/>
          <w:sz w:val="18"/>
          <w:szCs w:val="18"/>
          <w:color w:val="auto"/>
        </w:rPr>
      </w:pPr>
    </w:p>
    <w:p>
      <w:pPr>
        <w:ind w:left="900" w:right="180" w:hanging="172"/>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2.26 to 1 as of December 31, 2003); and</w:t>
      </w:r>
    </w:p>
    <w:p>
      <w:pPr>
        <w:spacing w:after="0" w:line="170" w:lineRule="exact"/>
        <w:rPr>
          <w:rFonts w:ascii="Arial" w:cs="Arial" w:eastAsia="Arial" w:hAnsi="Arial"/>
          <w:sz w:val="18"/>
          <w:szCs w:val="18"/>
          <w:color w:val="auto"/>
        </w:rPr>
      </w:pPr>
    </w:p>
    <w:p>
      <w:pPr>
        <w:ind w:left="900" w:right="280" w:hanging="172"/>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total asset value (the budgeted total cost of our projects under construction at December 31, 2003 represented 2.7% of gross asset value).</w:t>
      </w:r>
    </w:p>
    <w:p>
      <w:pPr>
        <w:spacing w:after="0" w:line="17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Because these covenants are calculated in accordance with the terms of our credit facility, there is no relevant reconciliation to these ratios under generally accepted accounting principles.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also obligated to comply with additional covenants, including, among others:</w:t>
      </w:r>
    </w:p>
    <w:p>
      <w:pPr>
        <w:spacing w:after="0" w:line="225" w:lineRule="exact"/>
        <w:rPr>
          <w:sz w:val="20"/>
          <w:szCs w:val="20"/>
          <w:color w:val="auto"/>
        </w:rPr>
      </w:pPr>
    </w:p>
    <w:p>
      <w:pPr>
        <w:ind w:left="900" w:hanging="17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other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2003,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are inherently risky</w:t>
      </w:r>
      <w:r>
        <w:rPr>
          <w:rFonts w:ascii="Arial" w:cs="Arial" w:eastAsia="Arial" w:hAnsi="Arial"/>
          <w:sz w:val="18"/>
          <w:szCs w:val="18"/>
          <w:color w:val="auto"/>
        </w:rPr>
        <w:t>.</w:t>
      </w:r>
    </w:p>
    <w:p>
      <w:pPr>
        <w:spacing w:after="0" w:line="189"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ground-up development of improvements on real property, as opposed to the renovation and redevelopment of existing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substantial risks. We do not intend to initiate any new large-scale mixed-use, ground-up development projects; however, we do intend to complete the development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114"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170" w:lineRule="exact"/>
        <w:rPr>
          <w:sz w:val="20"/>
          <w:szCs w:val="20"/>
          <w:color w:val="auto"/>
        </w:rPr>
      </w:pPr>
    </w:p>
    <w:p>
      <w:pPr>
        <w:ind w:left="900" w:hanging="17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time lag between commencement and completion subjects us to greater risks due to fluctuation in the general economy;</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higher-than-estimated construction costs, including labor and material costs; and</w:t>
      </w:r>
    </w:p>
    <w:p>
      <w:pPr>
        <w:spacing w:after="0" w:line="225" w:lineRule="exact"/>
        <w:rPr>
          <w:rFonts w:ascii="Arial" w:cs="Arial" w:eastAsia="Arial" w:hAnsi="Arial"/>
          <w:sz w:val="18"/>
          <w:szCs w:val="18"/>
          <w:color w:val="auto"/>
        </w:rPr>
      </w:pPr>
    </w:p>
    <w:p>
      <w:pPr>
        <w:ind w:left="900" w:right="140" w:hanging="172"/>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firstLine="225"/>
        <w:spacing w:after="0" w:line="271" w:lineRule="auto"/>
        <w:rPr>
          <w:sz w:val="20"/>
          <w:szCs w:val="20"/>
          <w:color w:val="auto"/>
        </w:rPr>
      </w:pPr>
      <w:r>
        <w:rPr>
          <w:rFonts w:ascii="Arial" w:cs="Arial" w:eastAsia="Arial" w:hAnsi="Arial"/>
          <w:sz w:val="17"/>
          <w:szCs w:val="17"/>
          <w:i w:val="1"/>
          <w:iCs w:val="1"/>
          <w:color w:val="auto"/>
        </w:rPr>
        <w:t>Santana Row</w:t>
      </w:r>
      <w:r>
        <w:rPr>
          <w:rFonts w:ascii="Arial" w:cs="Arial" w:eastAsia="Arial" w:hAnsi="Arial"/>
          <w:sz w:val="17"/>
          <w:szCs w:val="17"/>
          <w:color w:val="auto"/>
        </w:rPr>
        <w:t>. Santana Row is the largest project we have undertaken, and if it is not successful it could have a material adverse effect on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and results of operations. We have made a full and final settlement with the insurance company relating to the August 19, 2002 fire at the property. All proceeds from that insurance settlement have been reflected in our 2003 financial statements with the exception of approximately $3 million which will be included as income in our 2004 financial statements. We are currently in the process of constructing Phases III and IV of the project. Phase III consists of the addition of a new art screen cinema and a small amount of additional retail space. The movie theater has been pre-leased and the tenant is responsible for constructing the new improvements. Our cost of completing Phase III is estimated to be approximately $3,800,000. Phase IV of the project consists of rebuilding on Building 7 256 residential units that were destroyed by the August 2002 fire. We have estimated the incremental cost of completing Phase IV to be approximately $60 million.</w:t>
      </w:r>
    </w:p>
    <w:p>
      <w:pPr>
        <w:spacing w:after="0" w:line="152"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our ability to retain tenants at attractive lease rates, and the general economy, particularly in and around the Silicon Valley. In addition, our financial condition and results of operations may be adversely affected by delays or cost overruns in completing Phase III, Phase IV or future phases of Santana Row, by an inability to achieve the market rents that were projected when the project was commenced, or by slower than projected lease-up of the project.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189"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166" w:lineRule="exact"/>
        <w:rPr>
          <w:sz w:val="20"/>
          <w:szCs w:val="20"/>
          <w:color w:val="auto"/>
        </w:rPr>
      </w:pPr>
    </w:p>
    <w:p>
      <w:pPr>
        <w:ind w:left="900" w:right="20" w:hanging="172"/>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and in either case, the property may fail to achieve the returns we have projected, either temporarily or for a longer time;</w:t>
      </w:r>
    </w:p>
    <w:p>
      <w:pPr>
        <w:spacing w:after="0" w:line="181" w:lineRule="exact"/>
        <w:rPr>
          <w:rFonts w:ascii="Arial" w:cs="Arial" w:eastAsia="Arial" w:hAnsi="Arial"/>
          <w:sz w:val="18"/>
          <w:szCs w:val="18"/>
          <w:color w:val="auto"/>
        </w:rPr>
      </w:pPr>
    </w:p>
    <w:p>
      <w:pPr>
        <w:ind w:left="900" w:hanging="17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236" w:lineRule="exact"/>
        <w:rPr>
          <w:rFonts w:ascii="Arial" w:cs="Arial" w:eastAsia="Arial" w:hAnsi="Arial"/>
          <w:sz w:val="17"/>
          <w:szCs w:val="17"/>
          <w:color w:val="auto"/>
        </w:rPr>
      </w:pPr>
    </w:p>
    <w:p>
      <w:pPr>
        <w:ind w:left="900" w:hanging="172"/>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integrate any acquisitions into our existing operations successfully;</w:t>
      </w:r>
    </w:p>
    <w:p>
      <w:pPr>
        <w:spacing w:after="0" w:line="225" w:lineRule="exact"/>
        <w:rPr>
          <w:rFonts w:ascii="Arial" w:cs="Arial" w:eastAsia="Arial" w:hAnsi="Arial"/>
          <w:sz w:val="18"/>
          <w:szCs w:val="18"/>
          <w:color w:val="auto"/>
        </w:rPr>
      </w:pPr>
    </w:p>
    <w:p>
      <w:pPr>
        <w:ind w:left="900" w:right="160" w:hanging="172"/>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 w:name="page8"/>
    <w:bookmarkEnd w:id="7"/>
    <w:p>
      <w:pPr>
        <w:ind w:left="900" w:right="120" w:hanging="172"/>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170" w:lineRule="exact"/>
        <w:rPr>
          <w:rFonts w:ascii="Arial" w:cs="Arial" w:eastAsia="Arial" w:hAnsi="Arial"/>
          <w:sz w:val="18"/>
          <w:szCs w:val="18"/>
          <w:color w:val="auto"/>
        </w:rPr>
      </w:pPr>
    </w:p>
    <w:p>
      <w:pPr>
        <w:ind w:left="900" w:right="360" w:hanging="172"/>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complete our redevelopments, it is often necessary for us to take space out of service for a period of time which, on at least a temporary basis, increases vacancy and decreases revenue at the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189"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20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Of our approximately $1.3 billion of debt outstanding as of December 31, 2003, approximately $359 million bears interest at variable rates and was unhedged. In January 2004, we purchased an interest rate swap for $150 million of that variable rate debt thereby fixing the LIBOR portion of the interest rate on that debt through October 2006.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to demand a higher annual yield, which could adversely affect the market price of our outstanding debt securities and preferred shares and the cost of issuing additional debt securities or preferred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firstLine="225"/>
        <w:spacing w:after="0" w:line="312"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47" w:lineRule="exact"/>
        <w:rPr>
          <w:sz w:val="20"/>
          <w:szCs w:val="20"/>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downturns in the areas where our properties are located;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oversupply or reduction in demand;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225" w:lineRule="exact"/>
        <w:rPr>
          <w:rFonts w:ascii="Arial" w:cs="Arial" w:eastAsia="Arial" w:hAnsi="Arial"/>
          <w:sz w:val="18"/>
          <w:szCs w:val="18"/>
          <w:color w:val="auto"/>
        </w:rPr>
      </w:pPr>
    </w:p>
    <w:p>
      <w:pPr>
        <w:ind w:left="900" w:right="260" w:hanging="172"/>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20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investment.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properties that we redevelop, renovate or reposition will not receive rent or will receive reduced rent on the space that we redevelop or renovate. In those events, the cash flow from existing operations may be insufficient to pay the operating expenses and debt service associated with those properties until the redevelopment, renovation or repositioning is complete and the properties are fully leased.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240"/>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211" w:lineRule="exact"/>
        <w:rPr>
          <w:sz w:val="20"/>
          <w:szCs w:val="20"/>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18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 or may become inadequate.</w:t>
      </w:r>
    </w:p>
    <w:p>
      <w:pPr>
        <w:spacing w:after="0" w:line="202"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As of March 10, 2004, we carry comprehensive insurance on all of our properties, including insurance for liability, fire, flood, and rental loss. We also carry earthquake insurance on all of our properties in California and environmental insurance on most of our properties. These earthquake and environmental policies contain coverage limitations. We believe this coverage is of the type and amount customarily obtained for or by an owner of real property assets and that the coverage is sufficient to adequately insure the properties. We intend to obtain similar insurance coverage on subsequently acquired properties.</w:t>
      </w:r>
    </w:p>
    <w:p>
      <w:pPr>
        <w:spacing w:after="0" w:line="114" w:lineRule="exact"/>
        <w:rPr>
          <w:sz w:val="20"/>
          <w:szCs w:val="20"/>
          <w:color w:val="auto"/>
        </w:rPr>
      </w:pPr>
    </w:p>
    <w:p>
      <w:pPr>
        <w:ind w:right="180" w:firstLine="215"/>
        <w:spacing w:after="0" w:line="276" w:lineRule="auto"/>
        <w:rPr>
          <w:sz w:val="20"/>
          <w:szCs w:val="20"/>
          <w:color w:val="auto"/>
        </w:rPr>
      </w:pPr>
      <w:r>
        <w:rPr>
          <w:rFonts w:ascii="Arial" w:cs="Arial" w:eastAsia="Arial" w:hAnsi="Arial"/>
          <w:sz w:val="17"/>
          <w:szCs w:val="17"/>
          <w:color w:val="auto"/>
        </w:rPr>
        <w:t>As a consequence of the September 11, 2001 terrorist attacks and other significant losses incurred by the insurance industry, the availability of insurance coverage has decreased and the prices for insurance have increased. As a result, we may be unable to renew or duplicate our current insurance coverage in adequate amounts or at reasonable prices when the policies expire.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right="60"/>
        <w:spacing w:after="0" w:line="272" w:lineRule="auto"/>
        <w:rPr>
          <w:sz w:val="20"/>
          <w:szCs w:val="20"/>
          <w:color w:val="auto"/>
        </w:rPr>
      </w:pPr>
      <w:r>
        <w:rPr>
          <w:rFonts w:ascii="Arial" w:cs="Arial" w:eastAsia="Arial" w:hAnsi="Arial"/>
          <w:sz w:val="17"/>
          <w:szCs w:val="17"/>
          <w:color w:val="auto"/>
        </w:rPr>
        <w:t>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r>
        <w:rPr>
          <w:rFonts w:ascii="Arial" w:cs="Arial" w:eastAsia="Arial" w:hAnsi="Arial"/>
          <w:sz w:val="18"/>
          <w:szCs w:val="18"/>
          <w:color w:val="auto"/>
        </w:rPr>
        <w:t>.</w:t>
      </w:r>
    </w:p>
    <w:p>
      <w:pPr>
        <w:spacing w:after="0" w:line="1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jointly with other persons or entities and as of March 10, 2004, we hold ten shopping centers and eight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18 of our existing co-investments as of March 10, 2004, we must obtain the consent of the co-investor or meet defined criteria to sell or to finance eight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intend to form a new joint venture that we may not control</w:t>
      </w:r>
      <w:r>
        <w:rPr>
          <w:rFonts w:ascii="Arial" w:cs="Arial" w:eastAsia="Arial" w:hAnsi="Arial"/>
          <w:sz w:val="18"/>
          <w:szCs w:val="18"/>
          <w:color w:val="auto"/>
        </w:rPr>
        <w:t>.</w:t>
      </w:r>
    </w:p>
    <w:p>
      <w:pPr>
        <w:spacing w:after="0" w:line="202"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addition, we intend to create a new joint venture for purposes of acquiring properties. Although we plan to be the manager of that entity, we will be the minority equity owner. We have not yet identified a potential partner or confirmed any of the terms of a joint venture; however, we anticipate that our partner’s consent will be required to take certain actions with respect to the properties acquired by the venture, and as a result, we may not be able to take actions that we believe are necessary or desirable to protect or increase the value of the property or the property’s income, or to act quickly if circumstances change or we believe an action is required. In particular, we anticipate that, at a minimum, our partner’s consent will be required to do the following:</w:t>
      </w:r>
    </w:p>
    <w:p>
      <w:pPr>
        <w:spacing w:after="0" w:line="158" w:lineRule="exact"/>
        <w:rPr>
          <w:sz w:val="20"/>
          <w:szCs w:val="20"/>
          <w:color w:val="auto"/>
        </w:rPr>
      </w:pPr>
    </w:p>
    <w:p>
      <w:pPr>
        <w:ind w:left="900" w:right="100" w:hanging="172"/>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enter into new leases, modify existing leases or enforce remedies against anchor tenants or other tenants that contribute significant amounts of income to a property;</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and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the property or finance or refinance the property with secured debt.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anticipate that the terms of our partnership may require that certain acquisition opportunities that become available to us be offered first to the joint venture. This requirement will result in conflicts of interest and could limit our ability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properties for our own account which could, in turn, limit our ability to grow. Our investment in this joint venture is also subject to the risks described above for jointly owned investments.</w:t>
      </w:r>
    </w:p>
    <w:p>
      <w:pPr>
        <w:spacing w:after="0" w:line="14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because we expect to act as property manager and leasing agent for the joint venture, the joint venture will create potential conflicts of interest within management in allocating their time and resources between us and the joint venture. Management will have obligations to both us and the joint venture, and these obligations may, at times, conflict.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189"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56"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48"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214"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20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2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139"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we cannot assure you that we will remain qualified as such in the future.</w:t>
      </w:r>
    </w:p>
    <w:p>
      <w:pPr>
        <w:spacing w:after="0" w:line="14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we fail to qualify as a REIT:</w:t>
      </w:r>
    </w:p>
    <w:p>
      <w:pPr>
        <w:spacing w:after="0" w:line="225" w:lineRule="exact"/>
        <w:rPr>
          <w:sz w:val="20"/>
          <w:szCs w:val="20"/>
          <w:color w:val="auto"/>
        </w:rPr>
      </w:pPr>
    </w:p>
    <w:p>
      <w:pPr>
        <w:ind w:left="900" w:hanging="17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left="900" w:right="200" w:hanging="17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170" w:lineRule="exact"/>
        <w:rPr>
          <w:rFonts w:ascii="Arial" w:cs="Arial" w:eastAsia="Arial" w:hAnsi="Arial"/>
          <w:sz w:val="18"/>
          <w:szCs w:val="18"/>
          <w:color w:val="auto"/>
        </w:rPr>
      </w:pPr>
    </w:p>
    <w:p>
      <w:pPr>
        <w:ind w:left="900" w:right="200" w:hanging="17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202" w:lineRule="exact"/>
        <w:rPr>
          <w:sz w:val="20"/>
          <w:szCs w:val="20"/>
          <w:color w:val="auto"/>
        </w:rPr>
      </w:pPr>
    </w:p>
    <w:p>
      <w:pPr>
        <w:ind w:firstLine="215"/>
        <w:spacing w:after="0" w:line="286" w:lineRule="auto"/>
        <w:rPr>
          <w:sz w:val="20"/>
          <w:szCs w:val="20"/>
          <w:color w:val="auto"/>
        </w:rPr>
      </w:pPr>
      <w:r>
        <w:rPr>
          <w:rFonts w:ascii="Arial" w:cs="Arial" w:eastAsia="Arial" w:hAnsi="Arial"/>
          <w:sz w:val="17"/>
          <w:szCs w:val="17"/>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125"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170" w:lineRule="exact"/>
        <w:rPr>
          <w:sz w:val="20"/>
          <w:szCs w:val="20"/>
          <w:color w:val="auto"/>
        </w:rPr>
      </w:pPr>
    </w:p>
    <w:p>
      <w:pPr>
        <w:ind w:left="900" w:right="540" w:hanging="17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23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r>
        <w:rPr>
          <w:rFonts w:ascii="Arial" w:cs="Arial" w:eastAsia="Arial" w:hAnsi="Arial"/>
          <w:sz w:val="18"/>
          <w:szCs w:val="18"/>
          <w:color w:val="auto"/>
        </w:rPr>
        <w:t>.</w:t>
      </w:r>
    </w:p>
    <w:p>
      <w:pPr>
        <w:spacing w:after="0" w:line="202"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9.8% in value of the outstanding common shares and/or a class of series of preferred shares (or the acquisition of an interest in an entity that owns common shares or preferred shares), by an individual or entity could cause that individual or entity (or another) to own constructively more than 9.8% in value of the outstanding stock. If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happened, either the transfer or ownership would be void or the shares would be transferred to a charitable trust and then sold to someone who can own those shares without violating the 9.8% ownership limit.</w:t>
      </w:r>
    </w:p>
    <w:p>
      <w:pPr>
        <w:spacing w:after="0" w:line="143"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r>
        <w:rPr>
          <w:rFonts w:ascii="Arial" w:cs="Arial" w:eastAsia="Arial" w:hAnsi="Arial"/>
          <w:sz w:val="18"/>
          <w:szCs w:val="18"/>
          <w:color w:val="auto"/>
        </w:rPr>
        <w:t>.</w:t>
      </w:r>
    </w:p>
    <w:p>
      <w:pPr>
        <w:spacing w:after="0" w:line="189"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47" w:lineRule="exact"/>
        <w:rPr>
          <w:sz w:val="20"/>
          <w:szCs w:val="20"/>
          <w:color w:val="auto"/>
        </w:rPr>
      </w:pPr>
    </w:p>
    <w:p>
      <w:pPr>
        <w:ind w:left="900" w:hanging="172"/>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r>
        <w:rPr>
          <w:rFonts w:ascii="Arial" w:cs="Arial" w:eastAsia="Arial" w:hAnsi="Arial"/>
          <w:sz w:val="18"/>
          <w:szCs w:val="18"/>
          <w:color w:val="auto"/>
        </w:rPr>
        <w:t>.</w:t>
      </w:r>
    </w:p>
    <w:p>
      <w:pPr>
        <w:spacing w:after="0" w:line="18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87" w:lineRule="exact"/>
        <w:rPr>
          <w:sz w:val="20"/>
          <w:szCs w:val="20"/>
          <w:color w:val="auto"/>
        </w:rPr>
      </w:pPr>
    </w:p>
    <w:p>
      <w:pPr>
        <w:ind w:left="900" w:hanging="172"/>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900" w:hanging="172"/>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225" w:lineRule="exact"/>
        <w:rPr>
          <w:rFonts w:ascii="Arial" w:cs="Arial" w:eastAsia="Arial" w:hAnsi="Arial"/>
          <w:sz w:val="18"/>
          <w:szCs w:val="18"/>
          <w:color w:val="auto"/>
        </w:rPr>
      </w:pPr>
    </w:p>
    <w:p>
      <w:pPr>
        <w:ind w:left="900" w:right="60" w:hanging="17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by the chairman of the Board, by the chief executive officer, by the president, by one-third of the trustees or by shareholders possessing no less than 25% of all the votes entitled to be cast at the meeting;</w:t>
      </w:r>
    </w:p>
    <w:p>
      <w:pPr>
        <w:spacing w:after="0" w:line="170" w:lineRule="exact"/>
        <w:rPr>
          <w:rFonts w:ascii="Arial" w:cs="Arial" w:eastAsia="Arial" w:hAnsi="Arial"/>
          <w:sz w:val="18"/>
          <w:szCs w:val="18"/>
          <w:color w:val="auto"/>
        </w:rPr>
      </w:pPr>
    </w:p>
    <w:p>
      <w:pPr>
        <w:ind w:left="900" w:hanging="17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170" w:lineRule="exact"/>
        <w:rPr>
          <w:rFonts w:ascii="Arial" w:cs="Arial" w:eastAsia="Arial" w:hAnsi="Arial"/>
          <w:sz w:val="18"/>
          <w:szCs w:val="18"/>
          <w:color w:val="auto"/>
        </w:rPr>
      </w:pPr>
    </w:p>
    <w:p>
      <w:pPr>
        <w:ind w:left="900" w:hanging="172"/>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225" w:lineRule="exact"/>
        <w:rPr>
          <w:rFonts w:ascii="Arial" w:cs="Arial" w:eastAsia="Arial" w:hAnsi="Arial"/>
          <w:sz w:val="18"/>
          <w:szCs w:val="18"/>
          <w:color w:val="auto"/>
        </w:rPr>
      </w:pPr>
    </w:p>
    <w:p>
      <w:pPr>
        <w:ind w:left="900" w:right="140" w:hanging="172"/>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181"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31" w:lineRule="exact"/>
        <w:rPr>
          <w:sz w:val="20"/>
          <w:szCs w:val="20"/>
          <w:color w:val="auto"/>
        </w:rPr>
      </w:pPr>
    </w:p>
    <w:p>
      <w:pPr>
        <w:ind w:right="500" w:firstLine="225"/>
        <w:spacing w:after="0" w:line="259" w:lineRule="auto"/>
        <w:rPr>
          <w:sz w:val="20"/>
          <w:szCs w:val="20"/>
          <w:color w:val="auto"/>
        </w:rPr>
      </w:pPr>
      <w:r>
        <w:rPr>
          <w:rFonts w:ascii="Arial" w:cs="Arial" w:eastAsia="Arial" w:hAnsi="Arial"/>
          <w:sz w:val="18"/>
          <w:szCs w:val="18"/>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fifty percent of the shareholders entitled to vote, and, upon such repeal, may, to the extent provided by any successor bylaw, apply to any prior or subsequent control share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right="100"/>
        <w:spacing w:after="0" w:line="282" w:lineRule="auto"/>
        <w:rPr>
          <w:sz w:val="20"/>
          <w:szCs w:val="20"/>
          <w:color w:val="auto"/>
        </w:rPr>
      </w:pPr>
      <w:r>
        <w:rPr>
          <w:rFonts w:ascii="Arial" w:cs="Arial" w:eastAsia="Arial" w:hAnsi="Arial"/>
          <w:sz w:val="18"/>
          <w:szCs w:val="18"/>
          <w:b w:val="1"/>
          <w:bCs w:val="1"/>
          <w:color w:val="auto"/>
        </w:rPr>
        <w:t>We may amend or revise our business policies without your approval, and we have adopted a business plan that involves changes in our operational policies</w:t>
      </w:r>
      <w:r>
        <w:rPr>
          <w:rFonts w:ascii="Arial" w:cs="Arial" w:eastAsia="Arial" w:hAnsi="Arial"/>
          <w:sz w:val="18"/>
          <w:szCs w:val="18"/>
          <w:color w:val="auto"/>
        </w:rPr>
        <w:t>.</w:t>
      </w:r>
    </w:p>
    <w:p>
      <w:pPr>
        <w:spacing w:after="0" w:line="1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46"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addition, in February of 2002, our Board of Trustees adopted a business plan that focuses on our investment in neighborhood and community shopping centers, principally through redevelopments and acquisitions. If our new business plan is not successful, it could have a material adverse effect on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March 10,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195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Larry E. Finger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520"/>
      </w:cols>
      <w:pgMar w:left="240" w:top="93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2019-12-13T00:55:47Z</dcterms:created>
  <dcterms:modified xsi:type="dcterms:W3CDTF">2019-12-13T00:55:47Z</dcterms:modified>
</cp:coreProperties>
</file>