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333-181236</w:t>
      </w:r>
    </w:p>
    <w:p>
      <w:pPr>
        <w:spacing w:after="0" w:line="145" w:lineRule="exact"/>
        <w:rPr>
          <w:sz w:val="24"/>
          <w:szCs w:val="24"/>
          <w:color w:val="auto"/>
        </w:rPr>
      </w:pPr>
    </w:p>
    <w:p>
      <w:pPr>
        <w:ind w:right="40"/>
        <w:spacing w:after="0" w:line="258" w:lineRule="auto"/>
        <w:rPr>
          <w:sz w:val="20"/>
          <w:szCs w:val="20"/>
          <w:color w:val="auto"/>
        </w:rPr>
      </w:pPr>
      <w:r>
        <w:rPr>
          <w:rFonts w:ascii="Arial" w:cs="Arial" w:eastAsia="Arial" w:hAnsi="Arial"/>
          <w:sz w:val="18"/>
          <w:szCs w:val="18"/>
          <w:b w:val="1"/>
          <w:bCs w:val="1"/>
          <w:color w:val="DE1A1E"/>
        </w:rPr>
        <w:t>The information in this prospectus supplement and the accompanying prospectus is not complete and may be changed. A registration statement relating to these securities has been filed with the Securities and Exchange Commission and is effective. This prospectus supplement and the accompanying prospectus are not an offer to sell these securities and we are not soliciting offers to buy these securities in any jurisdiction where the offer or sale is not permitted.</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JULY 16, 2012</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MAY 8, 2012)</w:t>
      </w:r>
    </w:p>
    <w:p>
      <w:pPr>
        <w:spacing w:after="0" w:line="132" w:lineRule="exact"/>
        <w:rPr>
          <w:sz w:val="24"/>
          <w:szCs w:val="24"/>
          <w:color w:val="auto"/>
        </w:rPr>
      </w:pPr>
    </w:p>
    <w:p>
      <w:pPr>
        <w:ind w:left="5300"/>
        <w:spacing w:after="0"/>
        <w:rPr>
          <w:sz w:val="20"/>
          <w:szCs w:val="20"/>
          <w:color w:val="auto"/>
        </w:rPr>
      </w:pPr>
      <w:r>
        <w:rPr>
          <w:rFonts w:ascii="Arial" w:cs="Arial" w:eastAsia="Arial" w:hAnsi="Arial"/>
          <w:sz w:val="32"/>
          <w:szCs w:val="32"/>
          <w:b w:val="1"/>
          <w:bCs w:val="1"/>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 Notes due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134620</wp:posOffset>
            </wp:positionV>
            <wp:extent cx="15176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8" w:lineRule="exact"/>
        <w:rPr>
          <w:sz w:val="24"/>
          <w:szCs w:val="24"/>
          <w:color w:val="auto"/>
        </w:rPr>
      </w:pPr>
    </w:p>
    <w:p>
      <w:pPr>
        <w:ind w:left="460"/>
        <w:spacing w:after="0"/>
        <w:tabs>
          <w:tab w:leader="none" w:pos="6220" w:val="left"/>
          <w:tab w:leader="none" w:pos="10420" w:val="left"/>
        </w:tabs>
        <w:rPr>
          <w:sz w:val="20"/>
          <w:szCs w:val="20"/>
          <w:color w:val="auto"/>
        </w:rPr>
      </w:pPr>
      <w:r>
        <w:rPr>
          <w:rFonts w:ascii="Arial" w:cs="Arial" w:eastAsia="Arial" w:hAnsi="Arial"/>
          <w:sz w:val="18"/>
          <w:szCs w:val="18"/>
          <w:color w:val="auto"/>
        </w:rPr>
        <w:t>The notes offered by this prospectus supplement will bear interest at the rate of</w:t>
        <w:tab/>
        <w:t>% per year. Interest on the notes will be payable on</w:t>
      </w:r>
      <w:r>
        <w:rPr>
          <w:sz w:val="20"/>
          <w:szCs w:val="20"/>
          <w:color w:val="auto"/>
        </w:rPr>
        <w:tab/>
      </w:r>
      <w:r>
        <w:rPr>
          <w:rFonts w:ascii="Arial" w:cs="Arial" w:eastAsia="Arial" w:hAnsi="Arial"/>
          <w:sz w:val="15"/>
          <w:szCs w:val="15"/>
          <w:color w:val="auto"/>
        </w:rPr>
        <w:t>and</w:t>
      </w:r>
    </w:p>
    <w:p>
      <w:pPr>
        <w:spacing w:after="0" w:line="15" w:lineRule="exact"/>
        <w:rPr>
          <w:sz w:val="24"/>
          <w:szCs w:val="24"/>
          <w:color w:val="auto"/>
        </w:rPr>
      </w:pPr>
    </w:p>
    <w:p>
      <w:pPr>
        <w:spacing w:after="0"/>
        <w:tabs>
          <w:tab w:leader="none" w:pos="2780" w:val="left"/>
          <w:tab w:leader="none" w:pos="5980" w:val="left"/>
          <w:tab w:leader="none" w:pos="6420" w:val="left"/>
        </w:tabs>
        <w:rPr>
          <w:sz w:val="20"/>
          <w:szCs w:val="20"/>
          <w:color w:val="auto"/>
        </w:rPr>
      </w:pPr>
      <w:r>
        <w:rPr>
          <w:rFonts w:ascii="Arial" w:cs="Arial" w:eastAsia="Arial" w:hAnsi="Arial"/>
          <w:sz w:val="18"/>
          <w:szCs w:val="18"/>
          <w:color w:val="auto"/>
        </w:rPr>
        <w:t>of each year, beginning on</w:t>
      </w:r>
      <w:r>
        <w:rPr>
          <w:sz w:val="20"/>
          <w:szCs w:val="20"/>
          <w:color w:val="auto"/>
        </w:rPr>
        <w:tab/>
      </w:r>
      <w:r>
        <w:rPr>
          <w:rFonts w:ascii="Arial" w:cs="Arial" w:eastAsia="Arial" w:hAnsi="Arial"/>
          <w:sz w:val="18"/>
          <w:szCs w:val="18"/>
          <w:color w:val="auto"/>
        </w:rPr>
        <w:t>, 2013. The notes will mature on</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5"/>
          <w:szCs w:val="15"/>
          <w:color w:val="auto"/>
        </w:rPr>
        <w:t>. We may redeem some or all of the notes at any time before maturity.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The redemption prices are discussed under the caption “Description of Notes — Optional Redemption.”</w:t>
      </w:r>
    </w:p>
    <w:p>
      <w:pPr>
        <w:spacing w:after="0" w:line="165" w:lineRule="exact"/>
        <w:rPr>
          <w:sz w:val="24"/>
          <w:szCs w:val="24"/>
          <w:color w:val="auto"/>
        </w:rPr>
      </w:pPr>
    </w:p>
    <w:p>
      <w:pPr>
        <w:ind w:right="160" w:firstLine="456"/>
        <w:spacing w:after="0" w:line="259" w:lineRule="auto"/>
        <w:rPr>
          <w:sz w:val="20"/>
          <w:szCs w:val="20"/>
          <w:color w:val="auto"/>
        </w:rPr>
      </w:pPr>
      <w:r>
        <w:rPr>
          <w:rFonts w:ascii="Arial" w:cs="Arial" w:eastAsia="Arial" w:hAnsi="Arial"/>
          <w:sz w:val="18"/>
          <w:szCs w:val="18"/>
          <w:color w:val="auto"/>
        </w:rPr>
        <w:t>The notes will be our senior unsecured obligations and will rank equally with all of our other senior unsecured indebtedness. The notes will be effectively subordinated to the prior claims of each secured mortgage lender to any specified property that secures such lender’s mortgage and to all of the unsecured indebtedness of our subsidiaries.</w:t>
      </w:r>
    </w:p>
    <w:p>
      <w:pPr>
        <w:spacing w:after="0" w:line="14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notes will not be listed on any securities exchange. There is currently no public market for the notes.</w:t>
      </w:r>
    </w:p>
    <w:p>
      <w:pPr>
        <w:spacing w:after="0" w:line="152" w:lineRule="exact"/>
        <w:rPr>
          <w:sz w:val="24"/>
          <w:szCs w:val="24"/>
          <w:color w:val="auto"/>
        </w:rPr>
      </w:pPr>
    </w:p>
    <w:p>
      <w:pPr>
        <w:ind w:right="140" w:firstLine="456"/>
        <w:spacing w:after="0" w:line="301"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the notes involves risks. See “</w:t>
      </w:r>
      <w:hyperlink w:anchor="page10">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beginning on page S-6 of this prospectus supplement, on page 3 of the accompanying prospectus and in our Annual Report on Form 10-K for the year ended December 31, 2011, filed with the Securities and Exchange Commission, or the SEC, on February 16,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61595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440" w:type="dxa"/>
            <w:vAlign w:val="bottom"/>
            <w:gridSpan w:val="2"/>
          </w:tcPr>
          <w:p>
            <w:pPr>
              <w:ind w:left="4940"/>
              <w:spacing w:after="0"/>
              <w:rPr>
                <w:sz w:val="20"/>
                <w:szCs w:val="20"/>
                <w:color w:val="auto"/>
              </w:rPr>
            </w:pPr>
            <w:r>
              <w:rPr>
                <w:rFonts w:ascii="Arial" w:cs="Arial" w:eastAsia="Arial" w:hAnsi="Arial"/>
                <w:sz w:val="14"/>
                <w:szCs w:val="14"/>
                <w:b w:val="1"/>
                <w:bCs w:val="1"/>
                <w:color w:val="auto"/>
                <w:w w:val="83"/>
              </w:rPr>
              <w:t>Per Note</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6"/>
              </w:rPr>
              <w:t xml:space="preserve">Public offering price </w:t>
            </w:r>
            <w:r>
              <w:rPr>
                <w:rFonts w:ascii="Arial" w:cs="Arial" w:eastAsia="Arial" w:hAnsi="Arial"/>
                <w:sz w:val="11"/>
                <w:szCs w:val="11"/>
                <w:color w:val="auto"/>
                <w:w w:val="96"/>
              </w:rPr>
              <w:t>(1)</w:t>
            </w:r>
          </w:p>
        </w:tc>
        <w:tc>
          <w:tcPr>
            <w:tcW w:w="49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w w:val="74"/>
              </w:rPr>
              <w:t>%</w:t>
            </w: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8"/>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w w:val="98"/>
              </w:rPr>
              <w:t>Underwriting discount</w:t>
            </w:r>
          </w:p>
        </w:tc>
        <w:tc>
          <w:tcPr>
            <w:tcW w:w="4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gridSpan w:val="2"/>
          </w:tcPr>
          <w:p>
            <w:pPr>
              <w:jc w:val="right"/>
              <w:ind w:right="232"/>
              <w:spacing w:after="0"/>
              <w:rPr>
                <w:sz w:val="20"/>
                <w:szCs w:val="20"/>
                <w:color w:val="auto"/>
              </w:rPr>
            </w:pPr>
            <w:r>
              <w:rPr>
                <w:rFonts w:ascii="Arial" w:cs="Arial" w:eastAsia="Arial" w:hAnsi="Arial"/>
                <w:sz w:val="18"/>
                <w:szCs w:val="18"/>
                <w:color w:val="auto"/>
                <w:w w:val="87"/>
              </w:rPr>
              <w:t>%</w:t>
            </w:r>
          </w:p>
        </w:tc>
        <w:tc>
          <w:tcPr>
            <w:tcW w:w="94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Proceeds, before expenses, to us </w:t>
            </w:r>
            <w:r>
              <w:rPr>
                <w:rFonts w:ascii="Arial" w:cs="Arial" w:eastAsia="Arial" w:hAnsi="Arial"/>
                <w:sz w:val="11"/>
                <w:szCs w:val="11"/>
                <w:color w:val="auto"/>
              </w:rPr>
              <w:t>(1)</w:t>
            </w:r>
          </w:p>
        </w:tc>
        <w:tc>
          <w:tcPr>
            <w:tcW w:w="4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w w:val="87"/>
              </w:rPr>
              <w:t>%</w:t>
            </w:r>
          </w:p>
        </w:tc>
        <w:tc>
          <w:tcPr>
            <w:tcW w:w="94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(1)</w:t>
            </w:r>
          </w:p>
        </w:tc>
        <w:tc>
          <w:tcPr>
            <w:tcW w:w="2800" w:type="dxa"/>
            <w:vAlign w:val="bottom"/>
            <w:gridSpan w:val="2"/>
            <w:vMerge w:val="restart"/>
          </w:tcPr>
          <w:p>
            <w:pPr>
              <w:ind w:left="160"/>
              <w:spacing w:after="0"/>
              <w:rPr>
                <w:sz w:val="20"/>
                <w:szCs w:val="20"/>
                <w:color w:val="auto"/>
              </w:rPr>
            </w:pPr>
            <w:r>
              <w:rPr>
                <w:rFonts w:ascii="Arial" w:cs="Arial" w:eastAsia="Arial" w:hAnsi="Arial"/>
                <w:sz w:val="18"/>
                <w:szCs w:val="18"/>
                <w:color w:val="auto"/>
              </w:rPr>
              <w:t>Plus accrued interest from</w:t>
            </w:r>
          </w:p>
        </w:tc>
        <w:tc>
          <w:tcPr>
            <w:tcW w:w="5440" w:type="dxa"/>
            <w:vAlign w:val="bottom"/>
            <w:gridSpan w:val="2"/>
            <w:vMerge w:val="restart"/>
          </w:tcPr>
          <w:p>
            <w:pPr>
              <w:ind w:left="120"/>
              <w:spacing w:after="0"/>
              <w:rPr>
                <w:sz w:val="20"/>
                <w:szCs w:val="20"/>
                <w:color w:val="auto"/>
              </w:rPr>
            </w:pPr>
            <w:r>
              <w:rPr>
                <w:rFonts w:ascii="Arial" w:cs="Arial" w:eastAsia="Arial" w:hAnsi="Arial"/>
                <w:sz w:val="18"/>
                <w:szCs w:val="18"/>
                <w:color w:val="auto"/>
              </w:rPr>
              <w:t>, 2012, if settlement occurs after that date.</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00" w:type="dxa"/>
            <w:vAlign w:val="bottom"/>
          </w:tcPr>
          <w:p>
            <w:pPr>
              <w:spacing w:after="0"/>
              <w:rPr>
                <w:sz w:val="8"/>
                <w:szCs w:val="8"/>
                <w:color w:val="auto"/>
              </w:rPr>
            </w:pPr>
          </w:p>
        </w:tc>
        <w:tc>
          <w:tcPr>
            <w:tcW w:w="2800" w:type="dxa"/>
            <w:vAlign w:val="bottom"/>
            <w:gridSpan w:val="2"/>
            <w:vMerge w:val="continue"/>
          </w:tcPr>
          <w:p>
            <w:pPr>
              <w:spacing w:after="0"/>
              <w:rPr>
                <w:sz w:val="8"/>
                <w:szCs w:val="8"/>
                <w:color w:val="auto"/>
              </w:rPr>
            </w:pPr>
          </w:p>
        </w:tc>
        <w:tc>
          <w:tcPr>
            <w:tcW w:w="54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880" w:right="340" w:hanging="420"/>
        <w:spacing w:after="0" w:line="268" w:lineRule="auto"/>
        <w:rPr>
          <w:sz w:val="20"/>
          <w:szCs w:val="20"/>
          <w:color w:val="auto"/>
        </w:rPr>
      </w:pPr>
      <w:r>
        <w:rPr>
          <w:rFonts w:ascii="Arial" w:cs="Arial" w:eastAsia="Arial" w:hAnsi="Arial"/>
          <w:sz w:val="18"/>
          <w:szCs w:val="18"/>
          <w:color w:val="auto"/>
        </w:rPr>
        <w:t>The underwriters expect to deliver the notes to purchasers in book-entry only form through the facilities of The Depository Trust Company on or about , 2012.</w:t>
      </w:r>
    </w:p>
    <w:p>
      <w:pPr>
        <w:spacing w:after="0" w:line="126" w:lineRule="exact"/>
        <w:rPr>
          <w:sz w:val="24"/>
          <w:szCs w:val="24"/>
          <w:color w:val="auto"/>
        </w:rPr>
      </w:pPr>
    </w:p>
    <w:p>
      <w:pPr>
        <w:ind w:right="100" w:firstLine="456"/>
        <w:spacing w:after="0" w:line="339" w:lineRule="auto"/>
        <w:rPr>
          <w:sz w:val="20"/>
          <w:szCs w:val="20"/>
          <w:color w:val="auto"/>
        </w:rPr>
      </w:pPr>
      <w:r>
        <w:rPr>
          <w:rFonts w:ascii="Arial" w:cs="Arial" w:eastAsia="Arial" w:hAnsi="Arial"/>
          <w:sz w:val="16"/>
          <w:szCs w:val="16"/>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ectPr>
          <w:pgSz w:w="11900" w:h="16838" w:orient="portrait"/>
          <w:cols w:equalWidth="0" w:num="1">
            <w:col w:w="11420"/>
          </w:cols>
          <w:pgMar w:left="240" w:top="230" w:right="239" w:bottom="1440" w:gutter="0" w:footer="0" w:header="0"/>
        </w:sectPr>
      </w:pPr>
    </w:p>
    <w:p>
      <w:pPr>
        <w:spacing w:after="0" w:line="179" w:lineRule="exact"/>
        <w:rPr>
          <w:sz w:val="24"/>
          <w:szCs w:val="24"/>
          <w:color w:val="auto"/>
        </w:rPr>
      </w:pPr>
    </w:p>
    <w:p>
      <w:pPr>
        <w:spacing w:after="0"/>
        <w:rPr>
          <w:sz w:val="20"/>
          <w:szCs w:val="20"/>
          <w:color w:val="auto"/>
        </w:rPr>
      </w:pPr>
      <w:r>
        <w:rPr>
          <w:rFonts w:ascii="Arial" w:cs="Arial" w:eastAsia="Arial" w:hAnsi="Arial"/>
          <w:sz w:val="28"/>
          <w:szCs w:val="28"/>
          <w:b w:val="1"/>
          <w:bCs w:val="1"/>
          <w:color w:val="auto"/>
        </w:rPr>
        <w:t>Wells Fargo Securities</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jc w:val="center"/>
        <w:ind w:right="1200"/>
        <w:spacing w:after="0"/>
        <w:rPr>
          <w:sz w:val="20"/>
          <w:szCs w:val="20"/>
          <w:color w:val="auto"/>
        </w:rPr>
      </w:pPr>
      <w:r>
        <w:rPr>
          <w:rFonts w:ascii="Arial" w:cs="Arial" w:eastAsia="Arial" w:hAnsi="Arial"/>
          <w:sz w:val="30"/>
          <w:szCs w:val="30"/>
          <w:b w:val="1"/>
          <w:bCs w:val="1"/>
          <w:color w:val="auto"/>
        </w:rPr>
        <w:t>Citigroup</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30"/>
          <w:szCs w:val="30"/>
          <w:b w:val="1"/>
          <w:bCs w:val="1"/>
          <w:color w:val="auto"/>
        </w:rPr>
        <w:t>RBC Capital Markets</w:t>
      </w:r>
    </w:p>
    <w:p>
      <w:pPr>
        <w:spacing w:after="0" w:line="200" w:lineRule="exact"/>
        <w:rPr>
          <w:sz w:val="24"/>
          <w:szCs w:val="24"/>
          <w:color w:val="auto"/>
        </w:rPr>
      </w:pPr>
    </w:p>
    <w:p>
      <w:pPr>
        <w:sectPr>
          <w:pgSz w:w="11900" w:h="16838" w:orient="portrait"/>
          <w:cols w:equalWidth="0" w:num="3">
            <w:col w:w="4400" w:space="720"/>
            <w:col w:w="2540" w:space="720"/>
            <w:col w:w="3040"/>
          </w:cols>
          <w:pgMar w:left="240" w:top="230" w:right="239" w:bottom="1440" w:gutter="0" w:footer="0" w:header="0"/>
          <w:type w:val="continuous"/>
        </w:sectPr>
      </w:pPr>
    </w:p>
    <w:p>
      <w:pPr>
        <w:spacing w:after="0" w:line="9" w:lineRule="exact"/>
        <w:rPr>
          <w:sz w:val="24"/>
          <w:szCs w:val="24"/>
          <w:color w:val="auto"/>
        </w:rPr>
      </w:pPr>
    </w:p>
    <w:p>
      <w:pPr>
        <w:ind w:left="3640"/>
        <w:spacing w:after="0"/>
        <w:rPr>
          <w:sz w:val="20"/>
          <w:szCs w:val="20"/>
          <w:color w:val="auto"/>
        </w:rPr>
      </w:pPr>
      <w:r>
        <w:rPr>
          <w:rFonts w:ascii="Arial" w:cs="Arial" w:eastAsia="Arial" w:hAnsi="Arial"/>
          <w:sz w:val="15"/>
          <w:szCs w:val="15"/>
          <w:b w:val="1"/>
          <w:bCs w:val="1"/>
          <w:color w:val="auto"/>
        </w:rPr>
        <w:t>The date of this prospectus supplement is July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 2012.</w:t>
      </w:r>
    </w:p>
    <w:p>
      <w:pPr>
        <w:sectPr>
          <w:pgSz w:w="11900" w:h="16838" w:orient="portrait"/>
          <w:cols w:equalWidth="0" w:num="2">
            <w:col w:w="7100" w:space="200"/>
            <w:col w:w="41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700" w:type="dxa"/>
            <w:vAlign w:val="bottom"/>
            <w:gridSpan w:val="4"/>
          </w:tcPr>
          <w:p>
            <w:pPr>
              <w:jc w:val="center"/>
              <w:ind w:right="4540"/>
              <w:spacing w:after="0"/>
              <w:rPr>
                <w:sz w:val="20"/>
                <w:szCs w:val="20"/>
                <w:color w:val="auto"/>
              </w:rPr>
            </w:pPr>
            <w:r>
              <w:rPr>
                <w:rFonts w:ascii="Arial" w:cs="Arial" w:eastAsia="Arial" w:hAnsi="Arial"/>
                <w:sz w:val="18"/>
                <w:szCs w:val="18"/>
                <w:b w:val="1"/>
                <w:bCs w:val="1"/>
                <w:color w:val="auto"/>
                <w:w w:val="96"/>
              </w:rPr>
              <w:t>TABLE OF CONTENTS</w:t>
            </w:r>
          </w:p>
        </w:tc>
        <w:tc>
          <w:tcPr>
            <w:tcW w:w="0" w:type="dxa"/>
            <w:vAlign w:val="bottom"/>
          </w:tcPr>
          <w:p>
            <w:pPr>
              <w:spacing w:after="0"/>
              <w:rPr>
                <w:sz w:val="1"/>
                <w:szCs w:val="1"/>
                <w:color w:val="auto"/>
              </w:rPr>
            </w:pPr>
          </w:p>
        </w:tc>
      </w:tr>
      <w:tr>
        <w:trPr>
          <w:trHeight w:val="378"/>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00" w:type="dxa"/>
            <w:vAlign w:val="bottom"/>
            <w:gridSpan w:val="4"/>
          </w:tcPr>
          <w:p>
            <w:pPr>
              <w:jc w:val="center"/>
              <w:ind w:right="4540"/>
              <w:spacing w:after="0"/>
              <w:rPr>
                <w:sz w:val="20"/>
                <w:szCs w:val="20"/>
                <w:color w:val="auto"/>
              </w:rPr>
            </w:pPr>
            <w:r>
              <w:rPr>
                <w:rFonts w:ascii="Arial" w:cs="Arial" w:eastAsia="Arial" w:hAnsi="Arial"/>
                <w:sz w:val="18"/>
                <w:szCs w:val="18"/>
                <w:b w:val="1"/>
                <w:bCs w:val="1"/>
                <w:color w:val="auto"/>
                <w:w w:val="85"/>
              </w:rPr>
              <w:t>Prospectus Supplement</w:t>
            </w:r>
          </w:p>
        </w:tc>
        <w:tc>
          <w:tcPr>
            <w:tcW w:w="0" w:type="dxa"/>
            <w:vAlign w:val="bottom"/>
          </w:tcPr>
          <w:p>
            <w:pPr>
              <w:spacing w:after="0"/>
              <w:rPr>
                <w:sz w:val="1"/>
                <w:szCs w:val="1"/>
                <w:color w:val="auto"/>
              </w:rPr>
            </w:pPr>
          </w:p>
        </w:tc>
      </w:tr>
      <w:tr>
        <w:trPr>
          <w:trHeight w:val="353"/>
        </w:trPr>
        <w:tc>
          <w:tcPr>
            <w:tcW w:w="2440" w:type="dxa"/>
            <w:vAlign w:val="bottom"/>
            <w:gridSpan w:val="11"/>
            <w:vMerge w:val="restart"/>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About this Prospectus Supplement</w:t>
              </w:r>
            </w:hyperlink>
          </w:p>
        </w:tc>
        <w:tc>
          <w:tcPr>
            <w:tcW w:w="2200" w:type="dxa"/>
            <w:vAlign w:val="bottom"/>
            <w:gridSpan w:val="7"/>
            <w:vMerge w:val="restart"/>
          </w:tcPr>
          <w:p>
            <w:pPr>
              <w:spacing w:after="0"/>
              <w:rPr>
                <w:sz w:val="24"/>
                <w:szCs w:val="24"/>
                <w:color w:val="auto"/>
              </w:rPr>
            </w:pPr>
          </w:p>
        </w:tc>
        <w:tc>
          <w:tcPr>
            <w:tcW w:w="6300" w:type="dxa"/>
            <w:vAlign w:val="bottom"/>
          </w:tcPr>
          <w:p>
            <w:pPr>
              <w:spacing w:after="0"/>
              <w:rPr>
                <w:sz w:val="24"/>
                <w:szCs w:val="24"/>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1"/>
        </w:trPr>
        <w:tc>
          <w:tcPr>
            <w:tcW w:w="2440" w:type="dxa"/>
            <w:vAlign w:val="bottom"/>
            <w:tcBorders>
              <w:bottom w:val="single" w:sz="8" w:color="0000EE"/>
            </w:tcBorders>
            <w:gridSpan w:val="11"/>
            <w:vMerge w:val="continue"/>
          </w:tcPr>
          <w:p>
            <w:pPr>
              <w:spacing w:after="0"/>
              <w:rPr>
                <w:sz w:val="13"/>
                <w:szCs w:val="13"/>
                <w:color w:val="auto"/>
              </w:rPr>
            </w:pPr>
          </w:p>
        </w:tc>
        <w:tc>
          <w:tcPr>
            <w:tcW w:w="2200" w:type="dxa"/>
            <w:vAlign w:val="bottom"/>
            <w:gridSpan w:val="7"/>
            <w:vMerge w:val="continue"/>
          </w:tcPr>
          <w:p>
            <w:pPr>
              <w:spacing w:after="0"/>
              <w:rPr>
                <w:sz w:val="13"/>
                <w:szCs w:val="13"/>
                <w:color w:val="auto"/>
              </w:rPr>
            </w:pPr>
          </w:p>
        </w:tc>
        <w:tc>
          <w:tcPr>
            <w:tcW w:w="6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4640" w:type="dxa"/>
            <w:vAlign w:val="bottom"/>
            <w:gridSpan w:val="18"/>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Cautionary Statement Concerning Forward-Looking Statements</w:t>
              </w:r>
            </w:hyperlink>
          </w:p>
        </w:tc>
        <w:tc>
          <w:tcPr>
            <w:tcW w:w="6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304"/>
        </w:trPr>
        <w:tc>
          <w:tcPr>
            <w:tcW w:w="23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Prospectus Supplement Summary</w:t>
              </w:r>
            </w:hyperlink>
          </w:p>
        </w:tc>
        <w:tc>
          <w:tcPr>
            <w:tcW w:w="2120" w:type="dxa"/>
            <w:vAlign w:val="bottom"/>
            <w:tcBorders>
              <w:top w:val="single" w:sz="8" w:color="0000EE"/>
            </w:tcBorders>
            <w:gridSpan w:val="7"/>
          </w:tcPr>
          <w:p>
            <w:pPr>
              <w:spacing w:after="0"/>
              <w:rPr>
                <w:sz w:val="24"/>
                <w:szCs w:val="24"/>
                <w:color w:val="auto"/>
              </w:rPr>
            </w:pPr>
          </w:p>
        </w:tc>
        <w:tc>
          <w:tcPr>
            <w:tcW w:w="14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S-1</w:t>
            </w:r>
          </w:p>
        </w:tc>
        <w:tc>
          <w:tcPr>
            <w:tcW w:w="0" w:type="dxa"/>
            <w:vAlign w:val="bottom"/>
          </w:tcPr>
          <w:p>
            <w:pPr>
              <w:spacing w:after="0"/>
              <w:rPr>
                <w:sz w:val="1"/>
                <w:szCs w:val="1"/>
                <w:color w:val="auto"/>
              </w:rPr>
            </w:pPr>
          </w:p>
        </w:tc>
      </w:tr>
      <w:tr>
        <w:trPr>
          <w:trHeight w:val="304"/>
        </w:trPr>
        <w:tc>
          <w:tcPr>
            <w:tcW w:w="90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10">
              <w:r>
                <w:rPr>
                  <w:rFonts w:ascii="Arial" w:cs="Arial" w:eastAsia="Arial" w:hAnsi="Arial"/>
                  <w:sz w:val="18"/>
                  <w:szCs w:val="18"/>
                  <w:color w:val="0000EE"/>
                  <w:w w:val="87"/>
                </w:rPr>
                <w:t>Risk Factors</w:t>
              </w:r>
            </w:hyperlink>
          </w:p>
        </w:tc>
        <w:tc>
          <w:tcPr>
            <w:tcW w:w="3740" w:type="dxa"/>
            <w:vAlign w:val="bottom"/>
            <w:gridSpan w:val="16"/>
          </w:tcPr>
          <w:p>
            <w:pPr>
              <w:spacing w:after="0"/>
              <w:rPr>
                <w:sz w:val="24"/>
                <w:szCs w:val="24"/>
                <w:color w:val="auto"/>
              </w:rPr>
            </w:pPr>
          </w:p>
        </w:tc>
        <w:tc>
          <w:tcPr>
            <w:tcW w:w="6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S-6</w:t>
            </w:r>
          </w:p>
        </w:tc>
        <w:tc>
          <w:tcPr>
            <w:tcW w:w="0" w:type="dxa"/>
            <w:vAlign w:val="bottom"/>
          </w:tcPr>
          <w:p>
            <w:pPr>
              <w:spacing w:after="0"/>
              <w:rPr>
                <w:sz w:val="1"/>
                <w:szCs w:val="1"/>
                <w:color w:val="auto"/>
              </w:rPr>
            </w:pPr>
          </w:p>
        </w:tc>
      </w:tr>
      <w:tr>
        <w:trPr>
          <w:trHeight w:val="304"/>
        </w:trPr>
        <w:tc>
          <w:tcPr>
            <w:tcW w:w="4640" w:type="dxa"/>
            <w:vAlign w:val="bottom"/>
            <w:gridSpan w:val="18"/>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Use of Proceeds</w:t>
              </w:r>
            </w:hyperlink>
          </w:p>
        </w:tc>
        <w:tc>
          <w:tcPr>
            <w:tcW w:w="6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S-8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8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13">
              <w:r>
                <w:rPr>
                  <w:rFonts w:ascii="Arial" w:cs="Arial" w:eastAsia="Arial" w:hAnsi="Arial"/>
                  <w:sz w:val="18"/>
                  <w:szCs w:val="18"/>
                  <w:color w:val="0000EE"/>
                  <w:w w:val="90"/>
                </w:rPr>
                <w:t>Description of Notes</w:t>
              </w:r>
            </w:hyperlink>
          </w:p>
        </w:tc>
        <w:tc>
          <w:tcPr>
            <w:tcW w:w="3160" w:type="dxa"/>
            <w:vAlign w:val="bottom"/>
            <w:gridSpan w:val="12"/>
          </w:tcPr>
          <w:p>
            <w:pPr>
              <w:spacing w:after="0"/>
              <w:rPr>
                <w:sz w:val="24"/>
                <w:szCs w:val="24"/>
                <w:color w:val="auto"/>
              </w:rPr>
            </w:pPr>
          </w:p>
        </w:tc>
        <w:tc>
          <w:tcPr>
            <w:tcW w:w="6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S-9</w:t>
            </w:r>
          </w:p>
        </w:tc>
        <w:tc>
          <w:tcPr>
            <w:tcW w:w="0" w:type="dxa"/>
            <w:vAlign w:val="bottom"/>
          </w:tcPr>
          <w:p>
            <w:pPr>
              <w:spacing w:after="0"/>
              <w:rPr>
                <w:sz w:val="1"/>
                <w:szCs w:val="1"/>
                <w:color w:val="auto"/>
              </w:rPr>
            </w:pPr>
          </w:p>
        </w:tc>
      </w:tr>
      <w:tr>
        <w:trPr>
          <w:trHeight w:val="304"/>
        </w:trPr>
        <w:tc>
          <w:tcPr>
            <w:tcW w:w="4640" w:type="dxa"/>
            <w:vAlign w:val="bottom"/>
            <w:gridSpan w:val="1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Additional Material Federal Income Tax Considerations</w:t>
              </w:r>
            </w:hyperlink>
          </w:p>
        </w:tc>
        <w:tc>
          <w:tcPr>
            <w:tcW w:w="6300" w:type="dxa"/>
            <w:vAlign w:val="bottom"/>
          </w:tcPr>
          <w:p>
            <w:pPr>
              <w:spacing w:after="0"/>
              <w:rPr>
                <w:sz w:val="24"/>
                <w:szCs w:val="24"/>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S-17</w:t>
            </w:r>
          </w:p>
        </w:tc>
        <w:tc>
          <w:tcPr>
            <w:tcW w:w="0" w:type="dxa"/>
            <w:vAlign w:val="bottom"/>
          </w:tcPr>
          <w:p>
            <w:pPr>
              <w:spacing w:after="0"/>
              <w:rPr>
                <w:sz w:val="1"/>
                <w:szCs w:val="1"/>
                <w:color w:val="auto"/>
              </w:rPr>
            </w:pPr>
          </w:p>
        </w:tc>
      </w:tr>
      <w:tr>
        <w:trPr>
          <w:trHeight w:val="304"/>
        </w:trPr>
        <w:tc>
          <w:tcPr>
            <w:tcW w:w="25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Underwriting (Conflicts of Interest)</w:t>
              </w:r>
            </w:hyperlink>
          </w:p>
        </w:tc>
        <w:tc>
          <w:tcPr>
            <w:tcW w:w="1420" w:type="dxa"/>
            <w:vAlign w:val="bottom"/>
            <w:tcBorders>
              <w:top w:val="single" w:sz="8" w:color="0000EE"/>
            </w:tcBorders>
            <w:gridSpan w:val="4"/>
          </w:tcPr>
          <w:p>
            <w:pPr>
              <w:spacing w:after="0"/>
              <w:rPr>
                <w:sz w:val="24"/>
                <w:szCs w:val="24"/>
                <w:color w:val="auto"/>
              </w:rPr>
            </w:pPr>
          </w:p>
        </w:tc>
        <w:tc>
          <w:tcPr>
            <w:tcW w:w="700" w:type="dxa"/>
            <w:vAlign w:val="bottom"/>
            <w:gridSpan w:val="2"/>
          </w:tcPr>
          <w:p>
            <w:pPr>
              <w:spacing w:after="0"/>
              <w:rPr>
                <w:sz w:val="24"/>
                <w:szCs w:val="24"/>
                <w:color w:val="auto"/>
              </w:rPr>
            </w:pPr>
          </w:p>
        </w:tc>
        <w:tc>
          <w:tcPr>
            <w:tcW w:w="6300" w:type="dxa"/>
            <w:vAlign w:val="bottom"/>
          </w:tcPr>
          <w:p>
            <w:pPr>
              <w:spacing w:after="0"/>
              <w:rPr>
                <w:sz w:val="24"/>
                <w:szCs w:val="24"/>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S-22</w:t>
            </w:r>
          </w:p>
        </w:tc>
        <w:tc>
          <w:tcPr>
            <w:tcW w:w="0" w:type="dxa"/>
            <w:vAlign w:val="bottom"/>
          </w:tcPr>
          <w:p>
            <w:pPr>
              <w:spacing w:after="0"/>
              <w:rPr>
                <w:sz w:val="1"/>
                <w:szCs w:val="1"/>
                <w:color w:val="auto"/>
              </w:rPr>
            </w:pPr>
          </w:p>
        </w:tc>
      </w:tr>
      <w:tr>
        <w:trPr>
          <w:trHeight w:val="304"/>
        </w:trPr>
        <w:tc>
          <w:tcPr>
            <w:tcW w:w="464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Experts</w:t>
              </w:r>
            </w:hyperlink>
          </w:p>
        </w:tc>
        <w:tc>
          <w:tcPr>
            <w:tcW w:w="6300" w:type="dxa"/>
            <w:vAlign w:val="bottom"/>
          </w:tcPr>
          <w:p>
            <w:pPr>
              <w:spacing w:after="0"/>
              <w:rPr>
                <w:sz w:val="24"/>
                <w:szCs w:val="24"/>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S-24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4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Matters</w:t>
              </w:r>
            </w:hyperlink>
          </w:p>
        </w:tc>
        <w:tc>
          <w:tcPr>
            <w:tcW w:w="6300" w:type="dxa"/>
            <w:vAlign w:val="bottom"/>
          </w:tcPr>
          <w:p>
            <w:pPr>
              <w:spacing w:after="0"/>
              <w:rPr>
                <w:sz w:val="24"/>
                <w:szCs w:val="24"/>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S-24</w:t>
            </w:r>
          </w:p>
        </w:tc>
        <w:tc>
          <w:tcPr>
            <w:tcW w:w="0" w:type="dxa"/>
            <w:vAlign w:val="bottom"/>
          </w:tcPr>
          <w:p>
            <w:pPr>
              <w:spacing w:after="0"/>
              <w:rPr>
                <w:sz w:val="1"/>
                <w:szCs w:val="1"/>
                <w:color w:val="auto"/>
              </w:rPr>
            </w:pPr>
          </w:p>
        </w:tc>
      </w:tr>
      <w:tr>
        <w:trPr>
          <w:trHeight w:val="397"/>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00" w:type="dxa"/>
            <w:vAlign w:val="bottom"/>
            <w:gridSpan w:val="4"/>
          </w:tcPr>
          <w:p>
            <w:pPr>
              <w:jc w:val="center"/>
              <w:ind w:right="4560"/>
              <w:spacing w:after="0"/>
              <w:rPr>
                <w:sz w:val="20"/>
                <w:szCs w:val="20"/>
                <w:color w:val="auto"/>
              </w:rPr>
            </w:pPr>
            <w:r>
              <w:rPr>
                <w:rFonts w:ascii="Arial" w:cs="Arial" w:eastAsia="Arial" w:hAnsi="Arial"/>
                <w:sz w:val="18"/>
                <w:szCs w:val="18"/>
                <w:b w:val="1"/>
                <w:bCs w:val="1"/>
                <w:color w:val="auto"/>
                <w:w w:val="83"/>
              </w:rPr>
              <w:t>Prospectus</w:t>
            </w:r>
          </w:p>
        </w:tc>
        <w:tc>
          <w:tcPr>
            <w:tcW w:w="0" w:type="dxa"/>
            <w:vAlign w:val="bottom"/>
          </w:tcPr>
          <w:p>
            <w:pPr>
              <w:spacing w:after="0"/>
              <w:rPr>
                <w:sz w:val="1"/>
                <w:szCs w:val="1"/>
                <w:color w:val="auto"/>
              </w:rPr>
            </w:pPr>
          </w:p>
        </w:tc>
      </w:tr>
      <w:tr>
        <w:trPr>
          <w:trHeight w:val="353"/>
        </w:trPr>
        <w:tc>
          <w:tcPr>
            <w:tcW w:w="4640" w:type="dxa"/>
            <w:vAlign w:val="bottom"/>
            <w:gridSpan w:val="18"/>
            <w:vMerge w:val="restart"/>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About this Prospectus</w:t>
              </w:r>
            </w:hyperlink>
          </w:p>
        </w:tc>
        <w:tc>
          <w:tcPr>
            <w:tcW w:w="6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4640" w:type="dxa"/>
            <w:vAlign w:val="bottom"/>
            <w:gridSpan w:val="18"/>
            <w:vMerge w:val="continue"/>
          </w:tcPr>
          <w:p>
            <w:pPr>
              <w:spacing w:after="0"/>
              <w:rPr>
                <w:sz w:val="13"/>
                <w:szCs w:val="13"/>
                <w:color w:val="auto"/>
              </w:rPr>
            </w:pPr>
          </w:p>
        </w:tc>
        <w:tc>
          <w:tcPr>
            <w:tcW w:w="6400" w:type="dxa"/>
            <w:vAlign w:val="bottom"/>
            <w:gridSpan w:val="2"/>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0" w:type="dxa"/>
            <w:vAlign w:val="bottom"/>
            <w:gridSpan w:val="5"/>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6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8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Forward-Looking Statements</w:t>
              </w:r>
            </w:hyperlink>
          </w:p>
        </w:tc>
        <w:tc>
          <w:tcPr>
            <w:tcW w:w="2560" w:type="dxa"/>
            <w:vAlign w:val="bottom"/>
            <w:gridSpan w:val="10"/>
          </w:tcPr>
          <w:p>
            <w:pPr>
              <w:spacing w:after="0"/>
              <w:rPr>
                <w:sz w:val="24"/>
                <w:szCs w:val="24"/>
                <w:color w:val="auto"/>
              </w:rPr>
            </w:pPr>
          </w:p>
        </w:tc>
        <w:tc>
          <w:tcPr>
            <w:tcW w:w="66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54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Prospectus Summary</w:t>
              </w:r>
            </w:hyperlink>
          </w:p>
        </w:tc>
        <w:tc>
          <w:tcPr>
            <w:tcW w:w="3100" w:type="dxa"/>
            <w:vAlign w:val="bottom"/>
            <w:gridSpan w:val="11"/>
          </w:tcPr>
          <w:p>
            <w:pPr>
              <w:spacing w:after="0"/>
              <w:rPr>
                <w:sz w:val="24"/>
                <w:szCs w:val="24"/>
                <w:color w:val="auto"/>
              </w:rPr>
            </w:pPr>
          </w:p>
        </w:tc>
        <w:tc>
          <w:tcPr>
            <w:tcW w:w="668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0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Risk Factors</w:t>
              </w:r>
            </w:hyperlink>
          </w:p>
        </w:tc>
        <w:tc>
          <w:tcPr>
            <w:tcW w:w="3740" w:type="dxa"/>
            <w:vAlign w:val="bottom"/>
            <w:gridSpan w:val="16"/>
          </w:tcPr>
          <w:p>
            <w:pPr>
              <w:spacing w:after="0"/>
              <w:rPr>
                <w:sz w:val="24"/>
                <w:szCs w:val="24"/>
                <w:color w:val="auto"/>
              </w:rPr>
            </w:pPr>
          </w:p>
        </w:tc>
        <w:tc>
          <w:tcPr>
            <w:tcW w:w="668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40" w:type="dxa"/>
            <w:vAlign w:val="bottom"/>
            <w:gridSpan w:val="1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Use of Proceeds</w:t>
              </w:r>
            </w:hyperlink>
          </w:p>
        </w:tc>
        <w:tc>
          <w:tcPr>
            <w:tcW w:w="668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6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1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Description of Debt Securities</w:t>
              </w:r>
            </w:hyperlink>
          </w:p>
        </w:tc>
        <w:tc>
          <w:tcPr>
            <w:tcW w:w="2500" w:type="dxa"/>
            <w:vAlign w:val="bottom"/>
            <w:gridSpan w:val="9"/>
          </w:tcPr>
          <w:p>
            <w:pPr>
              <w:spacing w:after="0"/>
              <w:rPr>
                <w:sz w:val="24"/>
                <w:szCs w:val="24"/>
                <w:color w:val="auto"/>
              </w:rPr>
            </w:pPr>
          </w:p>
        </w:tc>
        <w:tc>
          <w:tcPr>
            <w:tcW w:w="668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0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Description of Shares of Beneficial Interest</w:t>
              </w:r>
            </w:hyperlink>
          </w:p>
        </w:tc>
        <w:tc>
          <w:tcPr>
            <w:tcW w:w="1580" w:type="dxa"/>
            <w:vAlign w:val="bottom"/>
            <w:gridSpan w:val="4"/>
          </w:tcPr>
          <w:p>
            <w:pPr>
              <w:spacing w:after="0"/>
              <w:rPr>
                <w:sz w:val="24"/>
                <w:szCs w:val="24"/>
                <w:color w:val="auto"/>
              </w:rPr>
            </w:pPr>
          </w:p>
        </w:tc>
        <w:tc>
          <w:tcPr>
            <w:tcW w:w="668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40" w:type="dxa"/>
            <w:vAlign w:val="bottom"/>
            <w:gridSpan w:val="18"/>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Material Federal Income Tax Considerations</w:t>
              </w:r>
            </w:hyperlink>
          </w:p>
        </w:tc>
        <w:tc>
          <w:tcPr>
            <w:tcW w:w="668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140" w:type="dxa"/>
            <w:vAlign w:val="bottom"/>
            <w:tcBorders>
              <w:top w:val="single" w:sz="8" w:color="0000EE"/>
            </w:tcBorders>
            <w:gridSpan w:val="15"/>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Plan of Distribution</w:t>
              </w:r>
            </w:hyperlink>
          </w:p>
        </w:tc>
        <w:tc>
          <w:tcPr>
            <w:tcW w:w="1500" w:type="dxa"/>
            <w:vAlign w:val="bottom"/>
            <w:gridSpan w:val="3"/>
          </w:tcPr>
          <w:p>
            <w:pPr>
              <w:spacing w:after="0"/>
              <w:rPr>
                <w:sz w:val="24"/>
                <w:szCs w:val="24"/>
                <w:color w:val="auto"/>
              </w:rPr>
            </w:pPr>
          </w:p>
        </w:tc>
        <w:tc>
          <w:tcPr>
            <w:tcW w:w="6680" w:type="dxa"/>
            <w:vAlign w:val="bottom"/>
            <w:gridSpan w:val="3"/>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00" w:type="dxa"/>
            <w:vAlign w:val="bottom"/>
            <w:tcBorders>
              <w:top w:val="single" w:sz="8" w:color="0000EE"/>
            </w:tcBorders>
            <w:gridSpan w:val="5"/>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Legal Matters</w:t>
              </w:r>
            </w:hyperlink>
          </w:p>
        </w:tc>
        <w:tc>
          <w:tcPr>
            <w:tcW w:w="3240" w:type="dxa"/>
            <w:vAlign w:val="bottom"/>
            <w:gridSpan w:val="13"/>
          </w:tcPr>
          <w:p>
            <w:pPr>
              <w:spacing w:after="0"/>
              <w:rPr>
                <w:sz w:val="24"/>
                <w:szCs w:val="24"/>
                <w:color w:val="auto"/>
              </w:rPr>
            </w:pPr>
          </w:p>
        </w:tc>
        <w:tc>
          <w:tcPr>
            <w:tcW w:w="6680" w:type="dxa"/>
            <w:vAlign w:val="bottom"/>
            <w:gridSpan w:val="3"/>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80" w:type="dxa"/>
            <w:vAlign w:val="bottom"/>
            <w:tcBorders>
              <w:top w:val="single" w:sz="8" w:color="0000EE"/>
            </w:tcBorders>
            <w:gridSpan w:val="3"/>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Experts</w:t>
              </w:r>
            </w:hyperlink>
          </w:p>
        </w:tc>
        <w:tc>
          <w:tcPr>
            <w:tcW w:w="3660" w:type="dxa"/>
            <w:vAlign w:val="bottom"/>
            <w:gridSpan w:val="15"/>
          </w:tcPr>
          <w:p>
            <w:pPr>
              <w:spacing w:after="0"/>
              <w:rPr>
                <w:sz w:val="24"/>
                <w:szCs w:val="24"/>
                <w:color w:val="auto"/>
              </w:rPr>
            </w:pPr>
          </w:p>
        </w:tc>
        <w:tc>
          <w:tcPr>
            <w:tcW w:w="6680" w:type="dxa"/>
            <w:vAlign w:val="bottom"/>
            <w:gridSpan w:val="3"/>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2"/>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6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40" w:type="dxa"/>
            <w:vAlign w:val="bottom"/>
            <w:gridSpan w:val="18"/>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Where You Can Find More Information</w:t>
              </w:r>
            </w:hyperlink>
          </w:p>
        </w:tc>
        <w:tc>
          <w:tcPr>
            <w:tcW w:w="6680" w:type="dxa"/>
            <w:vAlign w:val="bottom"/>
            <w:gridSpan w:val="3"/>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THIS PROSPECTUS SUPPLEMENT</w:t>
      </w:r>
    </w:p>
    <w:p>
      <w:pPr>
        <w:spacing w:after="0" w:line="1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You should read this prospectus supplement along with the accompanying prospectus, as well as the information contained or incorporated by reference herein and therein, carefully before you invest in the notes. These documents contain important information you should consider before making your investment decision. This prospectus supplement and the accompanying prospectus contain the terms of this offering of notes. The accompanying prospectus contains information about our securities generally, some of which does not apply to the notes covered by this prospectus supplement. This prospectus supplement may add, update or change information contained in or incorporated by reference in the accompanying prospectus. If the information in this prospectus supplement is inconsistent with any information contained in or incorporated by reference in the accompanying prospectus, the information in this prospectus supplement will apply and will supersede the inconsistent information contained in or incorporated by reference in the accompanying prospectus.</w:t>
      </w:r>
    </w:p>
    <w:p>
      <w:pPr>
        <w:spacing w:after="0" w:line="118"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It is important for you to read and consider all information contained or incorporated by reference in this prospectus supplement and the accompanying prospectus in making your investment decision. You should also read and consider the additional information incorporated by reference in this prospectus supplement and the accompanying prospectus. See “Where You Can Find More Information” in the accompanying prospectus.</w:t>
      </w:r>
    </w:p>
    <w:p>
      <w:pPr>
        <w:spacing w:after="0" w:line="10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References to “we,” “us,” “our,” “our company” or “ours” refer to Federal Realty Investment Trust and its directly and indirectly owned subsidiaries, unless the context otherwise requires. The term “you” refers to a prospective investor.</w:t>
      </w:r>
    </w:p>
    <w:p>
      <w:pPr>
        <w:spacing w:after="0" w:line="12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supplement, the accompanying prospectus and any related free writing prospectus required to be filed with the SEC. Neither we nor the underwriters have authorized any other person to provide you with additional or different information. If anyone provides you with additional or different information, you should not rely on it. Neither we nor the underwriters are making an offer to sell the notes in any jurisdiction where the offer or sale is not permitted. You should assume that the information appearing in this prospectus supplement, the accompanying prospectus, any such free writing prospectus and the documents incorporated by reference herein and therein is accurate only as of their respective dates. Our business, financial condition, liquidity, results of operations and prospects may have changed since those dates.</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40"/>
          </w:cols>
          <w:pgMar w:left="240" w:top="459"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prospectus supplement, the accompanying prospectus and the documents incorporated by reference in this prospectus supplement and the accompanying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Act, Section 21E of the Securities Exchange Act of 1934, as amended, or the Exchange Act, and the Private Securities Litigation Reform Act of 1995. In particular, the risk factors included and incorporated by reference in this prospectus supplement and the accompanying prospectus describe forward-looking information. The risk factors, including those contained on page S-5 of this prospectus supplement, on page 3 of the accompanying prospectus and in our Annual Report on Form 10-K for the year ended December 31, 2011, filed with the SEC on February 16, 2012, describe risks that may affect these statements but are not all-inclusive, particularly with respect to possible future events. Many things can happen that can cause actual results to be different from those we describe. These factors include, but are not limited to:</w:t>
      </w:r>
    </w:p>
    <w:p>
      <w:pPr>
        <w:spacing w:after="0" w:line="39" w:lineRule="exact"/>
        <w:rPr>
          <w:sz w:val="20"/>
          <w:szCs w:val="20"/>
          <w:color w:val="auto"/>
        </w:rPr>
      </w:pPr>
    </w:p>
    <w:p>
      <w:pPr>
        <w:ind w:left="900" w:right="480" w:hanging="446"/>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our tenants may not pay rent, may vacate early or may file for bankruptcy, or that we may be unable to renew leases or re-let space at favorable rents as leases expire;</w:t>
      </w:r>
    </w:p>
    <w:p>
      <w:pPr>
        <w:spacing w:after="0" w:line="5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1"/>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1"/>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1"/>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1"/>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1"/>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90"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4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contained in or incorporated by reference in this prospectus supplement and the accompanying prospectus. We also make no promise to update any of the forward-looking statements, or to publicly release the results if we revise any of them.</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273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58273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SUPPLEMENT SUMMARY</w:t>
      </w:r>
    </w:p>
    <w:p>
      <w:pPr>
        <w:spacing w:after="0" w:line="177" w:lineRule="exact"/>
        <w:rPr>
          <w:sz w:val="20"/>
          <w:szCs w:val="20"/>
          <w:color w:val="auto"/>
        </w:rPr>
      </w:pPr>
    </w:p>
    <w:p>
      <w:pPr>
        <w:ind w:left="200" w:right="80" w:firstLine="443"/>
        <w:spacing w:after="0" w:line="259" w:lineRule="auto"/>
        <w:rPr>
          <w:sz w:val="20"/>
          <w:szCs w:val="20"/>
          <w:color w:val="auto"/>
        </w:rPr>
      </w:pPr>
      <w:r>
        <w:rPr>
          <w:rFonts w:ascii="Arial" w:cs="Arial" w:eastAsia="Arial" w:hAnsi="Arial"/>
          <w:sz w:val="18"/>
          <w:szCs w:val="18"/>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 this prospectus supplement and the accompanying prospectus.</w:t>
      </w:r>
    </w:p>
    <w:p>
      <w:pPr>
        <w:spacing w:after="0" w:line="21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Trust</w:t>
      </w:r>
    </w:p>
    <w:p>
      <w:pPr>
        <w:spacing w:after="0" w:line="177"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Federal Realty Investment Trust is an equity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March 31, 2012, we owned or had a majority interest in community and neighborhood shopping centers and mixed-use properties which are operated as 87 predominantly retail real estate projects comprising approximately 19.2 million square feet. In total, the real estate projects were 93.8% leased and 92.6% occupied at March 31, 2012. A joint venture in which we own a 30% interest owned seven retail real estate projects totaling approximately 1.0 million square feet as of March 31, 2012. In total, the joint venture properties in which we own a 30% interest were 87.8% leased and occupied at March 31, 2012. We have paid quarterly dividends to our shareholders continuously since our founding in 1962 and have increased our dividends per common share for 44 consecutive years.</w:t>
      </w:r>
    </w:p>
    <w:p>
      <w:pPr>
        <w:spacing w:after="0" w:line="118" w:lineRule="exact"/>
        <w:rPr>
          <w:sz w:val="20"/>
          <w:szCs w:val="20"/>
          <w:color w:val="auto"/>
        </w:rPr>
      </w:pPr>
    </w:p>
    <w:p>
      <w:pPr>
        <w:ind w:left="200" w:right="40" w:firstLine="443"/>
        <w:spacing w:after="0" w:line="294" w:lineRule="auto"/>
        <w:rPr>
          <w:sz w:val="20"/>
          <w:szCs w:val="20"/>
          <w:color w:val="auto"/>
        </w:rPr>
      </w:pPr>
      <w:r>
        <w:rPr>
          <w:rFonts w:ascii="Arial" w:cs="Arial" w:eastAsia="Arial" w:hAnsi="Arial"/>
          <w:sz w:val="16"/>
          <w:szCs w:val="16"/>
          <w:color w:val="auto"/>
        </w:rPr>
        <w:t xml:space="preserve">We were founded in 1962 as a REIT under the laws of the District of Columbia and re-formed as a REIT in the state of Maryland in 1999. We operate in a manner intended to qualify as a REIT for tax purposes pursuant to provisions of the Internal Revenue Code of 1986, as amended, or the Code. Our principal executive offices are located at 1626 East Jefferson Street, Rockville, Maryland 20852. Our telephone numbers are (301) 998-8100 and (800) 658-8980. Our website address is </w:t>
      </w:r>
      <w:r>
        <w:rPr>
          <w:rFonts w:ascii="Arial" w:cs="Arial" w:eastAsia="Arial" w:hAnsi="Arial"/>
          <w:sz w:val="16"/>
          <w:szCs w:val="16"/>
          <w:i w:val="1"/>
          <w:iCs w:val="1"/>
          <w:color w:val="auto"/>
        </w:rPr>
        <w:t>www.federalrealty.com</w:t>
      </w:r>
      <w:r>
        <w:rPr>
          <w:rFonts w:ascii="Arial" w:cs="Arial" w:eastAsia="Arial" w:hAnsi="Arial"/>
          <w:sz w:val="16"/>
          <w:szCs w:val="16"/>
          <w:color w:val="auto"/>
        </w:rPr>
        <w:t>. The information contained on our website is not a part of this prospectus supplement or the accompanying prospectus and is not incorporated herein or therein by reference.</w:t>
      </w:r>
    </w:p>
    <w:p>
      <w:pPr>
        <w:spacing w:after="0" w:line="19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“At the Market” Equity Offering Program</w:t>
      </w:r>
    </w:p>
    <w:p>
      <w:pPr>
        <w:spacing w:after="0" w:line="90" w:lineRule="exact"/>
        <w:rPr>
          <w:sz w:val="20"/>
          <w:szCs w:val="20"/>
          <w:color w:val="auto"/>
        </w:rPr>
      </w:pPr>
    </w:p>
    <w:p>
      <w:pPr>
        <w:ind w:left="200" w:right="60" w:firstLine="443"/>
        <w:spacing w:after="0" w:line="291" w:lineRule="auto"/>
        <w:rPr>
          <w:sz w:val="20"/>
          <w:szCs w:val="20"/>
          <w:color w:val="auto"/>
        </w:rPr>
      </w:pPr>
      <w:r>
        <w:rPr>
          <w:rFonts w:ascii="Arial" w:cs="Arial" w:eastAsia="Arial" w:hAnsi="Arial"/>
          <w:sz w:val="16"/>
          <w:szCs w:val="16"/>
          <w:color w:val="auto"/>
        </w:rPr>
        <w:t>On May 8, 2012, we entered into an equity distribution agreement with Wells Fargo Securities, LLC, or Wells Fargo, under which we may issue and sell, from time to time, up to $300,000,000 aggregate offering price of our common shares through Wells Fargo, acting as agent and/or principal. Under the equity distribution agreement, sales of our common shares may be made in negotiated transactions or transactions that are deemed to be “at the market” offerings, including sales made directly on the New York Stock Exchange or sales made to or through a market maker other than on an exchange. We will pay Wells Fargo compensation for sales of our common shares at a mutually agreed rate that will not exceed, but may be lower than, 2.0% of the gross sales price of our common shares. Under the equity distribution agreement, we may also sell our common shares to Wells Fargo for its own account.</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Chief Financial Officer Transition</w:t>
      </w:r>
    </w:p>
    <w:p>
      <w:pPr>
        <w:spacing w:after="0" w:line="90" w:lineRule="exact"/>
        <w:rPr>
          <w:sz w:val="20"/>
          <w:szCs w:val="20"/>
          <w:color w:val="auto"/>
        </w:rPr>
      </w:pPr>
    </w:p>
    <w:p>
      <w:pPr>
        <w:ind w:left="200" w:right="20" w:firstLine="443"/>
        <w:spacing w:after="0" w:line="290" w:lineRule="auto"/>
        <w:rPr>
          <w:sz w:val="20"/>
          <w:szCs w:val="20"/>
          <w:color w:val="auto"/>
        </w:rPr>
      </w:pPr>
      <w:r>
        <w:rPr>
          <w:rFonts w:ascii="Arial" w:cs="Arial" w:eastAsia="Arial" w:hAnsi="Arial"/>
          <w:sz w:val="16"/>
          <w:szCs w:val="16"/>
          <w:color w:val="auto"/>
        </w:rPr>
        <w:t>On July 11, 2012, we announced that James M. Taylor, a Senior Managing Director in the real estate investment banking group of an affiliate of Wells Fargo, will succeed Andrew Blocher as our chief financial officer on August 15, 2012. Mr. Blocher will remain as our chief financial officer through August 14, 2012, and he is expected to remain an employee of the company through February 20, 2013. We believe that the addition of Mr. Taylor to our executive ranks will enhance our ability to source and evaluate corporate business development and strategic opportunities. There has not been any disagreement between us and Mr. Blocher regarding any matter of accounting principles or practices or financial statement disclosure. For more information about Mr. Taylor’s appointment and Mr. Blocher’s change of job responsibilities, see our Current Report on Form 8-K filed with the SEC on July 11, 2012, which is incorporated by reference into this prospectus supplement.</w:t>
      </w:r>
    </w:p>
    <w:p>
      <w:pPr>
        <w:spacing w:after="0" w:line="28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967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19678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Ratios of Earnings to Fixed Charges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historical ratios of earnings to fixed charges for the periods indicated:</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7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For the Three Months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900" w:type="dxa"/>
            <w:vAlign w:val="bottom"/>
          </w:tcPr>
          <w:p>
            <w:pPr>
              <w:spacing w:after="0"/>
              <w:rPr>
                <w:sz w:val="14"/>
                <w:szCs w:val="14"/>
                <w:color w:val="auto"/>
              </w:rPr>
            </w:pPr>
          </w:p>
        </w:tc>
        <w:tc>
          <w:tcPr>
            <w:tcW w:w="17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Ended March 31,</w:t>
            </w:r>
          </w:p>
        </w:tc>
        <w:tc>
          <w:tcPr>
            <w:tcW w:w="280" w:type="dxa"/>
            <w:vAlign w:val="bottom"/>
          </w:tcPr>
          <w:p>
            <w:pPr>
              <w:spacing w:after="0"/>
              <w:rPr>
                <w:sz w:val="14"/>
                <w:szCs w:val="14"/>
                <w:color w:val="auto"/>
              </w:rPr>
            </w:pPr>
          </w:p>
        </w:tc>
        <w:tc>
          <w:tcPr>
            <w:tcW w:w="2740" w:type="dxa"/>
            <w:vAlign w:val="bottom"/>
            <w:gridSpan w:val="7"/>
          </w:tcPr>
          <w:p>
            <w:pPr>
              <w:ind w:left="360"/>
              <w:spacing w:after="0"/>
              <w:rPr>
                <w:sz w:val="20"/>
                <w:szCs w:val="20"/>
                <w:color w:val="auto"/>
              </w:rPr>
            </w:pPr>
            <w:r>
              <w:rPr>
                <w:rFonts w:ascii="Arial" w:cs="Arial" w:eastAsia="Arial" w:hAnsi="Arial"/>
                <w:sz w:val="14"/>
                <w:szCs w:val="14"/>
                <w:b w:val="1"/>
                <w:bCs w:val="1"/>
                <w:color w:val="auto"/>
              </w:rPr>
              <w:t>For the Years Ended December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00" w:type="dxa"/>
            <w:vAlign w:val="bottom"/>
          </w:tcPr>
          <w:p>
            <w:pPr>
              <w:spacing w:after="0"/>
              <w:rPr>
                <w:sz w:val="12"/>
                <w:szCs w:val="12"/>
                <w:color w:val="auto"/>
              </w:rPr>
            </w:pPr>
          </w:p>
        </w:tc>
        <w:tc>
          <w:tcPr>
            <w:tcW w:w="12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48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7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4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4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2"/>
                <w:szCs w:val="12"/>
                <w:color w:val="auto"/>
              </w:rPr>
            </w:pPr>
          </w:p>
        </w:tc>
      </w:tr>
      <w:tr>
        <w:trPr>
          <w:trHeight w:val="210"/>
        </w:trPr>
        <w:tc>
          <w:tcPr>
            <w:tcW w:w="5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Ratios of earnings to fixed charges</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w:t>
      </w:r>
    </w:p>
    <w:p>
      <w:pPr>
        <w:spacing w:after="0" w:line="38" w:lineRule="exact"/>
        <w:rPr>
          <w:sz w:val="20"/>
          <w:szCs w:val="20"/>
          <w:color w:val="auto"/>
        </w:rPr>
      </w:pPr>
    </w:p>
    <w:p>
      <w:pPr>
        <w:ind w:left="200" w:right="120" w:hanging="3"/>
        <w:spacing w:after="0" w:line="254" w:lineRule="auto"/>
        <w:tabs>
          <w:tab w:leader="none" w:pos="439" w:val="left"/>
        </w:tabs>
        <w:numPr>
          <w:ilvl w:val="0"/>
          <w:numId w:val="2"/>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and the estimated portion of rents payable by us representing interest.</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445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58445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177" w:lineRule="exact"/>
        <w:rPr>
          <w:sz w:val="20"/>
          <w:szCs w:val="20"/>
          <w:color w:val="auto"/>
        </w:rPr>
      </w:pPr>
    </w:p>
    <w:p>
      <w:pPr>
        <w:ind w:left="200" w:right="340" w:firstLine="443"/>
        <w:spacing w:after="0" w:line="259" w:lineRule="auto"/>
        <w:rPr>
          <w:sz w:val="20"/>
          <w:szCs w:val="20"/>
          <w:color w:val="auto"/>
        </w:rPr>
      </w:pPr>
      <w:r>
        <w:rPr>
          <w:rFonts w:ascii="Arial" w:cs="Arial" w:eastAsia="Arial" w:hAnsi="Arial"/>
          <w:sz w:val="18"/>
          <w:szCs w:val="18"/>
          <w:color w:val="auto"/>
        </w:rPr>
        <w:t>All capitalized terms not defined herein have the meanings specified in “Description of Notes” in this prospectus supplement or in “Description of Debt Securities” in the accompanying prospectus. For a more complete description of the terms of the notes specified in the following summary, see “Description of Notes.”</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3280" w:type="dxa"/>
            <w:vAlign w:val="bottom"/>
          </w:tcPr>
          <w:p>
            <w:pPr>
              <w:spacing w:after="0"/>
              <w:rPr>
                <w:sz w:val="20"/>
                <w:szCs w:val="20"/>
                <w:color w:val="auto"/>
              </w:rPr>
            </w:pPr>
            <w:r>
              <w:rPr>
                <w:rFonts w:ascii="Arial" w:cs="Arial" w:eastAsia="Arial" w:hAnsi="Arial"/>
                <w:sz w:val="18"/>
                <w:szCs w:val="18"/>
                <w:color w:val="auto"/>
              </w:rPr>
              <w:t>Securities offered</w:t>
            </w:r>
          </w:p>
        </w:tc>
        <w:tc>
          <w:tcPr>
            <w:tcW w:w="1360" w:type="dxa"/>
            <w:vAlign w:val="bottom"/>
          </w:tcPr>
          <w:p>
            <w:pPr>
              <w:ind w:left="920"/>
              <w:spacing w:after="0"/>
              <w:rPr>
                <w:sz w:val="20"/>
                <w:szCs w:val="20"/>
                <w:color w:val="auto"/>
              </w:rPr>
            </w:pPr>
            <w:r>
              <w:rPr>
                <w:rFonts w:ascii="Arial" w:cs="Arial" w:eastAsia="Arial" w:hAnsi="Arial"/>
                <w:sz w:val="18"/>
                <w:szCs w:val="18"/>
                <w:color w:val="auto"/>
              </w:rPr>
              <w:t>$</w:t>
            </w:r>
          </w:p>
        </w:tc>
        <w:tc>
          <w:tcPr>
            <w:tcW w:w="4640" w:type="dxa"/>
            <w:vAlign w:val="bottom"/>
          </w:tcPr>
          <w:p>
            <w:pPr>
              <w:ind w:left="40"/>
              <w:spacing w:after="0"/>
              <w:rPr>
                <w:sz w:val="20"/>
                <w:szCs w:val="20"/>
                <w:color w:val="auto"/>
              </w:rPr>
            </w:pPr>
            <w:r>
              <w:rPr>
                <w:rFonts w:ascii="Arial" w:cs="Arial" w:eastAsia="Arial" w:hAnsi="Arial"/>
                <w:sz w:val="18"/>
                <w:szCs w:val="18"/>
                <w:color w:val="auto"/>
              </w:rPr>
              <w:t>million aggregate principal amount of  % notes due 20  .</w:t>
            </w:r>
          </w:p>
        </w:tc>
        <w:tc>
          <w:tcPr>
            <w:tcW w:w="13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26"/>
        </w:trPr>
        <w:tc>
          <w:tcPr>
            <w:tcW w:w="3280" w:type="dxa"/>
            <w:vAlign w:val="bottom"/>
          </w:tcPr>
          <w:p>
            <w:pPr>
              <w:spacing w:after="0"/>
              <w:rPr>
                <w:sz w:val="20"/>
                <w:szCs w:val="20"/>
                <w:color w:val="auto"/>
              </w:rPr>
            </w:pPr>
            <w:r>
              <w:rPr>
                <w:rFonts w:ascii="Arial" w:cs="Arial" w:eastAsia="Arial" w:hAnsi="Arial"/>
                <w:sz w:val="18"/>
                <w:szCs w:val="18"/>
                <w:color w:val="auto"/>
              </w:rPr>
              <w:t>Maturity</w:t>
            </w:r>
          </w:p>
        </w:tc>
        <w:tc>
          <w:tcPr>
            <w:tcW w:w="7360" w:type="dxa"/>
            <w:vAlign w:val="bottom"/>
            <w:gridSpan w:val="3"/>
          </w:tcPr>
          <w:p>
            <w:pPr>
              <w:ind w:left="920"/>
              <w:spacing w:after="0"/>
              <w:rPr>
                <w:sz w:val="20"/>
                <w:szCs w:val="20"/>
                <w:color w:val="auto"/>
              </w:rPr>
            </w:pPr>
            <w:r>
              <w:rPr>
                <w:rFonts w:ascii="Arial" w:cs="Arial" w:eastAsia="Arial" w:hAnsi="Arial"/>
                <w:sz w:val="18"/>
                <w:szCs w:val="18"/>
                <w:color w:val="auto"/>
              </w:rPr>
              <w:t>Unless redeemed prior to maturity as described below, the notes will mature on</w:t>
            </w:r>
          </w:p>
        </w:tc>
        <w:tc>
          <w:tcPr>
            <w:tcW w:w="42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22"/>
        </w:trPr>
        <w:tc>
          <w:tcPr>
            <w:tcW w:w="3280" w:type="dxa"/>
            <w:vAlign w:val="bottom"/>
          </w:tcPr>
          <w:p>
            <w:pPr>
              <w:spacing w:after="0"/>
              <w:rPr>
                <w:sz w:val="19"/>
                <w:szCs w:val="19"/>
                <w:color w:val="auto"/>
              </w:rPr>
            </w:pPr>
          </w:p>
        </w:tc>
        <w:tc>
          <w:tcPr>
            <w:tcW w:w="1360" w:type="dxa"/>
            <w:vAlign w:val="bottom"/>
          </w:tcPr>
          <w:p>
            <w:pPr>
              <w:ind w:left="920"/>
              <w:spacing w:after="0"/>
              <w:rPr>
                <w:sz w:val="20"/>
                <w:szCs w:val="20"/>
                <w:color w:val="auto"/>
              </w:rPr>
            </w:pPr>
            <w:r>
              <w:rPr>
                <w:rFonts w:ascii="Arial" w:cs="Arial" w:eastAsia="Arial" w:hAnsi="Arial"/>
                <w:sz w:val="18"/>
                <w:szCs w:val="18"/>
                <w:color w:val="auto"/>
              </w:rPr>
              <w:t>20  .</w:t>
            </w:r>
          </w:p>
        </w:tc>
        <w:tc>
          <w:tcPr>
            <w:tcW w:w="46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12"/>
        </w:trPr>
        <w:tc>
          <w:tcPr>
            <w:tcW w:w="3280" w:type="dxa"/>
            <w:vAlign w:val="bottom"/>
          </w:tcPr>
          <w:p>
            <w:pPr>
              <w:spacing w:after="0"/>
              <w:rPr>
                <w:sz w:val="20"/>
                <w:szCs w:val="20"/>
                <w:color w:val="auto"/>
              </w:rPr>
            </w:pPr>
            <w:r>
              <w:rPr>
                <w:rFonts w:ascii="Arial" w:cs="Arial" w:eastAsia="Arial" w:hAnsi="Arial"/>
                <w:sz w:val="18"/>
                <w:szCs w:val="18"/>
                <w:color w:val="auto"/>
              </w:rPr>
              <w:t>Interest payment dates</w:t>
            </w:r>
          </w:p>
        </w:tc>
        <w:tc>
          <w:tcPr>
            <w:tcW w:w="6000" w:type="dxa"/>
            <w:vAlign w:val="bottom"/>
            <w:gridSpan w:val="2"/>
          </w:tcPr>
          <w:p>
            <w:pPr>
              <w:ind w:left="920"/>
              <w:spacing w:after="0"/>
              <w:rPr>
                <w:sz w:val="20"/>
                <w:szCs w:val="20"/>
                <w:color w:val="auto"/>
              </w:rPr>
            </w:pPr>
            <w:r>
              <w:rPr>
                <w:rFonts w:ascii="Arial" w:cs="Arial" w:eastAsia="Arial" w:hAnsi="Arial"/>
                <w:sz w:val="18"/>
                <w:szCs w:val="18"/>
                <w:color w:val="auto"/>
                <w:w w:val="92"/>
              </w:rPr>
              <w:t>Interest on the notes will be payable semi-annually in arrears on and</w:t>
            </w:r>
          </w:p>
        </w:tc>
        <w:tc>
          <w:tcPr>
            <w:tcW w:w="1360" w:type="dxa"/>
            <w:vAlign w:val="bottom"/>
          </w:tcPr>
          <w:p>
            <w:pPr>
              <w:ind w:left="280"/>
              <w:spacing w:after="0"/>
              <w:rPr>
                <w:sz w:val="20"/>
                <w:szCs w:val="20"/>
                <w:color w:val="auto"/>
              </w:rPr>
            </w:pPr>
            <w:r>
              <w:rPr>
                <w:rFonts w:ascii="Arial" w:cs="Arial" w:eastAsia="Arial" w:hAnsi="Arial"/>
                <w:sz w:val="18"/>
                <w:szCs w:val="18"/>
                <w:color w:val="auto"/>
              </w:rPr>
              <w:t>, beginning</w:t>
            </w:r>
          </w:p>
        </w:tc>
        <w:tc>
          <w:tcPr>
            <w:tcW w:w="420" w:type="dxa"/>
            <w:vAlign w:val="bottom"/>
          </w:tcPr>
          <w:p>
            <w:pPr>
              <w:spacing w:after="0"/>
              <w:rPr>
                <w:sz w:val="24"/>
                <w:szCs w:val="24"/>
                <w:color w:val="auto"/>
              </w:rPr>
            </w:pPr>
          </w:p>
        </w:tc>
      </w:tr>
      <w:tr>
        <w:trPr>
          <w:trHeight w:val="222"/>
        </w:trPr>
        <w:tc>
          <w:tcPr>
            <w:tcW w:w="3280" w:type="dxa"/>
            <w:vAlign w:val="bottom"/>
          </w:tcPr>
          <w:p>
            <w:pPr>
              <w:spacing w:after="0"/>
              <w:rPr>
                <w:sz w:val="19"/>
                <w:szCs w:val="19"/>
                <w:color w:val="auto"/>
              </w:rPr>
            </w:pPr>
          </w:p>
        </w:tc>
        <w:tc>
          <w:tcPr>
            <w:tcW w:w="1360" w:type="dxa"/>
            <w:vAlign w:val="bottom"/>
          </w:tcPr>
          <w:p>
            <w:pPr>
              <w:ind w:left="920"/>
              <w:spacing w:after="0"/>
              <w:rPr>
                <w:sz w:val="20"/>
                <w:szCs w:val="20"/>
                <w:color w:val="auto"/>
              </w:rPr>
            </w:pPr>
            <w:r>
              <w:rPr>
                <w:rFonts w:ascii="Arial" w:cs="Arial" w:eastAsia="Arial" w:hAnsi="Arial"/>
                <w:sz w:val="18"/>
                <w:szCs w:val="18"/>
                <w:color w:val="auto"/>
              </w:rPr>
              <w:t>on</w:t>
            </w:r>
          </w:p>
        </w:tc>
        <w:tc>
          <w:tcPr>
            <w:tcW w:w="4640" w:type="dxa"/>
            <w:vAlign w:val="bottom"/>
          </w:tcPr>
          <w:p>
            <w:pPr>
              <w:ind w:left="660"/>
              <w:spacing w:after="0"/>
              <w:rPr>
                <w:sz w:val="20"/>
                <w:szCs w:val="20"/>
                <w:color w:val="auto"/>
              </w:rPr>
            </w:pPr>
            <w:r>
              <w:rPr>
                <w:rFonts w:ascii="Arial" w:cs="Arial" w:eastAsia="Arial" w:hAnsi="Arial"/>
                <w:sz w:val="18"/>
                <w:szCs w:val="18"/>
                <w:color w:val="auto"/>
              </w:rPr>
              <w:t>, 2013, and at maturity.</w:t>
            </w:r>
          </w:p>
        </w:tc>
        <w:tc>
          <w:tcPr>
            <w:tcW w:w="13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12"/>
        </w:trPr>
        <w:tc>
          <w:tcPr>
            <w:tcW w:w="3280" w:type="dxa"/>
            <w:vAlign w:val="bottom"/>
          </w:tcPr>
          <w:p>
            <w:pPr>
              <w:spacing w:after="0"/>
              <w:rPr>
                <w:sz w:val="20"/>
                <w:szCs w:val="20"/>
                <w:color w:val="auto"/>
              </w:rPr>
            </w:pPr>
            <w:r>
              <w:rPr>
                <w:rFonts w:ascii="Arial" w:cs="Arial" w:eastAsia="Arial" w:hAnsi="Arial"/>
                <w:sz w:val="18"/>
                <w:szCs w:val="18"/>
                <w:color w:val="auto"/>
              </w:rPr>
              <w:t>Ranking</w:t>
            </w:r>
          </w:p>
        </w:tc>
        <w:tc>
          <w:tcPr>
            <w:tcW w:w="7360" w:type="dxa"/>
            <w:vAlign w:val="bottom"/>
            <w:gridSpan w:val="3"/>
          </w:tcPr>
          <w:p>
            <w:pPr>
              <w:ind w:left="920"/>
              <w:spacing w:after="0"/>
              <w:rPr>
                <w:sz w:val="20"/>
                <w:szCs w:val="20"/>
                <w:color w:val="auto"/>
              </w:rPr>
            </w:pPr>
            <w:r>
              <w:rPr>
                <w:rFonts w:ascii="Arial" w:cs="Arial" w:eastAsia="Arial" w:hAnsi="Arial"/>
                <w:sz w:val="18"/>
                <w:szCs w:val="18"/>
                <w:color w:val="auto"/>
                <w:w w:val="96"/>
              </w:rPr>
              <w:t xml:space="preserve">The notes will rank </w:t>
            </w:r>
            <w:r>
              <w:rPr>
                <w:rFonts w:ascii="Arial" w:cs="Arial" w:eastAsia="Arial" w:hAnsi="Arial"/>
                <w:sz w:val="18"/>
                <w:szCs w:val="18"/>
                <w:i w:val="1"/>
                <w:iCs w:val="1"/>
                <w:color w:val="auto"/>
                <w:w w:val="96"/>
              </w:rPr>
              <w:t>pari passu,</w:t>
            </w:r>
            <w:r>
              <w:rPr>
                <w:rFonts w:ascii="Arial" w:cs="Arial" w:eastAsia="Arial" w:hAnsi="Arial"/>
                <w:sz w:val="18"/>
                <w:szCs w:val="18"/>
                <w:color w:val="auto"/>
                <w:w w:val="96"/>
              </w:rPr>
              <w:t xml:space="preserve"> or equally, with all of our other senior unsecured and</w:t>
            </w:r>
          </w:p>
        </w:tc>
        <w:tc>
          <w:tcPr>
            <w:tcW w:w="420" w:type="dxa"/>
            <w:vAlign w:val="bottom"/>
          </w:tcPr>
          <w:p>
            <w:pPr>
              <w:spacing w:after="0"/>
              <w:rPr>
                <w:sz w:val="24"/>
                <w:szCs w:val="24"/>
                <w:color w:val="auto"/>
              </w:rPr>
            </w:pPr>
          </w:p>
        </w:tc>
      </w:tr>
      <w:tr>
        <w:trPr>
          <w:trHeight w:val="216"/>
        </w:trPr>
        <w:tc>
          <w:tcPr>
            <w:tcW w:w="3280" w:type="dxa"/>
            <w:vAlign w:val="bottom"/>
          </w:tcPr>
          <w:p>
            <w:pPr>
              <w:spacing w:after="0"/>
              <w:rPr>
                <w:sz w:val="18"/>
                <w:szCs w:val="18"/>
                <w:color w:val="auto"/>
              </w:rPr>
            </w:pPr>
          </w:p>
        </w:tc>
        <w:tc>
          <w:tcPr>
            <w:tcW w:w="7780" w:type="dxa"/>
            <w:vAlign w:val="bottom"/>
            <w:gridSpan w:val="4"/>
          </w:tcPr>
          <w:p>
            <w:pPr>
              <w:ind w:left="920"/>
              <w:spacing w:after="0"/>
              <w:rPr>
                <w:sz w:val="20"/>
                <w:szCs w:val="20"/>
                <w:color w:val="auto"/>
              </w:rPr>
            </w:pPr>
            <w:r>
              <w:rPr>
                <w:rFonts w:ascii="Arial" w:cs="Arial" w:eastAsia="Arial" w:hAnsi="Arial"/>
                <w:sz w:val="18"/>
                <w:szCs w:val="18"/>
                <w:color w:val="auto"/>
                <w:w w:val="88"/>
              </w:rPr>
              <w:t>unsubordinated indebtedness, and the notes will be effectively subordinated to the prior claims of</w:t>
            </w:r>
          </w:p>
        </w:tc>
      </w:tr>
      <w:tr>
        <w:trPr>
          <w:trHeight w:val="216"/>
        </w:trPr>
        <w:tc>
          <w:tcPr>
            <w:tcW w:w="3280" w:type="dxa"/>
            <w:vAlign w:val="bottom"/>
          </w:tcPr>
          <w:p>
            <w:pPr>
              <w:spacing w:after="0"/>
              <w:rPr>
                <w:sz w:val="18"/>
                <w:szCs w:val="18"/>
                <w:color w:val="auto"/>
              </w:rPr>
            </w:pPr>
          </w:p>
        </w:tc>
        <w:tc>
          <w:tcPr>
            <w:tcW w:w="7780" w:type="dxa"/>
            <w:vAlign w:val="bottom"/>
            <w:gridSpan w:val="4"/>
          </w:tcPr>
          <w:p>
            <w:pPr>
              <w:ind w:left="920"/>
              <w:spacing w:after="0"/>
              <w:rPr>
                <w:sz w:val="20"/>
                <w:szCs w:val="20"/>
                <w:color w:val="auto"/>
              </w:rPr>
            </w:pPr>
            <w:r>
              <w:rPr>
                <w:rFonts w:ascii="Arial" w:cs="Arial" w:eastAsia="Arial" w:hAnsi="Arial"/>
                <w:sz w:val="18"/>
                <w:szCs w:val="18"/>
                <w:color w:val="auto"/>
                <w:w w:val="87"/>
              </w:rPr>
              <w:t>each secured mortgage lender to any specific property that secures such lender’s mortgage and to</w:t>
            </w:r>
          </w:p>
        </w:tc>
      </w:tr>
      <w:tr>
        <w:trPr>
          <w:trHeight w:val="216"/>
        </w:trPr>
        <w:tc>
          <w:tcPr>
            <w:tcW w:w="3280" w:type="dxa"/>
            <w:vAlign w:val="bottom"/>
          </w:tcPr>
          <w:p>
            <w:pPr>
              <w:spacing w:after="0"/>
              <w:rPr>
                <w:sz w:val="18"/>
                <w:szCs w:val="18"/>
                <w:color w:val="auto"/>
              </w:rPr>
            </w:pPr>
          </w:p>
        </w:tc>
        <w:tc>
          <w:tcPr>
            <w:tcW w:w="7780" w:type="dxa"/>
            <w:vAlign w:val="bottom"/>
            <w:gridSpan w:val="4"/>
          </w:tcPr>
          <w:p>
            <w:pPr>
              <w:ind w:left="920"/>
              <w:spacing w:after="0"/>
              <w:rPr>
                <w:sz w:val="20"/>
                <w:szCs w:val="20"/>
                <w:color w:val="auto"/>
              </w:rPr>
            </w:pPr>
            <w:r>
              <w:rPr>
                <w:rFonts w:ascii="Arial" w:cs="Arial" w:eastAsia="Arial" w:hAnsi="Arial"/>
                <w:sz w:val="18"/>
                <w:szCs w:val="18"/>
                <w:color w:val="auto"/>
                <w:w w:val="91"/>
              </w:rPr>
              <w:t>all of the unsecured indebtedness of our subsidiaries. At March 31, 2012, after giving effect to</w:t>
            </w:r>
          </w:p>
        </w:tc>
      </w:tr>
      <w:tr>
        <w:trPr>
          <w:trHeight w:val="216"/>
        </w:trPr>
        <w:tc>
          <w:tcPr>
            <w:tcW w:w="3280" w:type="dxa"/>
            <w:vAlign w:val="bottom"/>
          </w:tcPr>
          <w:p>
            <w:pPr>
              <w:spacing w:after="0"/>
              <w:rPr>
                <w:sz w:val="18"/>
                <w:szCs w:val="18"/>
                <w:color w:val="auto"/>
              </w:rPr>
            </w:pPr>
          </w:p>
        </w:tc>
        <w:tc>
          <w:tcPr>
            <w:tcW w:w="7360" w:type="dxa"/>
            <w:vAlign w:val="bottom"/>
            <w:gridSpan w:val="3"/>
          </w:tcPr>
          <w:p>
            <w:pPr>
              <w:ind w:left="920"/>
              <w:spacing w:after="0"/>
              <w:rPr>
                <w:sz w:val="20"/>
                <w:szCs w:val="20"/>
                <w:color w:val="auto"/>
              </w:rPr>
            </w:pPr>
            <w:r>
              <w:rPr>
                <w:rFonts w:ascii="Arial" w:cs="Arial" w:eastAsia="Arial" w:hAnsi="Arial"/>
                <w:sz w:val="18"/>
                <w:szCs w:val="18"/>
                <w:color w:val="auto"/>
                <w:w w:val="94"/>
              </w:rPr>
              <w:t>this offering and to the use of the net proceeds from this offering, we had outstanding</w:t>
            </w:r>
          </w:p>
        </w:tc>
        <w:tc>
          <w:tcPr>
            <w:tcW w:w="42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7360" w:type="dxa"/>
            <w:vAlign w:val="bottom"/>
            <w:gridSpan w:val="3"/>
          </w:tcPr>
          <w:p>
            <w:pPr>
              <w:ind w:left="920"/>
              <w:spacing w:after="0"/>
              <w:rPr>
                <w:sz w:val="20"/>
                <w:szCs w:val="20"/>
                <w:color w:val="auto"/>
              </w:rPr>
            </w:pPr>
            <w:r>
              <w:rPr>
                <w:rFonts w:ascii="Arial" w:cs="Arial" w:eastAsia="Arial" w:hAnsi="Arial"/>
                <w:sz w:val="18"/>
                <w:szCs w:val="18"/>
                <w:color w:val="auto"/>
                <w:w w:val="89"/>
              </w:rPr>
              <w:t>approximately $735 million (excluding net unamortized premium) of secured indebtedness</w:t>
            </w:r>
          </w:p>
        </w:tc>
        <w:tc>
          <w:tcPr>
            <w:tcW w:w="42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7780" w:type="dxa"/>
            <w:vAlign w:val="bottom"/>
            <w:gridSpan w:val="4"/>
          </w:tcPr>
          <w:p>
            <w:pPr>
              <w:ind w:left="920"/>
              <w:spacing w:after="0"/>
              <w:rPr>
                <w:sz w:val="20"/>
                <w:szCs w:val="20"/>
                <w:color w:val="auto"/>
              </w:rPr>
            </w:pPr>
            <w:r>
              <w:rPr>
                <w:rFonts w:ascii="Arial" w:cs="Arial" w:eastAsia="Arial" w:hAnsi="Arial"/>
                <w:sz w:val="18"/>
                <w:szCs w:val="18"/>
                <w:color w:val="auto"/>
                <w:w w:val="89"/>
              </w:rPr>
              <w:t>collateralized by all or parts of 22 properties (of which approximately $498 million was issued by</w:t>
            </w:r>
          </w:p>
        </w:tc>
      </w:tr>
      <w:tr>
        <w:trPr>
          <w:trHeight w:val="216"/>
        </w:trPr>
        <w:tc>
          <w:tcPr>
            <w:tcW w:w="3280" w:type="dxa"/>
            <w:vAlign w:val="bottom"/>
          </w:tcPr>
          <w:p>
            <w:pPr>
              <w:spacing w:after="0"/>
              <w:rPr>
                <w:sz w:val="18"/>
                <w:szCs w:val="18"/>
                <w:color w:val="auto"/>
              </w:rPr>
            </w:pPr>
          </w:p>
        </w:tc>
        <w:tc>
          <w:tcPr>
            <w:tcW w:w="7360" w:type="dxa"/>
            <w:vAlign w:val="bottom"/>
            <w:gridSpan w:val="3"/>
          </w:tcPr>
          <w:p>
            <w:pPr>
              <w:ind w:left="920"/>
              <w:spacing w:after="0"/>
              <w:rPr>
                <w:sz w:val="20"/>
                <w:szCs w:val="20"/>
                <w:color w:val="auto"/>
              </w:rPr>
            </w:pPr>
            <w:r>
              <w:rPr>
                <w:rFonts w:ascii="Arial" w:cs="Arial" w:eastAsia="Arial" w:hAnsi="Arial"/>
                <w:sz w:val="18"/>
                <w:szCs w:val="18"/>
                <w:color w:val="auto"/>
                <w:w w:val="94"/>
              </w:rPr>
              <w:t>our subsidiaries), approximately $20 million of unsecured indebtedness issued by our</w:t>
            </w:r>
          </w:p>
        </w:tc>
        <w:tc>
          <w:tcPr>
            <w:tcW w:w="42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7360" w:type="dxa"/>
            <w:vAlign w:val="bottom"/>
            <w:gridSpan w:val="3"/>
          </w:tcPr>
          <w:p>
            <w:pPr>
              <w:ind w:left="920"/>
              <w:spacing w:after="0"/>
              <w:rPr>
                <w:sz w:val="20"/>
                <w:szCs w:val="20"/>
                <w:color w:val="auto"/>
              </w:rPr>
            </w:pPr>
            <w:r>
              <w:rPr>
                <w:rFonts w:ascii="Arial" w:cs="Arial" w:eastAsia="Arial" w:hAnsi="Arial"/>
                <w:sz w:val="18"/>
                <w:szCs w:val="18"/>
                <w:color w:val="auto"/>
                <w:w w:val="91"/>
              </w:rPr>
              <w:t>subsidiaries (which will be senior to the notes) and approximately $1,354 million of other</w:t>
            </w:r>
          </w:p>
        </w:tc>
        <w:tc>
          <w:tcPr>
            <w:tcW w:w="420" w:type="dxa"/>
            <w:vAlign w:val="bottom"/>
          </w:tcPr>
          <w:p>
            <w:pPr>
              <w:spacing w:after="0"/>
              <w:rPr>
                <w:sz w:val="18"/>
                <w:szCs w:val="18"/>
                <w:color w:val="auto"/>
              </w:rPr>
            </w:pPr>
          </w:p>
        </w:tc>
      </w:tr>
      <w:tr>
        <w:trPr>
          <w:trHeight w:val="222"/>
        </w:trPr>
        <w:tc>
          <w:tcPr>
            <w:tcW w:w="3280" w:type="dxa"/>
            <w:vAlign w:val="bottom"/>
          </w:tcPr>
          <w:p>
            <w:pPr>
              <w:spacing w:after="0"/>
              <w:rPr>
                <w:sz w:val="19"/>
                <w:szCs w:val="19"/>
                <w:color w:val="auto"/>
              </w:rPr>
            </w:pPr>
          </w:p>
        </w:tc>
        <w:tc>
          <w:tcPr>
            <w:tcW w:w="7780" w:type="dxa"/>
            <w:vAlign w:val="bottom"/>
            <w:gridSpan w:val="4"/>
          </w:tcPr>
          <w:p>
            <w:pPr>
              <w:ind w:left="920"/>
              <w:spacing w:after="0"/>
              <w:rPr>
                <w:sz w:val="20"/>
                <w:szCs w:val="20"/>
                <w:color w:val="auto"/>
              </w:rPr>
            </w:pPr>
            <w:r>
              <w:rPr>
                <w:rFonts w:ascii="Arial" w:cs="Arial" w:eastAsia="Arial" w:hAnsi="Arial"/>
                <w:sz w:val="18"/>
                <w:szCs w:val="18"/>
                <w:color w:val="auto"/>
                <w:w w:val="91"/>
              </w:rPr>
              <w:t>unsecured indebtedness (excluding net unamortized premium) ranking equally with the notes.</w:t>
            </w:r>
          </w:p>
        </w:tc>
      </w:tr>
      <w:tr>
        <w:trPr>
          <w:trHeight w:val="412"/>
        </w:trPr>
        <w:tc>
          <w:tcPr>
            <w:tcW w:w="3280" w:type="dxa"/>
            <w:vAlign w:val="bottom"/>
          </w:tcPr>
          <w:p>
            <w:pPr>
              <w:spacing w:after="0"/>
              <w:rPr>
                <w:sz w:val="20"/>
                <w:szCs w:val="20"/>
                <w:color w:val="auto"/>
              </w:rPr>
            </w:pPr>
            <w:r>
              <w:rPr>
                <w:rFonts w:ascii="Arial" w:cs="Arial" w:eastAsia="Arial" w:hAnsi="Arial"/>
                <w:sz w:val="18"/>
                <w:szCs w:val="18"/>
                <w:color w:val="auto"/>
              </w:rPr>
              <w:t>Use of proceeds</w:t>
            </w:r>
          </w:p>
        </w:tc>
        <w:tc>
          <w:tcPr>
            <w:tcW w:w="7780" w:type="dxa"/>
            <w:vAlign w:val="bottom"/>
            <w:gridSpan w:val="4"/>
          </w:tcPr>
          <w:p>
            <w:pPr>
              <w:ind w:left="920"/>
              <w:spacing w:after="0"/>
              <w:rPr>
                <w:sz w:val="20"/>
                <w:szCs w:val="20"/>
                <w:color w:val="auto"/>
              </w:rPr>
            </w:pPr>
            <w:r>
              <w:rPr>
                <w:rFonts w:ascii="Arial" w:cs="Arial" w:eastAsia="Arial" w:hAnsi="Arial"/>
                <w:sz w:val="18"/>
                <w:szCs w:val="18"/>
                <w:color w:val="auto"/>
                <w:w w:val="87"/>
              </w:rPr>
              <w:t>We intend to use the net proceeds from this offering to repay any outstanding indebtedness under</w:t>
            </w:r>
          </w:p>
        </w:tc>
      </w:tr>
      <w:tr>
        <w:trPr>
          <w:trHeight w:val="216"/>
        </w:trPr>
        <w:tc>
          <w:tcPr>
            <w:tcW w:w="3280" w:type="dxa"/>
            <w:vAlign w:val="bottom"/>
          </w:tcPr>
          <w:p>
            <w:pPr>
              <w:spacing w:after="0"/>
              <w:rPr>
                <w:sz w:val="18"/>
                <w:szCs w:val="18"/>
                <w:color w:val="auto"/>
              </w:rPr>
            </w:pPr>
          </w:p>
        </w:tc>
        <w:tc>
          <w:tcPr>
            <w:tcW w:w="7360" w:type="dxa"/>
            <w:vAlign w:val="bottom"/>
            <w:gridSpan w:val="3"/>
          </w:tcPr>
          <w:p>
            <w:pPr>
              <w:ind w:left="920"/>
              <w:spacing w:after="0"/>
              <w:rPr>
                <w:sz w:val="20"/>
                <w:szCs w:val="20"/>
                <w:color w:val="auto"/>
              </w:rPr>
            </w:pPr>
            <w:r>
              <w:rPr>
                <w:rFonts w:ascii="Arial" w:cs="Arial" w:eastAsia="Arial" w:hAnsi="Arial"/>
                <w:sz w:val="18"/>
                <w:szCs w:val="18"/>
                <w:color w:val="auto"/>
                <w:w w:val="90"/>
              </w:rPr>
              <w:t>our revolving credit facility and for general corporate purposes, which may include without</w:t>
            </w:r>
          </w:p>
        </w:tc>
        <w:tc>
          <w:tcPr>
            <w:tcW w:w="42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7780" w:type="dxa"/>
            <w:vAlign w:val="bottom"/>
            <w:gridSpan w:val="4"/>
          </w:tcPr>
          <w:p>
            <w:pPr>
              <w:ind w:left="920"/>
              <w:spacing w:after="0"/>
              <w:rPr>
                <w:sz w:val="20"/>
                <w:szCs w:val="20"/>
                <w:color w:val="auto"/>
              </w:rPr>
            </w:pPr>
            <w:r>
              <w:rPr>
                <w:rFonts w:ascii="Arial" w:cs="Arial" w:eastAsia="Arial" w:hAnsi="Arial"/>
                <w:sz w:val="18"/>
                <w:szCs w:val="18"/>
                <w:color w:val="auto"/>
                <w:w w:val="90"/>
              </w:rPr>
              <w:t>limitation funding potential acquisition opportunities or funding our redevelopment pipeline. See</w:t>
            </w:r>
          </w:p>
        </w:tc>
      </w:tr>
      <w:tr>
        <w:trPr>
          <w:trHeight w:val="222"/>
        </w:trPr>
        <w:tc>
          <w:tcPr>
            <w:tcW w:w="3280" w:type="dxa"/>
            <w:vAlign w:val="bottom"/>
          </w:tcPr>
          <w:p>
            <w:pPr>
              <w:spacing w:after="0"/>
              <w:rPr>
                <w:sz w:val="19"/>
                <w:szCs w:val="19"/>
                <w:color w:val="auto"/>
              </w:rPr>
            </w:pPr>
          </w:p>
        </w:tc>
        <w:tc>
          <w:tcPr>
            <w:tcW w:w="6000" w:type="dxa"/>
            <w:vAlign w:val="bottom"/>
            <w:gridSpan w:val="2"/>
          </w:tcPr>
          <w:p>
            <w:pPr>
              <w:ind w:left="920"/>
              <w:spacing w:after="0"/>
              <w:rPr>
                <w:sz w:val="20"/>
                <w:szCs w:val="20"/>
                <w:color w:val="auto"/>
              </w:rPr>
            </w:pPr>
            <w:r>
              <w:rPr>
                <w:rFonts w:ascii="Arial" w:cs="Arial" w:eastAsia="Arial" w:hAnsi="Arial"/>
                <w:sz w:val="18"/>
                <w:szCs w:val="18"/>
                <w:color w:val="auto"/>
              </w:rPr>
              <w:t>“Use of Proceeds” on page S-6 for more information.</w:t>
            </w:r>
          </w:p>
        </w:tc>
        <w:tc>
          <w:tcPr>
            <w:tcW w:w="13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19"/>
        </w:trPr>
        <w:tc>
          <w:tcPr>
            <w:tcW w:w="3280" w:type="dxa"/>
            <w:vAlign w:val="bottom"/>
          </w:tcPr>
          <w:p>
            <w:pPr>
              <w:spacing w:after="0"/>
              <w:rPr>
                <w:sz w:val="20"/>
                <w:szCs w:val="20"/>
                <w:color w:val="auto"/>
              </w:rPr>
            </w:pPr>
            <w:r>
              <w:rPr>
                <w:rFonts w:ascii="Arial" w:cs="Arial" w:eastAsia="Arial" w:hAnsi="Arial"/>
                <w:sz w:val="18"/>
                <w:szCs w:val="18"/>
                <w:color w:val="auto"/>
              </w:rPr>
              <w:t>Limitations on incurrence of debt</w:t>
            </w:r>
          </w:p>
        </w:tc>
        <w:tc>
          <w:tcPr>
            <w:tcW w:w="6000" w:type="dxa"/>
            <w:vAlign w:val="bottom"/>
            <w:gridSpan w:val="2"/>
          </w:tcPr>
          <w:p>
            <w:pPr>
              <w:ind w:left="920"/>
              <w:spacing w:after="0"/>
              <w:rPr>
                <w:sz w:val="20"/>
                <w:szCs w:val="20"/>
                <w:color w:val="auto"/>
              </w:rPr>
            </w:pPr>
            <w:r>
              <w:rPr>
                <w:rFonts w:ascii="Arial" w:cs="Arial" w:eastAsia="Arial" w:hAnsi="Arial"/>
                <w:sz w:val="18"/>
                <w:szCs w:val="18"/>
                <w:color w:val="auto"/>
              </w:rPr>
              <w:t>The notes contain various covenants, including the following:</w:t>
            </w: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88" w:lineRule="exact"/>
        <w:rPr>
          <w:sz w:val="20"/>
          <w:szCs w:val="20"/>
          <w:color w:val="auto"/>
        </w:rPr>
      </w:pPr>
    </w:p>
    <w:p>
      <w:pPr>
        <w:ind w:left="4400" w:right="40" w:hanging="3"/>
        <w:spacing w:after="0" w:line="282" w:lineRule="auto"/>
        <w:tabs>
          <w:tab w:leader="none" w:pos="4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will not, and will not permit any subsidiary to, incur any Debt if, immediately after giving effect to the incurrence of such Debt and the application of the proceeds thereof, the aggregate principal amount of all of our and our subsidiaries’ outstanding Debt on a consolidated basis determined in accordance with generally accepted accounting principles is greater than 60% of the sum of (without duplication) (a) Total Assets as of the end of the calendar quarter covered in our Annual Report on Form 10-K or Quarterly Report on Form 10-Q, as the case may be, most recently filed with the SEC (or, if such filing is not permitted under the Exchange Act, with U.S. Bank National Association, the trustee) prior to the incurrence of such additional Debt and</w:t>
      </w:r>
    </w:p>
    <w:p>
      <w:pPr>
        <w:spacing w:after="0" w:line="5" w:lineRule="exact"/>
        <w:rPr>
          <w:rFonts w:ascii="Arial" w:cs="Arial" w:eastAsia="Arial" w:hAnsi="Arial"/>
          <w:sz w:val="16"/>
          <w:szCs w:val="16"/>
          <w:color w:val="auto"/>
        </w:rPr>
      </w:pPr>
    </w:p>
    <w:p>
      <w:pPr>
        <w:ind w:left="4400" w:right="100"/>
        <w:spacing w:after="0" w:line="261" w:lineRule="auto"/>
        <w:rPr>
          <w:rFonts w:ascii="Arial" w:cs="Arial" w:eastAsia="Arial" w:hAnsi="Arial"/>
          <w:sz w:val="16"/>
          <w:szCs w:val="16"/>
          <w:color w:val="auto"/>
        </w:rPr>
      </w:pPr>
      <w:r>
        <w:rPr>
          <w:rFonts w:ascii="Arial" w:cs="Arial" w:eastAsia="Arial" w:hAnsi="Arial"/>
          <w:sz w:val="18"/>
          <w:szCs w:val="18"/>
          <w:color w:val="auto"/>
        </w:rPr>
        <w:t>(b) the purchase price of any real estate assets or mortgages receivable acquired, and the amount of any securities</w:t>
      </w:r>
    </w:p>
    <w:p>
      <w:pPr>
        <w:spacing w:after="0" w:line="3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04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53041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right="20"/>
        <w:spacing w:after="0" w:line="256" w:lineRule="auto"/>
        <w:rPr>
          <w:sz w:val="20"/>
          <w:szCs w:val="20"/>
          <w:color w:val="auto"/>
        </w:rPr>
      </w:pPr>
      <w:r>
        <w:rPr>
          <w:rFonts w:ascii="Arial" w:cs="Arial" w:eastAsia="Arial" w:hAnsi="Arial"/>
          <w:sz w:val="18"/>
          <w:szCs w:val="18"/>
          <w:color w:val="auto"/>
        </w:rPr>
        <w:t>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197" w:lineRule="exact"/>
        <w:rPr>
          <w:sz w:val="20"/>
          <w:szCs w:val="20"/>
          <w:color w:val="auto"/>
        </w:rPr>
      </w:pPr>
    </w:p>
    <w:p>
      <w:pPr>
        <w:ind w:left="4400" w:hanging="3"/>
        <w:spacing w:after="0" w:line="285" w:lineRule="auto"/>
        <w:tabs>
          <w:tab w:leader="none" w:pos="4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(a)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(b)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provided that for purposes of this limitation, the amount of obligations under capital leases shown as a liability on our consolidated balance sheet shall be deducted from Debt and from Total Assets;</w:t>
      </w:r>
    </w:p>
    <w:p>
      <w:pPr>
        <w:spacing w:after="0" w:line="161" w:lineRule="exact"/>
        <w:rPr>
          <w:rFonts w:ascii="Arial" w:cs="Arial" w:eastAsia="Arial" w:hAnsi="Arial"/>
          <w:sz w:val="16"/>
          <w:szCs w:val="16"/>
          <w:color w:val="auto"/>
        </w:rPr>
      </w:pPr>
    </w:p>
    <w:p>
      <w:pPr>
        <w:ind w:left="4400" w:right="80" w:hanging="3"/>
        <w:spacing w:after="0" w:line="283" w:lineRule="auto"/>
        <w:tabs>
          <w:tab w:leader="none" w:pos="4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w:t>
      </w:r>
    </w:p>
    <w:p>
      <w:pPr>
        <w:spacing w:after="0" w:line="2" w:lineRule="exact"/>
        <w:rPr>
          <w:rFonts w:ascii="Arial" w:cs="Arial" w:eastAsia="Arial" w:hAnsi="Arial"/>
          <w:sz w:val="16"/>
          <w:szCs w:val="16"/>
          <w:color w:val="auto"/>
        </w:rPr>
      </w:pPr>
    </w:p>
    <w:p>
      <w:pPr>
        <w:ind w:left="4400"/>
        <w:spacing w:after="0" w:line="287" w:lineRule="auto"/>
        <w:rPr>
          <w:rFonts w:ascii="Arial" w:cs="Arial" w:eastAsia="Arial" w:hAnsi="Arial"/>
          <w:sz w:val="16"/>
          <w:szCs w:val="16"/>
          <w:color w:val="auto"/>
        </w:rPr>
      </w:pPr>
      <w:r>
        <w:rPr>
          <w:rFonts w:ascii="Arial" w:cs="Arial" w:eastAsia="Arial" w:hAnsi="Arial"/>
          <w:sz w:val="16"/>
          <w:szCs w:val="16"/>
          <w:color w:val="auto"/>
        </w:rPr>
        <w:t>(a) such Debt and any other Debt incurred by us and our subsidiaries since the first day of such four-quarter period and the application of the proceeds therefrom, including to refinance other Debt, had occurred at the beginning of such period; (b)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(c) in the case of Acquired Debt or Debt incurred in connection with any acquisition since the first day of such four-quarter period, the related acquisition had occurred as of the first day of such period, with the</w:t>
      </w:r>
    </w:p>
    <w:p>
      <w:pPr>
        <w:spacing w:after="0" w:line="2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5415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541528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Material federal income tax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left="3" w:right="60"/>
        <w:spacing w:after="0" w:line="290" w:lineRule="auto"/>
        <w:rPr>
          <w:sz w:val="20"/>
          <w:szCs w:val="20"/>
          <w:color w:val="auto"/>
        </w:rPr>
      </w:pPr>
      <w:r>
        <w:rPr>
          <w:rFonts w:ascii="Arial" w:cs="Arial" w:eastAsia="Arial" w:hAnsi="Arial"/>
          <w:sz w:val="16"/>
          <w:szCs w:val="16"/>
          <w:color w:val="auto"/>
        </w:rPr>
        <w:t>appropriate adjustments with respect to such acquisition being included in such unaudited pro forma calculation; and (d)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 and</w:t>
      </w:r>
    </w:p>
    <w:p>
      <w:pPr>
        <w:spacing w:after="0" w:line="172" w:lineRule="exact"/>
        <w:rPr>
          <w:sz w:val="20"/>
          <w:szCs w:val="20"/>
          <w:color w:val="auto"/>
        </w:rPr>
      </w:pPr>
    </w:p>
    <w:p>
      <w:pPr>
        <w:jc w:val="both"/>
        <w:ind w:left="3" w:right="200" w:hanging="3"/>
        <w:spacing w:after="0" w:line="259" w:lineRule="auto"/>
        <w:tabs>
          <w:tab w:leader="none" w:pos="251"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together with our subsidiaries, will maintain an Unencumbered Total Asset Value in an amount not less than 150% of the aggregate outstanding principal amount of all of our and our subsidiaries’ unsecured Debt, taken as a whole.</w:t>
      </w:r>
    </w:p>
    <w:p>
      <w:pPr>
        <w:spacing w:after="0" w:line="181" w:lineRule="exact"/>
        <w:rPr>
          <w:sz w:val="20"/>
          <w:szCs w:val="20"/>
          <w:color w:val="auto"/>
        </w:rPr>
      </w:pPr>
    </w:p>
    <w:p>
      <w:pPr>
        <w:ind w:left="3" w:right="40"/>
        <w:spacing w:after="0" w:line="305" w:lineRule="auto"/>
        <w:rPr>
          <w:sz w:val="20"/>
          <w:szCs w:val="20"/>
          <w:color w:val="auto"/>
        </w:rPr>
      </w:pPr>
      <w:r>
        <w:rPr>
          <w:rFonts w:ascii="Arial" w:cs="Arial" w:eastAsia="Arial" w:hAnsi="Arial"/>
          <w:sz w:val="15"/>
          <w:szCs w:val="15"/>
          <w:color w:val="auto"/>
        </w:rPr>
        <w:t>The notes are redeemable at any time at our option, in whole or in part. If the notes are redeemed before 90 days prior to the maturity date, the redemption price will be equal to the greater of</w:t>
      </w:r>
    </w:p>
    <w:p>
      <w:pPr>
        <w:ind w:left="243" w:hanging="243"/>
        <w:spacing w:after="0"/>
        <w:tabs>
          <w:tab w:leader="none" w:pos="243" w:val="left"/>
        </w:tabs>
        <w:numPr>
          <w:ilvl w:val="0"/>
          <w:numId w:val="6"/>
        </w:numPr>
        <w:rPr>
          <w:rFonts w:ascii="Arial" w:cs="Arial" w:eastAsia="Arial" w:hAnsi="Arial"/>
          <w:sz w:val="16"/>
          <w:szCs w:val="16"/>
          <w:color w:val="auto"/>
        </w:rPr>
      </w:pPr>
      <w:r>
        <w:rPr>
          <w:rFonts w:ascii="Arial" w:cs="Arial" w:eastAsia="Arial" w:hAnsi="Arial"/>
          <w:sz w:val="16"/>
          <w:szCs w:val="16"/>
          <w:color w:val="auto"/>
        </w:rPr>
        <w:t>100% of the principal amount of the notes being redeemed, or (2) the sum of the present</w:t>
      </w:r>
    </w:p>
    <w:p>
      <w:pPr>
        <w:spacing w:after="0" w:line="32" w:lineRule="exact"/>
        <w:rPr>
          <w:rFonts w:ascii="Arial" w:cs="Arial" w:eastAsia="Arial" w:hAnsi="Arial"/>
          <w:sz w:val="16"/>
          <w:szCs w:val="16"/>
          <w:color w:val="auto"/>
        </w:rPr>
      </w:pPr>
    </w:p>
    <w:p>
      <w:pPr>
        <w:ind w:left="3"/>
        <w:spacing w:after="0" w:line="290" w:lineRule="auto"/>
        <w:rPr>
          <w:rFonts w:ascii="Arial" w:cs="Arial" w:eastAsia="Arial" w:hAnsi="Arial"/>
          <w:sz w:val="16"/>
          <w:szCs w:val="16"/>
          <w:color w:val="auto"/>
        </w:rPr>
      </w:pPr>
      <w:r>
        <w:rPr>
          <w:rFonts w:ascii="Arial" w:cs="Arial" w:eastAsia="Arial" w:hAnsi="Arial"/>
          <w:sz w:val="16"/>
          <w:szCs w:val="16"/>
          <w:color w:val="auto"/>
        </w:rPr>
        <w:t>values of the remaining scheduled payments of principal and interest thereon, discounted to the redemption date on a semi-annual basis at the Adjusted Treasury Rate plus basis points (0. %), plus, in each case, accrued interest thereon to, but excluding, the redemption date. If the notes are redeemed on or after 90 days prior to the maturity date, the redemption price will be equal to 100% of the principal amount of the notes being redeemed plus accrued and unpaid interest thereon to, but excluding, the redemption date.</w:t>
      </w:r>
    </w:p>
    <w:p>
      <w:pPr>
        <w:spacing w:after="0" w:line="159" w:lineRule="exact"/>
        <w:rPr>
          <w:sz w:val="20"/>
          <w:szCs w:val="20"/>
          <w:color w:val="auto"/>
        </w:rPr>
      </w:pPr>
    </w:p>
    <w:p>
      <w:pPr>
        <w:ind w:left="3"/>
        <w:spacing w:after="0"/>
        <w:rPr>
          <w:sz w:val="20"/>
          <w:szCs w:val="20"/>
          <w:color w:val="auto"/>
        </w:rPr>
      </w:pPr>
      <w:r>
        <w:rPr>
          <w:rFonts w:ascii="Arial" w:cs="Arial" w:eastAsia="Arial" w:hAnsi="Arial"/>
          <w:sz w:val="18"/>
          <w:szCs w:val="18"/>
          <w:color w:val="auto"/>
        </w:rPr>
        <w:t>A detailed description is in “Description of Notes — Optional Redemption.”</w:t>
      </w:r>
    </w:p>
    <w:p>
      <w:pPr>
        <w:spacing w:after="0" w:line="212" w:lineRule="exact"/>
        <w:rPr>
          <w:sz w:val="20"/>
          <w:szCs w:val="20"/>
          <w:color w:val="auto"/>
        </w:rPr>
      </w:pPr>
    </w:p>
    <w:p>
      <w:pPr>
        <w:ind w:left="3" w:right="160"/>
        <w:spacing w:after="0" w:line="256" w:lineRule="auto"/>
        <w:rPr>
          <w:sz w:val="20"/>
          <w:szCs w:val="20"/>
          <w:color w:val="auto"/>
        </w:rPr>
      </w:pPr>
      <w:r>
        <w:rPr>
          <w:rFonts w:ascii="Arial" w:cs="Arial" w:eastAsia="Arial" w:hAnsi="Arial"/>
          <w:sz w:val="18"/>
          <w:szCs w:val="18"/>
          <w:color w:val="auto"/>
        </w:rPr>
        <w:t>For a description of the material U.S. federal income tax considerations of an investment in the notes, please review the disclosure in this prospectus supplement under “Additional Material Federal Income Tax Considerations” and in the accompanying prospectus under “Material Federal Income Tax Considerations.”</w:t>
      </w:r>
    </w:p>
    <w:p>
      <w:pPr>
        <w:spacing w:after="0" w:line="184" w:lineRule="exact"/>
        <w:rPr>
          <w:sz w:val="20"/>
          <w:szCs w:val="20"/>
          <w:color w:val="auto"/>
        </w:rPr>
      </w:pPr>
    </w:p>
    <w:p>
      <w:pPr>
        <w:ind w:left="3" w:right="40"/>
        <w:spacing w:after="0" w:line="288" w:lineRule="auto"/>
        <w:rPr>
          <w:sz w:val="20"/>
          <w:szCs w:val="20"/>
          <w:color w:val="auto"/>
        </w:rPr>
      </w:pPr>
      <w:r>
        <w:rPr>
          <w:rFonts w:ascii="Arial" w:cs="Arial" w:eastAsia="Arial" w:hAnsi="Arial"/>
          <w:sz w:val="16"/>
          <w:szCs w:val="16"/>
          <w:color w:val="auto"/>
        </w:rPr>
        <w:t>Investing in the notes involves risks. Please review the risk factors discussed beginning on page S-5 of this prospectus supplement, on page 3 of the accompanying prospectus and in our Annual Report on Form 10-K for the year ended December 31, 2011, filed with the SEC on February 16, 2012, and the other information contained or incorporated by reference in this prospectus supplement and the accompanying prospectus for a discussion of factors you should consider before deciding to invest in the notes. You may obtain a copy of our Annual Report on Form 10-K and the other documents incorporated by reference in this prospectus supplement and the accompanying prospectus by following the procedures described under “Where You Can Find More Information” on page 53 of the accompanying prospectus.</w:t>
      </w:r>
    </w:p>
    <w:p>
      <w:pPr>
        <w:spacing w:after="0" w:line="200" w:lineRule="exact"/>
        <w:rPr>
          <w:sz w:val="20"/>
          <w:szCs w:val="20"/>
          <w:color w:val="auto"/>
        </w:rPr>
      </w:pPr>
    </w:p>
    <w:p>
      <w:pPr>
        <w:sectPr>
          <w:pgSz w:w="11900" w:h="16838" w:orient="portrait"/>
          <w:cols w:equalWidth="0" w:num="2">
            <w:col w:w="3677" w:space="720"/>
            <w:col w:w="6843"/>
          </w:cols>
          <w:pgMar w:left="240" w:top="459" w:right="419" w:bottom="1440" w:gutter="0" w:footer="0" w:header="0"/>
          <w:type w:val="continuous"/>
        </w:sectPr>
      </w:pPr>
    </w:p>
    <w:p>
      <w:pPr>
        <w:spacing w:after="0" w:line="82"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S-5</w:t>
      </w:r>
    </w:p>
    <w:p>
      <w:pPr>
        <w:sectPr>
          <w:pgSz w:w="11900" w:h="16838" w:orient="portrait"/>
          <w:cols w:equalWidth="0" w:num="1">
            <w:col w:w="11240"/>
          </w:cols>
          <w:pgMar w:left="240" w:top="459" w:right="41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An investment in the notes involves a significant degree of risk. You should carefully consider the following risk factors, together with all of the other information contained in or incorporated by reference in this prospectus supplement, including the additional risk factors on page 3 of the accompanying prospectus and the risk factors included in our Annual Report on Form 10-K filed with the SEC on February 16, 2012 before you decide to purchase the notes. The risks and uncertainties described below and in the incorporated Form 10-K are not the only ones we may confront. Additional risks and uncertainties not currently known to us or that we currently deem immaterial also may impair our business operations. If any of those risks actually occur, our financial condition, operating results, liquidity and prospects could be materially adversely affected. This section contains forward-looking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intercompany cash flows to satisfy our obligations under the notes.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derive a significant portion of our operating income from our subsidiaries. As a holder of notes, you will have no direct claim against our subsidiaries for payment under the notes. We generate net cash flow from the operations of the assets that we own directly but also rely on distributions and other payments from our subsidiaries to produce the funds necessary to meet our obligations, including the payment of principal of and interest on the notes. If the cash flow from our directly owned assets, together with the distributions and other payments we receive from subsidiaries, are insufficient to meet all of our obligations, we will be required to seek other sources of funds. These sources of funds could include proceeds derived from borrowings under our existing debt facilities, select property sales and net proceeds of public or private equity or debt offerings. There can be no assurance that we would be able to obtain the necessary funds from these sources on acceptable terms or at all.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are structurally subordinated to the claims of our subsidiaries’ creditors and our subsidiaries’ preferred equity holders.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Because the notes are not guaranteed by our subsidiaries, the notes effectively will be subordinated in right of payment to all of their existing and future liabilities. As a result, in the event of a bankruptcy, liquidation, dissolution, reorganization or similar proceeding with respect to any of our subsidiaries, the holders of any indebtedness of that subsidiary will be entitled to obtain payment of that indebtedness from the assets of that subsidiary before the holders of any of our general unsecured obligations, including the notes. At March 31, 2012, after giving effect to this offering, and to the issuance of the notes and the application of the net proceeds of this offering, our subsidiaries had approximately $518 million of debt outstanding (excluding net unamortized premium), all of which was effectively senior to the notes. If any of our subsidiaries issues preferred equity in the future, the preferred equity will be effectively senior to the notes. At this time, none of our subsidiaries has any outstanding preferred equity or plans to issue any preferred equity.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are unsecured and are effectively subordinated to our secured indebtedness.</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 xml:space="preserve">Because the notes will be unsecured, they will be effectively subordinated to any of our secured indebtedness to the extent of the value of the assets securing the indebtedness. The indenture permits us and our subsidiaries to incur additional secured indebtedness,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certain conditions are satisfied. Consequently, in the event of a bankruptcy, liquidation, dissolution, reorganization or similar proceeding with respect to our company, the holders of any secured indebtedness will be entitled to proceed against the collateral that secures the secured indebtedness prior to that collateral being available for satisfaction of any amounts owed under the notes. At March 31, 2012, after giving effect to this offering and the application of the net proceeds of this offering, we had approximately $735 million (excluding net unamortized premium) of secured debt outstanding, all of which was effectively senior to the notes to the extent of the value of the securing assets.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active public trading market for the notes may not develop.</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There is currently no established trading market for the notes. We do not intend to list the notes on any securities exchange. The underwriters have advised us that they intend to make a market in the notes after this offering is completed. They are not obligated to do this, however, and may discontinue market-making at any time without notice.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liquidity of any market for the notes will depend upon various factors, including:</w:t>
      </w:r>
    </w:p>
    <w:p>
      <w:pPr>
        <w:spacing w:after="0" w:line="90"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holders of the notes;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for the notes;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overall market for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financial performance and prospects;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prospects for companies in our industry generally.</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Accordingly, we cannot assure you that an active trading market will develop for the notes. If the notes are traded after their initial issuance, they may trade at a discount from their initial offering price, depending upon prevailing interest rates and other factors, including those listed above.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left="460"/>
        <w:spacing w:after="0"/>
        <w:tabs>
          <w:tab w:leader="none" w:pos="9520" w:val="left"/>
        </w:tabs>
        <w:rPr>
          <w:sz w:val="20"/>
          <w:szCs w:val="20"/>
          <w:color w:val="auto"/>
        </w:rPr>
      </w:pPr>
      <w:r>
        <w:rPr>
          <w:rFonts w:ascii="Arial" w:cs="Arial" w:eastAsia="Arial" w:hAnsi="Arial"/>
          <w:sz w:val="18"/>
          <w:szCs w:val="18"/>
          <w:color w:val="auto"/>
        </w:rPr>
        <w:t>The net proceeds to us from the sale of the notes offered by this prospectus supplement are estimated to be approximately $</w:t>
      </w:r>
      <w:r>
        <w:rPr>
          <w:sz w:val="20"/>
          <w:szCs w:val="20"/>
          <w:color w:val="auto"/>
        </w:rPr>
        <w:tab/>
      </w:r>
      <w:r>
        <w:rPr>
          <w:rFonts w:ascii="Arial" w:cs="Arial" w:eastAsia="Arial" w:hAnsi="Arial"/>
          <w:sz w:val="16"/>
          <w:szCs w:val="16"/>
          <w:color w:val="auto"/>
        </w:rPr>
        <w:t>million after deducting the</w:t>
      </w:r>
    </w:p>
    <w:p>
      <w:pPr>
        <w:spacing w:after="0" w:line="1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underwriting discount and other estimated expenses of this offering payable by us. We intend to use these net proceeds to repay any outstanding indebtedness under our revolving credit facility and for general corporate purposes, which may include without limitation funding potential acquisition opportunities or funding our redevelopment pipeline. As of July 13, 2012, no amounts were outstanding under our revolving credit facility, which bears an interest rate of LIBOR plus 115 basis points. Our revolving credit facility is scheduled to mature on July 6, 2015, subject to a one year extension at our option. Affiliates of certain of the underwriters are lenders under our revolving credit facility and will receive a pro rata portion of the net proceeds used to repay amounts outstanding under our revolving credit facility. Pending application of the net proceeds, we may invest the net proceeds in short-term income-producing investments.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NOTES</w:t>
      </w:r>
    </w:p>
    <w:p>
      <w:pPr>
        <w:spacing w:after="0" w:line="17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i w:val="1"/>
          <w:iCs w:val="1"/>
          <w:color w:val="auto"/>
        </w:rPr>
        <w:t>The following description of the particular terms of the notes offered hereby supplements the description of the general terms and provisions of debt securities set forth in the accompanying prospectus under the caption “Description of Debt Securities.” Certain terms used in this prospectus supplement are defined in that section of the accompanying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ectPr>
          <w:pgSz w:w="11900" w:h="16838" w:orient="portrait"/>
          <w:cols w:equalWidth="0" w:num="1">
            <w:col w:w="11380"/>
          </w:cols>
          <w:pgMar w:left="240" w:top="459" w:right="279" w:bottom="1440" w:gutter="0" w:footer="0" w:header="0"/>
        </w:sectPr>
      </w:pP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offering $</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million of our</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color w:val="auto"/>
        </w:rPr>
        <w:t>% notes maturing on</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color w:val="auto"/>
        </w:rPr>
        <w:t>, 20</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color w:val="auto"/>
        </w:rPr>
        <w:t>, which may be redeemed prior to that date in accordance with their terms.</w:t>
      </w:r>
    </w:p>
    <w:p>
      <w:pPr>
        <w:spacing w:after="0" w:line="205" w:lineRule="exact"/>
        <w:rPr>
          <w:sz w:val="20"/>
          <w:szCs w:val="20"/>
          <w:color w:val="auto"/>
        </w:rPr>
      </w:pPr>
    </w:p>
    <w:p>
      <w:pPr>
        <w:sectPr>
          <w:pgSz w:w="11900" w:h="16838" w:orient="portrait"/>
          <w:cols w:equalWidth="0" w:num="5">
            <w:col w:w="1700" w:space="380"/>
            <w:col w:w="980" w:space="220"/>
            <w:col w:w="1660" w:space="720"/>
            <w:col w:w="260" w:space="180"/>
            <w:col w:w="5280"/>
          </w:cols>
          <w:pgMar w:left="240" w:top="459" w:right="27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We will pay interest on the notes semi-annually in arrears 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of each year, beginning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2013, to the registered holders of</w:t>
      </w:r>
    </w:p>
    <w:p>
      <w:pPr>
        <w:spacing w:after="0" w:line="50" w:lineRule="exact"/>
        <w:rPr>
          <w:sz w:val="20"/>
          <w:szCs w:val="20"/>
          <w:color w:val="auto"/>
        </w:rPr>
      </w:pPr>
    </w:p>
    <w:p>
      <w:pPr>
        <w:sectPr>
          <w:pgSz w:w="11900" w:h="16838" w:orient="portrait"/>
          <w:cols w:equalWidth="0" w:num="4">
            <w:col w:w="4720" w:space="620"/>
            <w:col w:w="240" w:space="620"/>
            <w:col w:w="1840" w:space="720"/>
            <w:col w:w="2620"/>
          </w:cols>
          <w:pgMar w:left="240" w:top="459" w:right="279" w:bottom="1440" w:gutter="0" w:footer="0" w:header="0"/>
          <w:type w:val="continuous"/>
        </w:sectPr>
      </w:pPr>
    </w:p>
    <w:p>
      <w:pPr>
        <w:spacing w:after="0"/>
        <w:tabs>
          <w:tab w:leader="none" w:pos="2440" w:val="left"/>
          <w:tab w:leader="none" w:pos="3260" w:val="left"/>
        </w:tabs>
        <w:rPr>
          <w:sz w:val="20"/>
          <w:szCs w:val="20"/>
          <w:color w:val="auto"/>
        </w:rPr>
      </w:pPr>
      <w:r>
        <w:rPr>
          <w:rFonts w:ascii="Arial" w:cs="Arial" w:eastAsia="Arial" w:hAnsi="Arial"/>
          <w:sz w:val="18"/>
          <w:szCs w:val="18"/>
          <w:color w:val="auto"/>
        </w:rPr>
        <w:t>the notes on the preceding</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w:t>
      </w:r>
    </w:p>
    <w:p>
      <w:pPr>
        <w:sectPr>
          <w:pgSz w:w="11900" w:h="16838" w:orient="portrait"/>
          <w:cols w:equalWidth="0" w:num="1">
            <w:col w:w="11380"/>
          </w:cols>
          <w:pgMar w:left="240" w:top="459" w:right="279" w:bottom="1440" w:gutter="0" w:footer="0" w:header="0"/>
          <w:type w:val="continuous"/>
        </w:sectPr>
      </w:pP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defeasance and covenant defeasance provisions of the indenture apply to the notes. The notes will not be entitled to the benefit of any sinking fund.</w:t>
      </w:r>
    </w:p>
    <w:p>
      <w:pPr>
        <w:spacing w:after="0" w:line="19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indenture does not limit the aggregate principal amount of the securities that may be issued thereunder, and securities may be issued thereunder from time to time in one or more separate series up to the aggregate principal amount from time to time authorized by us for each series. At any time and without the consent of the then existing holders, we may issue additional debt securities having the same terms as the notes other than the date of original issuance, the issue price, the date on which interest begins to accrue and, in some circumstances, the first interest payment date, such that these additional debt securities would form a single series with the notes. We also may issue from time to time other series of debt securities under the indenture consisting of notes or other unsecured evidences of indebtedness.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The notes will rank </w:t>
      </w:r>
      <w:r>
        <w:rPr>
          <w:rFonts w:ascii="Arial" w:cs="Arial" w:eastAsia="Arial" w:hAnsi="Arial"/>
          <w:sz w:val="16"/>
          <w:szCs w:val="16"/>
          <w:i w:val="1"/>
          <w:iCs w:val="1"/>
          <w:color w:val="auto"/>
        </w:rPr>
        <w:t>pari passu</w:t>
      </w:r>
      <w:r>
        <w:rPr>
          <w:rFonts w:ascii="Arial" w:cs="Arial" w:eastAsia="Arial" w:hAnsi="Arial"/>
          <w:sz w:val="16"/>
          <w:szCs w:val="16"/>
          <w:color w:val="auto"/>
        </w:rPr>
        <w:t>, or equally, with all of our other senior unsecured and unsubordinated indebtedness, and the notes will be effectively subordinated to the prior claims of each secured mortgage lender to any specific property that secures such lender’s mortgage and to all of the unsecured indebtedness of our subsidiaries. At March 31, 2012, after giving effect to this offering and to the use of the net proceeds from this offering, we had outstanding approximately $735 million (excluding net unamortized premium) of secured indebtedness collateralized by all or parts of 22 properties (of which approximately $498 million was issued by our subsidiaries), approximately $20 million of unsecured indebtedness issued by our subsidiaries (which will be senior to the notes) and approximately $1,354 million of other unsecured indebtedness (excluding net unamortized premium) ranking equally with the notes.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80" w:firstLine="456"/>
        <w:spacing w:after="0" w:line="302" w:lineRule="auto"/>
        <w:rPr>
          <w:sz w:val="20"/>
          <w:szCs w:val="20"/>
          <w:color w:val="auto"/>
        </w:rPr>
      </w:pPr>
      <w:r>
        <w:rPr>
          <w:rFonts w:ascii="Arial" w:cs="Arial" w:eastAsia="Arial" w:hAnsi="Arial"/>
          <w:sz w:val="15"/>
          <w:szCs w:val="15"/>
          <w:color w:val="auto"/>
        </w:rPr>
        <w:t>The notes are redeemable at any time at our option, in whole or in part. If the notes are redeemed before 90 days prior to the maturity date, the redemption price will be equal to the greater of (1) 100% of the principal amount of the notes being redeemed, or (2) as determined by the Quotation Agent (as defined below), 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w:t>
      </w:r>
    </w:p>
    <w:p>
      <w:pPr>
        <w:spacing w:after="0" w:line="3" w:lineRule="exact"/>
        <w:rPr>
          <w:sz w:val="20"/>
          <w:szCs w:val="20"/>
          <w:color w:val="auto"/>
        </w:rPr>
      </w:pPr>
    </w:p>
    <w:p>
      <w:pPr>
        <w:ind w:right="480"/>
        <w:spacing w:after="0" w:line="302" w:lineRule="auto"/>
        <w:rPr>
          <w:sz w:val="20"/>
          <w:szCs w:val="20"/>
          <w:color w:val="auto"/>
        </w:rPr>
      </w:pPr>
      <w:r>
        <w:rPr>
          <w:rFonts w:ascii="Arial" w:cs="Arial" w:eastAsia="Arial" w:hAnsi="Arial"/>
          <w:sz w:val="16"/>
          <w:szCs w:val="16"/>
          <w:color w:val="auto"/>
        </w:rPr>
        <w:t>months) at the Adjusted Treasury Rate (as defined below) plus basis points (0. %), plus, in each case, accrued and unpaid interest thereon to, but excluding, the redemption date. If the notes are redeemed on or after 90 days prior to the maturity date, the redemption price will be equal to 100% of the principal amount of the notes being redeemed plus accrued and unpaid interest thereon to, but excluding, the redemption date.</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380"/>
          </w:cols>
          <w:pgMar w:left="240" w:top="459" w:right="27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As used herein:</w:t>
      </w:r>
    </w:p>
    <w:p>
      <w:pPr>
        <w:spacing w:after="0" w:line="9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 redemption date, after excluding the highest and lowest of such Reference Treasury Dealer Quotations, or (2) if the trustee obtains fewer than four such Reference Treasury Dealer Quotations, the average of all such Quotations.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us.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xml:space="preserve">” means (1) Citigroup Global Markets Inc., RBC Capital Markets, LLC and a Primary Treasury Dealer (as defined below) selected by Wells Fargo Securities, LLC,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either of the Reference Treasury Dealers ceases to be a primary U.S. Government securities dealer, or a Primary Treasury Dealer, we will substitute therefor another Primary Treasury Dealer; and (2) one other Primary Treasury Dealer selected by us.</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Notice of any redemption will be mailed at least 30 days but not more than 60 days before the redemption date to each holder of the notes to be redeemed. Unless we default in payment of the redemption price, on and after the redemption date, interest will cease to accrue on the notes or portions thereof called for redemption.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96" w:lineRule="exact"/>
        <w:rPr>
          <w:sz w:val="20"/>
          <w:szCs w:val="20"/>
          <w:color w:val="auto"/>
        </w:rPr>
      </w:pPr>
    </w:p>
    <w:p>
      <w:pPr>
        <w:ind w:right="240" w:firstLine="456"/>
        <w:spacing w:after="0" w:line="289" w:lineRule="auto"/>
        <w:rPr>
          <w:sz w:val="20"/>
          <w:szCs w:val="20"/>
          <w:color w:val="auto"/>
        </w:rPr>
      </w:pPr>
      <w:r>
        <w:rPr>
          <w:rFonts w:ascii="Arial" w:cs="Arial" w:eastAsia="Arial" w:hAnsi="Arial"/>
          <w:sz w:val="16"/>
          <w:szCs w:val="16"/>
          <w:b w:val="1"/>
          <w:bCs w:val="1"/>
          <w:i w:val="1"/>
          <w:iCs w:val="1"/>
          <w:color w:val="auto"/>
        </w:rPr>
        <w:t xml:space="preserve">Limitations on Incurrence of Debt. </w:t>
      </w:r>
      <w:r>
        <w:rPr>
          <w:rFonts w:ascii="Arial" w:cs="Arial" w:eastAsia="Arial" w:hAnsi="Arial"/>
          <w:sz w:val="16"/>
          <w:szCs w:val="16"/>
          <w:color w:val="auto"/>
        </w:rPr>
        <w:t>The notes will provide that we will not, and will not permit any subsidiary to, incur any Debt if, immediately 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giving effect to the incurrence of such Debt and the application of the proceeds thereof, the aggregate principal amount of all of our and our subsidiaries’ outstanding Debt on a consolidated basis determined in accordance with generally accepted accounting principles is greater than 60%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118"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In addition to the foregoing limitation on the incurrence of Debt, the notes will provide that 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of all of our and our subsidiaries’ outstanding Debt on a consolidated basis which is secured by any mortgage, lien, charge, pledge, encumbrance or security interest on our or our subsidiaries’ property is greater than 40%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for purposes of this limitation, the amount of obligations under capital leases shown as a liability on our consolidated balance sheet shall be deducted from Debt and from Total Assets.</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Furthermore, the notes also will provide that 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(1) such Debt and any other Debt incurred by us and our subsidiaries since the first day of such four-quarter period and the application of the proceeds therefrom, including to refinance other Debt, had occurred at the beginning of such period; (2)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(3)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Maintenance of Unencumbered Total Asset Value. </w:t>
      </w:r>
      <w:r>
        <w:rPr>
          <w:rFonts w:ascii="Arial" w:cs="Arial" w:eastAsia="Arial" w:hAnsi="Arial"/>
          <w:sz w:val="18"/>
          <w:szCs w:val="18"/>
          <w:color w:val="auto"/>
        </w:rPr>
        <w:t>The notes will provide that we, together with our subsidiaries, will at all times maintain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Unencumbered Total Asset Value in an amount not less than 150% of the aggregate outstanding principal amount of all our and our subsidiaries’ unsecured Debt, taken as a whole.</w:t>
      </w:r>
    </w:p>
    <w:p>
      <w:pPr>
        <w:spacing w:after="0" w:line="14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Insurance. </w:t>
      </w:r>
      <w:r>
        <w:rPr>
          <w:rFonts w:ascii="Arial" w:cs="Arial" w:eastAsia="Arial" w:hAnsi="Arial"/>
          <w:sz w:val="16"/>
          <w:szCs w:val="16"/>
          <w:color w:val="auto"/>
        </w:rPr>
        <w:t>The notes will provide that we will, and will cause each of our subsidiaries to, maintain insurance with financially sound and reputable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insurance companies against such risks and in such amounts as is customarily maintained by persons engaged in similar businesses or as may be required by applicable law, and that we will from time to time deliver to the Administrative Agent (as defined in our credit agreement dated as of July 7, 2011)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(1) existing at the time such person becomes a subsidiary or (2)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as of any date means the maximum amount which is payable in any period for interest on, and original issue discount of, our and our subsidiaries’ Debt and the amount of dividends which are payable in respect of any Disqualified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for any period means our and our subsidiaries’ Funds from Operations plus amounts which have been deducted for interest on our and our subsidiaries’ Debt.</w:t>
      </w:r>
    </w:p>
    <w:p>
      <w:pPr>
        <w:spacing w:after="0" w:line="13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Debt</w:t>
      </w:r>
      <w:r>
        <w:rPr>
          <w:rFonts w:ascii="Arial" w:cs="Arial" w:eastAsia="Arial" w:hAnsi="Arial"/>
          <w:sz w:val="16"/>
          <w:szCs w:val="16"/>
          <w:color w:val="auto"/>
        </w:rPr>
        <w:t xml:space="preserve">” means any of our or any of our subsidiaries’ indebtedness, whether or not contingent, in respect of (without duplication) (1) borrowed money evidenced by bonds, notes, debentures or similar instruments, (2) indebtedness secured by any mortgage, pledge, lien, charge, encumbrance or any security interest existing on property owned by us or any subsidiary, (3)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(4) the principal amount of all of our or any of our subsidiaries’ obligations with respect to redemption, repayment or other repurchase of any Disqualified Stock or (5) any lease of property by us or any subsidiary as lessee which is reflected on our consolidated balance sheet as a capitalized lease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have assigned our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assignee of ours is not in default of any amounts due and owing under such leases), Debt of another person (other than us or any subsidiary) (it being understood that Debt shall be deemed to be incurred by us or any subsidiary whenever we or such subsidiary shall create, assume, guarantee or otherwise become liable in respect thereof).</w:t>
      </w:r>
    </w:p>
    <w:p>
      <w:pPr>
        <w:spacing w:after="0" w:line="12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 (1) matures or is mandatorily redeemable, pursuant to a sinking fund obligation or otherwise, (2) is convertible into or exchangeable or exercisable for Debt or Disqualified Stock or (3) is redeemable at the option of the holder thereof, in whole or in part, in each case on or prior to the stated maturity of the notes.</w:t>
      </w:r>
    </w:p>
    <w:p>
      <w:pPr>
        <w:spacing w:after="0" w:line="11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Assets</w:t>
      </w:r>
      <w:r>
        <w:rPr>
          <w:rFonts w:ascii="Arial" w:cs="Arial" w:eastAsia="Arial" w:hAnsi="Arial"/>
          <w:sz w:val="18"/>
          <w:szCs w:val="18"/>
          <w:color w:val="auto"/>
        </w:rPr>
        <w:t>” as of any date means the sum of (1) our and all of our subsidiaries’ Undepreciated Real Estate Assets and (2) all of our and our subsidiaries’ other assets determined in accordance with generally accepted accounting principles (but excluding goodwill).</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Undepreciated Real Estate Assets</w:t>
      </w:r>
      <w:r>
        <w:rPr>
          <w:rFonts w:ascii="Arial" w:cs="Arial" w:eastAsia="Arial" w:hAnsi="Arial"/>
          <w:sz w:val="16"/>
          <w:szCs w:val="16"/>
          <w:color w:val="auto"/>
        </w:rPr>
        <w:t>” as of any date means the cost (original cost plus capital improvements) of our and our subsidiaries’ real estate assets on such date, before depreciation and amortization determined on a consolidated basis in accordance with generally accepted accounting principles.</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Unencumbered Total Asset Value</w:t>
      </w:r>
      <w:r>
        <w:rPr>
          <w:rFonts w:ascii="Arial" w:cs="Arial" w:eastAsia="Arial" w:hAnsi="Arial"/>
          <w:sz w:val="18"/>
          <w:szCs w:val="18"/>
          <w:color w:val="auto"/>
        </w:rPr>
        <w:t>” as of any date means the sum of (a) those Undepreciated Real Estate Assets not encumbered by any mortgage, lien, charge, pledge or security interest and (b) all of our and our subsidiaries’ other assets on a consolidated basis determined in accordance with generally accepted accounting principles (but excluding intangibles and accounts receivable), in each case which are unencumbered by any mortgage, lien, charge, pledge or security interest; provided, however, that in determining Unencumbered Total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Asset Value for purposes of the covenant set forth above in “— Maintenance of Unencumbered Total Asset Value,” all investments by us and any subsidiary in unconsolidated joint ventures, unconsolidated limited partnerships, unconsolidated limited liability companies and other unconsolidated entities accounted for financial reporting purposes using the equity method of accounting in accordance with U.S. generally accepted accounting principles shall be excluded from Unencumbered Total Asset Value.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“Description of Debt Securities — Certain Covenants” in the accompanying prospectus for a description of additional covenants applicable to us.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The notes will be subject to the following events of default:</w:t>
      </w:r>
    </w:p>
    <w:p>
      <w:pPr>
        <w:spacing w:after="0" w:line="90" w:lineRule="exact"/>
        <w:rPr>
          <w:sz w:val="20"/>
          <w:szCs w:val="20"/>
          <w:color w:val="auto"/>
        </w:rPr>
      </w:pPr>
    </w:p>
    <w:p>
      <w:pPr>
        <w:ind w:right="420" w:firstLine="464"/>
        <w:spacing w:after="0" w:line="268" w:lineRule="auto"/>
        <w:tabs>
          <w:tab w:leader="none" w:pos="632"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131" w:lineRule="exact"/>
        <w:rPr>
          <w:rFonts w:ascii="Arial" w:cs="Arial" w:eastAsia="Arial" w:hAnsi="Arial"/>
          <w:sz w:val="18"/>
          <w:szCs w:val="18"/>
          <w:color w:val="auto"/>
        </w:rPr>
      </w:pPr>
    </w:p>
    <w:p>
      <w:pPr>
        <w:ind w:right="560" w:firstLine="464"/>
        <w:spacing w:after="0" w:line="268" w:lineRule="auto"/>
        <w:tabs>
          <w:tab w:leader="none" w:pos="632"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171" w:lineRule="exact"/>
        <w:rPr>
          <w:rFonts w:ascii="Arial" w:cs="Arial" w:eastAsia="Arial" w:hAnsi="Arial"/>
          <w:sz w:val="18"/>
          <w:szCs w:val="18"/>
          <w:color w:val="auto"/>
        </w:rPr>
      </w:pPr>
    </w:p>
    <w:p>
      <w:pPr>
        <w:ind w:firstLine="464"/>
        <w:spacing w:after="0" w:line="259" w:lineRule="auto"/>
        <w:tabs>
          <w:tab w:leader="none" w:pos="632"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59" w:lineRule="exact"/>
        <w:rPr>
          <w:rFonts w:ascii="Arial" w:cs="Arial" w:eastAsia="Arial" w:hAnsi="Arial"/>
          <w:sz w:val="18"/>
          <w:szCs w:val="18"/>
          <w:color w:val="auto"/>
        </w:rPr>
      </w:pPr>
    </w:p>
    <w:p>
      <w:pPr>
        <w:ind w:left="1160" w:hanging="239"/>
        <w:spacing w:after="0"/>
        <w:tabs>
          <w:tab w:leader="none" w:pos="1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8"/>
        </w:numPr>
        <w:rPr>
          <w:rFonts w:ascii="Arial" w:cs="Arial" w:eastAsia="Arial" w:hAnsi="Arial"/>
          <w:sz w:val="16"/>
          <w:szCs w:val="16"/>
          <w:color w:val="auto"/>
        </w:rPr>
      </w:pPr>
      <w:r>
        <w:rPr>
          <w:rFonts w:ascii="Arial" w:cs="Arial" w:eastAsia="Arial" w:hAnsi="Arial"/>
          <w:sz w:val="16"/>
          <w:szCs w:val="16"/>
          <w:color w:val="auto"/>
        </w:rPr>
        <w:t>to us and the trustee by the holders of at least 25% in aggregate principal amount of the outstanding debt securities of the series.</w:t>
      </w:r>
    </w:p>
    <w:p>
      <w:pPr>
        <w:spacing w:after="0" w:line="194" w:lineRule="exact"/>
        <w:rPr>
          <w:rFonts w:ascii="Arial" w:cs="Arial" w:eastAsia="Arial" w:hAnsi="Arial"/>
          <w:sz w:val="16"/>
          <w:szCs w:val="16"/>
          <w:color w:val="auto"/>
        </w:rPr>
      </w:pPr>
    </w:p>
    <w:p>
      <w:pPr>
        <w:ind w:right="20" w:firstLine="464"/>
        <w:spacing w:after="0" w:line="289" w:lineRule="auto"/>
        <w:tabs>
          <w:tab w:leader="none" w:pos="632"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18" w:lineRule="exact"/>
        <w:rPr>
          <w:rFonts w:ascii="Arial" w:cs="Arial" w:eastAsia="Arial" w:hAnsi="Arial"/>
          <w:sz w:val="16"/>
          <w:szCs w:val="16"/>
          <w:color w:val="auto"/>
        </w:rPr>
      </w:pPr>
    </w:p>
    <w:p>
      <w:pPr>
        <w:ind w:left="640" w:hanging="17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8"/>
        </w:numPr>
        <w:rPr>
          <w:rFonts w:ascii="Arial" w:cs="Arial" w:eastAsia="Arial" w:hAnsi="Arial"/>
          <w:sz w:val="16"/>
          <w:szCs w:val="16"/>
          <w:color w:val="auto"/>
        </w:rPr>
      </w:pPr>
      <w:r>
        <w:rPr>
          <w:rFonts w:ascii="Arial" w:cs="Arial" w:eastAsia="Arial" w:hAnsi="Arial"/>
          <w:sz w:val="16"/>
          <w:szCs w:val="16"/>
          <w:color w:val="auto"/>
        </w:rPr>
        <w:t>appoints a receiver in respect of us or any of our significant subsidiaries or for all or substantially all of the property of any of us; or</w:t>
      </w:r>
    </w:p>
    <w:p>
      <w:pPr>
        <w:spacing w:after="0" w:line="194" w:lineRule="exact"/>
        <w:rPr>
          <w:rFonts w:ascii="Arial" w:cs="Arial" w:eastAsia="Arial" w:hAnsi="Arial"/>
          <w:sz w:val="16"/>
          <w:szCs w:val="16"/>
          <w:color w:val="auto"/>
        </w:rPr>
      </w:pPr>
    </w:p>
    <w:p>
      <w:pPr>
        <w:ind w:left="1160" w:hanging="239"/>
        <w:spacing w:after="0"/>
        <w:tabs>
          <w:tab w:leader="none" w:pos="1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orders our liquidation or the liquidation of any of our significant subsidiaries,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the order or decree remains unstayed and in effect for 90 days.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hanging="17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171" w:lineRule="exact"/>
        <w:rPr>
          <w:rFonts w:ascii="Arial" w:cs="Arial" w:eastAsia="Arial" w:hAnsi="Arial"/>
          <w:sz w:val="18"/>
          <w:szCs w:val="18"/>
          <w:color w:val="auto"/>
        </w:rPr>
      </w:pPr>
    </w:p>
    <w:p>
      <w:pPr>
        <w:ind w:firstLine="921"/>
        <w:spacing w:after="0" w:line="268" w:lineRule="auto"/>
        <w:tabs>
          <w:tab w:leader="none" w:pos="1162" w:val="left"/>
        </w:tabs>
        <w:numPr>
          <w:ilvl w:val="1"/>
          <w:numId w:val="9"/>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9"/>
        </w:numPr>
        <w:rPr>
          <w:rFonts w:ascii="Arial" w:cs="Arial" w:eastAsia="Arial" w:hAnsi="Arial"/>
          <w:sz w:val="16"/>
          <w:szCs w:val="16"/>
          <w:color w:val="auto"/>
        </w:rPr>
      </w:pPr>
      <w:r>
        <w:rPr>
          <w:rFonts w:ascii="Arial" w:cs="Arial" w:eastAsia="Arial" w:hAnsi="Arial"/>
          <w:sz w:val="16"/>
          <w:szCs w:val="16"/>
          <w:color w:val="auto"/>
        </w:rPr>
        <w:t>consent to the appointment of a receiver in respect of us or any of our significant subsidiaries for all or substantially all of our or its property; or</w:t>
      </w:r>
    </w:p>
    <w:p>
      <w:pPr>
        <w:spacing w:after="0" w:line="194" w:lineRule="exact"/>
        <w:rPr>
          <w:rFonts w:ascii="Arial" w:cs="Arial" w:eastAsia="Arial" w:hAnsi="Arial"/>
          <w:sz w:val="16"/>
          <w:szCs w:val="16"/>
          <w:color w:val="auto"/>
        </w:rPr>
      </w:pPr>
    </w:p>
    <w:p>
      <w:pPr>
        <w:ind w:left="1160" w:hanging="239"/>
        <w:spacing w:after="0"/>
        <w:tabs>
          <w:tab w:leader="none" w:pos="1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Form</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established a depositary arrangement with The Depository Trust Company, or the Depositary, with respect to the notes, the terms of which are summarized below. Upon issuance, each of the notes will be represented by a single Global Security (as defined in the indenture) and will be deposited with, or on behalf of, the Depositary and will be 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long as the Depositary or its nominee is the registered owner of a Global Security, the Depositary or its nominee, as the case may be, will be the sole Holder (as defined in the indenture) of the notes for all purposes under the indenture. Except as otherwise provided in this section, the Beneficial Owners (as defined in the indenture) of the Global Security representing the notes will not be entitled to receive physical delivery of certificated notes and will not be considered the Holders thereof for any purpose under the indenture, and no Global Security representing such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indenture. The laws of some jurisdictions require that certain purchasers of securities take physical delivery of such securities in certificated form. Such laws may impair the ability to transfer beneficial interests in a Global Security representing the notes.</w:t>
      </w:r>
    </w:p>
    <w:p>
      <w:pPr>
        <w:spacing w:after="0" w:line="11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Global Security representing the notes will be exchangeable for certificated notes of like tenor and terms and of differing authorized denominations aggregating a like principal amount, only if (1) the Depositary notifies us that it is unwilling or unable to continue as Depositary for the Global Security or the Depositary ceases to be a clearing agency registered under the Exchange Act (if so required by applicable law or regulation) and, in each case, a successor Depositary is not appointed by us within 90 days after we receive such notice or become aware of such unwillingness, inability or ineligibility, (2) we, in our discretion, determine that the Global Security shall be exchangeable for certificated notes or (3) there shall have occurred and be continuing an Event of Default (as defined in the indenture) under the indenture with respect to the notes and Beneficial Owners representing a majority in aggregate principal amount of the notes represented by the Global Security advise the Depositary to cease acting as depositary. Upon any such exchange, the certificated notes shall be registered in the names of the Beneficial Owners of the Global Security representing the notes, which names shall be provided by the Depositary’s relevant Participants (as identified by the Depositary) to the registrar.</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information below concerning the Depositary and the Depositary’s system has been furnished by the Depositary, and we take no responsibility for the accuracy thereof. The Depositary will act as securities depository for the notes. The notes will be issued as fully registered securities registered in the name of Cede &amp; Co. (the Depositary’s partnership nominee). One fully registered Global Security will be issued for the notes, in the aggregate principal amount of such issue, and will be deposited with the Depositary.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or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of the Depositary, or Direct Participants, include securities brokers and dealers, banks, trust companies, clearing corporations and certain other organizations. The Depositary is a wholly-owned subsidiary of The Depository Trust &amp; Clearing Corporation, or DTCC. DTCC is owned by the users of its regulated subsidiaries. Access to the Depositary’s system is also available to others such as securities brokers and dealers, banks and trust companies that clear through or maintain a custodial relationship with a Direct Participant, either directly or indirectly, or Indirect Participants. The rules applicable to the Depositary and its Participants are on file with the SEC.</w:t>
      </w:r>
    </w:p>
    <w:p>
      <w:pPr>
        <w:spacing w:after="0" w:line="12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Purchases of notes under the Depositary’s system must be made by or through Direct Participants, which will receive a credit for such notes on the Depositary’s records. The ownership interest of each actual purchaser of each note represented by a Global Security, or Beneficial Owner, is in turn to be recorded on the Direct Participants’ and Indirect Participants’ records.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 entered into the transaction. Transfers of ownership interests in a Global Security representing the notes are to be accomplished by entries made on the books of Participants acting on behalf of Beneficial Owners. Beneficial Owners of a Global Security representing the notes will not receive certificated notes representing their ownership interests therein, except in the event that use of the book-entry system for such notes is discontinued.</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To facilitate subsequent transfers, the Global Security representing the notes which is deposited with, or on behalf of, the Depositary are registered in the name of the Depositary’s partnership nominee, Cede &amp; Co. The deposit of a Global Security with, or on behalf of, the Depositary and its registration in the name of Cede &amp; Co. effects no change in beneficial ownership. The Depositary has no knowledge of the actual Beneficial Owners of the Global Security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40"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Neither the Depositary nor Cede &amp; Co. will consent or vote with respect to the Global Security representing the notes. Under its usual procedures, the Depositary mails an Omnibus Proxy to us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88"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Principal, premium, if any, and/or interest payments on the Global Security representing the notes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 the case with securities held for the accounts of customers in bearer form or registered in “street name,” and will be the</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responsibility of such Participant and not of the Depositary, the trustee or us, subject to any statutory or regulatory requirements as may be in effect from time to time. Payment of principal, premium, if any, and/or interest to the Depositary is the responsibility of us or the trustee, disbursement of such payments to Direct Participants shall be the responsibility of the Depositary, and disbursement of such payments to the Beneficial Owners shall be the responsibility of Direct Participants and Indirect Participants.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If applicable, redemption notices shall be sent to Cede &amp; Co. If less than all of the notes are being redeemed, the Depositary’s practice is to determine by lot the amount of the interest of each Direct Participant to be redeemed.</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Depositary may discontinue providing its services as securities depository with respect to the notes at any time by giving reasonable notice to the trustee or us. Under such circumstances, in the event that a successor securities depository is not obtained, certificated notes are required to be printed and delivered. We may decide to discontinue use of the system of book-entry transfers through the Depositary (or a successor securities depository). In that event, certificated notes will be printed and delivered.</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80"/>
          </w:cols>
          <w:pgMar w:left="240" w:top="459" w:right="3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MATERIAL FEDERAL INCOME TAX CONSIDERATIONS</w:t>
      </w:r>
    </w:p>
    <w:p>
      <w:pPr>
        <w:spacing w:after="0" w:line="177"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For a discussion of the taxation of us, see “Material Federal Income Tax Considerations” beginning on page 32 of the accompanying prospectus. The following is a general discussion of the material U.S. federal income tax considerations applicable to the acquisition, ownership and disposition of the notes. This discussion applies only to initial beneficial owners of the notes who purchase notes at their issue price (as defined below) and who hold the notes as capital assets (generally property held for investment) within the meaning of Section 1221 of the Internal Revenue Code of 1986, as amended (the “Code”). This discussion is based on the Code, income tax regulations promulgated thereunder, judicial decisions, published positions of the Internal Revenue Service (“IRS”) and other applicable authorities, all as in effect as of the date hereof and all of which are subject to change, possibly with retroactive effect. This discussion is general in nature and is not exhaustive of all possible tax considerations, nor does the discussion address any state, local or foreign tax considerations or any U.S. tax considerations (e.g., estate or gift tax) other than U.S. federal income tax considerations, that may be applicable to particular holders. This discussion does not address all the tax consequences that may be relevant to a particular holder or to holders subject to special treatment under the Code, such as financial institutions, brokers, dealers in securities and commodities, insurance companies, certain former U.S. citizens or long-term residents, regulated investment companies, real estate investment trusts, tax-exempt organizations, controlled foreign corporations, passive foreign investment companies, persons subject to the alternative minimum tax, U.S. holders whose functional currency is not the U.S. dollar, persons that are, or that hold their notes through, partnerships or other pass-through entities, or persons that hold notes as part of a straddle, hedge, conversion, synthetic security or constructive sale transaction for U.S. federal income tax purposes. Except as specifically provided below with respect to Non-U.S. Holders (as defined below), the discussion is limited to beneficial owners of notes that are U.S. Holders.</w:t>
      </w:r>
    </w:p>
    <w:p>
      <w:pPr>
        <w:spacing w:after="0" w:line="120" w:lineRule="exact"/>
        <w:rPr>
          <w:sz w:val="20"/>
          <w:szCs w:val="20"/>
          <w:color w:val="auto"/>
        </w:rPr>
      </w:pPr>
    </w:p>
    <w:p>
      <w:pPr>
        <w:ind w:right="360" w:firstLine="913"/>
        <w:spacing w:after="0" w:line="275" w:lineRule="auto"/>
        <w:rPr>
          <w:sz w:val="20"/>
          <w:szCs w:val="20"/>
          <w:color w:val="auto"/>
        </w:rPr>
      </w:pPr>
      <w:r>
        <w:rPr>
          <w:rFonts w:ascii="Arial" w:cs="Arial" w:eastAsia="Arial" w:hAnsi="Arial"/>
          <w:sz w:val="18"/>
          <w:szCs w:val="18"/>
          <w:b w:val="1"/>
          <w:bCs w:val="1"/>
          <w:color w:val="auto"/>
        </w:rPr>
        <w:t>PROSPECTIVE INVESTORS SHOULD CONSULT THEIR TAX ADVISORS REGARDING THE U.S. FEDERAL, STATE, LOCAL, FOREIGN AND OTHER TAX CONSEQUENCES OF THE ACQUISITION, OWNERSHIP AND DISPOSITION OF THE NOTES.</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purposes of this discussion, a “U.S. Holder” means a beneficial owner of a note that, for U.S. federal income tax purposes, is</w:t>
      </w:r>
    </w:p>
    <w:p>
      <w:pPr>
        <w:spacing w:after="0" w:line="90"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any state thereof of the District of Columbia;</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90" w:lineRule="exact"/>
        <w:rPr>
          <w:rFonts w:ascii="Arial" w:cs="Arial" w:eastAsia="Arial" w:hAnsi="Arial"/>
          <w:sz w:val="18"/>
          <w:szCs w:val="18"/>
          <w:color w:val="auto"/>
        </w:rPr>
      </w:pPr>
    </w:p>
    <w:p>
      <w:pPr>
        <w:jc w:val="both"/>
        <w:ind w:left="900" w:right="20" w:hanging="446"/>
        <w:spacing w:after="0" w:line="370" w:lineRule="auto"/>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 trust if (a) a court within the United States is able to exercise primary supervision over the administration of the trust and one or more United States persons have the authority to control all substantial decisions of the trust, or (b) it has a valid election in place to be treated as a United States person.</w:t>
      </w:r>
    </w:p>
    <w:p>
      <w:pPr>
        <w:spacing w:after="0" w:line="62" w:lineRule="exact"/>
        <w:rPr>
          <w:sz w:val="20"/>
          <w:szCs w:val="20"/>
          <w:color w:val="auto"/>
        </w:rPr>
      </w:pPr>
    </w:p>
    <w:p>
      <w:pPr>
        <w:jc w:val="both"/>
        <w:ind w:right="80" w:firstLine="913"/>
        <w:spacing w:after="0" w:line="306" w:lineRule="auto"/>
        <w:rPr>
          <w:sz w:val="20"/>
          <w:szCs w:val="20"/>
          <w:color w:val="auto"/>
        </w:rPr>
      </w:pPr>
      <w:r>
        <w:rPr>
          <w:rFonts w:ascii="Arial" w:cs="Arial" w:eastAsia="Arial" w:hAnsi="Arial"/>
          <w:sz w:val="16"/>
          <w:szCs w:val="16"/>
          <w:color w:val="auto"/>
        </w:rPr>
        <w:t>If an entity or arrangement treated as a partnership for U.S. federal income tax purposes is a holder of a note, the U.S. federal income tax treatment of a partner will generally depend on the status of the partner and the activities of the partnership. Partnerships that hold notes (and partners in such partnerships) should consult their tax advisors as to the particular U.S. federal income tax consequences applicable to them.</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“Non-U.S. Holder” means any beneficial owner of a note that is not a U.S. Holder or an entity or arrangement treated as a partnership for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purposes.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96" w:lineRule="exact"/>
        <w:rPr>
          <w:sz w:val="20"/>
          <w:szCs w:val="20"/>
          <w:color w:val="auto"/>
        </w:rPr>
      </w:pPr>
    </w:p>
    <w:p>
      <w:pPr>
        <w:ind w:right="80" w:firstLine="913"/>
        <w:spacing w:after="0" w:line="306" w:lineRule="auto"/>
        <w:rPr>
          <w:sz w:val="20"/>
          <w:szCs w:val="20"/>
          <w:color w:val="auto"/>
        </w:rPr>
      </w:pPr>
      <w:r>
        <w:rPr>
          <w:rFonts w:ascii="Arial" w:cs="Arial" w:eastAsia="Arial" w:hAnsi="Arial"/>
          <w:sz w:val="16"/>
          <w:szCs w:val="16"/>
          <w:b w:val="1"/>
          <w:bCs w:val="1"/>
          <w:i w:val="1"/>
          <w:iCs w:val="1"/>
          <w:color w:val="auto"/>
        </w:rPr>
        <w:t xml:space="preserve">Stated Interest on the Notes. </w:t>
      </w:r>
      <w:r>
        <w:rPr>
          <w:rFonts w:ascii="Arial" w:cs="Arial" w:eastAsia="Arial" w:hAnsi="Arial"/>
          <w:sz w:val="16"/>
          <w:szCs w:val="16"/>
          <w:color w:val="auto"/>
        </w:rPr>
        <w:t>A U.S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Holder generally will be required to include stated interest earned on the notes as ordinary income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received or accrued in accordance with the U.S. Holder’s regular method of tax accounting to the extent such interest is “qualified stated interest.” Stated interest is qualified stated interest if it is unconditionally payable in cash at least annually. The stated interest on the notes is qualified stated interest.</w:t>
      </w:r>
    </w:p>
    <w:p>
      <w:pPr>
        <w:spacing w:after="0" w:line="107"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b w:val="1"/>
          <w:bCs w:val="1"/>
          <w:i w:val="1"/>
          <w:iCs w:val="1"/>
          <w:color w:val="auto"/>
        </w:rPr>
        <w:t xml:space="preserve">OID and Issue Price of the Notes. </w:t>
      </w:r>
      <w:r>
        <w:rPr>
          <w:rFonts w:ascii="Arial" w:cs="Arial" w:eastAsia="Arial" w:hAnsi="Arial"/>
          <w:sz w:val="18"/>
          <w:szCs w:val="18"/>
          <w:color w:val="auto"/>
        </w:rPr>
        <w:t>A debt instrument generally has original issue discount, or OID, if its “stated redemption price at maturity”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exceeds its “issue price” by an amount that is equal to or greater than a statutory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A debt instrument’s stated redemption price at maturity includes all principal and interest payable over the term of the debt instrument, other than qualified stated interest. The issue price of the notes will be the first price at which a substantial amount of the notes are sold to the public (excluding bond houses, brokers, or similar persons or organizations acting in the capacity of underwriters, placement agents, or wholesalers).</w:t>
      </w:r>
    </w:p>
    <w:p>
      <w:pPr>
        <w:spacing w:after="0" w:line="143"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If the notes are treated as issued with OID under the rules described above, a U.S. Holder generally will be required to include such OID in income over the term of the notes in accordance with a constant-yield-to-maturity method, regardless of whether the U.S. Holder is a cash or accrual method taxpayer, and regardless of whether and when the U.S. Holder receives cash payments of interest on the notes (other than cash attributable to qualified stated interest). Accordingly, a U.S. Holder could be treated as receiving interest income in advance of a corresponding receipt of cash. Any OID that a U.S. Holder includes in income will increase the U.S. Holder’s tax basis in its notes. A U.S. Holder generally will not be required to include separately in income cash payments received on the notes to the extent that such payments constitute payments of previously accrued OID or payments of principal, and such payments will reduce the U.S. Holder’s tax basis in its notes by the amount of such payments.</w:t>
      </w:r>
    </w:p>
    <w:p>
      <w:pPr>
        <w:spacing w:after="0" w:line="118"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The remainder of this discussion assumes that the issue price of the notes will not be less than the stated principal amount of the notes by an amount that is equal to or greater than the statutory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U.S. Holders should consult their tax advisors regarding the determination of the issue price of the notes and the possible application of the OID rules.</w:t>
      </w:r>
    </w:p>
    <w:p>
      <w:pPr>
        <w:spacing w:after="0" w:line="140"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b w:val="1"/>
          <w:bCs w:val="1"/>
          <w:i w:val="1"/>
          <w:iCs w:val="1"/>
          <w:color w:val="auto"/>
        </w:rPr>
        <w:t xml:space="preserve">Sale, Exchange, Redemption, or Other Taxable Disposition of the Notes. </w:t>
      </w:r>
      <w:r>
        <w:rPr>
          <w:rFonts w:ascii="Arial" w:cs="Arial" w:eastAsia="Arial" w:hAnsi="Arial"/>
          <w:sz w:val="16"/>
          <w:szCs w:val="16"/>
          <w:color w:val="auto"/>
        </w:rPr>
        <w:t>Unless a non-recognition provision applies, upon the sale, exchange,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redemption or other taxable disposition of a note, a U.S. Holder will generally recognize capital gain or loss equal to the difference (if any) between the amount realized (other than amounts attributable to accrued but unpaid stated interest, which will be taxable as ordinary income) and such U.S. Holder’s adjusted tax basis in the note. The U.S. Holder’s adjusted tax basis in a note generally will be the purchase price for the note, reduced by the amount of any payments previously received by the U.S. Holder (other than qualified stated interest). Such gain or loss will be treated as long-term capital gain or loss if the note was held for more than one year at the time of disposition. Long-term capital gain recognized by certain non-corporate U.S. Holders generally will be subject to a preferential tax rate. Subject to limited exceptions, capital losses cannot be used to offset a U.S. Holder’s ordinary income.</w:t>
      </w:r>
    </w:p>
    <w:p>
      <w:pPr>
        <w:spacing w:after="0" w:line="112" w:lineRule="exact"/>
        <w:rPr>
          <w:sz w:val="20"/>
          <w:szCs w:val="20"/>
          <w:color w:val="auto"/>
        </w:rPr>
      </w:pPr>
    </w:p>
    <w:p>
      <w:pPr>
        <w:ind w:right="160" w:firstLine="913"/>
        <w:spacing w:after="0" w:line="301" w:lineRule="auto"/>
        <w:rPr>
          <w:sz w:val="20"/>
          <w:szCs w:val="20"/>
          <w:color w:val="auto"/>
        </w:rPr>
      </w:pPr>
      <w:r>
        <w:rPr>
          <w:rFonts w:ascii="Arial" w:cs="Arial" w:eastAsia="Arial" w:hAnsi="Arial"/>
          <w:sz w:val="16"/>
          <w:szCs w:val="16"/>
          <w:b w:val="1"/>
          <w:bCs w:val="1"/>
          <w:i w:val="1"/>
          <w:iCs w:val="1"/>
          <w:color w:val="auto"/>
        </w:rPr>
        <w:t>Unearned Income Medicare Contribution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taxable years beginning after December 31, 2012, certain U.S. Holders that are individuals, estates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trusts will be subject to a 3.8% tax on all or a portion of their “net investment income,” which may include all or a portion of their interest and net gains from the sale or other disposition of the notes. If you are a U.S. Holder that is an individual, estate or trust, you should consult your tax advisors regarding the applicability of the Medicare tax to your income and gains in respect of your investment in the notes.</w:t>
      </w:r>
    </w:p>
    <w:p>
      <w:pPr>
        <w:spacing w:after="0" w:line="103" w:lineRule="exact"/>
        <w:rPr>
          <w:sz w:val="20"/>
          <w:szCs w:val="20"/>
          <w:color w:val="auto"/>
        </w:rPr>
      </w:pPr>
    </w:p>
    <w:p>
      <w:pPr>
        <w:ind w:right="180" w:firstLine="913"/>
        <w:spacing w:after="0" w:line="275"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general, information reporting will apply to a U.S. Holder (other than an “exempt recipient,”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a corporation and certain other persons who, when required, demonstrate their exempt status) with respect to:</w:t>
      </w:r>
    </w:p>
    <w:p>
      <w:pPr>
        <w:spacing w:after="0" w:line="45" w:lineRule="exact"/>
        <w:rPr>
          <w:sz w:val="20"/>
          <w:szCs w:val="20"/>
          <w:color w:val="auto"/>
        </w:rPr>
      </w:pPr>
    </w:p>
    <w:p>
      <w:pPr>
        <w:ind w:left="5540" w:right="4100" w:hanging="4627"/>
        <w:spacing w:after="0" w:line="440" w:lineRule="auto"/>
        <w:tabs>
          <w:tab w:leader="none" w:pos="145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payments made of principal of, premium, if any, and interest on, the notes; and S-18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60" w:hanging="547"/>
        <w:spacing w:after="0"/>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payment of the proceeds of a sale or other disposition of the notes.</w:t>
      </w:r>
    </w:p>
    <w:p>
      <w:pPr>
        <w:spacing w:after="0" w:line="171" w:lineRule="exact"/>
        <w:rPr>
          <w:sz w:val="20"/>
          <w:szCs w:val="20"/>
          <w:color w:val="auto"/>
        </w:rPr>
      </w:pPr>
    </w:p>
    <w:p>
      <w:pPr>
        <w:ind w:right="160" w:firstLine="913"/>
        <w:spacing w:after="0" w:line="306" w:lineRule="auto"/>
        <w:rPr>
          <w:sz w:val="20"/>
          <w:szCs w:val="20"/>
          <w:color w:val="auto"/>
        </w:rPr>
      </w:pPr>
      <w:r>
        <w:rPr>
          <w:rFonts w:ascii="Arial" w:cs="Arial" w:eastAsia="Arial" w:hAnsi="Arial"/>
          <w:sz w:val="16"/>
          <w:szCs w:val="16"/>
          <w:color w:val="auto"/>
        </w:rPr>
        <w:t>In addition, “backup withholding” at the applicable statutory rate may apply to such amounts if a U.S. Holder fails to provide a correct taxpayer identification number certified under penalties of perjury or otherwise comply with applicable requirements of the backup withholding rules. A U.S. Holder that does not provide its correct taxpayer identification number also may be subject to penalties imposed by the IRS.</w:t>
      </w:r>
    </w:p>
    <w:p>
      <w:pPr>
        <w:spacing w:after="0" w:line="107" w:lineRule="exact"/>
        <w:rPr>
          <w:sz w:val="20"/>
          <w:szCs w:val="20"/>
          <w:color w:val="auto"/>
        </w:rPr>
      </w:pPr>
    </w:p>
    <w:p>
      <w:pPr>
        <w:ind w:right="660" w:firstLine="913"/>
        <w:spacing w:after="0" w:line="268" w:lineRule="auto"/>
        <w:rPr>
          <w:sz w:val="20"/>
          <w:szCs w:val="20"/>
          <w:color w:val="auto"/>
        </w:rPr>
      </w:pPr>
      <w:r>
        <w:rPr>
          <w:rFonts w:ascii="Arial" w:cs="Arial" w:eastAsia="Arial" w:hAnsi="Arial"/>
          <w:sz w:val="18"/>
          <w:szCs w:val="18"/>
          <w:color w:val="auto"/>
        </w:rPr>
        <w:t>Any backup withholding is not an additional tax and may be refunded or credited against the U.S. Holder’s U.S. federal income tax liability, provided that the required information is timely provided to the IRS.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96"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The rules governing the U.S. federal income taxation of Non-U.S. Holders are complex and no attempt will be made herein to provide more than a summary of such rules. Prospective Non-U.S. Holders should consult their tax advisors to determine the impact of federal, state, local and other tax laws with regard to an investment in the notes.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 xml:space="preserve">Interest on the Notes. </w:t>
      </w:r>
      <w:r>
        <w:rPr>
          <w:rFonts w:ascii="Arial" w:cs="Arial" w:eastAsia="Arial" w:hAnsi="Arial"/>
          <w:sz w:val="16"/>
          <w:szCs w:val="16"/>
          <w:color w:val="auto"/>
        </w:rPr>
        <w:t>Subject to the rules described below under “Information Reporting and Backup Withholding” and “FATCA Regime,” a Non-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U.S. Holder generally will not be subject to U.S. federal income or withholding tax on payments of interest on a note, provided that:</w:t>
      </w:r>
    </w:p>
    <w:p>
      <w:pPr>
        <w:spacing w:after="0" w:line="84" w:lineRule="exact"/>
        <w:rPr>
          <w:sz w:val="20"/>
          <w:szCs w:val="20"/>
          <w:color w:val="auto"/>
        </w:rPr>
      </w:pPr>
    </w:p>
    <w:p>
      <w:pPr>
        <w:ind w:left="1460" w:hanging="547"/>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Non-U.S. Holder is not</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direct or indirect owner of 10% or more of our voting stock;</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controlled foreign corporation related to us through stock ownership; or</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 bank whose receipt of interest on a note is pursuant to a loan agreement entered into in the ordinary course of business;</w:t>
      </w:r>
    </w:p>
    <w:p>
      <w:pPr>
        <w:spacing w:after="0" w:line="113" w:lineRule="exact"/>
        <w:rPr>
          <w:rFonts w:ascii="Arial" w:cs="Arial" w:eastAsia="Arial" w:hAnsi="Arial"/>
          <w:sz w:val="16"/>
          <w:szCs w:val="16"/>
          <w:color w:val="auto"/>
        </w:rPr>
      </w:pPr>
    </w:p>
    <w:p>
      <w:pPr>
        <w:ind w:left="1460" w:right="20" w:hanging="547"/>
        <w:spacing w:after="0" w:line="268" w:lineRule="auto"/>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such interest payments are not effectively connected with the conduct by the Non-U.S. Holder of a trade or business within the United States; and</w:t>
      </w:r>
    </w:p>
    <w:p>
      <w:pPr>
        <w:spacing w:after="0" w:line="50" w:lineRule="exact"/>
        <w:rPr>
          <w:rFonts w:ascii="Arial" w:cs="Arial" w:eastAsia="Arial" w:hAnsi="Arial"/>
          <w:sz w:val="18"/>
          <w:szCs w:val="18"/>
          <w:color w:val="auto"/>
        </w:rPr>
      </w:pPr>
    </w:p>
    <w:p>
      <w:pPr>
        <w:ind w:left="1460" w:right="80" w:hanging="547"/>
        <w:spacing w:after="0" w:line="332" w:lineRule="auto"/>
        <w:tabs>
          <w:tab w:leader="none" w:pos="1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or our paying agent receives certain information from the Non-U.S. Holder (or a financial institution that holds the notes on behalf of the Non-U.S. Holder in the ordinary course of its trade or business) certifying that such holder is a Non-U.S. Holder.</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Non-U.S. Holder that is not exempt from tax under these rules generally will be subject to U.S. federal income tax withholding at a rate of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unless:</w:t>
      </w:r>
    </w:p>
    <w:p>
      <w:pPr>
        <w:spacing w:after="0" w:line="84" w:lineRule="exact"/>
        <w:rPr>
          <w:sz w:val="20"/>
          <w:szCs w:val="20"/>
          <w:color w:val="auto"/>
        </w:rPr>
      </w:pPr>
    </w:p>
    <w:p>
      <w:pPr>
        <w:ind w:left="1460" w:right="280" w:hanging="547"/>
        <w:spacing w:after="0" w:line="332" w:lineRule="auto"/>
        <w:tabs>
          <w:tab w:leader="none" w:pos="1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income is effectively connected with the conduct of a U.S. trade or business (and, if required by an applicable tax treaty, the income is attributable to a permanent establishment maintained in the United States by such Non-U.S. Holder); or</w:t>
      </w:r>
    </w:p>
    <w:p>
      <w:pPr>
        <w:spacing w:after="0" w:line="4" w:lineRule="exact"/>
        <w:rPr>
          <w:rFonts w:ascii="Arial" w:cs="Arial" w:eastAsia="Arial" w:hAnsi="Arial"/>
          <w:sz w:val="16"/>
          <w:szCs w:val="16"/>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applicable income tax treaty provides for a lower rate of, or exemption from, withholding tax.</w:t>
      </w:r>
    </w:p>
    <w:p>
      <w:pPr>
        <w:spacing w:after="0" w:line="171"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Except to the extent provided by an applicable tax treaty, interest on a note that is effectively connected with the conduct by a Non-U.S. Holder of a trade or business in the United States (and, if required by an applicable tax treaty, the interest is attributable to a permanent establishment maintained in the United States by such Non-U.S. Holder) generally will be subject to U.S. federal income tax on a net basis at the rates applicable to U.S. persons. A Non-U.S. Holder that is treated as a corporation for U.S. federal income tax purposes may also be subject to a branch profits tax, which is generally imposed on a foreign corporation on the deemed repatriation from the United States of effectively connected earnings and profits, at a 30% rate (subject to reduction or elimination under an applicable tax treaty). If interest is subject to U.S. federal income tax on a net basis in accordance with the rules described in the second preceding sentence, payments of such interest will not be subject to U.S. withholding tax so long as the Non-U.S. Holder provides us or the paying agent with an appropriate IRS Form (generally, IRS Form W-8ECI). To claim the benefit of a reduced rate of, or exemption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from, the 30% withholding tax under an income tax treaty, the Non-U.S. Holder must timely provide the appropriate, properly executed IRS form (generally, IRS Form W-8BEN). These forms may be required to be periodically updated.</w:t>
      </w:r>
    </w:p>
    <w:p>
      <w:pPr>
        <w:spacing w:after="0" w:line="132" w:lineRule="exact"/>
        <w:rPr>
          <w:sz w:val="20"/>
          <w:szCs w:val="20"/>
          <w:color w:val="auto"/>
        </w:rPr>
      </w:pPr>
    </w:p>
    <w:p>
      <w:pPr>
        <w:jc w:val="both"/>
        <w:ind w:right="240" w:firstLine="913"/>
        <w:spacing w:after="0" w:line="259" w:lineRule="auto"/>
        <w:rPr>
          <w:sz w:val="20"/>
          <w:szCs w:val="20"/>
          <w:color w:val="auto"/>
        </w:rPr>
      </w:pPr>
      <w:r>
        <w:rPr>
          <w:rFonts w:ascii="Arial" w:cs="Arial" w:eastAsia="Arial" w:hAnsi="Arial"/>
          <w:sz w:val="18"/>
          <w:szCs w:val="18"/>
          <w:b w:val="1"/>
          <w:bCs w:val="1"/>
          <w:i w:val="1"/>
          <w:iCs w:val="1"/>
          <w:color w:val="auto"/>
        </w:rPr>
        <w:t xml:space="preserve">Sale, Exchange, Redemption, or Other Taxable Disposition of the Notes. </w:t>
      </w:r>
      <w:r>
        <w:rPr>
          <w:rFonts w:ascii="Arial" w:cs="Arial" w:eastAsia="Arial" w:hAnsi="Arial"/>
          <w:sz w:val="18"/>
          <w:szCs w:val="18"/>
          <w:color w:val="auto"/>
        </w:rPr>
        <w:t>Subject to the rules described below under “Information Reporting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Backup Withholding” and “FATCA Regime,” a Non-U.S. Holder generally will not be subject to U.S. federal income or withholding tax on gain from the sale, exchange, redemption or other taxable disposition of a note unless:</w:t>
      </w:r>
    </w:p>
    <w:p>
      <w:pPr>
        <w:spacing w:after="0" w:line="59" w:lineRule="exact"/>
        <w:rPr>
          <w:sz w:val="20"/>
          <w:szCs w:val="20"/>
          <w:color w:val="auto"/>
        </w:rPr>
      </w:pPr>
    </w:p>
    <w:p>
      <w:pPr>
        <w:ind w:left="1460" w:right="180" w:hanging="547"/>
        <w:spacing w:after="0" w:line="332" w:lineRule="auto"/>
        <w:tabs>
          <w:tab w:leader="none" w:pos="1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such gain is effectively connected with the conduct by the Non-U.S. Holder or a trade or business within the United States (and, if required by an applicable tax treaty, is attributable to a permanent establishment maintained in the United States by the Non-U.S. Holder); or</w:t>
      </w:r>
    </w:p>
    <w:p>
      <w:pPr>
        <w:spacing w:after="0" w:line="4" w:lineRule="exact"/>
        <w:rPr>
          <w:rFonts w:ascii="Arial" w:cs="Arial" w:eastAsia="Arial" w:hAnsi="Arial"/>
          <w:sz w:val="16"/>
          <w:szCs w:val="16"/>
          <w:color w:val="auto"/>
        </w:rPr>
      </w:pPr>
    </w:p>
    <w:p>
      <w:pPr>
        <w:ind w:left="1460" w:right="160" w:hanging="547"/>
        <w:spacing w:after="0" w:line="268" w:lineRule="auto"/>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such Non-U.S. Holder is an individual who is present in the United States for 183 days or more in the taxable year of disposition and meets certain other requirements.</w:t>
      </w:r>
    </w:p>
    <w:p>
      <w:pPr>
        <w:spacing w:after="0" w:line="132" w:lineRule="exact"/>
        <w:rPr>
          <w:sz w:val="20"/>
          <w:szCs w:val="20"/>
          <w:color w:val="auto"/>
        </w:rPr>
      </w:pPr>
    </w:p>
    <w:p>
      <w:pPr>
        <w:ind w:right="80" w:firstLine="913"/>
        <w:spacing w:after="0" w:line="283" w:lineRule="auto"/>
        <w:rPr>
          <w:sz w:val="20"/>
          <w:szCs w:val="20"/>
          <w:color w:val="auto"/>
        </w:rPr>
      </w:pPr>
      <w:r>
        <w:rPr>
          <w:rFonts w:ascii="Arial" w:cs="Arial" w:eastAsia="Arial" w:hAnsi="Arial"/>
          <w:sz w:val="16"/>
          <w:szCs w:val="16"/>
          <w:color w:val="auto"/>
        </w:rPr>
        <w:t>Except to the extent provided by an applicable tax treaty, gain from the sale or disposition of a note that is effectively connected with the conduct by the Non-U.S. Holder of a trade or business in the United States (and, if required by an applicable tax treaty, the gain is attributable to a permanent establishment maintained in the United States by such Non-U.S. Holder) generally will be subject to U.S. federal income tax on a net basis at the rates applicable to U.S. persons. A Non-U.S. Holder that is treated as a corporation for U.S. federal income tax purposes may also be subject to a branch profits tax, which is generally imposed on a foreign corporation on the deemed repatriation from the United States of effectively connected earnings and profits, at a 30% rate (subject to reduction or elimination under an applicable tax treaty). If such gains are realized by a Non-U.S. Holder who is an individual present in the United States for</w:t>
      </w:r>
    </w:p>
    <w:p>
      <w:pPr>
        <w:spacing w:after="0" w:line="1"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183 days or more in the taxable year, then, except to the extent otherwise provided by an applicable income tax treaty, such individual generally will be subject to U.S. federal income tax at a rate of 30% on the amount by which capital gains from U.S. sources (including gains from the sale or other disposition of the notes) exceed capital losses allocable to U.S. sources. Any amount attributable to accrued but unpaid interest on the notes will generally be treated in the same manner as payments of interest made to such Non-U.S. Holder, as described above under “— Interest on the Notes.” Non-U.S. Holders should consult their tax advisors on the treatment of any accrued but unpaid interest on the notes.</w:t>
      </w:r>
    </w:p>
    <w:p>
      <w:pPr>
        <w:spacing w:after="0" w:line="117"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Payments to a Non-U.S. Holder of interest on a note generally will be reported to the IRS and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Non-U.S. Holder. Copies of applicable IRS information returns may be made available, under the provisions of a specific tax treaty or agreement, to the tax authorities of the country in which the Non-U.S. Holder resides. Additional information reporting and backup withholding generally will not apply to payments of interest with respect to which either the requisite certification that the Non-U.S. Holder is not a U.S. person for U.S. federal income tax purposes, as described under the heading “— Interest on the Notes” above, has been received or an exemption has otherwise been established provided that neither we nor our paying agent have actual knowledge or reason to know that the Non-U.S. Holder is a U.S. person that is not an exempt recipient or that the conditions of any other exemption are not, in fact, satisfied.</w:t>
      </w:r>
    </w:p>
    <w:p>
      <w:pPr>
        <w:spacing w:after="0" w:line="147"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As a general matter, backup withholding and information reporting will not apply to a payment of the proceeds of a sale of a note effected at a foreign office of a foreign broker. Information reporting (but not backup withholding) will apply, however, to a payment of the proceeds of a sale of a note by a foreign office of a broker that:</w:t>
      </w:r>
    </w:p>
    <w:p>
      <w:pPr>
        <w:spacing w:after="0" w:line="59" w:lineRule="exact"/>
        <w:rPr>
          <w:sz w:val="20"/>
          <w:szCs w:val="20"/>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a “controlled foreign corporation” (a foreign corporation controlled by certain U.S. shareholders) for U.S. tax purposes;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60" w:right="200" w:hanging="547"/>
        <w:spacing w:after="0" w:line="268" w:lineRule="auto"/>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 a foreign partnership, if at any time during its tax year more than 50% of its income or capital interest are held by U.S. persons or if it is engaged in the conduct of a trade or business in the U.S.,</w:t>
      </w:r>
    </w:p>
    <w:p>
      <w:pPr>
        <w:spacing w:after="0" w:line="13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unless the broker has documentary evidence in its records that the holder or beneficial owner is a Non-U.S. Holder and certain other conditions are met, or the holder otherwise establishes an exemption. Payment of the proceeds of a sale of a note effected at a U.S. office of a broker is subject to both backup withholding and information reporting unless the holder certifies under penalty of perjury that the holder is a Non-U.S. Holder, or otherwise establishes an exemption; provided that, in either case, neither we nor any withholding agent knows or has reason to know that the holder is a United States person or that the conditions of any other exemptions are in fact not satisfied.</w:t>
      </w:r>
    </w:p>
    <w:p>
      <w:pPr>
        <w:spacing w:after="0" w:line="143"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Any backup withholding is not an additional tax and may be refunded or credited against the Non-U.S. Holder’s U.S. federal income tax liability, provided that the required information is timely provided to the IRS.</w:t>
      </w:r>
    </w:p>
    <w:p>
      <w:pPr>
        <w:spacing w:after="0" w:line="126"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b w:val="1"/>
          <w:bCs w:val="1"/>
          <w:i w:val="1"/>
          <w:iCs w:val="1"/>
          <w:color w:val="auto"/>
        </w:rPr>
        <w:t>FATCA Regime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Foreign Account Tax Compliance Act provisions of the Hiring Incentives to Restore Employment Act (generally referred to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“FATCA”), when applicable, will impose a U.S. federal withholding tax of 30% on certain payments to foreign financial institutions and other non-U.S. persons that fail to comply with certain certification and information reporting requirements. The obligation to withhold under FATCA is currently expected to apply to payments of U.S.-source interest and OID on obligations made on or after January 1, 2014 and payments of gross proceeds from the sale or other disposition of such obligations made on or after January 1, 2015. However, FATCA withholding will not apply to obligations issued before, and not the subject of a significant modification on or after, January 1, 2013 (or such other date as is specified in guidance issued by the U.S. Treasury Department). Because the notes will be issued before January 1, 2013, this new withholding tax is not expected to apply to payments on the notes unless they are modified after such date, in which case payments on, and the gross proceeds from the sale or other disposition of, the notes to certain foreign entities could become subject to the FATCA withholding tax. We will not pay any additional amounts in respect of any amounts withheld under FATCA.</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Prospective investors are encouraged to consult their own tax advisors regarding the possible implications of this legislation on their investment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notes.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 (CONFLICTS OF INTEREST)</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intend to offer the notes through the underwriters named below, for whom Wells Fargo Securities, LLC, Citigroup Global Markets Inc. and RBC Capital Markets, LLC are acting as representatives. Subject to the terms and conditions stated in an underwriting agreement and a related pricing agreement, each dated the date of this prospectus supplement, each underwriter named below has severally agreed to purchase, and we have agreed to sell to that underwriter, the principal amount of the notes listed opposite its name below.</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Principal</w:t>
            </w: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896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68"/>
        </w:trPr>
        <w:tc>
          <w:tcPr>
            <w:tcW w:w="780" w:type="dxa"/>
            <w:vAlign w:val="bottom"/>
            <w:tcBorders>
              <w:bottom w:val="single" w:sz="8" w:color="auto"/>
            </w:tcBorders>
            <w:vMerge w:val="continue"/>
          </w:tcPr>
          <w:p>
            <w:pPr>
              <w:spacing w:after="0"/>
              <w:rPr>
                <w:sz w:val="14"/>
                <w:szCs w:val="14"/>
                <w:color w:val="auto"/>
              </w:rPr>
            </w:pPr>
          </w:p>
        </w:tc>
        <w:tc>
          <w:tcPr>
            <w:tcW w:w="89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2"/>
              </w:rPr>
              <w:t>Notes</w:t>
            </w:r>
          </w:p>
        </w:tc>
        <w:tc>
          <w:tcPr>
            <w:tcW w:w="0" w:type="dxa"/>
            <w:vAlign w:val="bottom"/>
          </w:tcPr>
          <w:p>
            <w:pPr>
              <w:spacing w:after="0"/>
              <w:rPr>
                <w:sz w:val="1"/>
                <w:szCs w:val="1"/>
                <w:color w:val="auto"/>
              </w:rPr>
            </w:pPr>
          </w:p>
        </w:tc>
      </w:tr>
      <w:tr>
        <w:trPr>
          <w:trHeight w:val="203"/>
        </w:trPr>
        <w:tc>
          <w:tcPr>
            <w:tcW w:w="97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Wells Fargo Securities, LLC</w:t>
            </w: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4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underwriters have agreed to purchase all of the principal amount of the notes shown in the above table if any of the notes are purchased. If an underwriter defaults, the underwriting agreement provides that the purchase commitments of the nondefaulting underwriters may be increased or the underwriting agreement may be terminated.</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notes are offered by the underwriters, subject to prior sale, when, as and if issued to and accepted by them, subject to approval of legal matters by counsel for the underwriters and other conditions. The underwriters reserve the right to withdraw, cancel or modify the offer and to reject orders in whole or in part.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underwriters have advised us that they propose to offer the notes to the public at the initial public offering price on the cover page of this prospectus supplement and to dealers at that price less a concession not in excess of % of the principal amount of the notes. The underwriters may allow, and the dealers may reallow, a discount not in excess of % of the principal amount of the notes on sales to other dealers. After the initial offering, the public offering price and concession to dealers may be changed.</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 shows the underwriting discount that we are to pay to the underwriters in connection with this offering (expressed as a percentage of the principal amount of the notes).</w:t>
      </w:r>
    </w:p>
    <w:p>
      <w:pPr>
        <w:spacing w:after="0" w:line="168"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Paid by Us</w:t>
      </w:r>
    </w:p>
    <w:tbl>
      <w:tblPr>
        <w:tblLayout w:type="fixed"/>
        <w:tblInd w:w="1840" w:type="dxa"/>
        <w:tblCellMar>
          <w:top w:w="0" w:type="dxa"/>
          <w:left w:w="0" w:type="dxa"/>
          <w:bottom w:w="0" w:type="dxa"/>
          <w:right w:w="0" w:type="dxa"/>
        </w:tblCellMar>
      </w:tblPr>
      <w:tr>
        <w:trPr>
          <w:trHeight w:val="210"/>
        </w:trPr>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note</w:t>
            </w:r>
          </w:p>
        </w:tc>
        <w:tc>
          <w:tcPr>
            <w:tcW w:w="64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bl>
    <w:p>
      <w:pPr>
        <w:spacing w:after="0" w:line="15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connection with this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this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this offering is in progress.</w:t>
      </w:r>
    </w:p>
    <w:p>
      <w:pPr>
        <w:spacing w:after="0" w:line="11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underwriters also may impose penalty bids.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the expenses of this offering payable by us, excluding the underwriting discount, will be approximately $500,000.</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expect to deliver the notes against payment for the notes on or about the date specified in the next to last paragraph of the cover page of this prospectus supplement.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Affiliates of certain of the underwriters are lenders under our revolving credit facility and will receive a pro rata portion of the net proceeds used to repay amounts outstanding under our revolving credit facility. Accordingly, certain of the underwriters or their affiliates may receive more than 5% of the proceeds of this offering. Nonetheless, in accordance with Rule 5121 of the Financial Industry Regulatory Authority Inc., the appointment of a qualified independent underwriter is not necessary in connection with this offering because, as a REIT, we are excluded from that requirement.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Certain of the underwriters and their affiliates have engaged in, and may in the future engage in, investment banking, commercial banking and other commercial dealings in the ordinary course of business with us or our affiliates.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in the ordinary course of their business activities, certain of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or their affiliates that have a lending relationship with us routinely hedge or may hedge their credit exposure to us consistent with their customary risk management policies. Typically, such underwriters and their affiliates would hedge such credit exposure by entering into transactions which consist of either the purchase of credit default swaps or the creation of short positions in our securities, including potentially the notes offered hereby. The underwriters or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On July 11, 2012, we announced that James M. Taylor, a Senior Managing Director in the real estate investment banking group of an affiliate of Wells Fargo Securities, LLC, will succeed Andrew Blocher as our chief financial officer on August 15,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Act, or to contribute to payments the underwriters may be required to make because of any of those liabilities.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340"/>
          </w:cols>
          <w:pgMar w:left="240" w:top="459" w:right="3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The consolidated financial statements and management’s assessment of effectiveness of internal control over financial reporting incorporated by reference in this prospectus supplement and elsewhere in the registration statement have been so incorporated by reference in reliance upon the reports of Grant Thornton LLP, an independent registered public accounting firm, upon the authority of said firm as experts in accounting and auditing in giving said reports.</w:t>
      </w:r>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The legality of the notes offered by this prospectus supplement will be passed upon for us by Pillsbury Winthrop Shaw Pittman LLP, Washington, DC. In addition, the descriptions of material U.S. federal income tax considerations contained herein under “Additional Material U.S. Federal Income Tax Considerations” and in the accompanying prospectus under “Material Federal Income Tax Considerations” are, to the extent that they constitute matters of law, summaries of legal matters or legal conclusions, based upon the opinion of Pillsbury Winthrop Shaw Pittman LLP, Washington, DC. Sidley Austin </w:t>
      </w:r>
      <w:r>
        <w:rPr>
          <w:rFonts w:ascii="Arial" w:cs="Arial" w:eastAsia="Arial" w:hAnsi="Arial"/>
          <w:sz w:val="14"/>
          <w:szCs w:val="14"/>
          <w:color w:val="auto"/>
        </w:rPr>
        <w:t>LLP</w:t>
      </w:r>
      <w:r>
        <w:rPr>
          <w:rFonts w:ascii="Arial" w:cs="Arial" w:eastAsia="Arial" w:hAnsi="Arial"/>
          <w:sz w:val="18"/>
          <w:szCs w:val="18"/>
          <w:color w:val="auto"/>
        </w:rPr>
        <w:t>, New York, New York, will act as counsel to the underwriters.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300"/>
          </w:cols>
          <w:pgMar w:left="240" w:top="459"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300"/>
        <w:spacing w:after="0"/>
        <w:rPr>
          <w:sz w:val="20"/>
          <w:szCs w:val="20"/>
          <w:color w:val="auto"/>
        </w:rPr>
      </w:pPr>
      <w:r>
        <w:rPr>
          <w:rFonts w:ascii="Arial" w:cs="Arial" w:eastAsia="Arial" w:hAnsi="Arial"/>
          <w:sz w:val="24"/>
          <w:szCs w:val="24"/>
          <w:b w:val="1"/>
          <w:bCs w:val="1"/>
          <w:color w:val="auto"/>
        </w:rPr>
        <w:t>Debt Securities, Common Shares, Preferred Shares, Depositary Shares and Warrants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90"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common shares of beneficial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warrants to purchase our common or preferred shares.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94" w:lineRule="exact"/>
        <w:rPr>
          <w:sz w:val="20"/>
          <w:szCs w:val="20"/>
          <w:color w:val="auto"/>
        </w:rPr>
      </w:pPr>
    </w:p>
    <w:p>
      <w:pPr>
        <w:ind w:left="58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33">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right="72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May 8, 2012.</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360" w:type="dxa"/>
            <w:vAlign w:val="bottom"/>
            <w:gridSpan w:val="2"/>
          </w:tcPr>
          <w:p>
            <w:pPr>
              <w:jc w:val="right"/>
              <w:ind w:right="4582"/>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3960" w:type="dxa"/>
            <w:vAlign w:val="bottom"/>
            <w:gridSpan w:val="12"/>
            <w:vMerge w:val="restart"/>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About this Prospectus</w:t>
              </w:r>
            </w:hyperlink>
          </w:p>
        </w:tc>
        <w:tc>
          <w:tcPr>
            <w:tcW w:w="70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3960" w:type="dxa"/>
            <w:vAlign w:val="bottom"/>
            <w:gridSpan w:val="12"/>
            <w:vMerge w:val="continue"/>
          </w:tcPr>
          <w:p>
            <w:pPr>
              <w:spacing w:after="0"/>
              <w:rPr>
                <w:sz w:val="14"/>
                <w:szCs w:val="14"/>
                <w:color w:val="auto"/>
              </w:rPr>
            </w:pPr>
          </w:p>
        </w:tc>
        <w:tc>
          <w:tcPr>
            <w:tcW w:w="7080" w:type="dxa"/>
            <w:vAlign w:val="bottom"/>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Forward-Looking Statements</w:t>
              </w:r>
            </w:hyperlink>
          </w:p>
        </w:tc>
        <w:tc>
          <w:tcPr>
            <w:tcW w:w="1880" w:type="dxa"/>
            <w:vAlign w:val="bottom"/>
            <w:gridSpan w:val="5"/>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Prospectus Summary</w:t>
              </w:r>
            </w:hyperlink>
          </w:p>
        </w:tc>
        <w:tc>
          <w:tcPr>
            <w:tcW w:w="2420" w:type="dxa"/>
            <w:vAlign w:val="bottom"/>
            <w:gridSpan w:val="6"/>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Risk Factors</w:t>
              </w:r>
            </w:hyperlink>
          </w:p>
        </w:tc>
        <w:tc>
          <w:tcPr>
            <w:tcW w:w="3060" w:type="dxa"/>
            <w:vAlign w:val="bottom"/>
            <w:gridSpan w:val="10"/>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960" w:type="dxa"/>
            <w:vAlign w:val="bottom"/>
            <w:gridSpan w:val="12"/>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Use of Proceeds</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Description of Debt Securities</w:t>
              </w:r>
            </w:hyperlink>
          </w:p>
        </w:tc>
        <w:tc>
          <w:tcPr>
            <w:tcW w:w="1820" w:type="dxa"/>
            <w:vAlign w:val="bottom"/>
            <w:gridSpan w:val="4"/>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Description of Shares of Beneficial Interest</w:t>
              </w:r>
            </w:hyperlink>
          </w:p>
        </w:tc>
        <w:tc>
          <w:tcPr>
            <w:tcW w:w="900" w:type="dxa"/>
            <w:vAlign w:val="bottom"/>
            <w:gridSpan w:val="2"/>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3960" w:type="dxa"/>
            <w:vAlign w:val="bottom"/>
            <w:gridSpan w:val="12"/>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Material Federal Income Tax Considerations</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31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Plan of Distribution</w:t>
              </w:r>
            </w:hyperlink>
          </w:p>
        </w:tc>
        <w:tc>
          <w:tcPr>
            <w:tcW w:w="820" w:type="dxa"/>
            <w:vAlign w:val="bottom"/>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Legal Matters</w:t>
              </w:r>
            </w:hyperlink>
          </w:p>
        </w:tc>
        <w:tc>
          <w:tcPr>
            <w:tcW w:w="2560" w:type="dxa"/>
            <w:vAlign w:val="bottom"/>
            <w:gridSpan w:val="7"/>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Experts</w:t>
              </w:r>
            </w:hyperlink>
          </w:p>
        </w:tc>
        <w:tc>
          <w:tcPr>
            <w:tcW w:w="2980" w:type="dxa"/>
            <w:vAlign w:val="bottom"/>
            <w:gridSpan w:val="9"/>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gridSpan w:val="12"/>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Where You Can Find More Information</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185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64185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left="200" w:right="120" w:firstLine="443"/>
        <w:spacing w:after="0" w:line="268" w:lineRule="auto"/>
        <w:rPr>
          <w:sz w:val="20"/>
          <w:szCs w:val="20"/>
          <w:color w:val="auto"/>
        </w:rPr>
      </w:pPr>
      <w:r>
        <w:rPr>
          <w:rFonts w:ascii="Arial" w:cs="Arial" w:eastAsia="Arial" w:hAnsi="Arial"/>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Trust</w:t>
      </w:r>
    </w:p>
    <w:p>
      <w:pPr>
        <w:spacing w:after="0" w:line="177" w:lineRule="exact"/>
        <w:rPr>
          <w:sz w:val="20"/>
          <w:szCs w:val="20"/>
          <w:color w:val="auto"/>
        </w:rPr>
      </w:pPr>
    </w:p>
    <w:p>
      <w:pPr>
        <w:ind w:left="200" w:right="40" w:firstLine="443"/>
        <w:spacing w:after="0" w:line="289" w:lineRule="auto"/>
        <w:rPr>
          <w:sz w:val="20"/>
          <w:szCs w:val="20"/>
          <w:color w:val="auto"/>
        </w:rPr>
      </w:pPr>
      <w:r>
        <w:rPr>
          <w:rFonts w:ascii="Arial" w:cs="Arial" w:eastAsia="Arial" w:hAnsi="Arial"/>
          <w:sz w:val="16"/>
          <w:szCs w:val="16"/>
          <w:color w:val="auto"/>
        </w:rPr>
        <w:t>We are an equity real estate investment trust, or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March 31, 2012, we owned or had a majority interest in community and neighborhood shopping centers and mixed-use properties which are operated as 87 predominantly retail real estate projects comprising approximately 19.2 million square feet. In total, the real estate projects were 93.8% leased and 92.6% occupied at March 31, 2012. A joint venture in which we own a 30% interest owned seven retail real estate projects totaling approximately 1.0 million square feet as of March 31, 2012. In total, the joint venture properties in which we own a 30% interest were 87.8% leased and occupied at March 31, 2012. We have paid quarterly dividends to our shareholders continuously since our founding in 1962 and have increased our dividends per common share for 44 consecutive years.</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operate in a manner intended to enable us to qualify as a REIT pursuant to provisions of the Internal Revenue Code of 1986, as amended, or the</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Code.</w:t>
      </w:r>
    </w:p>
    <w:p>
      <w:pPr>
        <w:spacing w:after="0" w:line="165" w:lineRule="exact"/>
        <w:rPr>
          <w:sz w:val="20"/>
          <w:szCs w:val="20"/>
          <w:color w:val="auto"/>
        </w:rPr>
      </w:pPr>
    </w:p>
    <w:p>
      <w:pPr>
        <w:ind w:left="200" w:right="60" w:firstLine="443"/>
        <w:spacing w:after="0" w:line="256" w:lineRule="auto"/>
        <w:rPr>
          <w:sz w:val="20"/>
          <w:szCs w:val="20"/>
          <w:color w:val="auto"/>
        </w:rPr>
      </w:pPr>
      <w:r>
        <w:rPr>
          <w:rFonts w:ascii="Arial" w:cs="Arial" w:eastAsia="Arial" w:hAnsi="Arial"/>
          <w:sz w:val="18"/>
          <w:szCs w:val="18"/>
          <w:color w:val="auto"/>
        </w:rPr>
        <w:t xml:space="preserve">We were founded in 1962 as a REIT under the laws of the District of Columbia and re-formed as a real estate investment trust in the state of Maryland in 1999. Our principal executive offices are located at 1626 East Jefferson Street, Rockville, Maryland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299"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Ratios of Earnings to Combined Fixed Charges and Preferred Share Dividends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historical ratios of earnings to fixed charges and preferred share dividends for the periods indicated:</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For the Three Months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900" w:type="dxa"/>
            <w:vAlign w:val="bottom"/>
          </w:tcPr>
          <w:p>
            <w:pPr>
              <w:spacing w:after="0"/>
              <w:rPr>
                <w:sz w:val="14"/>
                <w:szCs w:val="14"/>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Ended March 31,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4"/>
              </w:rPr>
              <w:t>For the Years Ended December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00" w:type="dxa"/>
            <w:vAlign w:val="bottom"/>
          </w:tcPr>
          <w:p>
            <w:pPr>
              <w:spacing w:after="0"/>
              <w:rPr>
                <w:sz w:val="12"/>
                <w:szCs w:val="12"/>
                <w:color w:val="auto"/>
              </w:rPr>
            </w:pPr>
          </w:p>
        </w:tc>
        <w:tc>
          <w:tcPr>
            <w:tcW w:w="1280" w:type="dxa"/>
            <w:vAlign w:val="bottom"/>
            <w:tcBorders>
              <w:top w:val="single" w:sz="8" w:color="auto"/>
            </w:tcBorders>
          </w:tcPr>
          <w:p>
            <w:pPr>
              <w:jc w:val="right"/>
              <w:ind w:right="424"/>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4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4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2"/>
                <w:szCs w:val="12"/>
                <w:color w:val="auto"/>
              </w:rPr>
            </w:pPr>
          </w:p>
        </w:tc>
      </w:tr>
      <w:tr>
        <w:trPr>
          <w:trHeight w:val="210"/>
        </w:trPr>
        <w:tc>
          <w:tcPr>
            <w:tcW w:w="5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900" w:type="dxa"/>
            <w:vAlign w:val="bottom"/>
          </w:tcPr>
          <w:p>
            <w:pPr>
              <w:spacing w:after="0"/>
              <w:rPr>
                <w:sz w:val="20"/>
                <w:szCs w:val="20"/>
                <w:color w:val="auto"/>
              </w:rPr>
            </w:pPr>
            <w:r>
              <w:rPr>
                <w:rFonts w:ascii="Arial" w:cs="Arial" w:eastAsia="Arial" w:hAnsi="Arial"/>
                <w:sz w:val="18"/>
                <w:szCs w:val="18"/>
                <w:color w:val="auto"/>
                <w:w w:val="98"/>
              </w:rPr>
              <w:t>Ratio of earnings to combined fixed charges and preferred share dividends</w:t>
            </w:r>
          </w:p>
        </w:tc>
        <w:tc>
          <w:tcPr>
            <w:tcW w:w="1760" w:type="dxa"/>
            <w:vAlign w:val="bottom"/>
            <w:gridSpan w:val="2"/>
          </w:tcPr>
          <w:p>
            <w:pPr>
              <w:jc w:val="right"/>
              <w:ind w:right="480"/>
              <w:spacing w:after="0"/>
              <w:rPr>
                <w:sz w:val="20"/>
                <w:szCs w:val="20"/>
                <w:color w:val="auto"/>
              </w:rPr>
            </w:pPr>
            <w:r>
              <w:rPr>
                <w:rFonts w:ascii="Arial" w:cs="Arial" w:eastAsia="Arial" w:hAnsi="Arial"/>
                <w:sz w:val="18"/>
                <w:szCs w:val="18"/>
                <w:color w:val="auto"/>
              </w:rPr>
              <w:t>1.9</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2.0</w:t>
            </w: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1.8</w:t>
            </w: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2.0</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bl>
    <w:p>
      <w:pPr>
        <w:spacing w:after="0" w:line="14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w:t>
      </w:r>
    </w:p>
    <w:p>
      <w:pPr>
        <w:spacing w:after="0" w:line="38" w:lineRule="exact"/>
        <w:rPr>
          <w:sz w:val="20"/>
          <w:szCs w:val="20"/>
          <w:color w:val="auto"/>
        </w:rPr>
      </w:pPr>
    </w:p>
    <w:p>
      <w:pPr>
        <w:ind w:left="200" w:right="120" w:hanging="3"/>
        <w:spacing w:after="0" w:line="254" w:lineRule="auto"/>
        <w:tabs>
          <w:tab w:leader="none" w:pos="439"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and the estimated portion of rents payable by us representing interest.</w:t>
      </w:r>
    </w:p>
    <w:p>
      <w:pPr>
        <w:spacing w:after="0" w:line="144" w:lineRule="exact"/>
        <w:rPr>
          <w:sz w:val="20"/>
          <w:szCs w:val="20"/>
          <w:color w:val="auto"/>
        </w:rPr>
      </w:pPr>
    </w:p>
    <w:p>
      <w:pPr>
        <w:ind w:left="200" w:right="180" w:firstLine="443"/>
        <w:spacing w:after="0" w:line="302" w:lineRule="auto"/>
        <w:rPr>
          <w:sz w:val="20"/>
          <w:szCs w:val="20"/>
          <w:color w:val="auto"/>
        </w:rPr>
      </w:pPr>
      <w:r>
        <w:rPr>
          <w:rFonts w:ascii="Arial" w:cs="Arial" w:eastAsia="Arial" w:hAnsi="Arial"/>
          <w:sz w:val="15"/>
          <w:szCs w:val="15"/>
          <w:color w:val="auto"/>
        </w:rPr>
        <w:t>The ratio of earnings to combined fixed charges and preferred share dividends is computed by dividing earnings by the total of fixed charges and preferred share dividends. In computing the ratio of earnings to combined fixed charges and preferred share dividends: (a) earnings consist of income from continuing operations before income or loss from equity investees plus distributed income of equity investees and fixed charges (excluding capitalized interest) less noncontrolling interests of subsidiaries with no fixed charges; (b) fixed charges consist of interest expense including amortization of debt premiums and discounts and issuance costs (including capitalized interest) and the estimated portion of rents payable by us representing interest; and</w:t>
      </w:r>
    </w:p>
    <w:p>
      <w:pPr>
        <w:spacing w:after="0" w:line="2" w:lineRule="exact"/>
        <w:rPr>
          <w:sz w:val="20"/>
          <w:szCs w:val="20"/>
          <w:color w:val="auto"/>
        </w:rPr>
      </w:pPr>
    </w:p>
    <w:p>
      <w:pPr>
        <w:ind w:left="5680" w:right="3800" w:hanging="5483"/>
        <w:spacing w:after="0" w:line="809" w:lineRule="auto"/>
        <w:tabs>
          <w:tab w:leader="none" w:pos="446"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preferred share dividends consist of preferred share dividends and preferred share redemption costs. 2</w:t>
      </w:r>
    </w:p>
    <w:p>
      <w:pPr>
        <w:sectPr>
          <w:pgSz w:w="11900" w:h="16838" w:orient="portrait"/>
          <w:cols w:equalWidth="0" w:num="1">
            <w:col w:w="11260"/>
          </w:cols>
          <w:pgMar w:left="240" w:top="459" w:right="3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Investing in our securities involves a high degree of risk. Before making an investment decision, please consider the risks described under the caption “Risk Factors” in our Annual Report on Form 10-K for the fiscal year ended December 31, 2011,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51"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funding our development and redevelopment pipeline;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90"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incur additional debt, subject to limitations in the agreements governing our credit and other debt facilities and other notes we may have issued.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w:t>
      </w:r>
    </w:p>
    <w:p>
      <w:pPr>
        <w:spacing w:after="0" w:line="90"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96"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0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26"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date or dates.</w:t>
      </w:r>
    </w:p>
    <w:p>
      <w:pPr>
        <w:spacing w:after="0" w:line="50" w:lineRule="exact"/>
        <w:rPr>
          <w:rFonts w:ascii="Arial" w:cs="Arial" w:eastAsia="Arial" w:hAnsi="Arial"/>
          <w:sz w:val="18"/>
          <w:szCs w:val="18"/>
          <w:color w:val="auto"/>
        </w:rPr>
      </w:pPr>
    </w:p>
    <w:p>
      <w:pPr>
        <w:ind w:left="900" w:right="52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90"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 receive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 and the basis upon which interest shall be calculated if other than that of a 360-day year of twelve 30-day months.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 may be surrendered for registration of transfer or exchange.</w:t>
      </w:r>
    </w:p>
    <w:p>
      <w:pPr>
        <w:spacing w:after="0" w:line="50"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59" w:lineRule="exact"/>
        <w:rPr>
          <w:rFonts w:ascii="Arial" w:cs="Arial" w:eastAsia="Arial" w:hAnsi="Arial"/>
          <w:sz w:val="18"/>
          <w:szCs w:val="18"/>
          <w:color w:val="auto"/>
        </w:rPr>
      </w:pPr>
    </w:p>
    <w:p>
      <w:pPr>
        <w:ind w:left="900" w:right="160" w:hanging="446"/>
        <w:spacing w:after="0" w:line="298"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Mandatory Redemption. </w:t>
      </w:r>
      <w:r>
        <w:rPr>
          <w:rFonts w:ascii="Arial" w:cs="Arial" w:eastAsia="Arial" w:hAnsi="Arial"/>
          <w:sz w:val="16"/>
          <w:szCs w:val="16"/>
          <w:color w:val="auto"/>
        </w:rPr>
        <w:t>The obligation, if any, we have to redeem or repurchase the offered debt securities pursuant to any sinking fund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31" w:lineRule="exact"/>
        <w:rPr>
          <w:rFonts w:ascii="Arial" w:cs="Arial" w:eastAsia="Arial" w:hAnsi="Arial"/>
          <w:sz w:val="16"/>
          <w:szCs w:val="16"/>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9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62"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index or pursuant to a formula or other method, the manner in which such amounts will be determined.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 maturity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the method by which such portion shall be determined.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Special Rights. </w:t>
      </w:r>
      <w:r>
        <w:rPr>
          <w:rFonts w:ascii="Arial" w:cs="Arial" w:eastAsia="Arial" w:hAnsi="Arial"/>
          <w:sz w:val="16"/>
          <w:szCs w:val="16"/>
          <w:color w:val="auto"/>
        </w:rPr>
        <w:t>Provisions, if any, granting special rights to the holders of the offered debt securities if certain specified events occur.</w:t>
      </w:r>
    </w:p>
    <w:p>
      <w:pPr>
        <w:spacing w:after="0" w:line="113" w:lineRule="exact"/>
        <w:rPr>
          <w:rFonts w:ascii="Arial" w:cs="Arial" w:eastAsia="Arial" w:hAnsi="Arial"/>
          <w:sz w:val="16"/>
          <w:szCs w:val="16"/>
          <w:color w:val="auto"/>
        </w:rPr>
      </w:pPr>
    </w:p>
    <w:p>
      <w:pPr>
        <w:ind w:left="900" w:right="12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 indenture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the offered debt securities.</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 persons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taxes, assessments or similar charges.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9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 offered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90"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 global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6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 receipt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certificates or other documents or satisfaction of other conditions in addition to those specified in the applicable indenture, the form of those certificates, documents or conditions.</w:t>
      </w:r>
    </w:p>
    <w:p>
      <w:pPr>
        <w:spacing w:after="0" w:line="59" w:lineRule="exact"/>
        <w:rPr>
          <w:rFonts w:ascii="Arial" w:cs="Arial" w:eastAsia="Arial" w:hAnsi="Arial"/>
          <w:sz w:val="18"/>
          <w:szCs w:val="18"/>
          <w:color w:val="auto"/>
        </w:rPr>
      </w:pPr>
    </w:p>
    <w:p>
      <w:pPr>
        <w:ind w:left="900" w:right="6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Payees. </w:t>
      </w:r>
      <w:r>
        <w:rPr>
          <w:rFonts w:ascii="Arial" w:cs="Arial" w:eastAsia="Arial" w:hAnsi="Arial"/>
          <w:sz w:val="16"/>
          <w:szCs w:val="16"/>
          <w:color w:val="auto"/>
        </w:rPr>
        <w:t>If other than as provided in the applicable indenture, the person to whom any interest on any registered security of the series will be payable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manner in which, or the person to whom, any interest on any bearer securities of the series will be payable.</w:t>
      </w:r>
    </w:p>
    <w:p>
      <w:pPr>
        <w:spacing w:after="0" w:line="4" w:lineRule="exact"/>
        <w:rPr>
          <w:rFonts w:ascii="Arial" w:cs="Arial" w:eastAsia="Arial" w:hAnsi="Arial"/>
          <w:sz w:val="16"/>
          <w:szCs w:val="16"/>
          <w:color w:val="auto"/>
        </w:rPr>
      </w:pPr>
    </w:p>
    <w:p>
      <w:pPr>
        <w:ind w:left="900" w:right="54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Definitions. </w:t>
      </w:r>
      <w:r>
        <w:rPr>
          <w:rFonts w:ascii="Arial" w:cs="Arial" w:eastAsia="Arial" w:hAnsi="Arial"/>
          <w:sz w:val="16"/>
          <w:szCs w:val="16"/>
          <w:color w:val="auto"/>
        </w:rPr>
        <w:t>Any definitions for the offered debt securities of that series that are different from or in addition to the definitions included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indenture, including, without limitation, the definition of “unrestricted subsidiary” to be used for such series.</w:t>
      </w:r>
    </w:p>
    <w:p>
      <w:pPr>
        <w:spacing w:after="0" w:line="4" w:lineRule="exact"/>
        <w:rPr>
          <w:rFonts w:ascii="Arial" w:cs="Arial" w:eastAsia="Arial" w:hAnsi="Arial"/>
          <w:sz w:val="16"/>
          <w:szCs w:val="16"/>
          <w:color w:val="auto"/>
        </w:rPr>
      </w:pPr>
    </w:p>
    <w:p>
      <w:pPr>
        <w:ind w:left="900" w:right="36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Subordination. </w:t>
      </w:r>
      <w:r>
        <w:rPr>
          <w:rFonts w:ascii="Arial" w:cs="Arial" w:eastAsia="Arial" w:hAnsi="Arial"/>
          <w:sz w:val="16"/>
          <w:szCs w:val="16"/>
          <w:color w:val="auto"/>
        </w:rPr>
        <w:t>In the case of any subordinated indenture that we may enter into, the relative degree to which the offered debt securities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to or junior to other debt securities, whether currently outstanding or to be offered in the future, and to other debt, in right of payment.</w:t>
      </w:r>
    </w:p>
    <w:p>
      <w:pPr>
        <w:spacing w:after="0" w:line="4" w:lineRule="exact"/>
        <w:rPr>
          <w:rFonts w:ascii="Arial" w:cs="Arial" w:eastAsia="Arial" w:hAnsi="Arial"/>
          <w:sz w:val="16"/>
          <w:szCs w:val="16"/>
          <w:color w:val="auto"/>
        </w:rPr>
      </w:pPr>
    </w:p>
    <w:p>
      <w:pPr>
        <w:ind w:left="900" w:right="44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Guarantees. </w:t>
      </w:r>
      <w:r>
        <w:rPr>
          <w:rFonts w:ascii="Arial" w:cs="Arial" w:eastAsia="Arial" w:hAnsi="Arial"/>
          <w:sz w:val="16"/>
          <w:szCs w:val="16"/>
          <w:color w:val="auto"/>
        </w:rPr>
        <w:t>Whether the offered debt securities are guaranteed and, if so, the identity of the guarantors and the terms of the offered guarantees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whether and the extent to which the guarantees are subordinated to other debt of the guarantors).</w:t>
      </w:r>
    </w:p>
    <w:p>
      <w:pPr>
        <w:spacing w:after="0" w:line="4" w:lineRule="exact"/>
        <w:rPr>
          <w:rFonts w:ascii="Arial" w:cs="Arial" w:eastAsia="Arial" w:hAnsi="Arial"/>
          <w:sz w:val="16"/>
          <w:szCs w:val="16"/>
          <w:color w:val="auto"/>
        </w:rPr>
      </w:pPr>
    </w:p>
    <w:p>
      <w:pPr>
        <w:ind w:left="900" w:right="140" w:hanging="446"/>
        <w:spacing w:after="0" w:line="306"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Conversion. </w:t>
      </w:r>
      <w:r>
        <w:rPr>
          <w:rFonts w:ascii="Arial" w:cs="Arial" w:eastAsia="Arial" w:hAnsi="Arial"/>
          <w:sz w:val="16"/>
          <w:szCs w:val="16"/>
          <w:color w:val="auto"/>
        </w:rPr>
        <w:t>The terms, if any, upon which the offered debt securities may be converted or exchanged into or for our common shares, preferred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90" w:lineRule="exact"/>
        <w:rPr>
          <w:rFonts w:ascii="Arial" w:cs="Arial" w:eastAsia="Arial" w:hAnsi="Arial"/>
          <w:sz w:val="18"/>
          <w:szCs w:val="18"/>
          <w:color w:val="auto"/>
        </w:rPr>
      </w:pPr>
    </w:p>
    <w:p>
      <w:pPr>
        <w:ind w:left="900" w:right="240" w:hanging="446"/>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U.S. laws or regulations or advisable, as we determine, in connection with marketing of securities of the series.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Debt securities may be offered in either registered or bearer form.</w:t>
      </w:r>
    </w:p>
    <w:p>
      <w:pPr>
        <w:spacing w:after="0" w:line="90" w:lineRule="exact"/>
        <w:rPr>
          <w:sz w:val="20"/>
          <w:szCs w:val="20"/>
          <w:color w:val="auto"/>
        </w:rPr>
      </w:pPr>
    </w:p>
    <w:p>
      <w:pPr>
        <w:ind w:left="900" w:right="62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50" w:lineRule="exact"/>
        <w:rPr>
          <w:rFonts w:ascii="Arial" w:cs="Arial" w:eastAsia="Arial" w:hAnsi="Arial"/>
          <w:sz w:val="18"/>
          <w:szCs w:val="18"/>
          <w:color w:val="auto"/>
        </w:rPr>
      </w:pPr>
    </w:p>
    <w:p>
      <w:pPr>
        <w:ind w:left="900" w:right="20" w:hanging="446"/>
        <w:spacing w:after="0" w:line="306"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Unless we say otherwise in a prospectus supplement, we will issue debt securities in denominations of:</w:t>
      </w:r>
    </w:p>
    <w:p>
      <w:pPr>
        <w:spacing w:after="0" w:line="90"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Currencies and Indexed Securities. </w:t>
      </w:r>
      <w:r>
        <w:rPr>
          <w:rFonts w:ascii="Arial" w:cs="Arial" w:eastAsia="Arial" w:hAnsi="Arial"/>
          <w:sz w:val="18"/>
          <w:szCs w:val="18"/>
          <w:color w:val="auto"/>
        </w:rPr>
        <w:t>We may offer debt securities for which:</w:t>
      </w:r>
    </w:p>
    <w:p>
      <w:pPr>
        <w:spacing w:after="0" w:line="90"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other currency may be a currency unit composed of various currencies. Payments on debt securities may also be based on an index.</w:t>
      </w:r>
    </w:p>
    <w:p>
      <w:pPr>
        <w:spacing w:after="0" w:line="171"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Payment, Transfer and Exchange. </w:t>
      </w:r>
      <w:r>
        <w:rPr>
          <w:rFonts w:ascii="Arial" w:cs="Arial" w:eastAsia="Arial" w:hAnsi="Arial"/>
          <w:sz w:val="16"/>
          <w:szCs w:val="16"/>
          <w:color w:val="auto"/>
        </w:rPr>
        <w:t>Unless we say otherwise in a prospectus supplement, the office for paying principal, interest and other amounts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debt securities is U.S. Bank National Association, 214 North Tryon Street, 27</w:t>
      </w:r>
      <w:r>
        <w:rPr>
          <w:rFonts w:ascii="Arial" w:cs="Arial" w:eastAsia="Arial" w:hAnsi="Arial"/>
          <w:sz w:val="10"/>
          <w:szCs w:val="10"/>
          <w:color w:val="auto"/>
        </w:rPr>
        <w:t>th</w:t>
      </w:r>
      <w:r>
        <w:rPr>
          <w:rFonts w:ascii="Arial" w:cs="Arial" w:eastAsia="Arial" w:hAnsi="Arial"/>
          <w:sz w:val="16"/>
          <w:szCs w:val="16"/>
          <w:color w:val="auto"/>
        </w:rPr>
        <w:t xml:space="preserve"> Floor, Charlotte, North Carolina 28202. We will notify you of any change in the office’s location. At our option, however, we may make any interest payments on debt securities issued in registered form by:</w:t>
      </w:r>
    </w:p>
    <w:p>
      <w:pPr>
        <w:spacing w:after="0" w:line="26"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series of debt securities;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32"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90"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Existence. </w:t>
      </w:r>
      <w:r>
        <w:rPr>
          <w:rFonts w:ascii="Arial" w:cs="Arial" w:eastAsia="Arial" w:hAnsi="Arial"/>
          <w:sz w:val="16"/>
          <w:szCs w:val="16"/>
          <w:color w:val="auto"/>
        </w:rPr>
        <w:t>Except as permitted under “Consolidation, Merger or Sale of Assets,” we will do or cause to be done all things necessary to preserve and keep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Maintenance of Properties. </w:t>
      </w:r>
      <w:r>
        <w:rPr>
          <w:rFonts w:ascii="Arial" w:cs="Arial" w:eastAsia="Arial" w:hAnsi="Arial"/>
          <w:sz w:val="16"/>
          <w:szCs w:val="16"/>
          <w:color w:val="auto"/>
        </w:rPr>
        <w:t>We will cause all of our material properties used or useful in the conduct of our business to be maintained and kept in good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of Taxes and Other Claims. </w:t>
      </w:r>
      <w:r>
        <w:rPr>
          <w:rFonts w:ascii="Arial" w:cs="Arial" w:eastAsia="Arial" w:hAnsi="Arial"/>
          <w:sz w:val="18"/>
          <w:szCs w:val="18"/>
          <w:color w:val="auto"/>
        </w:rPr>
        <w:t>We will pay or discharge or cause to be paid or discharged, before they shall become delinquent:</w:t>
      </w:r>
    </w:p>
    <w:p>
      <w:pPr>
        <w:spacing w:after="0" w:line="90"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3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4" w:lineRule="exact"/>
        <w:rPr>
          <w:sz w:val="20"/>
          <w:szCs w:val="20"/>
          <w:color w:val="auto"/>
        </w:rPr>
      </w:pPr>
    </w:p>
    <w:p>
      <w:pPr>
        <w:ind w:left="900" w:right="200" w:hanging="446"/>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59"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4"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90" w:lineRule="exact"/>
        <w:rPr>
          <w:rFonts w:ascii="Arial" w:cs="Arial" w:eastAsia="Arial" w:hAnsi="Arial"/>
          <w:sz w:val="18"/>
          <w:szCs w:val="18"/>
          <w:color w:val="auto"/>
        </w:rPr>
      </w:pPr>
    </w:p>
    <w:p>
      <w:pPr>
        <w:ind w:left="1460" w:right="380" w:hanging="547"/>
        <w:spacing w:after="0" w:line="259" w:lineRule="auto"/>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59"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50" w:lineRule="exact"/>
        <w:rPr>
          <w:rFonts w:ascii="Arial" w:cs="Arial" w:eastAsia="Arial" w:hAnsi="Arial"/>
          <w:sz w:val="18"/>
          <w:szCs w:val="18"/>
          <w:color w:val="auto"/>
        </w:rPr>
      </w:pPr>
    </w:p>
    <w:p>
      <w:pPr>
        <w:ind w:left="900" w:right="80" w:hanging="446"/>
        <w:spacing w:after="0" w:line="256"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Generally. </w:t>
      </w:r>
      <w:r>
        <w:rPr>
          <w:rFonts w:ascii="Arial" w:cs="Arial" w:eastAsia="Arial" w:hAnsi="Arial"/>
          <w:sz w:val="16"/>
          <w:szCs w:val="16"/>
          <w:color w:val="auto"/>
        </w:rPr>
        <w:t>Unless we say otherwise in a prospectus supplement, the payment of principal, premium, if any, and interest on subordinated debt securities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13" w:lineRule="exact"/>
        <w:rPr>
          <w:sz w:val="20"/>
          <w:szCs w:val="20"/>
          <w:color w:val="auto"/>
        </w:rPr>
      </w:pPr>
    </w:p>
    <w:p>
      <w:pPr>
        <w:ind w:right="100" w:firstLine="456"/>
        <w:spacing w:after="0" w:line="357" w:lineRule="auto"/>
        <w:rPr>
          <w:sz w:val="20"/>
          <w:szCs w:val="20"/>
          <w:color w:val="auto"/>
        </w:rPr>
      </w:pPr>
      <w:r>
        <w:rPr>
          <w:rFonts w:ascii="Arial" w:cs="Arial" w:eastAsia="Arial" w:hAnsi="Arial"/>
          <w:sz w:val="15"/>
          <w:szCs w:val="15"/>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obligations as lessee under leases of property whether made as part of any sale and leaseback transaction to which we are a party or otherwise;</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90"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6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50" w:lineRule="exact"/>
        <w:rPr>
          <w:rFonts w:ascii="Arial" w:cs="Arial" w:eastAsia="Arial" w:hAnsi="Arial"/>
          <w:sz w:val="18"/>
          <w:szCs w:val="18"/>
          <w:color w:val="auto"/>
        </w:rPr>
      </w:pPr>
    </w:p>
    <w:p>
      <w:pPr>
        <w:jc w:val="both"/>
        <w:ind w:left="1460" w:right="60" w:hanging="547"/>
        <w:spacing w:after="0" w:line="306" w:lineRule="auto"/>
        <w:tabs>
          <w:tab w:leader="none" w:pos="14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25" w:lineRule="exact"/>
        <w:rPr>
          <w:rFonts w:ascii="Arial" w:cs="Arial" w:eastAsia="Arial" w:hAnsi="Arial"/>
          <w:sz w:val="16"/>
          <w:szCs w:val="16"/>
          <w:color w:val="auto"/>
        </w:rPr>
      </w:pPr>
    </w:p>
    <w:p>
      <w:pPr>
        <w:ind w:left="1460" w:right="320" w:hanging="547"/>
        <w:spacing w:after="0" w:line="268" w:lineRule="auto"/>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there will be no restrictions in any subordinated indenture upon the creation of additional senior debt.</w:t>
      </w:r>
    </w:p>
    <w:p>
      <w:pPr>
        <w:spacing w:after="0" w:line="20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not:</w:t>
      </w:r>
    </w:p>
    <w:p>
      <w:pPr>
        <w:spacing w:after="0" w:line="51"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must resume payment on our subordinated debt securities, and make any payments we have missed, when one of the following has occurred:</w:t>
      </w:r>
    </w:p>
    <w:p>
      <w:pPr>
        <w:spacing w:after="0" w:line="113"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 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distributing any assets if:</w:t>
      </w:r>
    </w:p>
    <w:p>
      <w:pPr>
        <w:spacing w:after="0" w:line="51"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59"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 subordinated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w:t>
      </w:r>
    </w:p>
    <w:p>
      <w:pPr>
        <w:spacing w:after="0" w:line="51" w:lineRule="exact"/>
        <w:rPr>
          <w:sz w:val="20"/>
          <w:szCs w:val="20"/>
          <w:color w:val="auto"/>
        </w:rPr>
      </w:pPr>
    </w:p>
    <w:p>
      <w:pPr>
        <w:ind w:left="460" w:right="20" w:firstLine="443"/>
        <w:spacing w:after="0" w:line="268" w:lineRule="auto"/>
        <w:tabs>
          <w:tab w:leader="none" w:pos="10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50" w:lineRule="exact"/>
        <w:rPr>
          <w:rFonts w:ascii="Arial" w:cs="Arial" w:eastAsia="Arial" w:hAnsi="Arial"/>
          <w:sz w:val="18"/>
          <w:szCs w:val="18"/>
          <w:color w:val="auto"/>
        </w:rPr>
      </w:pPr>
    </w:p>
    <w:p>
      <w:pPr>
        <w:ind w:left="460" w:right="160" w:firstLine="443"/>
        <w:spacing w:after="0" w:line="268" w:lineRule="auto"/>
        <w:tabs>
          <w:tab w:leader="none" w:pos="10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50" w:lineRule="exact"/>
        <w:rPr>
          <w:rFonts w:ascii="Arial" w:cs="Arial" w:eastAsia="Arial" w:hAnsi="Arial"/>
          <w:sz w:val="18"/>
          <w:szCs w:val="18"/>
          <w:color w:val="auto"/>
        </w:rPr>
      </w:pPr>
    </w:p>
    <w:p>
      <w:pPr>
        <w:ind w:left="1060" w:hanging="157"/>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90" w:lineRule="exact"/>
        <w:rPr>
          <w:rFonts w:ascii="Arial" w:cs="Arial" w:eastAsia="Arial" w:hAnsi="Arial"/>
          <w:sz w:val="18"/>
          <w:szCs w:val="18"/>
          <w:color w:val="auto"/>
        </w:rPr>
      </w:pPr>
    </w:p>
    <w:p>
      <w:pPr>
        <w:ind w:left="460" w:firstLine="443"/>
        <w:spacing w:after="0" w:line="259" w:lineRule="auto"/>
        <w:tabs>
          <w:tab w:leader="none" w:pos="10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59" w:lineRule="exact"/>
        <w:rPr>
          <w:rFonts w:ascii="Arial" w:cs="Arial" w:eastAsia="Arial" w:hAnsi="Arial"/>
          <w:sz w:val="18"/>
          <w:szCs w:val="18"/>
          <w:color w:val="auto"/>
        </w:rPr>
      </w:pPr>
    </w:p>
    <w:p>
      <w:pPr>
        <w:ind w:left="1580" w:hanging="239"/>
        <w:spacing w:after="0"/>
        <w:tabs>
          <w:tab w:leader="none" w:pos="15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to us and the trustee by the holders of at least 25% in aggregate principal amount of the outstanding debt securities of the series.</w:t>
      </w:r>
    </w:p>
    <w:p>
      <w:pPr>
        <w:spacing w:after="0" w:line="113" w:lineRule="exact"/>
        <w:rPr>
          <w:rFonts w:ascii="Arial" w:cs="Arial" w:eastAsia="Arial" w:hAnsi="Arial"/>
          <w:sz w:val="16"/>
          <w:szCs w:val="16"/>
          <w:color w:val="auto"/>
        </w:rPr>
      </w:pPr>
    </w:p>
    <w:p>
      <w:pPr>
        <w:ind w:left="460" w:right="120" w:firstLine="443"/>
        <w:spacing w:after="0" w:line="289" w:lineRule="auto"/>
        <w:tabs>
          <w:tab w:leader="none" w:pos="1071"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37" w:lineRule="exact"/>
        <w:rPr>
          <w:rFonts w:ascii="Arial" w:cs="Arial" w:eastAsia="Arial" w:hAnsi="Arial"/>
          <w:sz w:val="16"/>
          <w:szCs w:val="16"/>
          <w:color w:val="auto"/>
        </w:rPr>
      </w:pPr>
    </w:p>
    <w:p>
      <w:pPr>
        <w:ind w:left="1080" w:hanging="177"/>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appoints a receiver in respect of us or any of our significant subsidiaries or for all or substantially all of the property of any of us; or</w:t>
      </w:r>
    </w:p>
    <w:p>
      <w:pPr>
        <w:spacing w:after="0" w:line="113" w:lineRule="exact"/>
        <w:rPr>
          <w:rFonts w:ascii="Arial" w:cs="Arial" w:eastAsia="Arial" w:hAnsi="Arial"/>
          <w:sz w:val="16"/>
          <w:szCs w:val="16"/>
          <w:color w:val="auto"/>
        </w:rPr>
      </w:pPr>
    </w:p>
    <w:p>
      <w:pPr>
        <w:ind w:left="1580" w:hanging="239"/>
        <w:spacing w:after="0"/>
        <w:tabs>
          <w:tab w:leader="none" w:pos="15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orders our liquidation or the liquidation of any of our significant subsidiaries,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the order or decree remains unstayed and in effect for 90 days.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80" w:hanging="177"/>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90" w:lineRule="exact"/>
        <w:rPr>
          <w:rFonts w:ascii="Arial" w:cs="Arial" w:eastAsia="Arial" w:hAnsi="Arial"/>
          <w:sz w:val="18"/>
          <w:szCs w:val="18"/>
          <w:color w:val="auto"/>
        </w:rPr>
      </w:pPr>
    </w:p>
    <w:p>
      <w:pPr>
        <w:ind w:left="920" w:right="20" w:firstLine="421"/>
        <w:spacing w:after="0" w:line="268" w:lineRule="auto"/>
        <w:tabs>
          <w:tab w:leader="none" w:pos="1588"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50" w:lineRule="exact"/>
        <w:rPr>
          <w:rFonts w:ascii="Arial" w:cs="Arial" w:eastAsia="Arial" w:hAnsi="Arial"/>
          <w:sz w:val="18"/>
          <w:szCs w:val="18"/>
          <w:color w:val="auto"/>
        </w:rPr>
      </w:pPr>
    </w:p>
    <w:p>
      <w:pPr>
        <w:ind w:left="920" w:right="600" w:firstLine="421"/>
        <w:spacing w:after="0" w:line="268" w:lineRule="auto"/>
        <w:tabs>
          <w:tab w:leader="none" w:pos="1579"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consent to the appointment of a receiver in respect of us or any of our significant subsidiaries for all or substantially all of our or its property; or</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90" w:lineRule="exact"/>
        <w:rPr>
          <w:rFonts w:ascii="Arial" w:cs="Arial" w:eastAsia="Arial" w:hAnsi="Arial"/>
          <w:sz w:val="18"/>
          <w:szCs w:val="18"/>
          <w:color w:val="auto"/>
        </w:rPr>
      </w:pPr>
    </w:p>
    <w:p>
      <w:pPr>
        <w:ind w:left="1060" w:hanging="157"/>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the debt securities of that series.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past default except for:</w:t>
      </w:r>
    </w:p>
    <w:p>
      <w:pPr>
        <w:spacing w:after="0" w:line="51"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Acceleration of Payment. </w:t>
      </w:r>
      <w:r>
        <w:rPr>
          <w:rFonts w:ascii="Arial" w:cs="Arial" w:eastAsia="Arial" w:hAnsi="Arial"/>
          <w:sz w:val="16"/>
          <w:szCs w:val="16"/>
          <w:color w:val="auto"/>
        </w:rPr>
        <w:t>Unless we say otherwise in a prospectus supplement, each indenture provides or will provide that if an event of default occurs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Waiver of Acceleration. </w:t>
      </w:r>
      <w:r>
        <w:rPr>
          <w:rFonts w:ascii="Arial" w:cs="Arial" w:eastAsia="Arial" w:hAnsi="Arial"/>
          <w:sz w:val="16"/>
          <w:szCs w:val="16"/>
          <w:color w:val="auto"/>
        </w:rPr>
        <w:t>Unless we say otherwise in a prospectus supplement, each indenture provides or will provide that, after a declaration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26"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overdue interest and any additional amounts payable on all outstanding debt securities of the applicable series and any related coupons,</w:t>
      </w:r>
    </w:p>
    <w:p>
      <w:pPr>
        <w:spacing w:after="0" w:line="113" w:lineRule="exact"/>
        <w:rPr>
          <w:rFonts w:ascii="Arial" w:cs="Arial" w:eastAsia="Arial" w:hAnsi="Arial"/>
          <w:sz w:val="16"/>
          <w:szCs w:val="16"/>
          <w:color w:val="auto"/>
        </w:rPr>
      </w:pPr>
    </w:p>
    <w:p>
      <w:pPr>
        <w:ind w:left="1460" w:right="40" w:hanging="547"/>
        <w:spacing w:after="0" w:line="268" w:lineRule="auto"/>
        <w:tabs>
          <w:tab w:leader="none" w:pos="14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to the extent that payment of such interest is lawful, interest upon overdue interest at the rate borne by the debt securities, and</w:t>
      </w:r>
    </w:p>
    <w:p>
      <w:pPr>
        <w:spacing w:after="0" w:line="113" w:lineRule="exact"/>
        <w:rPr>
          <w:rFonts w:ascii="Arial" w:cs="Arial" w:eastAsia="Arial" w:hAnsi="Arial"/>
          <w:sz w:val="16"/>
          <w:szCs w:val="16"/>
          <w:color w:val="auto"/>
        </w:rPr>
      </w:pPr>
    </w:p>
    <w:p>
      <w:pPr>
        <w:ind w:left="1460" w:right="100" w:hanging="547"/>
        <w:spacing w:after="0" w:line="268" w:lineRule="auto"/>
        <w:tabs>
          <w:tab w:leader="none" w:pos="14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32" w:lineRule="exact"/>
        <w:rPr>
          <w:sz w:val="20"/>
          <w:szCs w:val="20"/>
          <w:color w:val="auto"/>
        </w:rPr>
      </w:pPr>
    </w:p>
    <w:p>
      <w:pPr>
        <w:jc w:val="both"/>
        <w:ind w:right="2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Notices of Default. </w:t>
      </w:r>
      <w:r>
        <w:rPr>
          <w:rFonts w:ascii="Arial" w:cs="Arial" w:eastAsia="Arial" w:hAnsi="Arial"/>
          <w:sz w:val="16"/>
          <w:szCs w:val="16"/>
          <w:color w:val="auto"/>
        </w:rPr>
        <w:t>Unless we say otherwise in a prospectus supplement, we are required to deliver to the trustee, on or before a date not more than 120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107"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b w:val="1"/>
          <w:bCs w:val="1"/>
          <w:i w:val="1"/>
          <w:iCs w:val="1"/>
          <w:color w:val="auto"/>
        </w:rPr>
        <w:t xml:space="preserve">Limitation on Suits. </w:t>
      </w:r>
      <w:r>
        <w:rPr>
          <w:rFonts w:ascii="Arial" w:cs="Arial" w:eastAsia="Arial" w:hAnsi="Arial"/>
          <w:sz w:val="15"/>
          <w:szCs w:val="15"/>
          <w:color w:val="auto"/>
        </w:rPr>
        <w:t>Unless we say otherwise in a prospectus supplement, each indenture provides or will provide that no holders of debt securities of 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05"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Obligations of Trustee. </w:t>
      </w:r>
      <w:r>
        <w:rPr>
          <w:rFonts w:ascii="Arial" w:cs="Arial" w:eastAsia="Arial" w:hAnsi="Arial"/>
          <w:sz w:val="16"/>
          <w:szCs w:val="16"/>
          <w:color w:val="auto"/>
        </w:rPr>
        <w:t>Unless we say otherwise in a prospectus supplement, the trustee is under no obligation to exercise any of the rights or powers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07" w:lineRule="exact"/>
        <w:rPr>
          <w:sz w:val="20"/>
          <w:szCs w:val="20"/>
          <w:color w:val="auto"/>
        </w:rPr>
      </w:pPr>
    </w:p>
    <w:p>
      <w:pPr>
        <w:jc w:val="both"/>
        <w:ind w:right="280" w:firstLine="456"/>
        <w:spacing w:after="0" w:line="268"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9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59" w:lineRule="exact"/>
        <w:rPr>
          <w:sz w:val="20"/>
          <w:szCs w:val="20"/>
          <w:color w:val="auto"/>
        </w:rPr>
      </w:pPr>
    </w:p>
    <w:p>
      <w:pPr>
        <w:ind w:left="900" w:right="240" w:hanging="446"/>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50"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in order to exercise either defeasance or covenant defeasance as to the outstanding debt securities of 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series:</w:t>
      </w:r>
    </w:p>
    <w:p>
      <w:pPr>
        <w:spacing w:after="0" w:line="84"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we must irrevocably deposit with the trustee, in trust, for the benefit of the holders of the debt securities of the applicable series, an amount in</w:t>
      </w:r>
    </w:p>
    <w:p>
      <w:pPr>
        <w:spacing w:after="0" w:line="38" w:lineRule="exact"/>
        <w:rPr>
          <w:rFonts w:ascii="Arial" w:cs="Arial" w:eastAsia="Arial" w:hAnsi="Arial"/>
          <w:sz w:val="16"/>
          <w:szCs w:val="16"/>
          <w:color w:val="auto"/>
        </w:rPr>
      </w:pPr>
    </w:p>
    <w:p>
      <w:pPr>
        <w:ind w:left="900" w:right="100"/>
        <w:spacing w:after="0" w:line="292" w:lineRule="auto"/>
        <w:rPr>
          <w:rFonts w:ascii="Arial" w:cs="Arial" w:eastAsia="Arial" w:hAnsi="Arial"/>
          <w:sz w:val="16"/>
          <w:szCs w:val="16"/>
          <w:color w:val="auto"/>
        </w:rPr>
      </w:pPr>
      <w:r>
        <w:rPr>
          <w:rFonts w:ascii="Arial" w:cs="Arial" w:eastAsia="Arial" w:hAnsi="Arial"/>
          <w:sz w:val="16"/>
          <w:szCs w:val="16"/>
          <w:color w:val="auto"/>
        </w:rPr>
        <w:t>(i) currency, currencies or currency units in which those debt securities are then specified as payable at maturity, (ii) government obligations (as defined in the applicable indenture) or (iii) any combination thereof, as will be sufficient, without consideration of reinvestment of 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35" w:lineRule="exact"/>
        <w:rPr>
          <w:rFonts w:ascii="Arial" w:cs="Arial" w:eastAsia="Arial" w:hAnsi="Arial"/>
          <w:sz w:val="16"/>
          <w:szCs w:val="16"/>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90" w:lineRule="exact"/>
        <w:rPr>
          <w:sz w:val="20"/>
          <w:szCs w:val="20"/>
          <w:color w:val="auto"/>
        </w:rPr>
      </w:pPr>
    </w:p>
    <w:p>
      <w:pPr>
        <w:ind w:left="1460" w:hanging="547"/>
        <w:spacing w:after="0"/>
        <w:tabs>
          <w:tab w:leader="none" w:pos="1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since the date of execution of the indenture, there has been a change in the applicable federal income tax law,</w:t>
      </w:r>
    </w:p>
    <w:p>
      <w:pPr>
        <w:spacing w:after="0" w:line="90"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59" w:lineRule="exact"/>
        <w:rPr>
          <w:sz w:val="20"/>
          <w:szCs w:val="20"/>
          <w:color w:val="auto"/>
        </w:rPr>
      </w:pPr>
    </w:p>
    <w:p>
      <w:pPr>
        <w:ind w:left="900" w:right="140" w:hanging="446"/>
        <w:spacing w:after="0" w:line="256"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6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59"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5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50" w:lineRule="exact"/>
        <w:rPr>
          <w:rFonts w:ascii="Arial" w:cs="Arial" w:eastAsia="Arial" w:hAnsi="Arial"/>
          <w:sz w:val="18"/>
          <w:szCs w:val="18"/>
          <w:color w:val="auto"/>
        </w:rPr>
      </w:pPr>
    </w:p>
    <w:p>
      <w:pPr>
        <w:ind w:left="900" w:right="260" w:hanging="446"/>
        <w:spacing w:after="0" w:line="306"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 the consent of the holders of a majority in aggregate principal amount of the outstanding debt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51"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series of outstanding debt security;</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5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59"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51" w:lineRule="exact"/>
        <w:rPr>
          <w:sz w:val="20"/>
          <w:szCs w:val="20"/>
          <w:color w:val="auto"/>
        </w:rPr>
      </w:pPr>
    </w:p>
    <w:p>
      <w:pPr>
        <w:ind w:left="900" w:right="300" w:hanging="446"/>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90"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61"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9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459"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446"/>
        <w:spacing w:after="0" w:line="256"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6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4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35"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459" w:right="3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 Maryland REIT. Your rights as a shareholder are governed by the Code of Maryland, including Title 8 of the Corporations and Associations Article, or Maryland REIT Law, our declaration of trust, our bylaws and the articles supplementary with respect to our Series 1 preferred shares. The following summary of the material terms, rights and preferences of the shares of beneficial interest is not complete and is subject to and qualified in its entirety by reference to the laws of the State of Maryland, including Maryland REIT law, our declaration of trust, bylaws and the articles supplementary with respect to our Series 1 preferred shares.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96" w:lineRule="exact"/>
        <w:rPr>
          <w:sz w:val="20"/>
          <w:szCs w:val="20"/>
          <w:color w:val="auto"/>
        </w:rPr>
      </w:pPr>
    </w:p>
    <w:p>
      <w:pPr>
        <w:jc w:val="both"/>
        <w:ind w:right="400" w:firstLine="456"/>
        <w:spacing w:after="0" w:line="335" w:lineRule="auto"/>
        <w:rPr>
          <w:sz w:val="20"/>
          <w:szCs w:val="20"/>
          <w:color w:val="auto"/>
        </w:rPr>
      </w:pPr>
      <w:r>
        <w:rPr>
          <w:rFonts w:ascii="Arial" w:cs="Arial" w:eastAsia="Arial" w:hAnsi="Arial"/>
          <w:sz w:val="15"/>
          <w:szCs w:val="15"/>
          <w:color w:val="auto"/>
        </w:rPr>
        <w:t>Our declaration of trust allows us to issue up to 100,000,000 common shares of beneficial interest, par value $.01 per share, and 15,000,000 preferred shares of beneficial interest, par value $.01 per share. As of May 4, 2012, we had issued and outstanding 63,914,475 common shares, and 399,896 preferred shares, which are designated as 5.417% Series 1 Cumulative Convertible Preferred Shares, which we refer to as the Series 1 preferred shares.</w:t>
      </w:r>
    </w:p>
    <w:p>
      <w:pPr>
        <w:spacing w:after="0" w:line="8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actions without approval by you or any shareholder:</w:t>
      </w:r>
    </w:p>
    <w:p>
      <w:pPr>
        <w:spacing w:after="0" w:line="51" w:lineRule="exact"/>
        <w:rPr>
          <w:sz w:val="20"/>
          <w:szCs w:val="20"/>
          <w:color w:val="auto"/>
        </w:rPr>
      </w:pPr>
    </w:p>
    <w:p>
      <w:pPr>
        <w:ind w:left="900" w:right="54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and any other shares of beneficial interest having a priority over our common shares in the event of our liquidation, dissolution or winding up. As noted above under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 Authorized Shares,” our outstanding Series 1 preferred shares rank prior to our common shares with respect to the payment of dividends and as to the distribution of assets in the event of our liquidation, dissolution or winding up.</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90"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181" w:lineRule="exact"/>
        <w:rPr>
          <w:sz w:val="20"/>
          <w:szCs w:val="20"/>
          <w:color w:val="auto"/>
        </w:rPr>
      </w:pPr>
    </w:p>
    <w:p>
      <w:pPr>
        <w:ind w:left="900" w:right="20" w:hanging="446"/>
        <w:spacing w:after="0" w:line="256"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62" w:lineRule="exact"/>
        <w:rPr>
          <w:rFonts w:ascii="Arial" w:cs="Arial" w:eastAsia="Arial" w:hAnsi="Arial"/>
          <w:sz w:val="18"/>
          <w:szCs w:val="18"/>
          <w:color w:val="auto"/>
        </w:rPr>
      </w:pPr>
    </w:p>
    <w:p>
      <w:pPr>
        <w:ind w:left="900" w:right="180" w:hanging="446"/>
        <w:spacing w:after="0" w:line="256"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62" w:lineRule="exact"/>
        <w:rPr>
          <w:rFonts w:ascii="Arial" w:cs="Arial" w:eastAsia="Arial" w:hAnsi="Arial"/>
          <w:sz w:val="18"/>
          <w:szCs w:val="18"/>
          <w:color w:val="auto"/>
        </w:rPr>
      </w:pPr>
    </w:p>
    <w:p>
      <w:pPr>
        <w:ind w:left="900" w:right="60" w:hanging="446"/>
        <w:spacing w:after="0" w:line="306"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25" w:lineRule="exact"/>
        <w:rPr>
          <w:rFonts w:ascii="Arial" w:cs="Arial" w:eastAsia="Arial" w:hAnsi="Arial"/>
          <w:sz w:val="16"/>
          <w:szCs w:val="16"/>
          <w:color w:val="auto"/>
        </w:rPr>
      </w:pPr>
    </w:p>
    <w:p>
      <w:pPr>
        <w:ind w:left="900" w:right="26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446"/>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147"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Preemptive Rights. </w:t>
      </w:r>
      <w:r>
        <w:rPr>
          <w:rFonts w:ascii="Arial" w:cs="Arial" w:eastAsia="Arial" w:hAnsi="Arial"/>
          <w:sz w:val="16"/>
          <w:szCs w:val="16"/>
          <w:color w:val="auto"/>
        </w:rPr>
        <w:t>Under the declaration of trust, no holder of shares of beneficial interest has any preemptive rights to subscribe to any issuance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The common shares are traded on the New York Stock Exchange under the trading symbol “FRT.”</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common shares is American Stock Transfer &amp; Trust Company, LLC,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1 Preferred Shares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40"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b w:val="1"/>
          <w:bCs w:val="1"/>
          <w:i w:val="1"/>
          <w:iCs w:val="1"/>
          <w:color w:val="auto"/>
        </w:rPr>
        <w:t xml:space="preserve">Rank. </w:t>
      </w:r>
      <w:r>
        <w:rPr>
          <w:rFonts w:ascii="Arial" w:cs="Arial" w:eastAsia="Arial" w:hAnsi="Arial"/>
          <w:sz w:val="15"/>
          <w:szCs w:val="15"/>
          <w:color w:val="auto"/>
        </w:rPr>
        <w:t>The Series 1 preferred shares rank prior to the common shares with respect to the payment of dividends and the distribution of assets upon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Each Series 1 preferred share is entitled to receive, when, as and if authorized by our Board of Trustees out of funds legally available for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purpose, cumulative preferential dividends payable in cash at a rate of 5.417% of the liquidation price of $25, which is equivalent to $1.35425 per annum.</w:t>
      </w:r>
    </w:p>
    <w:p>
      <w:pPr>
        <w:spacing w:after="0" w:line="85"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the holders of Series 1 preferred shares shall be entitled to receive $25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 share, plus all accrued and unpaid dividends, before any distribution shall be made with respect to the common shares.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Series 1 preferred shares shall have no voting rights.</w:t>
      </w:r>
    </w:p>
    <w:p>
      <w:pPr>
        <w:spacing w:after="0" w:line="171" w:lineRule="exact"/>
        <w:rPr>
          <w:sz w:val="20"/>
          <w:szCs w:val="20"/>
          <w:color w:val="auto"/>
        </w:rPr>
      </w:pPr>
    </w:p>
    <w:p>
      <w:pPr>
        <w:ind w:right="40" w:firstLine="456"/>
        <w:spacing w:after="0" w:line="305" w:lineRule="auto"/>
        <w:rPr>
          <w:sz w:val="20"/>
          <w:szCs w:val="20"/>
          <w:color w:val="auto"/>
        </w:rPr>
      </w:pPr>
      <w:r>
        <w:rPr>
          <w:rFonts w:ascii="Arial" w:cs="Arial" w:eastAsia="Arial" w:hAnsi="Arial"/>
          <w:sz w:val="15"/>
          <w:szCs w:val="15"/>
          <w:b w:val="1"/>
          <w:bCs w:val="1"/>
          <w:i w:val="1"/>
          <w:iCs w:val="1"/>
          <w:color w:val="auto"/>
        </w:rPr>
        <w:t xml:space="preserve">Conversion Rights. </w:t>
      </w:r>
      <w:r>
        <w:rPr>
          <w:rFonts w:ascii="Arial" w:cs="Arial" w:eastAsia="Arial" w:hAnsi="Arial"/>
          <w:sz w:val="15"/>
          <w:szCs w:val="15"/>
          <w:color w:val="auto"/>
        </w:rPr>
        <w:t>Subject to other applicable provisions within the articles supplementary for the Series 1 preferred shares, from the date of issuance,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Series 1 preferred shares shall be convertible, at the option of each holder, into a number of fully paid and nonassessable common shares determined by dividing</w:t>
      </w:r>
    </w:p>
    <w:p>
      <w:pPr>
        <w:ind w:right="20" w:firstLine="8"/>
        <w:spacing w:after="0" w:line="261" w:lineRule="auto"/>
        <w:tabs>
          <w:tab w:leader="none" w:pos="28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product obtained by multiplying (i) the number of Series 1 preferred shares being converted by (ii) liquidation price; by (B) the option conversion price as in effect immediately prior to the close of business on the option conversion date.</w:t>
      </w:r>
    </w:p>
    <w:p>
      <w:pPr>
        <w:spacing w:after="0" w:line="13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 LLC,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York, 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addition to the Series 1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5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Preferred shares may be offered and sold from time to time, in one or more series, as authorized by the Board of Trustees. The Board of Trustees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Terms. </w:t>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113"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dividend rate(s), period(s), amounts and/or payment date(s) or method(s) of calculation of any of those terms that apply to those preferred shares;</w:t>
      </w:r>
    </w:p>
    <w:p>
      <w:pPr>
        <w:spacing w:after="0" w:line="124" w:lineRule="exact"/>
        <w:rPr>
          <w:rFonts w:ascii="Arial" w:cs="Arial" w:eastAsia="Arial" w:hAnsi="Arial"/>
          <w:sz w:val="15"/>
          <w:szCs w:val="15"/>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upon our liquidation, dissolution or winding up, rank:</w:t>
      </w:r>
    </w:p>
    <w:p>
      <w:pPr>
        <w:spacing w:after="0" w:line="51"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3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Subject to any preferential rights of any outstanding shares or series of shares and to the provisions of our declaration of trust regarding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0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As to any liquidation preference applicable to preferred shares offered through this prospectus, the applicable supplement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that, upon the voluntary or involuntary liquidation, dissolution or winding up of our affairs, the holders of those preferred shares shall receive, before any</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339"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8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Unless otherwise indicated in the applicable supplement, holders of preferred shares we issue in the future will not have any voting rights,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may be required by applicable law or any applicable rules and regulations of the New York Stock Exchange.</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supplement relating to the offering of those preferred shares. These terms typically will include:</w:t>
      </w:r>
    </w:p>
    <w:p>
      <w:pPr>
        <w:spacing w:after="0" w:line="51"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 prospectus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 prospectus supplement.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may issue receipts for depositary shares, each of which will represent a fractional interest of a share of a particular series of preferred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43"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4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Voting the Preferred Shares. </w:t>
      </w:r>
      <w:r>
        <w:rPr>
          <w:rFonts w:ascii="Arial" w:cs="Arial" w:eastAsia="Arial" w:hAnsi="Arial"/>
          <w:sz w:val="16"/>
          <w:szCs w:val="16"/>
          <w:color w:val="auto"/>
        </w:rPr>
        <w:t>When the depositary receives notice of any meeting at which the holders of preferred shares are entitled to vote,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whether voluntary or involuntary, you will be entitled, as a record holder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depositary shares, to the fraction of the liquidation preference accorded each applicable preferred share, as has been set forth in a prospectus supplement.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Amendment and Termination of the Deposit Agreement. </w:t>
      </w:r>
      <w:r>
        <w:rPr>
          <w:rFonts w:ascii="Arial" w:cs="Arial" w:eastAsia="Arial" w:hAnsi="Arial"/>
          <w:sz w:val="16"/>
          <w:szCs w:val="16"/>
          <w:color w:val="auto"/>
        </w:rPr>
        <w:t>We and the depositary may amend the form of depositary receipt and any provision of the deposit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26"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90"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4"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Charges of Depositary. </w:t>
      </w:r>
      <w:r>
        <w:rPr>
          <w:rFonts w:ascii="Arial" w:cs="Arial" w:eastAsia="Arial" w:hAnsi="Arial"/>
          <w:sz w:val="18"/>
          <w:szCs w:val="18"/>
          <w:color w:val="auto"/>
        </w:rPr>
        <w:t>We will pay all transfer and other taxes and governmental charges arising solely from the existence of the depositary arrangements.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51" w:lineRule="exact"/>
        <w:rPr>
          <w:sz w:val="20"/>
          <w:szCs w:val="20"/>
          <w:color w:val="auto"/>
        </w:rPr>
      </w:pPr>
    </w:p>
    <w:p>
      <w:pPr>
        <w:ind w:left="900" w:right="60" w:hanging="446"/>
        <w:spacing w:after="0" w:line="306"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25"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5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90"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90" w:lineRule="exact"/>
        <w:rPr>
          <w:rFonts w:ascii="Arial" w:cs="Arial" w:eastAsia="Arial" w:hAnsi="Arial"/>
          <w:sz w:val="18"/>
          <w:szCs w:val="18"/>
          <w:color w:val="auto"/>
        </w:rPr>
      </w:pPr>
    </w:p>
    <w:p>
      <w:pPr>
        <w:ind w:left="900" w:right="800" w:hanging="446"/>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165"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certain exceptions described below, if any purported transfer of shares would violate any of the restrictions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1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record holder with respect to shares-in-trust must pay the trust any dividends or distributions received by such record holder that are attributable to any shares-in-trust if the record date for those shares-in-trust was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or after the date that such shares became shares-in-trust. Upon sale or other disposition of the shares-in-trust to a permitted transferee, the record holder generally will receive from the trustee, the lesser of:</w:t>
      </w:r>
    </w:p>
    <w:p>
      <w:pPr>
        <w:spacing w:after="0" w:line="51"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90" w:lineRule="exact"/>
        <w:rPr>
          <w:rFonts w:ascii="Arial" w:cs="Arial" w:eastAsia="Arial" w:hAnsi="Arial"/>
          <w:sz w:val="18"/>
          <w:szCs w:val="18"/>
          <w:color w:val="auto"/>
        </w:rPr>
      </w:pPr>
    </w:p>
    <w:p>
      <w:pPr>
        <w:ind w:left="1460" w:right="140" w:hanging="547"/>
        <w:spacing w:after="0" w:line="268" w:lineRule="auto"/>
        <w:tabs>
          <w:tab w:leader="none" w:pos="14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0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32" w:lineRule="exact"/>
        <w:rPr>
          <w:sz w:val="20"/>
          <w:szCs w:val="20"/>
          <w:color w:val="auto"/>
        </w:rPr>
      </w:pPr>
    </w:p>
    <w:p>
      <w:pPr>
        <w:jc w:val="both"/>
        <w:ind w:right="280" w:firstLine="456"/>
        <w:spacing w:after="0" w:line="256"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 with such notice not to be given before April 30, 2015.</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 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9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Warrants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issue warrants for the purchase of common or preferred shares. If we offer warrants, we will describe the terms in a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90"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removal of incumbent management, even if these events would offer our shareholders a premium price on their securities or otherwise be favorable to the interests of our shareholders.</w:t>
      </w:r>
    </w:p>
    <w:p>
      <w:pPr>
        <w:spacing w:after="0" w:line="126"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183"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w:t>
      </w:r>
    </w:p>
    <w:p>
      <w:pPr>
        <w:spacing w:after="0" w:line="90"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4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51"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17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i w:val="1"/>
          <w:iCs w:val="1"/>
          <w:color w:val="auto"/>
        </w:rPr>
        <w:t>Control Share Acquisitions</w:t>
      </w:r>
      <w:r>
        <w:rPr>
          <w:rFonts w:ascii="Arial" w:cs="Arial" w:eastAsia="Arial" w:hAnsi="Arial"/>
          <w:sz w:val="18"/>
          <w:szCs w:val="18"/>
          <w:color w:val="auto"/>
        </w:rPr>
        <w:t>. 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51"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3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4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0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 relating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affecting an acquisition or a potential acquisition of control is not subject under Maryland law to a higher duty or greater scrutiny than is applied to any other act of a trustee.</w:t>
      </w:r>
    </w:p>
    <w:p>
      <w:pPr>
        <w:spacing w:after="0" w:line="132"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i w:val="1"/>
          <w:iCs w:val="1"/>
          <w:color w:val="auto"/>
        </w:rPr>
        <w:t>Number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number of trustees may be increased or decreased pursuant to the bylaws, provided that the total number of trustees may not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less than five or more than 10. Under Maryland law and our declaration of trust, trustees are elected for one-year terms.</w:t>
      </w:r>
    </w:p>
    <w:p>
      <w:pPr>
        <w:spacing w:after="0" w:line="12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as defined in our declaration of trust, by the vote of all the other trustees or the shareholders may remove a trustee, with or without cause, at any meeting of shareholders called for that purpose, either by:</w:t>
      </w:r>
    </w:p>
    <w:p>
      <w:pPr>
        <w:spacing w:after="0" w:line="57" w:lineRule="exact"/>
        <w:rPr>
          <w:sz w:val="20"/>
          <w:szCs w:val="20"/>
          <w:color w:val="auto"/>
        </w:rPr>
      </w:pPr>
    </w:p>
    <w:p>
      <w:pPr>
        <w:ind w:left="900" w:right="100" w:hanging="446"/>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26"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36"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i w:val="1"/>
          <w:iCs w:val="1"/>
          <w:color w:val="auto"/>
        </w:rPr>
        <w:t>Meetings of Shareholders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bylaws provide for an annual meeting of shareholders, to be held in May after delivery of the annual report to shareholders,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0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Advance Notice for Shareholder Nominations and Shareholder New Business Proposals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require advance written notice for shareholders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1"/>
          <w:szCs w:val="11"/>
          <w:color w:val="auto"/>
        </w:rPr>
        <w:t>th</w:t>
      </w:r>
      <w:r>
        <w:rPr>
          <w:rFonts w:ascii="Arial" w:cs="Arial" w:eastAsia="Arial" w:hAnsi="Arial"/>
          <w:sz w:val="18"/>
          <w:szCs w:val="18"/>
          <w:color w:val="auto"/>
        </w:rPr>
        <w:t xml:space="preserve"> 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a special meeting, to nominate a trustee, a shareholder must deliver notice to our Secretary not earlier that the close of business on the 120</w:t>
      </w:r>
      <w:r>
        <w:rPr>
          <w:rFonts w:ascii="Arial" w:cs="Arial" w:eastAsia="Arial" w:hAnsi="Arial"/>
          <w:sz w:val="10"/>
          <w:szCs w:val="10"/>
          <w:color w:val="auto"/>
        </w:rPr>
        <w:t>th</w:t>
      </w:r>
      <w:r>
        <w:rPr>
          <w:rFonts w:ascii="Arial" w:cs="Arial" w:eastAsia="Arial" w:hAnsi="Arial"/>
          <w:sz w:val="16"/>
          <w:szCs w:val="16"/>
          <w:color w:val="auto"/>
        </w:rPr>
        <w:t xml:space="preserve"> day prior to the special meeting and not later than the close of business on the later of the 90</w:t>
      </w:r>
      <w:r>
        <w:rPr>
          <w:rFonts w:ascii="Arial" w:cs="Arial" w:eastAsia="Arial" w:hAnsi="Arial"/>
          <w:sz w:val="10"/>
          <w:szCs w:val="10"/>
          <w:color w:val="auto"/>
        </w:rPr>
        <w:t>th</w:t>
      </w:r>
      <w:r>
        <w:rPr>
          <w:rFonts w:ascii="Arial" w:cs="Arial" w:eastAsia="Arial" w:hAnsi="Arial"/>
          <w:sz w:val="16"/>
          <w:szCs w:val="16"/>
          <w:color w:val="auto"/>
        </w:rPr>
        <w:t xml:space="preserve"> day prior to the special meeting or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20"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56"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i w:val="1"/>
          <w:iCs w:val="1"/>
          <w:color w:val="auto"/>
        </w:rPr>
        <w:t>Shareholder Liability and Indemnification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Maryland law, you will not be personally liable for any obligation of ours solely because you are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09"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01" w:lineRule="exact"/>
        <w:rPr>
          <w:sz w:val="20"/>
          <w:szCs w:val="20"/>
          <w:color w:val="auto"/>
        </w:rPr>
      </w:pPr>
    </w:p>
    <w:p>
      <w:pPr>
        <w:jc w:val="both"/>
        <w:ind w:right="40" w:firstLine="456"/>
        <w:spacing w:after="0" w:line="310" w:lineRule="auto"/>
        <w:rPr>
          <w:sz w:val="20"/>
          <w:szCs w:val="20"/>
          <w:color w:val="auto"/>
        </w:rPr>
      </w:pPr>
      <w:r>
        <w:rPr>
          <w:rFonts w:ascii="Arial" w:cs="Arial" w:eastAsia="Arial" w:hAnsi="Arial"/>
          <w:sz w:val="16"/>
          <w:szCs w:val="16"/>
          <w:b w:val="1"/>
          <w:bCs w:val="1"/>
          <w:i w:val="1"/>
          <w:iCs w:val="1"/>
          <w:color w:val="auto"/>
        </w:rPr>
        <w:t>Limitation of Liability of Trustees and Officers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declaration of trust, to the maximum extent permitted under Maryland law in effect from time to time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22"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Indemnification of Directors and Officers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declaration of trust permits us to indemnify and advance expenses to, to the maximum extent permitted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45"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w:t>
      </w:r>
    </w:p>
    <w:p>
      <w:pPr>
        <w:ind w:firstLine="8"/>
        <w:spacing w:after="0" w:line="290" w:lineRule="auto"/>
        <w:tabs>
          <w:tab w:leader="none" w:pos="307"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sections summarize the material federal income tax issues that you may consider relevant relating to our taxation as a REIT under the Code, and the acquisition, ownership, and disposition of our common, preferred, and depositary shares. If we offer one or more additional series of common shares or preferred shares, debt securities, depositary shares, or warrants to purchase debt or equity securities, the prospectus supplement would include information about additional material U.S. federal income tax considerations to holders of any of the offered securities.</w:t>
      </w:r>
    </w:p>
    <w:p>
      <w:pPr>
        <w:spacing w:after="0" w:line="11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the discussion of the tax treatment of our shareholders addresses only common or preferred shares held as a capital asset.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U.S. shareholders whose functional currency is not the U.S. dollar, persons that hold shares as part of a straddle, hedge, conversion, synthetic security or constructive sale transaction for U.S. federal income tax purposes, or non-U.S. individuals and foreign corporations (except to the extent discussed in “— Taxation of Non-U.S. Shareholders” below). This summary does not address any aspect of state, local or foreign taxation or any U.S. federal tax other than the income tax and, only to the extent specifically provided herein, certain excise taxes potentially applicable to REITs.</w:t>
      </w:r>
    </w:p>
    <w:p>
      <w:pPr>
        <w:spacing w:after="0" w:line="127"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This summary is based upon the provisions of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8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PROSPECTIVE INVESTORS SHOULD CONSULT THEIR OWN TAX ADVISORS REGARDING THE SPECIFIC FEDERAL, STATE, LOCAL, FOREIGN AND OTHER TAX CONSEQUENCES TO THEM OF PURCHASING, OWNING AND DISPOSING OF OUR SECURITIES, OUR ELECTION TO BE TAXED AS A REIT AND THE EFFECT OF POTENTIAL CHANGES IN APPLICABLE TAX LAWS.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elected to be taxed as a REIT under the federal income tax laws when we filed our 1962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4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In the opinion of our tax counsel, Pillsbury Winthrop Shaw Pittman LLP, (i) we qualified as a REIT under Sections 856 through 859 of the Code with respect to our taxable years ended through December 31, 2011;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business, properties and operations. We may not, however, have met or continue to meet such requirements. You</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1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59" w:lineRule="exact"/>
        <w:rPr>
          <w:sz w:val="20"/>
          <w:szCs w:val="20"/>
          <w:color w:val="auto"/>
        </w:rPr>
      </w:pPr>
    </w:p>
    <w:p>
      <w:pPr>
        <w:ind w:left="900" w:right="560" w:hanging="325"/>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we may be subject to the “alternative minimum tax” on any items of tax preference that we do not distribute or allocate to our shareholders;</w:t>
      </w:r>
    </w:p>
    <w:p>
      <w:pPr>
        <w:spacing w:after="0" w:line="113" w:lineRule="exact"/>
        <w:rPr>
          <w:rFonts w:ascii="Arial" w:cs="Arial" w:eastAsia="Arial" w:hAnsi="Arial"/>
          <w:sz w:val="16"/>
          <w:szCs w:val="16"/>
          <w:color w:val="auto"/>
        </w:rPr>
      </w:pPr>
    </w:p>
    <w:p>
      <w:pPr>
        <w:ind w:left="900" w:right="60" w:hanging="325"/>
        <w:spacing w:after="0" w:line="306" w:lineRule="auto"/>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25"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will pay a 100% excise tax on transactions with a taxable REIT subsidiary that are not conducted on an arm’s-length basis;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 Requirements for REIT Qualification</w:t>
      </w:r>
    </w:p>
    <w:p>
      <w:pPr>
        <w:spacing w:after="0" w:line="38" w:lineRule="exact"/>
        <w:rPr>
          <w:rFonts w:ascii="Arial" w:cs="Arial" w:eastAsia="Arial" w:hAnsi="Arial"/>
          <w:sz w:val="16"/>
          <w:szCs w:val="16"/>
          <w:color w:val="auto"/>
        </w:rPr>
      </w:pPr>
    </w:p>
    <w:p>
      <w:pPr>
        <w:ind w:left="900" w:right="2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63"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62" w:lineRule="exact"/>
        <w:rPr>
          <w:rFonts w:ascii="Arial" w:cs="Arial" w:eastAsia="Arial" w:hAnsi="Arial"/>
          <w:sz w:val="18"/>
          <w:szCs w:val="18"/>
          <w:color w:val="auto"/>
        </w:rPr>
      </w:pPr>
    </w:p>
    <w:p>
      <w:pPr>
        <w:jc w:val="both"/>
        <w:ind w:left="900" w:right="20" w:hanging="325"/>
        <w:spacing w:after="0" w:line="259"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306"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25"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253"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90" w:lineRule="exact"/>
        <w:rPr>
          <w:rFonts w:ascii="Arial" w:cs="Arial" w:eastAsia="Arial" w:hAnsi="Arial"/>
          <w:sz w:val="18"/>
          <w:szCs w:val="18"/>
          <w:color w:val="auto"/>
        </w:rPr>
      </w:pPr>
    </w:p>
    <w:p>
      <w:pPr>
        <w:ind w:left="900" w:right="20" w:hanging="325"/>
        <w:spacing w:after="0" w:line="254"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90"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9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5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50"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that are taxable REIT subsidiaries. Accordingly, our qualified REIT subsidiaries are not subject to federal corporate income taxation, though they may be subject to state and local taxation.</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An unincorporated domestic entity, such as a partnership or limited liability company, that has a single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REIT. An unincorporated domestic entity, such as a partnership or a limited liability company, with two or more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Tests</w:t>
      </w:r>
      <w:r>
        <w:rPr>
          <w:rFonts w:ascii="Arial" w:cs="Arial" w:eastAsia="Arial" w:hAnsi="Arial"/>
          <w:sz w:val="18"/>
          <w:szCs w:val="18"/>
          <w:color w:val="auto"/>
        </w:rPr>
        <w:t>. We must satisfy two gross income tests annually to maintain our qualification as a REIT:</w:t>
      </w:r>
    </w:p>
    <w:p>
      <w:pPr>
        <w:spacing w:after="0" w:line="90" w:lineRule="exact"/>
        <w:rPr>
          <w:sz w:val="20"/>
          <w:szCs w:val="20"/>
          <w:color w:val="auto"/>
        </w:rPr>
      </w:pPr>
    </w:p>
    <w:p>
      <w:pPr>
        <w:ind w:left="900" w:right="20" w:hanging="446"/>
        <w:spacing w:after="0" w:line="291"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and dividends or other distributions on and gain from the sale of shares in other REITs; and</w:t>
      </w:r>
    </w:p>
    <w:p>
      <w:pPr>
        <w:spacing w:after="0" w:line="39" w:lineRule="exact"/>
        <w:rPr>
          <w:rFonts w:ascii="Arial" w:cs="Arial" w:eastAsia="Arial" w:hAnsi="Arial"/>
          <w:sz w:val="16"/>
          <w:szCs w:val="16"/>
          <w:color w:val="auto"/>
        </w:rPr>
      </w:pPr>
    </w:p>
    <w:p>
      <w:pPr>
        <w:ind w:left="900" w:right="160" w:hanging="446"/>
        <w:spacing w:after="0" w:line="259"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80"/>
        <w:spacing w:after="0" w:line="268" w:lineRule="auto"/>
        <w:rPr>
          <w:sz w:val="20"/>
          <w:szCs w:val="20"/>
          <w:color w:val="auto"/>
        </w:rPr>
      </w:pPr>
      <w:r>
        <w:rPr>
          <w:rFonts w:ascii="Arial" w:cs="Arial" w:eastAsia="Arial" w:hAnsi="Arial"/>
          <w:sz w:val="18"/>
          <w:szCs w:val="18"/>
          <w:color w:val="auto"/>
        </w:rPr>
        <w:t>qualifying income for purposes of the 75% gross income test, dividends, other types of interest, gain from the sale or disposition of stock or securities, or any combination of the foregoing (the “95% gross income test”).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 under the REIT tax rules:</w:t>
      </w:r>
    </w:p>
    <w:p>
      <w:pPr>
        <w:spacing w:after="0" w:line="59" w:lineRule="exact"/>
        <w:rPr>
          <w:sz w:val="20"/>
          <w:szCs w:val="20"/>
          <w:color w:val="auto"/>
        </w:rPr>
      </w:pPr>
    </w:p>
    <w:p>
      <w:pPr>
        <w:ind w:left="900" w:right="60" w:hanging="446"/>
        <w:spacing w:after="0" w:line="298"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If the rent is based, in whole or in part, on the income or profits of any person although, generally, rent may be based on a fixed percentage or percentages of receipts or sales, the rent will not qualify as “rents from real property.”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31" w:lineRule="exact"/>
        <w:rPr>
          <w:rFonts w:ascii="Arial" w:cs="Arial" w:eastAsia="Arial" w:hAnsi="Arial"/>
          <w:sz w:val="16"/>
          <w:szCs w:val="16"/>
          <w:color w:val="auto"/>
        </w:rPr>
      </w:pPr>
    </w:p>
    <w:p>
      <w:pPr>
        <w:ind w:left="900" w:hanging="446"/>
        <w:spacing w:after="0" w:line="286"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43" w:lineRule="exact"/>
        <w:rPr>
          <w:rFonts w:ascii="Arial" w:cs="Arial" w:eastAsia="Arial" w:hAnsi="Arial"/>
          <w:sz w:val="16"/>
          <w:szCs w:val="16"/>
          <w:color w:val="auto"/>
        </w:rPr>
      </w:pPr>
    </w:p>
    <w:p>
      <w:pPr>
        <w:ind w:left="900" w:hanging="446"/>
        <w:spacing w:after="0" w:line="291"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We believe that all space currently leased to taxable REIT subsidiaries meets these conditions, and on an ongoing basis will use our best efforts to meet these conditions in the future, unless we determine in our discretion that the related party rent received from a taxable REIT subsidiary will not jeopardize our status as a REIT;</w:t>
      </w:r>
    </w:p>
    <w:p>
      <w:pPr>
        <w:spacing w:after="0" w:line="39" w:lineRule="exact"/>
        <w:rPr>
          <w:rFonts w:ascii="Arial" w:cs="Arial" w:eastAsia="Arial" w:hAnsi="Arial"/>
          <w:sz w:val="16"/>
          <w:szCs w:val="16"/>
          <w:color w:val="auto"/>
        </w:rPr>
      </w:pPr>
    </w:p>
    <w:p>
      <w:pPr>
        <w:ind w:left="900" w:right="40" w:hanging="446"/>
        <w:spacing w:after="0" w:line="291"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or unless, in either instance, we have determined or we determine in our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discretion that the amount of disqualified rent attributable to the personal property will not jeopardize our status as a REIT; and</w:t>
      </w:r>
    </w:p>
    <w:p>
      <w:pPr>
        <w:spacing w:after="0" w:line="90" w:lineRule="exact"/>
        <w:rPr>
          <w:sz w:val="20"/>
          <w:szCs w:val="20"/>
          <w:color w:val="auto"/>
        </w:rPr>
      </w:pPr>
    </w:p>
    <w:p>
      <w:pPr>
        <w:ind w:left="900" w:right="180" w:hanging="446"/>
        <w:spacing w:after="0" w:line="289"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Interest. </w:t>
      </w:r>
      <w:r>
        <w:rPr>
          <w:rFonts w:ascii="Arial" w:cs="Arial" w:eastAsia="Arial" w:hAnsi="Arial"/>
          <w:sz w:val="16"/>
          <w:szCs w:val="16"/>
          <w:color w:val="auto"/>
        </w:rPr>
        <w:t>For purposes of the gross income tests, the term “interest” generally does not include any amount received or accrued, directly or indirectly, if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However, in the case of acquisition of an existing loan, if the loan is secured by real property and other property and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property—that is, the amount by which the loan exceeds the value of the real estate that is security for the loan.</w:t>
      </w:r>
    </w:p>
    <w:p>
      <w:pPr>
        <w:spacing w:after="0" w:line="118"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Our share of any dividends received from any corporation (including any taxable REIT subsidiary, but excluding any REIT) in which we own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spacing w:after="0" w:line="10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b w:val="1"/>
          <w:bCs w:val="1"/>
          <w:i w:val="1"/>
          <w:iCs w:val="1"/>
          <w:color w:val="auto"/>
        </w:rPr>
        <w:t>Tax on Income From Property Acquired in Foreclosure</w:t>
      </w:r>
      <w:r>
        <w:rPr>
          <w:rFonts w:ascii="Arial" w:cs="Arial" w:eastAsia="Arial" w:hAnsi="Arial"/>
          <w:sz w:val="16"/>
          <w:szCs w:val="16"/>
          <w:color w:val="auto"/>
        </w:rPr>
        <w:t>. 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“Foreclosure property” is any real property (including interests in real property) and any personal property incident to such real property:</w:t>
      </w:r>
    </w:p>
    <w:p>
      <w:pPr>
        <w:spacing w:after="0" w:line="90" w:lineRule="exact"/>
        <w:rPr>
          <w:sz w:val="20"/>
          <w:szCs w:val="20"/>
          <w:color w:val="auto"/>
        </w:rPr>
      </w:pPr>
    </w:p>
    <w:p>
      <w:pPr>
        <w:ind w:left="900" w:right="180" w:hanging="446"/>
        <w:spacing w:after="0" w:line="332"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171" w:lineRule="exact"/>
        <w:rPr>
          <w:sz w:val="20"/>
          <w:szCs w:val="20"/>
          <w:color w:val="auto"/>
        </w:rPr>
      </w:pPr>
    </w:p>
    <w:p>
      <w:pPr>
        <w:jc w:val="both"/>
        <w:ind w:firstLine="456"/>
        <w:spacing w:after="0" w:line="357" w:lineRule="auto"/>
        <w:rPr>
          <w:sz w:val="20"/>
          <w:szCs w:val="20"/>
          <w:color w:val="auto"/>
        </w:rPr>
      </w:pPr>
      <w:r>
        <w:rPr>
          <w:rFonts w:ascii="Arial" w:cs="Arial" w:eastAsia="Arial" w:hAnsi="Arial"/>
          <w:sz w:val="15"/>
          <w:szCs w:val="15"/>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ind w:left="900" w:right="160" w:hanging="446"/>
        <w:spacing w:after="0" w:line="26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4" w:lineRule="exact"/>
        <w:rPr>
          <w:rFonts w:ascii="Arial" w:cs="Arial" w:eastAsia="Arial" w:hAnsi="Arial"/>
          <w:sz w:val="16"/>
          <w:szCs w:val="16"/>
          <w:color w:val="auto"/>
        </w:rPr>
      </w:pPr>
    </w:p>
    <w:p>
      <w:pPr>
        <w:ind w:left="900" w:right="100" w:hanging="446"/>
        <w:spacing w:after="0" w:line="370" w:lineRule="auto"/>
        <w:tabs>
          <w:tab w:leader="none" w:pos="90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62"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b w:val="1"/>
          <w:bCs w:val="1"/>
          <w:i w:val="1"/>
          <w:iCs w:val="1"/>
          <w:color w:val="auto"/>
        </w:rPr>
        <w:t>Tax on Prohibited Transactions</w:t>
      </w:r>
      <w:r>
        <w:rPr>
          <w:rFonts w:ascii="Arial" w:cs="Arial" w:eastAsia="Arial" w:hAnsi="Arial"/>
          <w:sz w:val="15"/>
          <w:szCs w:val="15"/>
          <w:color w:val="auto"/>
        </w:rPr>
        <w:t>. A REIT will incur a 100% tax on net income (taking into account foreign currency gains and losses) derived from 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0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Code provides a safe harbor that, if met,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If the 7 sale limitation in (iii) above is not satisfied, substantially all of the marketing and development expenditures with respect to the property must be made through an independent contractor from whom we do not derive or receive any income. We believe we have complied with the terms of the safe-harbor provision and we will attempt to comply with the terms of the safe-harbor in the future, except where we determine in our discretion that a particular transaction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will avoid prohibited 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1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b w:val="1"/>
          <w:bCs w:val="1"/>
          <w:i w:val="1"/>
          <w:iCs w:val="1"/>
          <w:color w:val="auto"/>
        </w:rPr>
        <w:t xml:space="preserve">Hedging Transactions. </w:t>
      </w:r>
      <w:r>
        <w:rPr>
          <w:rFonts w:ascii="Arial" w:cs="Arial" w:eastAsia="Arial" w:hAnsi="Arial"/>
          <w:sz w:val="18"/>
          <w:szCs w:val="18"/>
          <w:color w:val="auto"/>
        </w:rPr>
        <w:t>Except to the extent provided by Treasury regulations, any income we derive from a hedging transaction (which may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entering into interest rate swaps, caps, and floors, options to purchase these items, and futures and forward contracts) which is clearly identified as such as specified in the Code, including gain from the sale or disposition of such a transaction, will not constitute gross income for purposes of either the 75% or 95% gross income test, and therefore will be exempt from these tests, but only to the extent that the transaction hedges indebtedness incurred or to be incurred by us to acquire or carry real estate assets or is entered into primarily to manage the risk of foreign currency fluctuations with respect to qualifying income under the 75% or 95% gross income test. Income from any hedging transaction not described above will likely be treated as nonqualifying for both the 75% and 95% gross income test.</w:t>
      </w:r>
    </w:p>
    <w:p>
      <w:pPr>
        <w:spacing w:after="0" w:line="14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Like-Kind Exchanges. </w:t>
      </w:r>
      <w:r>
        <w:rPr>
          <w:rFonts w:ascii="Arial" w:cs="Arial" w:eastAsia="Arial" w:hAnsi="Arial"/>
          <w:sz w:val="18"/>
          <w:szCs w:val="18"/>
          <w:color w:val="auto"/>
        </w:rPr>
        <w:t>We may dispose of properties in transactions intended to qualify as like-kind exchanges under the Code. Such like-kind exchanges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Asset Tests</w:t>
      </w:r>
      <w:r>
        <w:rPr>
          <w:rFonts w:ascii="Arial" w:cs="Arial" w:eastAsia="Arial" w:hAnsi="Arial"/>
          <w:sz w:val="16"/>
          <w:szCs w:val="16"/>
          <w:color w:val="auto"/>
        </w:rPr>
        <w:t>. To maintain our qualification as a REIT, we also must satisfy the following asset tests at the close of each quarter of each taxable year:</w:t>
      </w:r>
    </w:p>
    <w:p>
      <w:pPr>
        <w:spacing w:after="0" w:line="113" w:lineRule="exact"/>
        <w:rPr>
          <w:sz w:val="20"/>
          <w:szCs w:val="20"/>
          <w:color w:val="auto"/>
        </w:rPr>
      </w:pPr>
    </w:p>
    <w:p>
      <w:pPr>
        <w:ind w:left="900" w:right="420" w:hanging="446"/>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U.S. government securities, “real estate assets,” or qualifying temporary investments (the “75% asset test”).</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w:t>
      </w:r>
    </w:p>
    <w:p>
      <w:pPr>
        <w:spacing w:after="0" w:line="90" w:lineRule="exact"/>
        <w:rPr>
          <w:rFonts w:ascii="Arial" w:cs="Arial" w:eastAsia="Arial" w:hAnsi="Arial"/>
          <w:sz w:val="18"/>
          <w:szCs w:val="18"/>
          <w:color w:val="auto"/>
        </w:rPr>
      </w:pPr>
    </w:p>
    <w:p>
      <w:pPr>
        <w:jc w:val="both"/>
        <w:ind w:left="1480" w:right="300" w:hanging="446"/>
        <w:spacing w:after="0" w:line="259" w:lineRule="auto"/>
        <w:tabs>
          <w:tab w:leader="none" w:pos="14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59" w:lineRule="exact"/>
        <w:rPr>
          <w:rFonts w:ascii="Arial" w:cs="Arial" w:eastAsia="Arial" w:hAnsi="Arial"/>
          <w:sz w:val="18"/>
          <w:szCs w:val="18"/>
          <w:color w:val="auto"/>
        </w:rPr>
      </w:pPr>
    </w:p>
    <w:p>
      <w:pPr>
        <w:ind w:left="1480" w:right="420" w:hanging="446"/>
        <w:spacing w:after="0" w:line="268" w:lineRule="auto"/>
        <w:tabs>
          <w:tab w:leader="none" w:pos="14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83" w:lineRule="auto"/>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(C) the value of our securities in one or more taxable REIT subsidiaries may not exceed 25% of the value of our total assets, and (D) no more than 25% of the value of our total assets may consist of the securities of taxable REIT subsidiaries and our assets that are not qualifying assets for purposes of the 75% asset test. For purposes of the 10% asset test that relates to value, the following are not treated as securities: (i) loans to individuals and estates,</w:t>
      </w:r>
    </w:p>
    <w:p>
      <w:pPr>
        <w:ind w:left="900" w:right="60"/>
        <w:spacing w:after="0" w:line="292" w:lineRule="auto"/>
        <w:rPr>
          <w:rFonts w:ascii="Arial" w:cs="Arial" w:eastAsia="Arial" w:hAnsi="Arial"/>
          <w:sz w:val="16"/>
          <w:szCs w:val="16"/>
          <w:color w:val="auto"/>
        </w:rPr>
      </w:pPr>
      <w:r>
        <w:rPr>
          <w:rFonts w:ascii="Arial" w:cs="Arial" w:eastAsia="Arial" w:hAnsi="Arial"/>
          <w:sz w:val="16"/>
          <w:szCs w:val="16"/>
          <w:color w:val="auto"/>
        </w:rPr>
        <w:t>(ii)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described above, we may from time to time hold mortgage debt. Mortgage loans will generally qualify as real estate assets for purposes of the 75% asset test to the extent that they are secured by real property. However, if a loan is secured by real property and other property and the highest principal amount of a loan outstanding during a taxable year exceeds the fair market value of the real property securing the loan as of the date we agreed to acquire the loan, then a portion of such loan likely will not be a qualifying real estate asset. Under current law, it is not clear how to determine what portion of such a loan will be treated as a real estate asset. Under recently issued guidance, the IRS has stated that it will not challenge a REIT’s treatment of a loan as being, in part, a real estate asset for purposes of the 75% asset test if the REIT treats the loan as being a qualifying real estate asset in an amount equal to the lesser of (i) the fair market value of the real property securing the loan on the date the REIT acquires the loan or (ii) the fair market value of the loan. However, uncertainties exist regarding the application of this guidance, particularly with respect to the proper treatment under the 75% asset test when the loan subsequently increases in value. Thus, no assurance can be provided that the IRS will not challenge our treatment of such loan as a real estate asset. We intend that any investment in mortgage debt will be undertaken in a manner that will enable us to continue to satisfy the asset and gross income test requirements.</w:t>
      </w:r>
    </w:p>
    <w:p>
      <w:pPr>
        <w:spacing w:after="0" w:line="12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43" w:lineRule="exact"/>
        <w:rPr>
          <w:sz w:val="20"/>
          <w:szCs w:val="20"/>
          <w:color w:val="auto"/>
        </w:rPr>
      </w:pPr>
    </w:p>
    <w:p>
      <w:pPr>
        <w:ind w:right="60" w:firstLine="456"/>
        <w:spacing w:after="0" w:line="303" w:lineRule="auto"/>
        <w:rPr>
          <w:sz w:val="20"/>
          <w:szCs w:val="20"/>
          <w:color w:val="auto"/>
        </w:rPr>
      </w:pPr>
      <w:r>
        <w:rPr>
          <w:rFonts w:ascii="Arial" w:cs="Arial" w:eastAsia="Arial" w:hAnsi="Arial"/>
          <w:sz w:val="15"/>
          <w:szCs w:val="15"/>
          <w:b w:val="1"/>
          <w:bCs w:val="1"/>
          <w:i w:val="1"/>
          <w:iCs w:val="1"/>
          <w:color w:val="auto"/>
        </w:rPr>
        <w:t xml:space="preserve">Relief from Consequences of Failing to Meet Asset Tests. </w:t>
      </w:r>
      <w:r>
        <w:rPr>
          <w:rFonts w:ascii="Arial" w:cs="Arial" w:eastAsia="Arial" w:hAnsi="Arial"/>
          <w:sz w:val="15"/>
          <w:szCs w:val="15"/>
          <w:color w:val="auto"/>
        </w:rPr>
        <w:t>If we fail to satisfy one or more of the asset tests for any quarter of a taxable year,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w:t>
      </w:r>
    </w:p>
    <w:p>
      <w:pPr>
        <w:spacing w:after="0" w:line="1" w:lineRule="exact"/>
        <w:rPr>
          <w:sz w:val="20"/>
          <w:szCs w:val="20"/>
          <w:color w:val="auto"/>
        </w:rPr>
      </w:pPr>
    </w:p>
    <w:p>
      <w:pPr>
        <w:ind w:firstLine="8"/>
        <w:spacing w:after="0" w:line="254" w:lineRule="auto"/>
        <w:tabs>
          <w:tab w:leader="none" w:pos="258"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43"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preferred shares or additional common shares to raise the cash necessary to make required distributions or, if possible, pay taxable dividends of our stock or debt securities.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may satisfy the 90% distribution requirement with taxable distributions of our stock or debt securities. The IRS has issued private letter rulings to other REITs treating certain distributions that are paid partly in cash and partly in stock as dividends that would satisfy the REIT annual distribution requirement and qualify for the dividends paid deduction for federal income tax purposes. Those rulings may be relied upon only by taxpayers whom they were issued, but we could request a similar ruling from the IRS. In addition, the IRS previously issued a revenue procedure authorizing publicly traded REITs to make elective cash/stock dividends, but that revenue procedure does not apply to our 2012 and future taxable years. Accordingly, it is unclear whether and to what extent we will be able to make taxable dividends payable in cash and stock. We have no current intention to make a taxable dividend payable in our stock.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b w:val="1"/>
          <w:bCs w:val="1"/>
          <w:i w:val="1"/>
          <w:iCs w:val="1"/>
          <w:color w:val="auto"/>
        </w:rPr>
        <w:t>Record Keeping Requirements</w:t>
      </w:r>
      <w:r>
        <w:rPr>
          <w:rFonts w:ascii="Arial" w:cs="Arial" w:eastAsia="Arial" w:hAnsi="Arial"/>
          <w:sz w:val="18"/>
          <w:szCs w:val="18"/>
          <w:color w:val="auto"/>
        </w:rPr>
        <w:t>. We must maintain certain records in order to qualify as a REIT. In addition, to avoid a monetary penalty, we must request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an annual basis certain information from our shareholders designed to disclose the actual ownership of our outstanding shares. We have complied, and intend to continue to comply, with such requirements.</w:t>
      </w:r>
    </w:p>
    <w:p>
      <w:pPr>
        <w:spacing w:after="0" w:line="140"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4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b w:val="1"/>
          <w:bCs w:val="1"/>
          <w:i w:val="1"/>
          <w:iCs w:val="1"/>
          <w:color w:val="auto"/>
        </w:rPr>
        <w:t xml:space="preserve">Failure to Qualify. </w:t>
      </w:r>
      <w:r>
        <w:rPr>
          <w:rFonts w:ascii="Arial" w:cs="Arial" w:eastAsia="Arial" w:hAnsi="Arial"/>
          <w:sz w:val="16"/>
          <w:szCs w:val="16"/>
          <w:color w:val="auto"/>
        </w:rPr>
        <w:t>If we fail to qualify as a REIT in any taxable year, and no relief provision applied, we would be subject to federal income tax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applicable alternative minimum tax) 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for tax years through 2012. Different rules may apply for years beginning after 2012. See “— Taxation of Taxable U.S. Shareholders</w:t>
      </w:r>
    </w:p>
    <w:p>
      <w:pPr>
        <w:spacing w:after="0" w:line="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51"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90" w:lineRule="exact"/>
        <w:rPr>
          <w:rFonts w:ascii="Arial" w:cs="Arial" w:eastAsia="Arial" w:hAnsi="Arial"/>
          <w:sz w:val="18"/>
          <w:szCs w:val="18"/>
          <w:color w:val="auto"/>
        </w:rPr>
      </w:pPr>
    </w:p>
    <w:p>
      <w:pPr>
        <w:ind w:left="900" w:right="660" w:hanging="446"/>
        <w:spacing w:after="0" w:line="332" w:lineRule="auto"/>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8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partnership, including an entity or arrangement that is treated as a partnership for U.S. federal income tax purposes, is a beneficial owner of our shares, the treatment of a partner in the partnership will generally depend on the status of the partner and the activities of the partnership.</w:t>
      </w:r>
    </w:p>
    <w:p>
      <w:pPr>
        <w:spacing w:after="0" w:line="85"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or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15% tax rate (applicable to tax years through 2012) for “qualified dividend income.”</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determining the extent to which a distribution constitutes a dividend for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18"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Taxation of Taxable U.S. Shareholders on the Disposition of Our Shares. </w:t>
      </w:r>
      <w:r>
        <w:rPr>
          <w:rFonts w:ascii="Arial" w:cs="Arial" w:eastAsia="Arial" w:hAnsi="Arial"/>
          <w:sz w:val="16"/>
          <w:szCs w:val="16"/>
          <w:color w:val="auto"/>
        </w:rPr>
        <w:t>In general, a taxable U.S. shareholder who is not a dealer in securities must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 any gain or loss realized upon a taxable disposition of our common or preferred shares as long-term capital gain or loss if the taxable U.S. shareholder has held the shares for more than one year and otherwise as short-term capital gain or loss. A taxable U.S. shareholder will generally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increased by the excess of net capital gains deemed distributed to the taxable U.S. shareholder (discussed above) less tax deemed paid on such gains and reduced by any returns of capital.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 All or a portion of any loss a taxable U.S. shareholder realizes upon a taxable disposition of the common or preferred shares may be disallowed if the taxable U.S. shareholder purchases substantially identical shares within the 61-day period beginning 30 days before and ending 30 days after the disposition.</w:t>
      </w:r>
    </w:p>
    <w:p>
      <w:pPr>
        <w:spacing w:after="0" w:line="12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b w:val="1"/>
          <w:bCs w:val="1"/>
          <w:i w:val="1"/>
          <w:iCs w:val="1"/>
          <w:color w:val="auto"/>
        </w:rPr>
        <w:t xml:space="preserve">Capital Gains and Losses. </w:t>
      </w:r>
      <w:r>
        <w:rPr>
          <w:rFonts w:ascii="Arial" w:cs="Arial" w:eastAsia="Arial" w:hAnsi="Arial"/>
          <w:sz w:val="16"/>
          <w:szCs w:val="16"/>
          <w:color w:val="auto"/>
        </w:rPr>
        <w:t>A taxpayer generally must hold a capital asset for more than one year for gain or loss derived from its sale or exchange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 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2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2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proposed Treasury regulations, if any portion of the amount received by a taxable U.S. shareholder on a redemption of our preferred shares is treated as a distribution with respect to our shares but not as a taxable dividend, then such portion will be allocated to all shares held by the taxable U.S. shareholder just before the redemption on a pro rata, share-by-share, basis. The amount applied to each share will first reduce the taxable U.S. shareholder’s basis in that share and any excess after the basis is reduced to zero will result in taxable gain. If the holder has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The proposed Treasury regulations would be effective for transactions that occur after the date the regulations are published as final Treasury regulations. There can, however, be no assurance as to whether, when and in what particular form such proposed Treasury regulations will ultimately be finalized. We urge you to consult your tax advisor concerning the treatment of a cash redemption of our preferred shares.</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federal income tax purposes upon the redemption or conversion of our preferred shares at the option of the holder solely into common shares. The basis that a taxable U.S. shareholder will have for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8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 distribution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In such a case, if a nonqualifying adjustment were made, the holders of preferred shares might be deemed to have received a taxable stock dividend.</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Passive Activity and Investment Income Limitations. </w:t>
      </w:r>
      <w:r>
        <w:rPr>
          <w:rFonts w:ascii="Arial" w:cs="Arial" w:eastAsia="Arial" w:hAnsi="Arial"/>
          <w:sz w:val="18"/>
          <w:szCs w:val="18"/>
          <w:color w:val="auto"/>
        </w:rPr>
        <w:t>Distributions from us and gain from the disposition of our common or preferred shares will not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treated as passive activity income and, therefore, taxable 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Medicare Tax on Unearned Income. </w:t>
      </w:r>
      <w:r>
        <w:rPr>
          <w:rFonts w:ascii="Arial" w:cs="Arial" w:eastAsia="Arial" w:hAnsi="Arial"/>
          <w:sz w:val="16"/>
          <w:szCs w:val="16"/>
          <w:color w:val="auto"/>
        </w:rPr>
        <w:t>For taxable years beginning after December 31, 2012, certain taxable U.S. shareholders who are individuals, estates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trusts will be subject to a 3.8% tax on all or a portion of their “net investment income,” which may include all or a 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Current Tax Rates. </w:t>
      </w:r>
      <w:r>
        <w:rPr>
          <w:rFonts w:ascii="Arial" w:cs="Arial" w:eastAsia="Arial" w:hAnsi="Arial"/>
          <w:sz w:val="16"/>
          <w:szCs w:val="16"/>
          <w:color w:val="auto"/>
        </w:rPr>
        <w:t>The maximum tax rate on the long-term capital gains of domestic non-corporate taxpayers is 15% for taxable years beginning 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before December 31, 2012. The tax rate on “qualified dividend income” is the same as the maximum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with respect to non-corporate taxpayers, the 15% rate does generally apply to:</w:t>
      </w:r>
    </w:p>
    <w:p>
      <w:pPr>
        <w:spacing w:after="0" w:line="156"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Without legislation, for non-corporate taxpayers the maximum tax rate on long-term capital gains will increase to 20% in 2013, and qualified dividend income will no longer be taxed at a preferential rate compared to ordinary income.</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Information Reporting and Backup Withholding. </w:t>
      </w:r>
      <w:r>
        <w:rPr>
          <w:rFonts w:ascii="Arial" w:cs="Arial" w:eastAsia="Arial" w:hAnsi="Arial"/>
          <w:sz w:val="16"/>
          <w:szCs w:val="16"/>
          <w:color w:val="auto"/>
        </w:rPr>
        <w:t>Taxable U.S. shareholders that are “exempt recipients” (such as corporations) generally will not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28%)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47"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50" w:lineRule="exact"/>
        <w:rPr>
          <w:rFonts w:ascii="Arial" w:cs="Arial" w:eastAsia="Arial" w:hAnsi="Arial"/>
          <w:sz w:val="18"/>
          <w:szCs w:val="18"/>
          <w:color w:val="auto"/>
        </w:rPr>
      </w:pPr>
    </w:p>
    <w:p>
      <w:pPr>
        <w:ind w:left="900" w:right="500" w:hanging="446"/>
        <w:spacing w:after="0" w:line="332" w:lineRule="auto"/>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96"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The rules governing U.S. federal income taxation of non-U.S. shareholders (defined below) are complex. This section is only a summary of such rules. We urge non-U.S. shareholders to consult their own tax advisors to determine the impact of federal, state, and local income tax laws on ownership of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9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i w:val="1"/>
          <w:iCs w:val="1"/>
          <w:color w:val="auto"/>
        </w:rPr>
        <w:t>Ordinary Dividends</w:t>
      </w:r>
      <w:r>
        <w:rPr>
          <w:rFonts w:ascii="Arial" w:cs="Arial" w:eastAsia="Arial" w:hAnsi="Arial"/>
          <w:sz w:val="16"/>
          <w:szCs w:val="16"/>
          <w:color w:val="auto"/>
        </w:rPr>
        <w:t>. A non-U.S. shareholder that receives a distribution that is not attributable to gain from our sale or exchange of “U.S. real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(as defined below) and that we do not designate as a capital gain dividend or retained capital gain will recognize ordinary income to the extent that we pay such distribution out of our current or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shareholder’s conduct of a U.S. trade or business (conducted through a U.S. permanent establishment, where applicable),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rate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to us evidencing eligibility for that reduced rate, or (ii) the non-U.S. shareholder timely provides an IRS Form W-8ECI to us claiming that the distribution is effectively connected income.</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Return of Capital</w:t>
      </w:r>
      <w:r>
        <w:rPr>
          <w:rFonts w:ascii="Arial" w:cs="Arial" w:eastAsia="Arial" w:hAnsi="Arial"/>
          <w:sz w:val="16"/>
          <w:szCs w:val="16"/>
          <w:color w:val="auto"/>
        </w:rPr>
        <w:t>. A non-U.S. shareholder will not incur tax on a distribution to the extent it exceeds our current and accumulated earnings and profits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Capital Gain Dividends</w:t>
      </w:r>
      <w:r>
        <w:rPr>
          <w:rFonts w:ascii="Arial" w:cs="Arial" w:eastAsia="Arial" w:hAnsi="Arial"/>
          <w:sz w:val="16"/>
          <w:szCs w:val="16"/>
          <w:color w:val="auto"/>
        </w:rPr>
        <w:t>. Provided that a particular class of our shares is “regularly traded” on an established securities market in the United States,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the foregoing exceptions do not apply, for example because the non-U.S. shareholder owns more than 5% of the relevant class of our shares, the non-U.S. shareholder will incur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not entitled to treaty relief or exemption also may be subject to the 30% branch profits tax on distributions subject to FIRPTA.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2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Retention of Net Capital Gains. </w:t>
      </w:r>
      <w:r>
        <w:rPr>
          <w:rFonts w:ascii="Arial" w:cs="Arial" w:eastAsia="Arial" w:hAnsi="Arial"/>
          <w:sz w:val="16"/>
          <w:szCs w:val="16"/>
          <w:color w:val="auto"/>
        </w:rPr>
        <w:t>Although the law is not clear on the matter, it appears that amounts we designate as retained capital gains in respect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Sale of Shares</w:t>
      </w:r>
      <w:r>
        <w:rPr>
          <w:rFonts w:ascii="Arial" w:cs="Arial" w:eastAsia="Arial" w:hAnsi="Arial"/>
          <w:sz w:val="16"/>
          <w:szCs w:val="16"/>
          <w:color w:val="auto"/>
        </w:rPr>
        <w:t>. A non-U.S. shareholder generally will not incur tax under FIRPTA on gain from the sale of its common or preferred shares as long as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a “domestically controlled REIT.” A “domestically controlled” REIT is a REIT in which at all times during a specified testing period non-U.S. persons held, directly or indirectly, less than 50% in value of our shares. We anticipate that we will continue to be a domestically controlled REIT, but there is no assurance that we will continue to be so. In addition, a non-U.S. shareholder that owns, actually or constructively, 5% or less of a class of our of outstanding shares at all times during a specified testing period will not incur tax under FIRPTA on a sale of such shares if the shares are “regularly traded” on an established securities market. If neither of these exceptions were to apply, the gain on the sale of the common or preferred shares would be taxed under FIRPTA, in which case a non-U.S. shareholder would be required to file a U.S. federal income tax return and would be taxed in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10% of the purchase price. Additionally, a corporate non-U.S. shareholder may also be subject to the 30% branch profits tax on gains from the sale of shares taxed under FIRPTA.</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Wash Sales. </w:t>
      </w:r>
      <w:r>
        <w:rPr>
          <w:rFonts w:ascii="Arial" w:cs="Arial" w:eastAsia="Arial" w:hAnsi="Arial"/>
          <w:sz w:val="18"/>
          <w:szCs w:val="18"/>
          <w:color w:val="auto"/>
        </w:rPr>
        <w:t>In general, special wash sale rules apply if a shareholder owning more than 5% of our common or preferred shares avoids a taxable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color w:val="auto"/>
        </w:rPr>
        <w:t>. We must report annually to the IRS and to each non-U.S. shareholder the amount of distributions paid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Backup withholding (currently at the rate of 28%)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39"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90"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supplied to the IRS.</w:t>
      </w:r>
    </w:p>
    <w:p>
      <w:pPr>
        <w:spacing w:after="0" w:line="11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b w:val="1"/>
          <w:bCs w:val="1"/>
          <w:i w:val="1"/>
          <w:iCs w:val="1"/>
          <w:color w:val="auto"/>
        </w:rPr>
        <w:t xml:space="preserve">Reporting and Withholding on Foreign Financial Accounts. </w:t>
      </w:r>
      <w:r>
        <w:rPr>
          <w:rFonts w:ascii="Arial" w:cs="Arial" w:eastAsia="Arial" w:hAnsi="Arial"/>
          <w:sz w:val="16"/>
          <w:szCs w:val="16"/>
          <w:color w:val="auto"/>
        </w:rPr>
        <w:t>For taxable years beginning after December 31, 2013, certain foreign financial institutions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non-financial foreign entities will be subject to a 30% U.S. federal withholding tax on dividends on our common or preferred shares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the direct and indirect U.S. owners of the entity. In addition, if such disclosure requirements are not satisfied, withholding on gross proceeds from the sale or other disposition of our common or preferred shares by such foreign financial institutions and non-financial foreign entities will generally begin after December 31, 2014.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or preferred shares.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b w:val="1"/>
          <w:bCs w:val="1"/>
          <w:i w:val="1"/>
          <w:iCs w:val="1"/>
          <w:color w:val="auto"/>
        </w:rPr>
        <w:t>State and Local Taxes</w:t>
      </w:r>
      <w:r>
        <w:rPr>
          <w:rFonts w:ascii="Arial" w:cs="Arial" w:eastAsia="Arial" w:hAnsi="Arial"/>
          <w:sz w:val="16"/>
          <w:szCs w:val="16"/>
          <w:color w:val="auto"/>
        </w:rPr>
        <w:t>. We and/or you may be subject to state and local tax in various states and localities, including those states and localities in which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you transact business, own property or reside. The state and local tax treatment in such jurisdictions may differ from the federal income tax treatment described above. Consequently, you should consult your own tax advisor regarding the effect of state and local tax laws upon an investment in our securities.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sell the securities being offered by this prospectus in one or more of the following ways from time to time: (1) through underwriters or dealers;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 through agents; (3) in “at the market offerings” to or through a market maker or into an existing trading market or securities exchange or otherwise;</w:t>
      </w:r>
    </w:p>
    <w:p>
      <w:pPr>
        <w:spacing w:after="0" w:line="32" w:lineRule="exact"/>
        <w:rPr>
          <w:sz w:val="20"/>
          <w:szCs w:val="20"/>
          <w:color w:val="auto"/>
        </w:rPr>
      </w:pPr>
    </w:p>
    <w:p>
      <w:pPr>
        <w:ind w:right="40" w:firstLine="8"/>
        <w:spacing w:after="0" w:line="295" w:lineRule="auto"/>
        <w:tabs>
          <w:tab w:leader="none" w:pos="249" w:val="left"/>
        </w:tabs>
        <w:numPr>
          <w:ilvl w:val="0"/>
          <w:numId w:val="92"/>
        </w:numPr>
        <w:rPr>
          <w:rFonts w:ascii="Arial" w:cs="Arial" w:eastAsia="Arial" w:hAnsi="Arial"/>
          <w:sz w:val="16"/>
          <w:szCs w:val="16"/>
          <w:color w:val="auto"/>
        </w:rPr>
      </w:pPr>
      <w:r>
        <w:rPr>
          <w:rFonts w:ascii="Arial" w:cs="Arial" w:eastAsia="Arial" w:hAnsi="Arial"/>
          <w:sz w:val="16"/>
          <w:szCs w:val="16"/>
          <w:color w:val="auto"/>
        </w:rPr>
        <w:t>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90" w:lineRule="exact"/>
        <w:rPr>
          <w:sz w:val="20"/>
          <w:szCs w:val="20"/>
          <w:color w:val="auto"/>
        </w:rPr>
      </w:pPr>
    </w:p>
    <w:p>
      <w:pPr>
        <w:ind w:left="900" w:right="320" w:hanging="325"/>
        <w:spacing w:after="0" w:line="268"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purchases by a dealer as principal and resale by such dealer for its account pursuant to this prospectus or any prospectus supplement;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laws of the jurisdiction to which the purchaser is subject. The underwriters and other agents will not have any responsibility in respect of the validity or performance of such contracts.</w:t>
      </w:r>
    </w:p>
    <w:p>
      <w:pPr>
        <w:spacing w:after="0" w:line="13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8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2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160" w:lineRule="exact"/>
        <w:rPr>
          <w:sz w:val="20"/>
          <w:szCs w:val="20"/>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2011, filed with the SEC on February 16,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Definitive Proxy Statement for our 2012 Annual Meeting of Shareholders, filed with the SEC on March 23,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2012, filed with the SEC on May 7,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Current Report on Form 8-K dated February 9, 2012, filed with the SEC on February 15,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Current Report on Form 8-K dated May 2, 2012, filed with the SEC on May 4, 2012;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with the SEC on June 6, 2002.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2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 xml:space="preserve">Copies of our SEC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300"/>
        <w:spacing w:after="0"/>
        <w:rPr>
          <w:sz w:val="20"/>
          <w:szCs w:val="20"/>
          <w:color w:val="auto"/>
        </w:rPr>
      </w:pPr>
      <w:r>
        <w:rPr>
          <w:rFonts w:ascii="Arial" w:cs="Arial" w:eastAsia="Arial" w:hAnsi="Arial"/>
          <w:sz w:val="32"/>
          <w:szCs w:val="3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654050</wp:posOffset>
            </wp:positionV>
            <wp:extent cx="151765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240"/>
        <w:spacing w:after="0"/>
        <w:rPr>
          <w:sz w:val="20"/>
          <w:szCs w:val="20"/>
          <w:color w:val="auto"/>
        </w:rPr>
      </w:pPr>
      <w:r>
        <w:rPr>
          <w:rFonts w:ascii="Arial" w:cs="Arial" w:eastAsia="Arial" w:hAnsi="Arial"/>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198755</wp:posOffset>
            </wp:positionV>
            <wp:extent cx="15176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200"/>
        <w:spacing w:after="0"/>
        <w:rPr>
          <w:sz w:val="20"/>
          <w:szCs w:val="20"/>
          <w:color w:val="auto"/>
        </w:rPr>
      </w:pPr>
      <w:r>
        <w:rPr>
          <w:rFonts w:ascii="Arial" w:cs="Arial" w:eastAsia="Arial" w:hAnsi="Arial"/>
          <w:sz w:val="28"/>
          <w:szCs w:val="28"/>
          <w:b w:val="1"/>
          <w:bCs w:val="1"/>
          <w:color w:val="auto"/>
        </w:rPr>
        <w:t>Wells Fargo Securities</w:t>
      </w:r>
    </w:p>
    <w:p>
      <w:pPr>
        <w:spacing w:after="0" w:line="205"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Citigroup</w:t>
      </w:r>
    </w:p>
    <w:p>
      <w:pPr>
        <w:spacing w:after="0" w:line="159" w:lineRule="exact"/>
        <w:rPr>
          <w:sz w:val="20"/>
          <w:szCs w:val="20"/>
          <w:color w:val="auto"/>
        </w:rPr>
      </w:pPr>
    </w:p>
    <w:p>
      <w:pPr>
        <w:jc w:val="center"/>
        <w:ind w:right="-1200"/>
        <w:spacing w:after="0"/>
        <w:rPr>
          <w:sz w:val="20"/>
          <w:szCs w:val="20"/>
          <w:color w:val="auto"/>
        </w:rPr>
      </w:pPr>
      <w:r>
        <w:rPr>
          <w:rFonts w:ascii="Arial" w:cs="Arial" w:eastAsia="Arial" w:hAnsi="Arial"/>
          <w:sz w:val="31"/>
          <w:szCs w:val="31"/>
          <w:b w:val="1"/>
          <w:bCs w:val="1"/>
          <w:color w:val="auto"/>
        </w:rPr>
        <w:t>RBC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288925</wp:posOffset>
            </wp:positionV>
            <wp:extent cx="15176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220"/>
        <w:spacing w:after="0"/>
        <w:tabs>
          <w:tab w:leader="none" w:pos="5740" w:val="left"/>
        </w:tabs>
        <w:rPr>
          <w:sz w:val="20"/>
          <w:szCs w:val="20"/>
          <w:color w:val="auto"/>
        </w:rPr>
      </w:pPr>
      <w:r>
        <w:rPr>
          <w:rFonts w:ascii="Arial" w:cs="Arial" w:eastAsia="Arial" w:hAnsi="Arial"/>
          <w:sz w:val="18"/>
          <w:szCs w:val="18"/>
          <w:b w:val="1"/>
          <w:bCs w:val="1"/>
          <w:color w:val="auto"/>
        </w:rPr>
        <w:t>July</w:t>
        <w:tab/>
        <w:t>,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1001395</wp:posOffset>
            </wp:positionV>
            <wp:extent cx="724662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lvl w:ilvl="1">
      <w:lvlJc w:val="left"/>
      <w:lvlText w:val="•"/>
      <w:numFmt w:val="bullet"/>
      <w:start w:val="1"/>
    </w:lvl>
  </w:abstractNum>
  <w:abstractNum w:abstractNumId="1">
    <w:nsid w:val="7644A45C"/>
    <w:multiLevelType w:val="hybridMultilevel"/>
    <w:lvl w:ilvl="0">
      <w:lvlJc w:val="left"/>
      <w:lvlText w:val="(%1)"/>
      <w:numFmt w:val="lowerLetter"/>
      <w:start w:val="1"/>
    </w:lvl>
  </w:abstractNum>
  <w:abstractNum w:abstractNumId="2">
    <w:nsid w:val="32FFF902"/>
    <w:multiLevelType w:val="hybridMultilevel"/>
    <w:lvl w:ilvl="0">
      <w:lvlJc w:val="left"/>
      <w:lvlText w:val="(%1)"/>
      <w:numFmt w:val="decimal"/>
      <w:start w:val="1"/>
    </w:lvl>
  </w:abstractNum>
  <w:abstractNum w:abstractNumId="3">
    <w:nsid w:val="684A481A"/>
    <w:multiLevelType w:val="hybridMultilevel"/>
    <w:lvl w:ilvl="0">
      <w:lvlJc w:val="left"/>
      <w:lvlText w:val="(%1)"/>
      <w:numFmt w:val="decimal"/>
      <w:start w:val="2"/>
    </w:lvl>
  </w:abstractNum>
  <w:abstractNum w:abstractNumId="4">
    <w:nsid w:val="579478FE"/>
    <w:multiLevelType w:val="hybridMultilevel"/>
    <w:lvl w:ilvl="0">
      <w:lvlJc w:val="left"/>
      <w:lvlText w:val="(%1)"/>
      <w:numFmt w:val="decimal"/>
      <w:start w:val="4"/>
    </w:lvl>
  </w:abstractNum>
  <w:abstractNum w:abstractNumId="5">
    <w:nsid w:val="749ABB43"/>
    <w:multiLevelType w:val="hybridMultilevel"/>
    <w:lvl w:ilvl="0">
      <w:lvlJc w:val="left"/>
      <w:lvlText w:val="(%1)"/>
      <w:numFmt w:val="decimal"/>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1."/>
      <w:numFmt w:val="decimal"/>
      <w:start w:val="1"/>
    </w:lvl>
    <w:lvl w:ilvl="1">
      <w:lvlJc w:val="left"/>
      <w:lvlText w:val="(%2)"/>
      <w:numFmt w:val="lowerLetter"/>
      <w:start w:val="1"/>
    </w:lvl>
  </w:abstractNum>
  <w:abstractNum w:abstractNumId="8">
    <w:nsid w:val="79A1DEAA"/>
    <w:multiLevelType w:val="hybridMultilevel"/>
    <w:lvl w:ilvl="0">
      <w:lvlJc w:val="left"/>
      <w:lvlText w:val="%1."/>
      <w:numFmt w:val="decimal"/>
      <w:start w:val="7"/>
    </w:lvl>
    <w:lvl w:ilvl="1">
      <w:lvlJc w:val="left"/>
      <w:lvlText w:val="(%2)"/>
      <w:numFmt w:val="lowerLetter"/>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lvl w:ilvl="1">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1)"/>
      <w:numFmt w:val="lowerLetter"/>
      <w:start w:val="1"/>
    </w:lvl>
  </w:abstractNum>
  <w:abstractNum w:abstractNumId="19">
    <w:nsid w:val="1CF10FD8"/>
    <w:multiLevelType w:val="hybridMultilevel"/>
    <w:lvl w:ilvl="0">
      <w:lvlJc w:val="left"/>
      <w:lvlText w:val="(%1)"/>
      <w:numFmt w:val="lowerLetter"/>
      <w:start w:val="3"/>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
      <w:numFmt w:val="bullet"/>
      <w:start w:val="1"/>
    </w:lvl>
    <w:lvl w:ilvl="1">
      <w:lvlJc w:val="left"/>
      <w:lvlText w:val="•"/>
      <w:numFmt w:val="bullet"/>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
      <w:numFmt w:val="bullet"/>
      <w:start w:val="1"/>
    </w:lvl>
    <w:lvl w:ilvl="1">
      <w:lvlJc w:val="left"/>
      <w:lvlText w:val="•"/>
      <w:numFmt w:val="bullet"/>
      <w:start w:val="1"/>
    </w:lvl>
  </w:abstractNum>
  <w:abstractNum w:abstractNumId="37">
    <w:nsid w:val="1DBABF00"/>
    <w:multiLevelType w:val="hybridMultilevel"/>
    <w:lvl w:ilvl="0">
      <w:lvlJc w:val="left"/>
      <w:lvlText w:val="•"/>
      <w:numFmt w:val="bullet"/>
      <w:start w:val="1"/>
    </w:lvl>
  </w:abstractNum>
  <w:abstractNum w:abstractNumId="38">
    <w:nsid w:val="4AD084E9"/>
    <w:multiLevelType w:val="hybridMultilevel"/>
    <w:lvl w:ilvl="0">
      <w:lvlJc w:val="left"/>
      <w:lvlText w:val="•"/>
      <w:numFmt w:val="bullet"/>
      <w:start w:val="1"/>
    </w:lvl>
  </w:abstractNum>
  <w:abstractNum w:abstractNumId="39">
    <w:nsid w:val="1F48EAA1"/>
    <w:multiLevelType w:val="hybridMultilevel"/>
    <w:lvl w:ilvl="0">
      <w:lvlJc w:val="left"/>
      <w:lvlText w:val="•"/>
      <w:numFmt w:val="bullet"/>
      <w:start w:val="1"/>
    </w:lvl>
  </w:abstractNum>
  <w:abstractNum w:abstractNumId="40">
    <w:nsid w:val="1381823A"/>
    <w:multiLevelType w:val="hybridMultilevel"/>
    <w:lvl w:ilvl="0">
      <w:lvlJc w:val="left"/>
      <w:lvlText w:val="•"/>
      <w:numFmt w:val="bullet"/>
      <w:start w:val="1"/>
    </w:lvl>
  </w:abstractNum>
  <w:abstractNum w:abstractNumId="41">
    <w:nsid w:val="5DB70AE5"/>
    <w:multiLevelType w:val="hybridMultilevel"/>
    <w:lvl w:ilvl="0">
      <w:lvlJc w:val="left"/>
      <w:lvlText w:val="•"/>
      <w:numFmt w:val="bullet"/>
      <w:start w:val="1"/>
    </w:lvl>
  </w:abstractNum>
  <w:abstractNum w:abstractNumId="42">
    <w:nsid w:val="100F8FCA"/>
    <w:multiLevelType w:val="hybridMultilevel"/>
    <w:lvl w:ilvl="0">
      <w:lvlJc w:val="left"/>
      <w:lvlText w:val="%1."/>
      <w:numFmt w:val="decimal"/>
      <w:start w:val="1"/>
    </w:lvl>
    <w:lvl w:ilvl="1">
      <w:lvlJc w:val="left"/>
      <w:lvlText w:val="(%2)"/>
      <w:numFmt w:val="lowerLetter"/>
      <w:start w:val="1"/>
    </w:lvl>
  </w:abstractNum>
  <w:abstractNum w:abstractNumId="43">
    <w:nsid w:val="6590700B"/>
    <w:multiLevelType w:val="hybridMultilevel"/>
    <w:lvl w:ilvl="0">
      <w:lvlJc w:val="left"/>
      <w:lvlText w:val="%1."/>
      <w:numFmt w:val="decimal"/>
      <w:start w:val="7"/>
    </w:lvl>
    <w:lvl w:ilvl="1">
      <w:lvlJc w:val="left"/>
      <w:lvlText w:val="(%2)"/>
      <w:numFmt w:val="lowerLetter"/>
      <w:start w:val="1"/>
    </w:lvl>
  </w:abstractNum>
  <w:abstractNum w:abstractNumId="44">
    <w:nsid w:val="15014ACB"/>
    <w:multiLevelType w:val="hybridMultilevel"/>
    <w:lvl w:ilvl="0">
      <w:lvlJc w:val="left"/>
      <w:lvlText w:val="•"/>
      <w:numFmt w:val="bullet"/>
      <w:start w:val="1"/>
    </w:lvl>
  </w:abstractNum>
  <w:abstractNum w:abstractNumId="45">
    <w:nsid w:val="5F5E7FD0"/>
    <w:multiLevelType w:val="hybridMultilevel"/>
    <w:lvl w:ilvl="0">
      <w:lvlJc w:val="left"/>
      <w:lvlText w:val="•"/>
      <w:numFmt w:val="bullet"/>
      <w:start w:val="1"/>
    </w:lvl>
    <w:lvl w:ilvl="1">
      <w:lvlJc w:val="left"/>
      <w:lvlText w:val="•"/>
      <w:numFmt w:val="bullet"/>
      <w:start w:val="1"/>
    </w:lvl>
  </w:abstractNum>
  <w:abstractNum w:abstractNumId="46">
    <w:nsid w:val="98A3148"/>
    <w:multiLevelType w:val="hybridMultilevel"/>
    <w:lvl w:ilvl="0">
      <w:lvlJc w:val="left"/>
      <w:lvlText w:val="•"/>
      <w:numFmt w:val="bullet"/>
      <w:start w:val="1"/>
    </w:lvl>
  </w:abstractNum>
  <w:abstractNum w:abstractNumId="47">
    <w:nsid w:val="799D0247"/>
    <w:multiLevelType w:val="hybridMultilevel"/>
    <w:lvl w:ilvl="0">
      <w:lvlJc w:val="left"/>
      <w:lvlText w:val="•"/>
      <w:numFmt w:val="bullet"/>
      <w:start w:val="1"/>
    </w:lvl>
  </w:abstractNum>
  <w:abstractNum w:abstractNumId="48">
    <w:nsid w:val="6B94764"/>
    <w:multiLevelType w:val="hybridMultilevel"/>
    <w:lvl w:ilvl="0">
      <w:lvlJc w:val="left"/>
      <w:lvlText w:val="•"/>
      <w:numFmt w:val="bullet"/>
      <w:start w:val="1"/>
    </w:lvl>
  </w:abstractNum>
  <w:abstractNum w:abstractNumId="49">
    <w:nsid w:val="42C296BD"/>
    <w:multiLevelType w:val="hybridMultilevel"/>
    <w:lvl w:ilvl="0">
      <w:lvlJc w:val="left"/>
      <w:lvlText w:val="•"/>
      <w:numFmt w:val="bullet"/>
      <w:start w:val="1"/>
    </w:lvl>
  </w:abstractNum>
  <w:abstractNum w:abstractNumId="50">
    <w:nsid w:val="168E121F"/>
    <w:multiLevelType w:val="hybridMultilevel"/>
    <w:lvl w:ilvl="0">
      <w:lvlJc w:val="left"/>
      <w:lvlText w:val="•"/>
      <w:numFmt w:val="bullet"/>
      <w:start w:val="1"/>
    </w:lvl>
  </w:abstractNum>
  <w:abstractNum w:abstractNumId="51">
    <w:nsid w:val="1EBA5D23"/>
    <w:multiLevelType w:val="hybridMultilevel"/>
    <w:lvl w:ilvl="0">
      <w:lvlJc w:val="left"/>
      <w:lvlText w:val="•"/>
      <w:numFmt w:val="bullet"/>
      <w:start w:val="1"/>
    </w:lvl>
  </w:abstractNum>
  <w:abstractNum w:abstractNumId="52">
    <w:nsid w:val="661E3F1E"/>
    <w:multiLevelType w:val="hybridMultilevel"/>
    <w:lvl w:ilvl="0">
      <w:lvlJc w:val="left"/>
      <w:lvlText w:val="•"/>
      <w:numFmt w:val="bullet"/>
      <w:start w:val="1"/>
    </w:lvl>
  </w:abstractNum>
  <w:abstractNum w:abstractNumId="53">
    <w:nsid w:val="5DC79EA8"/>
    <w:multiLevelType w:val="hybridMultilevel"/>
    <w:lvl w:ilvl="0">
      <w:lvlJc w:val="left"/>
      <w:lvlText w:val="•"/>
      <w:numFmt w:val="bullet"/>
      <w:start w:val="1"/>
    </w:lvl>
  </w:abstractNum>
  <w:abstractNum w:abstractNumId="54">
    <w:nsid w:val="540A471C"/>
    <w:multiLevelType w:val="hybridMultilevel"/>
    <w:lvl w:ilvl="0">
      <w:lvlJc w:val="left"/>
      <w:lvlText w:val="•"/>
      <w:numFmt w:val="bullet"/>
      <w:start w:val="1"/>
    </w:lvl>
  </w:abstractNum>
  <w:abstractNum w:abstractNumId="55">
    <w:nsid w:val="7BD3EE7B"/>
    <w:multiLevelType w:val="hybridMultilevel"/>
    <w:lvl w:ilvl="0">
      <w:lvlJc w:val="left"/>
      <w:lvlText w:val="•"/>
      <w:numFmt w:val="bullet"/>
      <w:start w:val="1"/>
    </w:lvl>
  </w:abstractNum>
  <w:abstractNum w:abstractNumId="56">
    <w:nsid w:val="51D9C564"/>
    <w:multiLevelType w:val="hybridMultilevel"/>
    <w:lvl w:ilvl="0">
      <w:lvlJc w:val="left"/>
      <w:lvlText w:val="•"/>
      <w:numFmt w:val="bullet"/>
      <w:start w:val="1"/>
    </w:lvl>
  </w:abstractNum>
  <w:abstractNum w:abstractNumId="57">
    <w:nsid w:val="613EFDC5"/>
    <w:multiLevelType w:val="hybridMultilevel"/>
    <w:lvl w:ilvl="0">
      <w:lvlJc w:val="left"/>
      <w:lvlText w:val="•"/>
      <w:numFmt w:val="bullet"/>
      <w:start w:val="1"/>
    </w:lvl>
  </w:abstractNum>
  <w:abstractNum w:abstractNumId="58">
    <w:nsid w:val="BF72B14"/>
    <w:multiLevelType w:val="hybridMultilevel"/>
    <w:lvl w:ilvl="0">
      <w:lvlJc w:val="left"/>
      <w:lvlText w:val="•"/>
      <w:numFmt w:val="bullet"/>
      <w:start w:val="1"/>
    </w:lvl>
  </w:abstractNum>
  <w:abstractNum w:abstractNumId="59">
    <w:nsid w:val="11447B73"/>
    <w:multiLevelType w:val="hybridMultilevel"/>
    <w:lvl w:ilvl="0">
      <w:lvlJc w:val="left"/>
      <w:lvlText w:val="(%1)"/>
      <w:numFmt w:val="upperLetter"/>
      <w:start w:val="1"/>
    </w:lvl>
  </w:abstractNum>
  <w:abstractNum w:abstractNumId="60">
    <w:nsid w:val="42963E5A"/>
    <w:multiLevelType w:val="hybridMultilevel"/>
    <w:lvl w:ilvl="0">
      <w:lvlJc w:val="left"/>
      <w:lvlText w:val="•"/>
      <w:numFmt w:val="bullet"/>
      <w:start w:val="1"/>
    </w:lvl>
  </w:abstractNum>
  <w:abstractNum w:abstractNumId="61">
    <w:nsid w:val="A0382C5"/>
    <w:multiLevelType w:val="hybridMultilevel"/>
    <w:lvl w:ilvl="0">
      <w:lvlJc w:val="left"/>
      <w:lvlText w:val="•"/>
      <w:numFmt w:val="bullet"/>
      <w:start w:val="1"/>
    </w:lvl>
  </w:abstractNum>
  <w:abstractNum w:abstractNumId="62">
    <w:nsid w:val="8F2B15E"/>
    <w:multiLevelType w:val="hybridMultilevel"/>
    <w:lvl w:ilvl="0">
      <w:lvlJc w:val="left"/>
      <w:lvlText w:val="•"/>
      <w:numFmt w:val="bullet"/>
      <w:start w:val="1"/>
    </w:lvl>
  </w:abstractNum>
  <w:abstractNum w:abstractNumId="63">
    <w:nsid w:val="1A32234B"/>
    <w:multiLevelType w:val="hybridMultilevel"/>
    <w:lvl w:ilvl="0">
      <w:lvlJc w:val="left"/>
      <w:lvlText w:val="•"/>
      <w:numFmt w:val="bullet"/>
      <w:start w:val="1"/>
    </w:lvl>
  </w:abstractNum>
  <w:abstractNum w:abstractNumId="64">
    <w:nsid w:val="3B0FD379"/>
    <w:multiLevelType w:val="hybridMultilevel"/>
    <w:lvl w:ilvl="0">
      <w:lvlJc w:val="left"/>
      <w:lvlText w:val="•"/>
      <w:numFmt w:val="bullet"/>
      <w:start w:val="1"/>
    </w:lvl>
  </w:abstractNum>
  <w:abstractNum w:abstractNumId="65">
    <w:nsid w:val="68EB2F63"/>
    <w:multiLevelType w:val="hybridMultilevel"/>
    <w:lvl w:ilvl="0">
      <w:lvlJc w:val="left"/>
      <w:lvlText w:val="•"/>
      <w:numFmt w:val="bullet"/>
      <w:start w:val="1"/>
    </w:lvl>
  </w:abstractNum>
  <w:abstractNum w:abstractNumId="66">
    <w:nsid w:val="4962813B"/>
    <w:multiLevelType w:val="hybridMultilevel"/>
    <w:lvl w:ilvl="0">
      <w:lvlJc w:val="left"/>
      <w:lvlText w:val="•"/>
      <w:numFmt w:val="bullet"/>
      <w:start w:val="1"/>
    </w:lvl>
  </w:abstractNum>
  <w:abstractNum w:abstractNumId="67">
    <w:nsid w:val="60B6DF70"/>
    <w:multiLevelType w:val="hybridMultilevel"/>
    <w:lvl w:ilvl="0">
      <w:lvlJc w:val="left"/>
      <w:lvlText w:val="•"/>
      <w:numFmt w:val="bullet"/>
      <w:start w:val="1"/>
    </w:lvl>
    <w:lvl w:ilvl="1">
      <w:lvlJc w:val="left"/>
      <w:lvlText w:val="•"/>
      <w:numFmt w:val="bullet"/>
      <w:start w:val="1"/>
    </w:lvl>
  </w:abstractNum>
  <w:abstractNum w:abstractNumId="68">
    <w:nsid w:val="6A5EE64"/>
    <w:multiLevelType w:val="hybridMultilevel"/>
    <w:lvl w:ilvl="0">
      <w:lvlJc w:val="left"/>
      <w:lvlText w:val="•"/>
      <w:numFmt w:val="bullet"/>
      <w:start w:val="1"/>
    </w:lvl>
  </w:abstractNum>
  <w:abstractNum w:abstractNumId="69">
    <w:nsid w:val="14330624"/>
    <w:multiLevelType w:val="hybridMultilevel"/>
    <w:lvl w:ilvl="0">
      <w:lvlJc w:val="left"/>
      <w:lvlText w:val="•"/>
      <w:numFmt w:val="bullet"/>
      <w:start w:val="1"/>
    </w:lvl>
  </w:abstractNum>
  <w:abstractNum w:abstractNumId="70">
    <w:nsid w:val="7FFFCA11"/>
    <w:multiLevelType w:val="hybridMultilevel"/>
    <w:lvl w:ilvl="0">
      <w:lvlJc w:val="left"/>
      <w:lvlText w:val="•"/>
      <w:numFmt w:val="bullet"/>
      <w:start w:val="1"/>
    </w:lvl>
    <w:lvl w:ilvl="1">
      <w:lvlJc w:val="left"/>
      <w:lvlText w:val="•"/>
      <w:numFmt w:val="bullet"/>
      <w:start w:val="1"/>
    </w:lvl>
  </w:abstractNum>
  <w:abstractNum w:abstractNumId="71">
    <w:nsid w:val="1A27709E"/>
    <w:multiLevelType w:val="hybridMultilevel"/>
    <w:lvl w:ilvl="0">
      <w:lvlJc w:val="left"/>
      <w:lvlText w:val="•"/>
      <w:numFmt w:val="bullet"/>
      <w:start w:val="1"/>
    </w:lvl>
  </w:abstractNum>
  <w:abstractNum w:abstractNumId="72">
    <w:nsid w:val="71EA1109"/>
    <w:multiLevelType w:val="hybridMultilevel"/>
    <w:lvl w:ilvl="0">
      <w:lvlJc w:val="left"/>
      <w:lvlText w:val="•"/>
      <w:numFmt w:val="bullet"/>
      <w:start w:val="1"/>
    </w:lvl>
  </w:abstractNum>
  <w:abstractNum w:abstractNumId="73">
    <w:nsid w:val="100F59DC"/>
    <w:multiLevelType w:val="hybridMultilevel"/>
    <w:lvl w:ilvl="0">
      <w:lvlJc w:val="left"/>
      <w:lvlText w:val="•"/>
      <w:numFmt w:val="bullet"/>
      <w:start w:val="1"/>
    </w:lvl>
  </w:abstractNum>
  <w:abstractNum w:abstractNumId="74">
    <w:nsid w:val="7FB7E0AA"/>
    <w:multiLevelType w:val="hybridMultilevel"/>
    <w:lvl w:ilvl="0">
      <w:lvlJc w:val="left"/>
      <w:lvlText w:val="(%1)"/>
      <w:numFmt w:val="lowerRoman"/>
      <w:start w:val="3"/>
    </w:lvl>
  </w:abstractNum>
  <w:abstractNum w:abstractNumId="75">
    <w:nsid w:val="6EB5BD4"/>
    <w:multiLevelType w:val="hybridMultilevel"/>
    <w:lvl w:ilvl="0">
      <w:lvlJc w:val="left"/>
      <w:lvlText w:val="•"/>
      <w:numFmt w:val="bullet"/>
      <w:start w:val="1"/>
    </w:lvl>
  </w:abstractNum>
  <w:abstractNum w:abstractNumId="76">
    <w:nsid w:val="6F6DD9AC"/>
    <w:multiLevelType w:val="hybridMultilevel"/>
    <w:lvl w:ilvl="0">
      <w:lvlJc w:val="left"/>
      <w:lvlText w:val="•"/>
      <w:numFmt w:val="bullet"/>
      <w:start w:val="1"/>
    </w:lvl>
  </w:abstractNum>
  <w:abstractNum w:abstractNumId="77">
    <w:nsid w:val="94211F2"/>
    <w:multiLevelType w:val="hybridMultilevel"/>
    <w:lvl w:ilvl="0">
      <w:lvlJc w:val="left"/>
      <w:lvlText w:val="%1."/>
      <w:numFmt w:val="decimal"/>
      <w:start w:val="1"/>
    </w:lvl>
  </w:abstractNum>
  <w:abstractNum w:abstractNumId="78">
    <w:nsid w:val="885E1B"/>
    <w:multiLevelType w:val="hybridMultilevel"/>
    <w:lvl w:ilvl="0">
      <w:lvlJc w:val="left"/>
      <w:lvlText w:val="•"/>
      <w:numFmt w:val="bullet"/>
      <w:start w:val="1"/>
    </w:lvl>
  </w:abstractNum>
  <w:abstractNum w:abstractNumId="79">
    <w:nsid w:val="76272110"/>
    <w:multiLevelType w:val="hybridMultilevel"/>
    <w:lvl w:ilvl="0">
      <w:lvlJc w:val="left"/>
      <w:lvlText w:val="•"/>
      <w:numFmt w:val="bullet"/>
      <w:start w:val="1"/>
    </w:lvl>
  </w:abstractNum>
  <w:abstractNum w:abstractNumId="80">
    <w:nsid w:val="4C04A8AF"/>
    <w:multiLevelType w:val="hybridMultilevel"/>
    <w:lvl w:ilvl="0">
      <w:lvlJc w:val="left"/>
      <w:lvlText w:val="•"/>
      <w:numFmt w:val="bullet"/>
      <w:start w:val="1"/>
    </w:lvl>
  </w:abstractNum>
  <w:abstractNum w:abstractNumId="81">
    <w:nsid w:val="1716703B"/>
    <w:multiLevelType w:val="hybridMultilevel"/>
    <w:lvl w:ilvl="0">
      <w:lvlJc w:val="left"/>
      <w:lvlText w:val="•"/>
      <w:numFmt w:val="bullet"/>
      <w:start w:val="1"/>
    </w:lvl>
  </w:abstractNum>
  <w:abstractNum w:abstractNumId="82">
    <w:nsid w:val="14E17E33"/>
    <w:multiLevelType w:val="hybridMultilevel"/>
    <w:lvl w:ilvl="0">
      <w:lvlJc w:val="left"/>
      <w:lvlText w:val="•"/>
      <w:numFmt w:val="bullet"/>
      <w:start w:val="1"/>
    </w:lvl>
  </w:abstractNum>
  <w:abstractNum w:abstractNumId="83">
    <w:nsid w:val="3222E7CD"/>
    <w:multiLevelType w:val="hybridMultilevel"/>
    <w:lvl w:ilvl="0">
      <w:lvlJc w:val="left"/>
      <w:lvlText w:val="•"/>
      <w:numFmt w:val="bullet"/>
      <w:start w:val="1"/>
    </w:lvl>
    <w:lvl w:ilvl="1">
      <w:lvlJc w:val="left"/>
      <w:lvlText w:val="•"/>
      <w:numFmt w:val="bullet"/>
      <w:start w:val="1"/>
    </w:lvl>
  </w:abstractNum>
  <w:abstractNum w:abstractNumId="84">
    <w:nsid w:val="74DE0EE3"/>
    <w:multiLevelType w:val="hybridMultilevel"/>
    <w:lvl w:ilvl="0">
      <w:lvlJc w:val="left"/>
      <w:lvlText w:val="•"/>
      <w:numFmt w:val="bullet"/>
      <w:start w:val="1"/>
    </w:lvl>
  </w:abstractNum>
  <w:abstractNum w:abstractNumId="85">
    <w:nsid w:val="68EBC550"/>
    <w:multiLevelType w:val="hybridMultilevel"/>
    <w:lvl w:ilvl="0">
      <w:lvlJc w:val="left"/>
      <w:lvlText w:val="(%1)"/>
      <w:numFmt w:val="lowerRoman"/>
      <w:start w:val="2"/>
    </w:lvl>
  </w:abstractNum>
  <w:abstractNum w:abstractNumId="86">
    <w:nsid w:val="2DF6D648"/>
    <w:multiLevelType w:val="hybridMultilevel"/>
    <w:lvl w:ilvl="0">
      <w:lvlJc w:val="left"/>
      <w:lvlText w:val="\emdash "/>
      <w:numFmt w:val="bullet"/>
      <w:start w:val="1"/>
    </w:lvl>
  </w:abstractNum>
  <w:abstractNum w:abstractNumId="87">
    <w:nsid w:val="46B7D447"/>
    <w:multiLevelType w:val="hybridMultilevel"/>
    <w:lvl w:ilvl="0">
      <w:lvlJc w:val="left"/>
      <w:lvlText w:val="•"/>
      <w:numFmt w:val="bullet"/>
      <w:start w:val="1"/>
    </w:lvl>
  </w:abstractNum>
  <w:abstractNum w:abstractNumId="88">
    <w:nsid w:val="4A2AC315"/>
    <w:multiLevelType w:val="hybridMultilevel"/>
    <w:lvl w:ilvl="0">
      <w:lvlJc w:val="left"/>
      <w:lvlText w:val="•"/>
      <w:numFmt w:val="bullet"/>
      <w:start w:val="1"/>
    </w:lvl>
  </w:abstractNum>
  <w:abstractNum w:abstractNumId="89">
    <w:nsid w:val="39EE015C"/>
    <w:multiLevelType w:val="hybridMultilevel"/>
    <w:lvl w:ilvl="0">
      <w:lvlJc w:val="left"/>
      <w:lvlText w:val="•"/>
      <w:numFmt w:val="bullet"/>
      <w:start w:val="1"/>
    </w:lvl>
  </w:abstractNum>
  <w:abstractNum w:abstractNumId="90">
    <w:nsid w:val="57FC4FBB"/>
    <w:multiLevelType w:val="hybridMultilevel"/>
    <w:lvl w:ilvl="0">
      <w:lvlJc w:val="left"/>
      <w:lvlText w:val="•"/>
      <w:numFmt w:val="bullet"/>
      <w:start w:val="1"/>
    </w:lvl>
  </w:abstractNum>
  <w:abstractNum w:abstractNumId="91">
    <w:nsid w:val="CC1016F"/>
    <w:multiLevelType w:val="hybridMultilevel"/>
    <w:lvl w:ilvl="0">
      <w:lvlJc w:val="left"/>
      <w:lvlText w:val="(%1)"/>
      <w:numFmt w:val="decimal"/>
      <w:start w:val="4"/>
    </w:lvl>
  </w:abstractNum>
  <w:abstractNum w:abstractNumId="92">
    <w:nsid w:val="43F18422"/>
    <w:multiLevelType w:val="hybridMultilevel"/>
    <w:lvl w:ilvl="0">
      <w:lvlJc w:val="left"/>
      <w:lvlText w:val="•"/>
      <w:numFmt w:val="bullet"/>
      <w:start w:val="1"/>
    </w:lvl>
  </w:abstractNum>
  <w:abstractNum w:abstractNumId="93">
    <w:nsid w:val="60EF011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2019-12-09T07:31:50Z</dcterms:created>
  <dcterms:modified xsi:type="dcterms:W3CDTF">2019-12-09T07:31:50Z</dcterms:modified>
</cp:coreProperties>
</file>