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742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742555"/>
                    </a:xfrm>
                    <a:prstGeom prst="rect">
                      <a:avLst/>
                    </a:prstGeom>
                    <a:noFill/>
                  </pic:spPr>
                </pic:pic>
              </a:graphicData>
            </a:graphic>
          </wp:anchor>
        </w:drawing>
      </w:r>
    </w:p>
    <w:p>
      <w:pPr>
        <w:spacing w:after="0" w:line="1285" w:lineRule="exact"/>
        <w:rPr>
          <w:sz w:val="24"/>
          <w:szCs w:val="24"/>
          <w:color w:val="auto"/>
        </w:rPr>
      </w:pPr>
    </w:p>
    <w:p>
      <w:pPr>
        <w:sectPr>
          <w:pgSz w:w="11900" w:h="16880"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WOOD DONALD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909 ROSE AVENUE -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FEDERAL REALTY INVESTMENT</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TRUST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FRT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09/05/2024</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79" w:lineRule="exact"/>
        <w:rPr>
          <w:sz w:val="20"/>
          <w:szCs w:val="20"/>
          <w:color w:val="auto"/>
        </w:rPr>
      </w:pPr>
    </w:p>
    <w:p>
      <w:pPr>
        <w:sectPr>
          <w:pgSz w:w="11900" w:h="16880" w:orient="portrait"/>
          <w:cols w:equalWidth="0" w:num="3">
            <w:col w:w="3200" w:space="720"/>
            <w:col w:w="3240" w:space="575"/>
            <w:col w:w="3345"/>
          </w:cols>
          <w:pgMar w:left="460" w:top="219" w:right="359" w:bottom="0" w:gutter="0" w:footer="0" w:header="0"/>
          <w:type w:val="continuous"/>
        </w:sectPr>
      </w:pP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gridSpan w:val="2"/>
          </w:tcPr>
          <w:p>
            <w:pPr>
              <w:spacing w:after="0"/>
              <w:rPr>
                <w:sz w:val="20"/>
                <w:szCs w:val="20"/>
                <w:color w:val="auto"/>
              </w:rPr>
            </w:pPr>
            <w:r>
              <w:rPr>
                <w:rFonts w:ascii="Arial" w:cs="Arial" w:eastAsia="Arial" w:hAnsi="Arial"/>
                <w:sz w:val="13"/>
                <w:szCs w:val="13"/>
                <w:color w:val="auto"/>
              </w:rPr>
              <w:t>Line)</w:t>
            </w: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0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46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5"/>
                <w:szCs w:val="15"/>
                <w:color w:val="auto"/>
              </w:rPr>
            </w:pP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5"/>
          </w:tcPr>
          <w:p>
            <w:pPr>
              <w:jc w:val="center"/>
              <w:ind w:right="20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1"/>
              <w:spacing w:after="0"/>
              <w:rPr>
                <w:sz w:val="20"/>
                <w:szCs w:val="20"/>
                <w:color w:val="auto"/>
              </w:rPr>
            </w:pPr>
            <w:r>
              <w:rPr>
                <w:rFonts w:ascii="Arial" w:cs="Arial" w:eastAsia="Arial" w:hAnsi="Arial"/>
                <w:sz w:val="12"/>
                <w:szCs w:val="12"/>
                <w:b w:val="1"/>
                <w:bCs w:val="1"/>
                <w:color w:val="auto"/>
                <w:w w:val="99"/>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9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09/05/2024</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18"/>
                <w:szCs w:val="18"/>
                <w:color w:val="auto"/>
              </w:rPr>
            </w:pPr>
          </w:p>
        </w:tc>
        <w:tc>
          <w:tcPr>
            <w:tcW w:w="840" w:type="dxa"/>
            <w:vAlign w:val="bottom"/>
            <w:vMerge w:val="restart"/>
          </w:tcPr>
          <w:p>
            <w:pPr>
              <w:jc w:val="center"/>
              <w:ind w:right="5"/>
              <w:spacing w:after="0"/>
              <w:rPr>
                <w:sz w:val="20"/>
                <w:szCs w:val="20"/>
                <w:color w:val="auto"/>
              </w:rPr>
            </w:pPr>
            <w:r>
              <w:rPr>
                <w:rFonts w:ascii="Times New Roman" w:cs="Times New Roman" w:eastAsia="Times New Roman" w:hAnsi="Times New Roman"/>
                <w:sz w:val="17"/>
                <w:szCs w:val="17"/>
                <w:color w:val="0000FF"/>
              </w:rPr>
              <w:t>29,242</w:t>
            </w:r>
          </w:p>
        </w:tc>
        <w:tc>
          <w:tcPr>
            <w:tcW w:w="460" w:type="dxa"/>
            <w:vAlign w:val="bottom"/>
            <w:vMerge w:val="restart"/>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116.1385</w:t>
            </w:r>
            <w:r>
              <w:rPr>
                <w:rFonts w:ascii="Times New Roman" w:cs="Times New Roman" w:eastAsia="Times New Roman" w:hAnsi="Times New Roman"/>
                <w:sz w:val="22"/>
                <w:szCs w:val="22"/>
                <w:color w:val="008000"/>
                <w:w w:val="95"/>
                <w:vertAlign w:val="superscript"/>
              </w:rPr>
              <w:t>(1)</w:t>
            </w:r>
          </w:p>
        </w:tc>
        <w:tc>
          <w:tcPr>
            <w:tcW w:w="340" w:type="dxa"/>
            <w:vAlign w:val="bottom"/>
          </w:tcPr>
          <w:p>
            <w:pPr>
              <w:spacing w:after="0"/>
              <w:rPr>
                <w:sz w:val="18"/>
                <w:szCs w:val="18"/>
                <w:color w:val="auto"/>
              </w:rPr>
            </w:pPr>
          </w:p>
        </w:tc>
        <w:tc>
          <w:tcPr>
            <w:tcW w:w="820" w:type="dxa"/>
            <w:vAlign w:val="bottom"/>
            <w:vMerge w:val="restart"/>
          </w:tcPr>
          <w:p>
            <w:pPr>
              <w:jc w:val="center"/>
              <w:ind w:right="333"/>
              <w:spacing w:after="0"/>
              <w:rPr>
                <w:sz w:val="20"/>
                <w:szCs w:val="20"/>
                <w:color w:val="auto"/>
              </w:rPr>
            </w:pPr>
            <w:r>
              <w:rPr>
                <w:rFonts w:ascii="Times New Roman" w:cs="Times New Roman" w:eastAsia="Times New Roman" w:hAnsi="Times New Roman"/>
                <w:sz w:val="17"/>
                <w:szCs w:val="17"/>
                <w:color w:val="0000FF"/>
                <w:w w:val="99"/>
              </w:rPr>
              <w:t>7,687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Great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gridSpan w:val="6"/>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Falls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9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09/05/2024</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18"/>
                <w:szCs w:val="18"/>
                <w:color w:val="auto"/>
              </w:rPr>
            </w:pPr>
          </w:p>
        </w:tc>
        <w:tc>
          <w:tcPr>
            <w:tcW w:w="840" w:type="dxa"/>
            <w:vAlign w:val="bottom"/>
            <w:vMerge w:val="restart"/>
          </w:tcPr>
          <w:p>
            <w:pPr>
              <w:jc w:val="center"/>
              <w:ind w:right="5"/>
              <w:spacing w:after="0"/>
              <w:rPr>
                <w:sz w:val="20"/>
                <w:szCs w:val="20"/>
                <w:color w:val="auto"/>
              </w:rPr>
            </w:pPr>
            <w:r>
              <w:rPr>
                <w:rFonts w:ascii="Times New Roman" w:cs="Times New Roman" w:eastAsia="Times New Roman" w:hAnsi="Times New Roman"/>
                <w:sz w:val="17"/>
                <w:szCs w:val="17"/>
                <w:color w:val="0000FF"/>
              </w:rPr>
              <w:t>1,050</w:t>
            </w:r>
          </w:p>
        </w:tc>
        <w:tc>
          <w:tcPr>
            <w:tcW w:w="460" w:type="dxa"/>
            <w:vAlign w:val="bottom"/>
            <w:vMerge w:val="restart"/>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117.1145</w:t>
            </w:r>
            <w:r>
              <w:rPr>
                <w:rFonts w:ascii="Times New Roman" w:cs="Times New Roman" w:eastAsia="Times New Roman" w:hAnsi="Times New Roman"/>
                <w:sz w:val="22"/>
                <w:szCs w:val="22"/>
                <w:color w:val="008000"/>
                <w:w w:val="95"/>
                <w:vertAlign w:val="superscript"/>
              </w:rPr>
              <w:t>(2)</w:t>
            </w:r>
          </w:p>
        </w:tc>
        <w:tc>
          <w:tcPr>
            <w:tcW w:w="340" w:type="dxa"/>
            <w:vAlign w:val="bottom"/>
          </w:tcPr>
          <w:p>
            <w:pPr>
              <w:spacing w:after="0"/>
              <w:rPr>
                <w:sz w:val="18"/>
                <w:szCs w:val="18"/>
                <w:color w:val="auto"/>
              </w:rPr>
            </w:pPr>
          </w:p>
        </w:tc>
        <w:tc>
          <w:tcPr>
            <w:tcW w:w="820" w:type="dxa"/>
            <w:vAlign w:val="bottom"/>
            <w:vMerge w:val="restart"/>
          </w:tcPr>
          <w:p>
            <w:pPr>
              <w:jc w:val="center"/>
              <w:ind w:right="333"/>
              <w:spacing w:after="0"/>
              <w:rPr>
                <w:sz w:val="20"/>
                <w:szCs w:val="20"/>
                <w:color w:val="auto"/>
              </w:rPr>
            </w:pPr>
            <w:r>
              <w:rPr>
                <w:rFonts w:ascii="Times New Roman" w:cs="Times New Roman" w:eastAsia="Times New Roman" w:hAnsi="Times New Roman"/>
                <w:sz w:val="17"/>
                <w:szCs w:val="17"/>
                <w:color w:val="0000FF"/>
                <w:w w:val="99"/>
              </w:rPr>
              <w:t>6,637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Great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gridSpan w:val="6"/>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Falls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9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09/06/2024</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18"/>
                <w:szCs w:val="18"/>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700</w:t>
            </w:r>
          </w:p>
        </w:tc>
        <w:tc>
          <w:tcPr>
            <w:tcW w:w="460" w:type="dxa"/>
            <w:vAlign w:val="bottom"/>
            <w:vMerge w:val="restart"/>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116.47</w:t>
            </w:r>
            <w:r>
              <w:rPr>
                <w:rFonts w:ascii="Times New Roman" w:cs="Times New Roman" w:eastAsia="Times New Roman" w:hAnsi="Times New Roman"/>
                <w:sz w:val="22"/>
                <w:szCs w:val="22"/>
                <w:color w:val="008000"/>
                <w:w w:val="95"/>
                <w:vertAlign w:val="superscript"/>
              </w:rPr>
              <w:t>(3)</w:t>
            </w:r>
          </w:p>
        </w:tc>
        <w:tc>
          <w:tcPr>
            <w:tcW w:w="340" w:type="dxa"/>
            <w:vAlign w:val="bottom"/>
          </w:tcPr>
          <w:p>
            <w:pPr>
              <w:spacing w:after="0"/>
              <w:rPr>
                <w:sz w:val="18"/>
                <w:szCs w:val="18"/>
                <w:color w:val="auto"/>
              </w:rPr>
            </w:pPr>
          </w:p>
        </w:tc>
        <w:tc>
          <w:tcPr>
            <w:tcW w:w="820" w:type="dxa"/>
            <w:vAlign w:val="bottom"/>
            <w:vMerge w:val="restart"/>
          </w:tcPr>
          <w:p>
            <w:pPr>
              <w:jc w:val="center"/>
              <w:ind w:right="333"/>
              <w:spacing w:after="0"/>
              <w:rPr>
                <w:sz w:val="20"/>
                <w:szCs w:val="20"/>
                <w:color w:val="auto"/>
              </w:rPr>
            </w:pPr>
            <w:r>
              <w:rPr>
                <w:rFonts w:ascii="Times New Roman" w:cs="Times New Roman" w:eastAsia="Times New Roman" w:hAnsi="Times New Roman"/>
                <w:sz w:val="17"/>
                <w:szCs w:val="17"/>
                <w:color w:val="0000FF"/>
                <w:w w:val="99"/>
              </w:rPr>
              <w:t>5,937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Great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gridSpan w:val="6"/>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Falls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9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09/09/2024</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18"/>
                <w:szCs w:val="18"/>
                <w:color w:val="auto"/>
              </w:rPr>
            </w:pPr>
          </w:p>
        </w:tc>
        <w:tc>
          <w:tcPr>
            <w:tcW w:w="840" w:type="dxa"/>
            <w:vAlign w:val="bottom"/>
            <w:vMerge w:val="restart"/>
          </w:tcPr>
          <w:p>
            <w:pPr>
              <w:jc w:val="center"/>
              <w:ind w:right="5"/>
              <w:spacing w:after="0"/>
              <w:rPr>
                <w:sz w:val="20"/>
                <w:szCs w:val="20"/>
                <w:color w:val="auto"/>
              </w:rPr>
            </w:pPr>
            <w:r>
              <w:rPr>
                <w:rFonts w:ascii="Times New Roman" w:cs="Times New Roman" w:eastAsia="Times New Roman" w:hAnsi="Times New Roman"/>
                <w:sz w:val="17"/>
                <w:szCs w:val="17"/>
                <w:color w:val="0000FF"/>
              </w:rPr>
              <w:t>5,684</w:t>
            </w:r>
          </w:p>
        </w:tc>
        <w:tc>
          <w:tcPr>
            <w:tcW w:w="460" w:type="dxa"/>
            <w:vAlign w:val="bottom"/>
            <w:vMerge w:val="restart"/>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116.4378</w:t>
            </w:r>
            <w:r>
              <w:rPr>
                <w:rFonts w:ascii="Times New Roman" w:cs="Times New Roman" w:eastAsia="Times New Roman" w:hAnsi="Times New Roman"/>
                <w:sz w:val="22"/>
                <w:szCs w:val="22"/>
                <w:color w:val="008000"/>
                <w:w w:val="95"/>
                <w:vertAlign w:val="superscript"/>
              </w:rPr>
              <w:t>(4)</w:t>
            </w:r>
          </w:p>
        </w:tc>
        <w:tc>
          <w:tcPr>
            <w:tcW w:w="340" w:type="dxa"/>
            <w:vAlign w:val="bottom"/>
          </w:tcPr>
          <w:p>
            <w:pPr>
              <w:spacing w:after="0"/>
              <w:rPr>
                <w:sz w:val="18"/>
                <w:szCs w:val="18"/>
                <w:color w:val="auto"/>
              </w:rPr>
            </w:pPr>
          </w:p>
        </w:tc>
        <w:tc>
          <w:tcPr>
            <w:tcW w:w="820" w:type="dxa"/>
            <w:vAlign w:val="bottom"/>
            <w:vMerge w:val="restart"/>
          </w:tcPr>
          <w:p>
            <w:pPr>
              <w:jc w:val="center"/>
              <w:ind w:right="333"/>
              <w:spacing w:after="0"/>
              <w:rPr>
                <w:sz w:val="20"/>
                <w:szCs w:val="20"/>
                <w:color w:val="auto"/>
              </w:rPr>
            </w:pPr>
            <w:r>
              <w:rPr>
                <w:rFonts w:ascii="Times New Roman" w:cs="Times New Roman" w:eastAsia="Times New Roman" w:hAnsi="Times New Roman"/>
                <w:sz w:val="17"/>
                <w:szCs w:val="17"/>
                <w:color w:val="0000FF"/>
              </w:rPr>
              <w:t>253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Great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gridSpan w:val="6"/>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Falls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9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09/09/2024</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18"/>
                <w:szCs w:val="18"/>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253</w:t>
            </w:r>
          </w:p>
        </w:tc>
        <w:tc>
          <w:tcPr>
            <w:tcW w:w="460" w:type="dxa"/>
            <w:vAlign w:val="bottom"/>
            <w:vMerge w:val="restart"/>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117.1294</w:t>
            </w:r>
            <w:r>
              <w:rPr>
                <w:rFonts w:ascii="Times New Roman" w:cs="Times New Roman" w:eastAsia="Times New Roman" w:hAnsi="Times New Roman"/>
                <w:sz w:val="22"/>
                <w:szCs w:val="22"/>
                <w:color w:val="008000"/>
                <w:w w:val="95"/>
                <w:vertAlign w:val="superscript"/>
              </w:rPr>
              <w:t>(5)</w:t>
            </w:r>
          </w:p>
        </w:tc>
        <w:tc>
          <w:tcPr>
            <w:tcW w:w="340" w:type="dxa"/>
            <w:vAlign w:val="bottom"/>
          </w:tcPr>
          <w:p>
            <w:pPr>
              <w:spacing w:after="0"/>
              <w:rPr>
                <w:sz w:val="18"/>
                <w:szCs w:val="18"/>
                <w:color w:val="auto"/>
              </w:rPr>
            </w:pPr>
          </w:p>
        </w:tc>
        <w:tc>
          <w:tcPr>
            <w:tcW w:w="820" w:type="dxa"/>
            <w:vAlign w:val="bottom"/>
            <w:vMerge w:val="restart"/>
          </w:tcPr>
          <w:p>
            <w:pPr>
              <w:jc w:val="center"/>
              <w:ind w:right="333"/>
              <w:spacing w:after="0" w:line="387" w:lineRule="exact"/>
              <w:rPr>
                <w:sz w:val="20"/>
                <w:szCs w:val="20"/>
                <w:color w:val="auto"/>
              </w:rPr>
            </w:pPr>
            <w:r>
              <w:rPr>
                <w:rFonts w:ascii="Times New Roman" w:cs="Times New Roman" w:eastAsia="Times New Roman" w:hAnsi="Times New Roman"/>
                <w:sz w:val="34"/>
                <w:szCs w:val="34"/>
                <w:color w:val="0000FF"/>
                <w:w w:val="90"/>
                <w:vertAlign w:val="subscript"/>
              </w:rPr>
              <w:t>0</w:t>
            </w:r>
            <w:r>
              <w:rPr>
                <w:rFonts w:ascii="Times New Roman" w:cs="Times New Roman" w:eastAsia="Times New Roman" w:hAnsi="Times New Roman"/>
                <w:sz w:val="11"/>
                <w:szCs w:val="11"/>
                <w:color w:val="008000"/>
                <w:w w:val="90"/>
              </w:rPr>
              <w:t>(6)</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Great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gridSpan w:val="6"/>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Falls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340" w:type="dxa"/>
            <w:vAlign w:val="bottom"/>
            <w:tcBorders>
              <w:bottom w:val="single" w:sz="8" w:color="2C2C2C"/>
            </w:tcBorders>
            <w:gridSpan w:val="4"/>
          </w:tcPr>
          <w:p>
            <w:pPr>
              <w:spacing w:after="0"/>
              <w:rPr>
                <w:sz w:val="8"/>
                <w:szCs w:val="8"/>
                <w:color w:val="auto"/>
              </w:rPr>
            </w:pPr>
          </w:p>
        </w:tc>
        <w:tc>
          <w:tcPr>
            <w:tcW w:w="274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jc w:val="center"/>
              <w:ind w:right="6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300" w:type="dxa"/>
            <w:vAlign w:val="bottom"/>
            <w:gridSpan w:val="13"/>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weighted average sale price of the shares disposed of. The actual sale prices ranged from $116.00 to $116.78. The reporting person has provided to the Issuer, and hereby undertakes to provide upon request by the U.S. Securities and Exchange Commission staff or securities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weighted average sale price of the shares disposed of. The actual sale prices ranged from $117.05 to $117.19. The reporting person has provided to the Issuer, and hereby undertakes to provide upon request by the U.S. Securities and Exchange Commission staff or securities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weighted average sale price of the shares disposed of. The actual sale prices ranged from $116.00 to $116.95. The reporting person has provided to the Issuer, and</w:t>
      </w:r>
    </w:p>
    <w:p>
      <w:pPr>
        <w:sectPr>
          <w:pgSz w:w="11900" w:h="16880" w:orient="portrait"/>
          <w:cols w:equalWidth="0" w:num="1">
            <w:col w:w="11080"/>
          </w:cols>
          <w:pgMar w:left="460" w:top="219" w:right="35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hereby undertakes to provide upon request by the U.S. Securities and Exchange Commission staff or securities holder of the Issuer, full information regarding the number of shares sold at each separate price</w:t>
      </w:r>
    </w:p>
    <w:p>
      <w:pPr>
        <w:spacing w:after="0" w:line="8" w:lineRule="exact"/>
        <w:rPr>
          <w:sz w:val="20"/>
          <w:szCs w:val="20"/>
          <w:color w:val="auto"/>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weighted average sale price of the shares disposed of. The actual sale prices ranged from $116.00 to $116.99. The reporting person has provided to the Issuer, and hereby undertakes to provide upon request by the U.S. Securities and Exchange Commission staff or securities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weighted average sale price of the shares disposed of. The actual sale prices ranged from $117.03 to $117.15. The reporting person has provided to the Issuer, and hereby undertakes to provide upon request by the U.S. Securities and Exchange Commission staff or securities holder of the Issuer, full information regarding the number of shares sold at each separate price.</w:t>
      </w:r>
    </w:p>
    <w:p>
      <w:pPr>
        <w:sectPr>
          <w:pgSz w:w="11900" w:h="16838" w:orient="portrait"/>
          <w:cols w:equalWidth="0" w:num="1">
            <w:col w:w="10700"/>
          </w:cols>
          <w:pgMar w:left="500" w:top="127" w:right="699" w:bottom="1440" w:gutter="0" w:footer="0" w:header="0"/>
        </w:sectPr>
      </w:pP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6. Mr. Wood continues to directly and indirectly control 504,564 shares.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Dawn M. Becker,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6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0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960"/>
          </w:cols>
          <w:pgMar w:left="500" w:top="127" w:right="69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0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00"/>
      </w:cols>
      <w:pgMar w:left="500" w:top="127" w:right="6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89906" TargetMode="External"/><Relationship Id="rId14" Type="http://schemas.openxmlformats.org/officeDocument/2006/relationships/hyperlink" Target="http://www.sec.gov/cgi-bin/browse-edgar?action=getcompany&amp;CIK=00000349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2024-09-09T16:04:29Z</dcterms:created>
  <dcterms:modified xsi:type="dcterms:W3CDTF">2024-09-09T16:04:29Z</dcterms:modified>
</cp:coreProperties>
</file>