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600" w:type="dxa"/>
        <w:tblCellMar>
          <w:top w:w="0" w:type="dxa"/>
          <w:left w:w="0" w:type="dxa"/>
          <w:bottom w:w="0" w:type="dxa"/>
          <w:right w:w="0" w:type="dxa"/>
        </w:tblCellMar>
      </w:tblPr>
      <w:tr>
        <w:trPr>
          <w:trHeight w:val="193"/>
        </w:trPr>
        <w:tc>
          <w:tcPr>
            <w:tcW w:w="5920" w:type="dxa"/>
            <w:vAlign w:val="bottom"/>
            <w:gridSpan w:val="2"/>
          </w:tcPr>
          <w:p>
            <w:pPr>
              <w:jc w:val="center"/>
              <w:ind w:left="535"/>
              <w:spacing w:after="0"/>
              <w:rPr>
                <w:sz w:val="20"/>
                <w:szCs w:val="20"/>
                <w:color w:val="auto"/>
              </w:rPr>
            </w:pPr>
            <w:r>
              <w:rPr>
                <w:rFonts w:ascii="Courier New" w:cs="Courier New" w:eastAsia="Courier New" w:hAnsi="Courier New"/>
                <w:sz w:val="17"/>
                <w:szCs w:val="17"/>
                <w:color w:val="auto"/>
                <w:w w:val="99"/>
              </w:rPr>
              <w:t>SECURITIES AND EXCHANGE COMMISSION</w:t>
            </w:r>
          </w:p>
        </w:tc>
      </w:tr>
      <w:tr>
        <w:trPr>
          <w:trHeight w:val="196"/>
        </w:trPr>
        <w:tc>
          <w:tcPr>
            <w:tcW w:w="3780" w:type="dxa"/>
            <w:vAlign w:val="bottom"/>
          </w:tcPr>
          <w:p>
            <w:pPr>
              <w:ind w:left="2040"/>
              <w:spacing w:after="0"/>
              <w:rPr>
                <w:sz w:val="20"/>
                <w:szCs w:val="20"/>
                <w:color w:val="auto"/>
              </w:rPr>
            </w:pPr>
            <w:r>
              <w:rPr>
                <w:rFonts w:ascii="Courier New" w:cs="Courier New" w:eastAsia="Courier New" w:hAnsi="Courier New"/>
                <w:sz w:val="17"/>
                <w:szCs w:val="17"/>
                <w:color w:val="auto"/>
              </w:rPr>
              <w:t>Washington, D.C.</w:t>
            </w:r>
          </w:p>
        </w:tc>
        <w:tc>
          <w:tcPr>
            <w:tcW w:w="2140" w:type="dxa"/>
            <w:vAlign w:val="bottom"/>
          </w:tcPr>
          <w:p>
            <w:pPr>
              <w:jc w:val="right"/>
              <w:ind w:right="1435"/>
              <w:spacing w:after="0"/>
              <w:rPr>
                <w:sz w:val="20"/>
                <w:szCs w:val="20"/>
                <w:color w:val="auto"/>
              </w:rPr>
            </w:pPr>
            <w:r>
              <w:rPr>
                <w:rFonts w:ascii="Courier New" w:cs="Courier New" w:eastAsia="Courier New" w:hAnsi="Courier New"/>
                <w:sz w:val="17"/>
                <w:szCs w:val="17"/>
                <w:color w:val="auto"/>
              </w:rPr>
              <w:t>20549</w:t>
            </w:r>
          </w:p>
        </w:tc>
      </w:tr>
      <w:tr>
        <w:trPr>
          <w:trHeight w:val="196"/>
        </w:trPr>
        <w:tc>
          <w:tcPr>
            <w:tcW w:w="3780" w:type="dxa"/>
            <w:vAlign w:val="bottom"/>
          </w:tcPr>
          <w:p>
            <w:pPr>
              <w:jc w:val="center"/>
              <w:ind w:left="2575"/>
              <w:spacing w:after="0"/>
              <w:rPr>
                <w:sz w:val="20"/>
                <w:szCs w:val="20"/>
                <w:color w:val="auto"/>
              </w:rPr>
            </w:pPr>
            <w:r>
              <w:rPr>
                <w:rFonts w:ascii="Courier New" w:cs="Courier New" w:eastAsia="Courier New" w:hAnsi="Courier New"/>
                <w:sz w:val="17"/>
                <w:szCs w:val="17"/>
                <w:color w:val="auto"/>
              </w:rPr>
              <w:t>Form 10-Q</w:t>
            </w:r>
          </w:p>
        </w:tc>
        <w:tc>
          <w:tcPr>
            <w:tcW w:w="2140" w:type="dxa"/>
            <w:vAlign w:val="bottom"/>
          </w:tcPr>
          <w:p>
            <w:pPr>
              <w:spacing w:after="0"/>
              <w:rPr>
                <w:sz w:val="17"/>
                <w:szCs w:val="17"/>
                <w:color w:val="auto"/>
              </w:rPr>
            </w:pPr>
          </w:p>
        </w:tc>
      </w:tr>
      <w:tr>
        <w:trPr>
          <w:trHeight w:val="589"/>
        </w:trPr>
        <w:tc>
          <w:tcPr>
            <w:tcW w:w="5920" w:type="dxa"/>
            <w:vAlign w:val="bottom"/>
            <w:gridSpan w:val="2"/>
          </w:tcPr>
          <w:p>
            <w:pPr>
              <w:jc w:val="center"/>
              <w:ind w:left="535"/>
              <w:spacing w:after="0"/>
              <w:rPr>
                <w:sz w:val="20"/>
                <w:szCs w:val="20"/>
                <w:color w:val="auto"/>
              </w:rPr>
            </w:pPr>
            <w:r>
              <w:rPr>
                <w:rFonts w:ascii="Courier New" w:cs="Courier New" w:eastAsia="Courier New" w:hAnsi="Courier New"/>
                <w:sz w:val="17"/>
                <w:szCs w:val="17"/>
                <w:color w:val="auto"/>
              </w:rPr>
              <w:t>QUARTERLY REPORT UNDER SECTION 13 OR 15(d)</w:t>
            </w:r>
          </w:p>
        </w:tc>
      </w:tr>
      <w:tr>
        <w:trPr>
          <w:trHeight w:val="196"/>
        </w:trPr>
        <w:tc>
          <w:tcPr>
            <w:tcW w:w="5920" w:type="dxa"/>
            <w:vAlign w:val="bottom"/>
            <w:gridSpan w:val="2"/>
          </w:tcPr>
          <w:p>
            <w:pPr>
              <w:jc w:val="center"/>
              <w:ind w:left="555"/>
              <w:spacing w:after="0"/>
              <w:rPr>
                <w:sz w:val="20"/>
                <w:szCs w:val="20"/>
                <w:color w:val="auto"/>
              </w:rPr>
            </w:pPr>
            <w:r>
              <w:rPr>
                <w:rFonts w:ascii="Courier New" w:cs="Courier New" w:eastAsia="Courier New" w:hAnsi="Courier New"/>
                <w:sz w:val="17"/>
                <w:szCs w:val="17"/>
                <w:color w:val="auto"/>
              </w:rPr>
              <w:t>OF THE SECURITIES EXCHANGE ACT OF 1934</w:t>
            </w:r>
          </w:p>
        </w:tc>
      </w:tr>
      <w:tr>
        <w:trPr>
          <w:trHeight w:val="589"/>
        </w:trPr>
        <w:tc>
          <w:tcPr>
            <w:tcW w:w="5920" w:type="dxa"/>
            <w:vAlign w:val="bottom"/>
            <w:gridSpan w:val="2"/>
          </w:tcPr>
          <w:p>
            <w:pPr>
              <w:jc w:val="center"/>
              <w:ind w:left="435"/>
              <w:spacing w:after="0"/>
              <w:rPr>
                <w:sz w:val="20"/>
                <w:szCs w:val="20"/>
                <w:color w:val="auto"/>
              </w:rPr>
            </w:pPr>
            <w:r>
              <w:rPr>
                <w:rFonts w:ascii="Courier New" w:cs="Courier New" w:eastAsia="Courier New" w:hAnsi="Courier New"/>
                <w:sz w:val="17"/>
                <w:szCs w:val="17"/>
                <w:color w:val="auto"/>
                <w:w w:val="99"/>
              </w:rPr>
              <w:t>For the Quarter Ended:  June 30, 1995</w:t>
            </w:r>
          </w:p>
        </w:tc>
      </w:tr>
      <w:tr>
        <w:trPr>
          <w:trHeight w:val="196"/>
        </w:trPr>
        <w:tc>
          <w:tcPr>
            <w:tcW w:w="5920" w:type="dxa"/>
            <w:vAlign w:val="bottom"/>
            <w:gridSpan w:val="2"/>
          </w:tcPr>
          <w:p>
            <w:pPr>
              <w:jc w:val="center"/>
              <w:ind w:left="535"/>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5920" w:type="dxa"/>
            <w:vAlign w:val="bottom"/>
            <w:gridSpan w:val="2"/>
          </w:tcPr>
          <w:p>
            <w:pPr>
              <w:jc w:val="center"/>
              <w:ind w:left="335"/>
              <w:spacing w:after="0"/>
              <w:rPr>
                <w:sz w:val="20"/>
                <w:szCs w:val="20"/>
                <w:color w:val="auto"/>
              </w:rPr>
            </w:pPr>
            <w:r>
              <w:rPr>
                <w:rFonts w:ascii="Courier New" w:cs="Courier New" w:eastAsia="Courier New" w:hAnsi="Courier New"/>
                <w:sz w:val="17"/>
                <w:szCs w:val="17"/>
                <w:color w:val="auto"/>
              </w:rPr>
              <w:t>Commission File No. 1-7533</w:t>
            </w:r>
          </w:p>
        </w:tc>
      </w:tr>
      <w:tr>
        <w:trPr>
          <w:trHeight w:val="196"/>
        </w:trPr>
        <w:tc>
          <w:tcPr>
            <w:tcW w:w="5920" w:type="dxa"/>
            <w:vAlign w:val="bottom"/>
            <w:gridSpan w:val="2"/>
          </w:tcPr>
          <w:p>
            <w:pPr>
              <w:jc w:val="center"/>
              <w:ind w:left="535"/>
              <w:spacing w:after="0"/>
              <w:rPr>
                <w:sz w:val="20"/>
                <w:szCs w:val="20"/>
                <w:color w:val="auto"/>
              </w:rPr>
            </w:pPr>
            <w:r>
              <w:rPr>
                <w:rFonts w:ascii="Courier New" w:cs="Courier New" w:eastAsia="Courier New" w:hAnsi="Courier New"/>
                <w:sz w:val="17"/>
                <w:szCs w:val="17"/>
                <w:color w:val="auto"/>
              </w:rPr>
              <w:t>--------------------------</w:t>
            </w:r>
          </w:p>
        </w:tc>
      </w:tr>
      <w:tr>
        <w:trPr>
          <w:trHeight w:val="392"/>
        </w:trPr>
        <w:tc>
          <w:tcPr>
            <w:tcW w:w="5920" w:type="dxa"/>
            <w:vAlign w:val="bottom"/>
            <w:gridSpan w:val="2"/>
          </w:tcPr>
          <w:p>
            <w:pPr>
              <w:jc w:val="center"/>
              <w:ind w:left="435"/>
              <w:spacing w:after="0"/>
              <w:rPr>
                <w:sz w:val="20"/>
                <w:szCs w:val="20"/>
                <w:color w:val="auto"/>
              </w:rPr>
            </w:pPr>
            <w:r>
              <w:rPr>
                <w:rFonts w:ascii="Courier New" w:cs="Courier New" w:eastAsia="Courier New" w:hAnsi="Courier New"/>
                <w:sz w:val="17"/>
                <w:szCs w:val="17"/>
                <w:color w:val="auto"/>
                <w:w w:val="99"/>
              </w:rPr>
              <w:t>FEDERAL REALTY INVESTMENT TRUST</w:t>
            </w:r>
          </w:p>
        </w:tc>
      </w:tr>
      <w:tr>
        <w:trPr>
          <w:trHeight w:val="196"/>
        </w:trPr>
        <w:tc>
          <w:tcPr>
            <w:tcW w:w="5920" w:type="dxa"/>
            <w:vAlign w:val="bottom"/>
            <w:gridSpan w:val="2"/>
          </w:tcPr>
          <w:p>
            <w:pPr>
              <w:jc w:val="center"/>
              <w:ind w:left="535"/>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5920" w:type="dxa"/>
            <w:vAlign w:val="bottom"/>
            <w:gridSpan w:val="2"/>
          </w:tcPr>
          <w:p>
            <w:pPr>
              <w:jc w:val="center"/>
              <w:ind w:left="335"/>
              <w:spacing w:after="0"/>
              <w:rPr>
                <w:sz w:val="20"/>
                <w:szCs w:val="20"/>
                <w:color w:val="auto"/>
              </w:rPr>
            </w:pPr>
            <w:r>
              <w:rPr>
                <w:rFonts w:ascii="Courier New" w:cs="Courier New" w:eastAsia="Courier New" w:hAnsi="Courier New"/>
                <w:sz w:val="17"/>
                <w:szCs w:val="17"/>
                <w:color w:val="auto"/>
                <w:w w:val="99"/>
              </w:rPr>
              <w:t>(Exact name of registrant as specified in its charter)</w:t>
            </w:r>
          </w:p>
        </w:tc>
      </w:tr>
      <w:tr>
        <w:trPr>
          <w:trHeight w:val="589"/>
        </w:trPr>
        <w:tc>
          <w:tcPr>
            <w:tcW w:w="3780" w:type="dxa"/>
            <w:vAlign w:val="bottom"/>
          </w:tcPr>
          <w:p>
            <w:pPr>
              <w:spacing w:after="0"/>
              <w:rPr>
                <w:sz w:val="20"/>
                <w:szCs w:val="20"/>
                <w:color w:val="auto"/>
              </w:rPr>
            </w:pPr>
            <w:r>
              <w:rPr>
                <w:rFonts w:ascii="Courier New" w:cs="Courier New" w:eastAsia="Courier New" w:hAnsi="Courier New"/>
                <w:sz w:val="17"/>
                <w:szCs w:val="17"/>
                <w:color w:val="auto"/>
              </w:rPr>
              <w:t>District of Columbia</w:t>
            </w:r>
          </w:p>
        </w:tc>
        <w:tc>
          <w:tcPr>
            <w:tcW w:w="21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52-0782497</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89" w:lineRule="exact"/>
        <w:rPr>
          <w:sz w:val="24"/>
          <w:szCs w:val="24"/>
          <w:color w:val="auto"/>
        </w:rPr>
      </w:pPr>
    </w:p>
    <w:p>
      <w:pPr>
        <w:ind w:left="300" w:right="2979"/>
        <w:spacing w:after="0" w:line="243" w:lineRule="auto"/>
        <w:rPr>
          <w:sz w:val="20"/>
          <w:szCs w:val="20"/>
          <w:color w:val="auto"/>
        </w:rPr>
      </w:pPr>
      <w:r>
        <w:rPr>
          <w:rFonts w:ascii="Courier New" w:cs="Courier New" w:eastAsia="Courier New" w:hAnsi="Courier New"/>
          <w:sz w:val="17"/>
          <w:szCs w:val="17"/>
          <w:color w:val="auto"/>
        </w:rPr>
        <w:t>(State or other jurisdiction of (I.R.S. Employer incorporation or organization) Identification No.)</w:t>
      </w:r>
    </w:p>
    <w:p>
      <w:pPr>
        <w:spacing w:after="0" w:line="394" w:lineRule="exact"/>
        <w:rPr>
          <w:sz w:val="24"/>
          <w:szCs w:val="24"/>
          <w:color w:val="auto"/>
        </w:rPr>
      </w:pPr>
    </w:p>
    <w:p>
      <w:pPr>
        <w:ind w:left="1020"/>
        <w:spacing w:after="0"/>
        <w:tabs>
          <w:tab w:leader="none" w:pos="6100" w:val="left"/>
        </w:tabs>
        <w:rPr>
          <w:sz w:val="20"/>
          <w:szCs w:val="20"/>
          <w:color w:val="auto"/>
        </w:rPr>
      </w:pPr>
      <w:r>
        <w:rPr>
          <w:rFonts w:ascii="Courier New" w:cs="Courier New" w:eastAsia="Courier New" w:hAnsi="Courier New"/>
          <w:sz w:val="17"/>
          <w:szCs w:val="17"/>
          <w:color w:val="auto"/>
        </w:rPr>
        <w:t>4800 Hampden Lane, Suite 500, Bethesda, Maryland</w:t>
      </w:r>
      <w:r>
        <w:rPr>
          <w:sz w:val="20"/>
          <w:szCs w:val="20"/>
          <w:color w:val="auto"/>
        </w:rPr>
        <w:tab/>
      </w:r>
      <w:r>
        <w:rPr>
          <w:rFonts w:ascii="Courier New" w:cs="Courier New" w:eastAsia="Courier New" w:hAnsi="Courier New"/>
          <w:sz w:val="16"/>
          <w:szCs w:val="16"/>
          <w:color w:val="auto"/>
        </w:rPr>
        <w:t>20814</w:t>
      </w:r>
    </w:p>
    <w:p>
      <w:pPr>
        <w:spacing w:after="0" w:line="4" w:lineRule="exact"/>
        <w:rPr>
          <w:sz w:val="24"/>
          <w:szCs w:val="24"/>
          <w:color w:val="auto"/>
        </w:rPr>
      </w:pPr>
    </w:p>
    <w:p>
      <w:pPr>
        <w:ind w:left="10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920"/>
        <w:spacing w:after="0"/>
        <w:tabs>
          <w:tab w:leader="none" w:pos="610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396" w:lineRule="exact"/>
        <w:rPr>
          <w:sz w:val="24"/>
          <w:szCs w:val="24"/>
          <w:color w:val="auto"/>
        </w:rPr>
      </w:pPr>
    </w:p>
    <w:p>
      <w:pPr>
        <w:ind w:left="3460" w:hanging="609"/>
        <w:spacing w:after="0"/>
        <w:tabs>
          <w:tab w:leader="none" w:pos="34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652-3360</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(Registrant's telephone number, including area code)</w:t>
      </w:r>
    </w:p>
    <w:p>
      <w:pPr>
        <w:spacing w:after="0" w:line="3" w:lineRule="exact"/>
        <w:rPr>
          <w:rFonts w:ascii="Courier New" w:cs="Courier New" w:eastAsia="Courier New" w:hAnsi="Courier New"/>
          <w:sz w:val="17"/>
          <w:szCs w:val="17"/>
          <w:color w:val="auto"/>
        </w:rPr>
      </w:pPr>
    </w:p>
    <w:p>
      <w:pPr>
        <w:ind w:left="1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1" w:lineRule="exact"/>
        <w:rPr>
          <w:sz w:val="24"/>
          <w:szCs w:val="24"/>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7" w:lineRule="exact"/>
        <w:rPr>
          <w:sz w:val="24"/>
          <w:szCs w:val="24"/>
          <w:color w:val="auto"/>
        </w:rPr>
      </w:pPr>
    </w:p>
    <w:p>
      <w:pPr>
        <w:ind w:left="920"/>
        <w:spacing w:after="0"/>
        <w:tabs>
          <w:tab w:leader="none" w:pos="2840" w:val="left"/>
        </w:tabs>
        <w:rPr>
          <w:sz w:val="20"/>
          <w:szCs w:val="20"/>
          <w:color w:val="auto"/>
        </w:rPr>
      </w:pPr>
      <w:r>
        <w:rPr>
          <w:rFonts w:ascii="Courier New" w:cs="Courier New" w:eastAsia="Courier New" w:hAnsi="Courier New"/>
          <w:sz w:val="17"/>
          <w:szCs w:val="17"/>
          <w:color w:val="auto"/>
        </w:rPr>
        <w:t>Yes __X__.</w:t>
      </w:r>
      <w:r>
        <w:rPr>
          <w:sz w:val="20"/>
          <w:szCs w:val="20"/>
          <w:color w:val="auto"/>
        </w:rPr>
        <w:tab/>
      </w:r>
      <w:r>
        <w:rPr>
          <w:rFonts w:ascii="Courier New" w:cs="Courier New" w:eastAsia="Courier New" w:hAnsi="Courier New"/>
          <w:sz w:val="16"/>
          <w:szCs w:val="16"/>
          <w:color w:val="auto"/>
        </w:rPr>
        <w:t>No_____.</w:t>
      </w:r>
    </w:p>
    <w:p>
      <w:pPr>
        <w:spacing w:after="0" w:line="201" w:lineRule="exact"/>
        <w:rPr>
          <w:sz w:val="24"/>
          <w:szCs w:val="24"/>
          <w:color w:val="auto"/>
        </w:rPr>
      </w:pPr>
    </w:p>
    <w:p>
      <w:pPr>
        <w:ind w:right="2159" w:firstLine="918"/>
        <w:spacing w:after="0" w:line="243" w:lineRule="auto"/>
        <w:rPr>
          <w:sz w:val="20"/>
          <w:szCs w:val="20"/>
          <w:color w:val="auto"/>
        </w:rPr>
      </w:pPr>
      <w:r>
        <w:rPr>
          <w:rFonts w:ascii="Courier New" w:cs="Courier New" w:eastAsia="Courier New" w:hAnsi="Courier New"/>
          <w:sz w:val="17"/>
          <w:szCs w:val="17"/>
          <w:color w:val="auto"/>
        </w:rPr>
        <w:t>Indicate the number of shares outstanding of each of the issuer's classes of common stock, as of the latest practicable date.</w:t>
      </w:r>
    </w:p>
    <w:p>
      <w:pPr>
        <w:sectPr>
          <w:pgSz w:w="11900" w:h="16838" w:orient="portrait"/>
          <w:cols w:equalWidth="0" w:num="1">
            <w:col w:w="9699"/>
          </w:cols>
          <w:pgMar w:left="760" w:top="638" w:right="1440" w:bottom="1440" w:gutter="0" w:footer="0" w:header="0"/>
        </w:sectPr>
      </w:pPr>
    </w:p>
    <w:p>
      <w:pPr>
        <w:spacing w:after="0" w:line="394" w:lineRule="exact"/>
        <w:rPr>
          <w:sz w:val="24"/>
          <w:szCs w:val="24"/>
          <w:color w:val="auto"/>
        </w:rPr>
      </w:pPr>
    </w:p>
    <w:p>
      <w:pPr>
        <w:jc w:val="center"/>
        <w:spacing w:after="0"/>
        <w:rPr>
          <w:sz w:val="20"/>
          <w:szCs w:val="20"/>
          <w:color w:val="auto"/>
        </w:rPr>
      </w:pPr>
      <w:r>
        <w:rPr>
          <w:rFonts w:ascii="Courier New" w:cs="Courier New" w:eastAsia="Courier New" w:hAnsi="Courier New"/>
          <w:sz w:val="17"/>
          <w:szCs w:val="17"/>
          <w:color w:val="auto"/>
        </w:rPr>
        <w:t>Class</w:t>
      </w:r>
    </w:p>
    <w:p>
      <w:pPr>
        <w:spacing w:after="0" w:line="5" w:lineRule="exact"/>
        <w:rPr>
          <w:sz w:val="24"/>
          <w:szCs w:val="24"/>
          <w:color w:val="auto"/>
        </w:rPr>
      </w:pPr>
    </w:p>
    <w:p>
      <w:pPr>
        <w:jc w:val="center"/>
        <w:ind w:right="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Outstanding at August 4, 1995</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ectPr>
          <w:pgSz w:w="11900" w:h="16838" w:orient="portrait"/>
          <w:cols w:equalWidth="0" w:num="2">
            <w:col w:w="3360" w:space="720"/>
            <w:col w:w="5619"/>
          </w:cols>
          <w:pgMar w:left="760" w:top="638" w:right="1440" w:bottom="1440" w:gutter="0" w:footer="0" w:header="0"/>
          <w:type w:val="continuous"/>
        </w:sectPr>
      </w:pP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Shares of Beneficial Interest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31,759,946</w:t>
      </w:r>
    </w:p>
    <w:p>
      <w:pPr>
        <w:spacing w:after="0" w:line="200" w:lineRule="exact"/>
        <w:rPr>
          <w:sz w:val="24"/>
          <w:szCs w:val="24"/>
          <w:color w:val="auto"/>
        </w:rPr>
      </w:pPr>
    </w:p>
    <w:p>
      <w:pPr>
        <w:sectPr>
          <w:pgSz w:w="11900" w:h="16838" w:orient="portrait"/>
          <w:cols w:equalWidth="0" w:num="2">
            <w:col w:w="4280" w:space="720"/>
            <w:col w:w="4699"/>
          </w:cols>
          <w:pgMar w:left="760" w:top="638" w:right="1440" w:bottom="1440" w:gutter="0" w:footer="0" w:header="0"/>
          <w:type w:val="continuous"/>
        </w:sectPr>
      </w:pPr>
    </w:p>
    <w:p>
      <w:pPr>
        <w:spacing w:after="0" w:line="39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This report, including exhibits, contains 22 pages.</w:t>
      </w:r>
    </w:p>
    <w:p>
      <w:pPr>
        <w:sectPr>
          <w:pgSz w:w="11900" w:h="16838" w:orient="portrait"/>
          <w:cols w:equalWidth="0" w:num="1">
            <w:col w:w="9699"/>
          </w:cols>
          <w:pgMar w:left="760" w:top="638" w:right="1440" w:bottom="1440" w:gutter="0" w:footer="0" w:header="0"/>
          <w:type w:val="continuous"/>
        </w:sectPr>
      </w:pPr>
    </w:p>
    <w:bookmarkStart w:id="1" w:name="page2"/>
    <w:bookmarkEnd w:id="1"/>
    <w:p>
      <w:pPr>
        <w:spacing w:after="0" w:line="245"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S.E.C. FORM 10-Q</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Pr>
          <w:p>
            <w:pPr>
              <w:spacing w:after="0"/>
              <w:rPr>
                <w:sz w:val="16"/>
                <w:szCs w:val="16"/>
                <w:color w:val="auto"/>
              </w:rPr>
            </w:pPr>
          </w:p>
        </w:tc>
        <w:tc>
          <w:tcPr>
            <w:tcW w:w="5520" w:type="dxa"/>
            <w:vAlign w:val="bottom"/>
          </w:tcPr>
          <w:p>
            <w:pPr>
              <w:ind w:left="2300"/>
              <w:spacing w:after="0"/>
              <w:rPr>
                <w:sz w:val="20"/>
                <w:szCs w:val="20"/>
                <w:color w:val="auto"/>
              </w:rPr>
            </w:pPr>
            <w:r>
              <w:rPr>
                <w:rFonts w:ascii="Courier New" w:cs="Courier New" w:eastAsia="Courier New" w:hAnsi="Courier New"/>
                <w:sz w:val="17"/>
                <w:szCs w:val="17"/>
                <w:color w:val="auto"/>
              </w:rPr>
              <w:t>June 30, 1995</w:t>
            </w:r>
          </w:p>
        </w:tc>
        <w:tc>
          <w:tcPr>
            <w:tcW w:w="1260" w:type="dxa"/>
            <w:vAlign w:val="bottom"/>
          </w:tcPr>
          <w:p>
            <w:pPr>
              <w:spacing w:after="0"/>
              <w:rPr>
                <w:sz w:val="16"/>
                <w:szCs w:val="16"/>
                <w:color w:val="auto"/>
              </w:rPr>
            </w:pPr>
          </w:p>
        </w:tc>
      </w:tr>
      <w:tr>
        <w:trPr>
          <w:trHeight w:val="589"/>
        </w:trPr>
        <w:tc>
          <w:tcPr>
            <w:tcW w:w="860" w:type="dxa"/>
            <w:vAlign w:val="bottom"/>
          </w:tcPr>
          <w:p>
            <w:pPr>
              <w:spacing w:after="0"/>
              <w:rPr>
                <w:sz w:val="24"/>
                <w:szCs w:val="24"/>
                <w:color w:val="auto"/>
              </w:rPr>
            </w:pPr>
          </w:p>
        </w:tc>
        <w:tc>
          <w:tcPr>
            <w:tcW w:w="5520" w:type="dxa"/>
            <w:vAlign w:val="bottom"/>
          </w:tcPr>
          <w:p>
            <w:pPr>
              <w:ind w:left="2500"/>
              <w:spacing w:after="0"/>
              <w:rPr>
                <w:sz w:val="20"/>
                <w:szCs w:val="20"/>
                <w:color w:val="auto"/>
              </w:rPr>
            </w:pPr>
            <w:r>
              <w:rPr>
                <w:rFonts w:ascii="Courier New" w:cs="Courier New" w:eastAsia="Courier New" w:hAnsi="Courier New"/>
                <w:sz w:val="17"/>
                <w:szCs w:val="17"/>
                <w:color w:val="auto"/>
              </w:rPr>
              <w:t>I N D E X</w:t>
            </w:r>
          </w:p>
        </w:tc>
        <w:tc>
          <w:tcPr>
            <w:tcW w:w="1260" w:type="dxa"/>
            <w:vAlign w:val="bottom"/>
          </w:tcPr>
          <w:p>
            <w:pPr>
              <w:spacing w:after="0"/>
              <w:rPr>
                <w:sz w:val="24"/>
                <w:szCs w:val="24"/>
                <w:color w:val="auto"/>
              </w:rPr>
            </w:pPr>
          </w:p>
        </w:tc>
      </w:tr>
      <w:tr>
        <w:trPr>
          <w:trHeight w:val="785"/>
        </w:trPr>
        <w:tc>
          <w:tcPr>
            <w:tcW w:w="86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5520" w:type="dxa"/>
            <w:vAlign w:val="bottom"/>
          </w:tcPr>
          <w:p>
            <w:pPr>
              <w:ind w:left="60"/>
              <w:spacing w:after="0"/>
              <w:rPr>
                <w:sz w:val="20"/>
                <w:szCs w:val="20"/>
                <w:color w:val="auto"/>
              </w:rPr>
            </w:pPr>
            <w:r>
              <w:rPr>
                <w:rFonts w:ascii="Courier New" w:cs="Courier New" w:eastAsia="Courier New" w:hAnsi="Courier New"/>
                <w:sz w:val="17"/>
                <w:szCs w:val="17"/>
                <w:color w:val="auto"/>
              </w:rPr>
              <w:t>FINANCIAL INFORMATION</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PAGE NO.</w:t>
            </w:r>
          </w:p>
        </w:tc>
      </w:tr>
      <w:tr>
        <w:trPr>
          <w:trHeight w:val="392"/>
        </w:trPr>
        <w:tc>
          <w:tcPr>
            <w:tcW w:w="860" w:type="dxa"/>
            <w:vAlign w:val="bottom"/>
          </w:tcPr>
          <w:p>
            <w:pPr>
              <w:spacing w:after="0"/>
              <w:rPr>
                <w:sz w:val="24"/>
                <w:szCs w:val="24"/>
                <w:color w:val="auto"/>
              </w:rPr>
            </w:pPr>
          </w:p>
        </w:tc>
        <w:tc>
          <w:tcPr>
            <w:tcW w:w="5520" w:type="dxa"/>
            <w:vAlign w:val="bottom"/>
          </w:tcPr>
          <w:p>
            <w:pPr>
              <w:ind w:left="60"/>
              <w:spacing w:after="0"/>
              <w:rPr>
                <w:sz w:val="20"/>
                <w:szCs w:val="20"/>
                <w:color w:val="auto"/>
              </w:rPr>
            </w:pPr>
            <w:r>
              <w:rPr>
                <w:rFonts w:ascii="Courier New" w:cs="Courier New" w:eastAsia="Courier New" w:hAnsi="Courier New"/>
                <w:sz w:val="17"/>
                <w:szCs w:val="17"/>
                <w:color w:val="auto"/>
              </w:rPr>
              <w:t>Accountants' Report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6"/>
        </w:trPr>
        <w:tc>
          <w:tcPr>
            <w:tcW w:w="860" w:type="dxa"/>
            <w:vAlign w:val="bottom"/>
          </w:tcPr>
          <w:p>
            <w:pPr>
              <w:spacing w:after="0"/>
              <w:rPr>
                <w:sz w:val="17"/>
                <w:szCs w:val="17"/>
                <w:color w:val="auto"/>
              </w:rPr>
            </w:pPr>
          </w:p>
        </w:tc>
        <w:tc>
          <w:tcPr>
            <w:tcW w:w="5520" w:type="dxa"/>
            <w:vAlign w:val="bottom"/>
          </w:tcPr>
          <w:p>
            <w:pPr>
              <w:ind w:left="60"/>
              <w:spacing w:after="0"/>
              <w:rPr>
                <w:sz w:val="20"/>
                <w:szCs w:val="20"/>
                <w:color w:val="auto"/>
              </w:rPr>
            </w:pPr>
            <w:r>
              <w:rPr>
                <w:rFonts w:ascii="Courier New" w:cs="Courier New" w:eastAsia="Courier New" w:hAnsi="Courier New"/>
                <w:sz w:val="17"/>
                <w:szCs w:val="17"/>
                <w:color w:val="auto"/>
              </w:rPr>
              <w:t>Consolidated Balance Sheets</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196"/>
        </w:trPr>
        <w:tc>
          <w:tcPr>
            <w:tcW w:w="860" w:type="dxa"/>
            <w:vAlign w:val="bottom"/>
          </w:tcPr>
          <w:p>
            <w:pPr>
              <w:spacing w:after="0"/>
              <w:rPr>
                <w:sz w:val="17"/>
                <w:szCs w:val="17"/>
                <w:color w:val="auto"/>
              </w:rPr>
            </w:pPr>
          </w:p>
        </w:tc>
        <w:tc>
          <w:tcPr>
            <w:tcW w:w="5520" w:type="dxa"/>
            <w:vAlign w:val="bottom"/>
          </w:tcPr>
          <w:p>
            <w:pPr>
              <w:ind w:left="60"/>
              <w:spacing w:after="0"/>
              <w:rPr>
                <w:sz w:val="20"/>
                <w:szCs w:val="20"/>
                <w:color w:val="auto"/>
              </w:rPr>
            </w:pPr>
            <w:r>
              <w:rPr>
                <w:rFonts w:ascii="Courier New" w:cs="Courier New" w:eastAsia="Courier New" w:hAnsi="Courier New"/>
                <w:sz w:val="17"/>
                <w:szCs w:val="17"/>
                <w:color w:val="auto"/>
              </w:rPr>
              <w:t>June 30, 1995 (unaudited) and</w:t>
            </w:r>
          </w:p>
        </w:tc>
        <w:tc>
          <w:tcPr>
            <w:tcW w:w="12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520" w:type="dxa"/>
            <w:vAlign w:val="bottom"/>
          </w:tcPr>
          <w:p>
            <w:pPr>
              <w:ind w:left="60"/>
              <w:spacing w:after="0"/>
              <w:rPr>
                <w:sz w:val="20"/>
                <w:szCs w:val="20"/>
                <w:color w:val="auto"/>
              </w:rPr>
            </w:pPr>
            <w:r>
              <w:rPr>
                <w:rFonts w:ascii="Courier New" w:cs="Courier New" w:eastAsia="Courier New" w:hAnsi="Courier New"/>
                <w:sz w:val="17"/>
                <w:szCs w:val="17"/>
                <w:color w:val="auto"/>
              </w:rPr>
              <w:t>December 31, 1994 (audited)</w:t>
            </w:r>
          </w:p>
        </w:tc>
        <w:tc>
          <w:tcPr>
            <w:tcW w:w="1260" w:type="dxa"/>
            <w:vAlign w:val="bottom"/>
          </w:tcPr>
          <w:p>
            <w:pPr>
              <w:spacing w:after="0"/>
              <w:rPr>
                <w:sz w:val="17"/>
                <w:szCs w:val="17"/>
                <w:color w:val="auto"/>
              </w:rPr>
            </w:pPr>
          </w:p>
        </w:tc>
      </w:tr>
      <w:tr>
        <w:trPr>
          <w:trHeight w:val="392"/>
        </w:trPr>
        <w:tc>
          <w:tcPr>
            <w:tcW w:w="860" w:type="dxa"/>
            <w:vAlign w:val="bottom"/>
          </w:tcPr>
          <w:p>
            <w:pPr>
              <w:spacing w:after="0"/>
              <w:rPr>
                <w:sz w:val="24"/>
                <w:szCs w:val="24"/>
                <w:color w:val="auto"/>
              </w:rPr>
            </w:pPr>
          </w:p>
        </w:tc>
        <w:tc>
          <w:tcPr>
            <w:tcW w:w="5520" w:type="dxa"/>
            <w:vAlign w:val="bottom"/>
          </w:tcPr>
          <w:p>
            <w:pPr>
              <w:ind w:left="60"/>
              <w:spacing w:after="0"/>
              <w:rPr>
                <w:sz w:val="20"/>
                <w:szCs w:val="20"/>
                <w:color w:val="auto"/>
              </w:rPr>
            </w:pPr>
            <w:r>
              <w:rPr>
                <w:rFonts w:ascii="Courier New" w:cs="Courier New" w:eastAsia="Courier New" w:hAnsi="Courier New"/>
                <w:sz w:val="17"/>
                <w:szCs w:val="17"/>
                <w:color w:val="auto"/>
              </w:rPr>
              <w:t>Consolidated Statements of Operations (unaudited)</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196"/>
        </w:trPr>
        <w:tc>
          <w:tcPr>
            <w:tcW w:w="860" w:type="dxa"/>
            <w:vAlign w:val="bottom"/>
          </w:tcPr>
          <w:p>
            <w:pPr>
              <w:spacing w:after="0"/>
              <w:rPr>
                <w:sz w:val="17"/>
                <w:szCs w:val="17"/>
                <w:color w:val="auto"/>
              </w:rPr>
            </w:pPr>
          </w:p>
        </w:tc>
        <w:tc>
          <w:tcPr>
            <w:tcW w:w="5520" w:type="dxa"/>
            <w:vAlign w:val="bottom"/>
          </w:tcPr>
          <w:p>
            <w:pPr>
              <w:ind w:left="60"/>
              <w:spacing w:after="0"/>
              <w:rPr>
                <w:sz w:val="20"/>
                <w:szCs w:val="20"/>
                <w:color w:val="auto"/>
              </w:rPr>
            </w:pPr>
            <w:r>
              <w:rPr>
                <w:rFonts w:ascii="Courier New" w:cs="Courier New" w:eastAsia="Courier New" w:hAnsi="Courier New"/>
                <w:sz w:val="17"/>
                <w:szCs w:val="17"/>
                <w:color w:val="auto"/>
              </w:rPr>
              <w:t>Six months ended June 30, 1995 and 1994</w:t>
            </w:r>
          </w:p>
        </w:tc>
        <w:tc>
          <w:tcPr>
            <w:tcW w:w="1260" w:type="dxa"/>
            <w:vAlign w:val="bottom"/>
          </w:tcPr>
          <w:p>
            <w:pPr>
              <w:spacing w:after="0"/>
              <w:rPr>
                <w:sz w:val="17"/>
                <w:szCs w:val="17"/>
                <w:color w:val="auto"/>
              </w:rPr>
            </w:pPr>
          </w:p>
        </w:tc>
      </w:tr>
      <w:tr>
        <w:trPr>
          <w:trHeight w:val="392"/>
        </w:trPr>
        <w:tc>
          <w:tcPr>
            <w:tcW w:w="860" w:type="dxa"/>
            <w:vAlign w:val="bottom"/>
          </w:tcPr>
          <w:p>
            <w:pPr>
              <w:spacing w:after="0"/>
              <w:rPr>
                <w:sz w:val="24"/>
                <w:szCs w:val="24"/>
                <w:color w:val="auto"/>
              </w:rPr>
            </w:pPr>
          </w:p>
        </w:tc>
        <w:tc>
          <w:tcPr>
            <w:tcW w:w="5520" w:type="dxa"/>
            <w:vAlign w:val="bottom"/>
          </w:tcPr>
          <w:p>
            <w:pPr>
              <w:ind w:left="60"/>
              <w:spacing w:after="0"/>
              <w:rPr>
                <w:sz w:val="20"/>
                <w:szCs w:val="20"/>
                <w:color w:val="auto"/>
              </w:rPr>
            </w:pPr>
            <w:r>
              <w:rPr>
                <w:rFonts w:ascii="Courier New" w:cs="Courier New" w:eastAsia="Courier New" w:hAnsi="Courier New"/>
                <w:sz w:val="17"/>
                <w:szCs w:val="17"/>
                <w:color w:val="auto"/>
              </w:rPr>
              <w:t>Consolidated Statements of Operations (unaudited)</w:t>
            </w:r>
          </w:p>
        </w:tc>
        <w:tc>
          <w:tcPr>
            <w:tcW w:w="126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5520" w:type="dxa"/>
            <w:vAlign w:val="bottom"/>
          </w:tcPr>
          <w:p>
            <w:pPr>
              <w:ind w:left="60"/>
              <w:spacing w:after="0"/>
              <w:rPr>
                <w:sz w:val="20"/>
                <w:szCs w:val="20"/>
                <w:color w:val="auto"/>
              </w:rPr>
            </w:pPr>
            <w:r>
              <w:rPr>
                <w:rFonts w:ascii="Courier New" w:cs="Courier New" w:eastAsia="Courier New" w:hAnsi="Courier New"/>
                <w:sz w:val="17"/>
                <w:szCs w:val="17"/>
                <w:color w:val="auto"/>
              </w:rPr>
              <w:t>Three months ended June 30, 1995 and 1994</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392"/>
        </w:trPr>
        <w:tc>
          <w:tcPr>
            <w:tcW w:w="860" w:type="dxa"/>
            <w:vAlign w:val="bottom"/>
          </w:tcPr>
          <w:p>
            <w:pPr>
              <w:spacing w:after="0"/>
              <w:rPr>
                <w:sz w:val="24"/>
                <w:szCs w:val="24"/>
                <w:color w:val="auto"/>
              </w:rPr>
            </w:pPr>
          </w:p>
        </w:tc>
        <w:tc>
          <w:tcPr>
            <w:tcW w:w="5520" w:type="dxa"/>
            <w:vAlign w:val="bottom"/>
          </w:tcPr>
          <w:p>
            <w:pPr>
              <w:ind w:left="60"/>
              <w:spacing w:after="0"/>
              <w:rPr>
                <w:sz w:val="20"/>
                <w:szCs w:val="20"/>
                <w:color w:val="auto"/>
              </w:rPr>
            </w:pPr>
            <w:r>
              <w:rPr>
                <w:rFonts w:ascii="Courier New" w:cs="Courier New" w:eastAsia="Courier New" w:hAnsi="Courier New"/>
                <w:sz w:val="17"/>
                <w:szCs w:val="17"/>
                <w:color w:val="auto"/>
              </w:rPr>
              <w:t>Consolidated Statements</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6"/>
        </w:trPr>
        <w:tc>
          <w:tcPr>
            <w:tcW w:w="860" w:type="dxa"/>
            <w:vAlign w:val="bottom"/>
          </w:tcPr>
          <w:p>
            <w:pPr>
              <w:spacing w:after="0"/>
              <w:rPr>
                <w:sz w:val="17"/>
                <w:szCs w:val="17"/>
                <w:color w:val="auto"/>
              </w:rPr>
            </w:pPr>
          </w:p>
        </w:tc>
        <w:tc>
          <w:tcPr>
            <w:tcW w:w="5520" w:type="dxa"/>
            <w:vAlign w:val="bottom"/>
          </w:tcPr>
          <w:p>
            <w:pPr>
              <w:ind w:left="60"/>
              <w:spacing w:after="0"/>
              <w:rPr>
                <w:sz w:val="20"/>
                <w:szCs w:val="20"/>
                <w:color w:val="auto"/>
              </w:rPr>
            </w:pPr>
            <w:r>
              <w:rPr>
                <w:rFonts w:ascii="Courier New" w:cs="Courier New" w:eastAsia="Courier New" w:hAnsi="Courier New"/>
                <w:sz w:val="17"/>
                <w:szCs w:val="17"/>
                <w:color w:val="auto"/>
              </w:rPr>
              <w:t>of Shareholders' Equity (unaudited)</w:t>
            </w:r>
          </w:p>
        </w:tc>
        <w:tc>
          <w:tcPr>
            <w:tcW w:w="12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520" w:type="dxa"/>
            <w:vAlign w:val="bottom"/>
          </w:tcPr>
          <w:p>
            <w:pPr>
              <w:ind w:left="60"/>
              <w:spacing w:after="0"/>
              <w:rPr>
                <w:sz w:val="20"/>
                <w:szCs w:val="20"/>
                <w:color w:val="auto"/>
              </w:rPr>
            </w:pPr>
            <w:r>
              <w:rPr>
                <w:rFonts w:ascii="Courier New" w:cs="Courier New" w:eastAsia="Courier New" w:hAnsi="Courier New"/>
                <w:sz w:val="17"/>
                <w:szCs w:val="17"/>
                <w:color w:val="auto"/>
              </w:rPr>
              <w:t>Six months ended June 30, 1995 and 1994</w:t>
            </w:r>
          </w:p>
        </w:tc>
        <w:tc>
          <w:tcPr>
            <w:tcW w:w="1260" w:type="dxa"/>
            <w:vAlign w:val="bottom"/>
          </w:tcPr>
          <w:p>
            <w:pPr>
              <w:spacing w:after="0"/>
              <w:rPr>
                <w:sz w:val="17"/>
                <w:szCs w:val="17"/>
                <w:color w:val="auto"/>
              </w:rPr>
            </w:pPr>
          </w:p>
        </w:tc>
      </w:tr>
      <w:tr>
        <w:trPr>
          <w:trHeight w:val="392"/>
        </w:trPr>
        <w:tc>
          <w:tcPr>
            <w:tcW w:w="860" w:type="dxa"/>
            <w:vAlign w:val="bottom"/>
          </w:tcPr>
          <w:p>
            <w:pPr>
              <w:spacing w:after="0"/>
              <w:rPr>
                <w:sz w:val="24"/>
                <w:szCs w:val="24"/>
                <w:color w:val="auto"/>
              </w:rPr>
            </w:pPr>
          </w:p>
        </w:tc>
        <w:tc>
          <w:tcPr>
            <w:tcW w:w="5520" w:type="dxa"/>
            <w:vAlign w:val="bottom"/>
          </w:tcPr>
          <w:p>
            <w:pPr>
              <w:ind w:left="60"/>
              <w:spacing w:after="0"/>
              <w:rPr>
                <w:sz w:val="20"/>
                <w:szCs w:val="20"/>
                <w:color w:val="auto"/>
              </w:rPr>
            </w:pPr>
            <w:r>
              <w:rPr>
                <w:rFonts w:ascii="Courier New" w:cs="Courier New" w:eastAsia="Courier New" w:hAnsi="Courier New"/>
                <w:sz w:val="17"/>
                <w:szCs w:val="17"/>
                <w:color w:val="auto"/>
              </w:rPr>
              <w:t>Consolidated Statements of Cash Flows (unaudited)</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196"/>
        </w:trPr>
        <w:tc>
          <w:tcPr>
            <w:tcW w:w="860" w:type="dxa"/>
            <w:vAlign w:val="bottom"/>
          </w:tcPr>
          <w:p>
            <w:pPr>
              <w:spacing w:after="0"/>
              <w:rPr>
                <w:sz w:val="17"/>
                <w:szCs w:val="17"/>
                <w:color w:val="auto"/>
              </w:rPr>
            </w:pPr>
          </w:p>
        </w:tc>
        <w:tc>
          <w:tcPr>
            <w:tcW w:w="5520" w:type="dxa"/>
            <w:vAlign w:val="bottom"/>
          </w:tcPr>
          <w:p>
            <w:pPr>
              <w:ind w:left="60"/>
              <w:spacing w:after="0"/>
              <w:rPr>
                <w:sz w:val="20"/>
                <w:szCs w:val="20"/>
                <w:color w:val="auto"/>
              </w:rPr>
            </w:pPr>
            <w:r>
              <w:rPr>
                <w:rFonts w:ascii="Courier New" w:cs="Courier New" w:eastAsia="Courier New" w:hAnsi="Courier New"/>
                <w:sz w:val="17"/>
                <w:szCs w:val="17"/>
                <w:color w:val="auto"/>
              </w:rPr>
              <w:t>Six months ended June 30, 1995 and 1994</w:t>
            </w:r>
          </w:p>
        </w:tc>
        <w:tc>
          <w:tcPr>
            <w:tcW w:w="1260" w:type="dxa"/>
            <w:vAlign w:val="bottom"/>
          </w:tcPr>
          <w:p>
            <w:pPr>
              <w:spacing w:after="0"/>
              <w:rPr>
                <w:sz w:val="17"/>
                <w:szCs w:val="17"/>
                <w:color w:val="auto"/>
              </w:rPr>
            </w:pPr>
          </w:p>
        </w:tc>
      </w:tr>
      <w:tr>
        <w:trPr>
          <w:trHeight w:val="392"/>
        </w:trPr>
        <w:tc>
          <w:tcPr>
            <w:tcW w:w="860" w:type="dxa"/>
            <w:vAlign w:val="bottom"/>
          </w:tcPr>
          <w:p>
            <w:pPr>
              <w:spacing w:after="0"/>
              <w:rPr>
                <w:sz w:val="24"/>
                <w:szCs w:val="24"/>
                <w:color w:val="auto"/>
              </w:rPr>
            </w:pPr>
          </w:p>
        </w:tc>
        <w:tc>
          <w:tcPr>
            <w:tcW w:w="5520" w:type="dxa"/>
            <w:vAlign w:val="bottom"/>
          </w:tcPr>
          <w:p>
            <w:pPr>
              <w:ind w:left="60"/>
              <w:spacing w:after="0"/>
              <w:rPr>
                <w:sz w:val="20"/>
                <w:szCs w:val="20"/>
                <w:color w:val="auto"/>
              </w:rPr>
            </w:pPr>
            <w:r>
              <w:rPr>
                <w:rFonts w:ascii="Courier New" w:cs="Courier New" w:eastAsia="Courier New" w:hAnsi="Courier New"/>
                <w:sz w:val="17"/>
                <w:szCs w:val="17"/>
                <w:color w:val="auto"/>
              </w:rPr>
              <w:t>Notes to Financial Statements</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10-14</w:t>
            </w:r>
          </w:p>
        </w:tc>
      </w:tr>
      <w:tr>
        <w:trPr>
          <w:trHeight w:val="392"/>
        </w:trPr>
        <w:tc>
          <w:tcPr>
            <w:tcW w:w="860" w:type="dxa"/>
            <w:vAlign w:val="bottom"/>
          </w:tcPr>
          <w:p>
            <w:pPr>
              <w:spacing w:after="0"/>
              <w:rPr>
                <w:sz w:val="24"/>
                <w:szCs w:val="24"/>
                <w:color w:val="auto"/>
              </w:rPr>
            </w:pPr>
          </w:p>
        </w:tc>
        <w:tc>
          <w:tcPr>
            <w:tcW w:w="5520" w:type="dxa"/>
            <w:vAlign w:val="bottom"/>
          </w:tcPr>
          <w:p>
            <w:pPr>
              <w:ind w:left="60"/>
              <w:spacing w:after="0"/>
              <w:rPr>
                <w:sz w:val="20"/>
                <w:szCs w:val="20"/>
                <w:color w:val="auto"/>
              </w:rPr>
            </w:pPr>
            <w:r>
              <w:rPr>
                <w:rFonts w:ascii="Courier New" w:cs="Courier New" w:eastAsia="Courier New" w:hAnsi="Courier New"/>
                <w:sz w:val="17"/>
                <w:szCs w:val="17"/>
                <w:color w:val="auto"/>
              </w:rPr>
              <w:t>Management's Discussion and Analysis of</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15-20</w:t>
            </w:r>
          </w:p>
        </w:tc>
      </w:tr>
      <w:tr>
        <w:trPr>
          <w:trHeight w:val="196"/>
        </w:trPr>
        <w:tc>
          <w:tcPr>
            <w:tcW w:w="860" w:type="dxa"/>
            <w:vAlign w:val="bottom"/>
          </w:tcPr>
          <w:p>
            <w:pPr>
              <w:spacing w:after="0"/>
              <w:rPr>
                <w:sz w:val="17"/>
                <w:szCs w:val="17"/>
                <w:color w:val="auto"/>
              </w:rPr>
            </w:pPr>
          </w:p>
        </w:tc>
        <w:tc>
          <w:tcPr>
            <w:tcW w:w="5520" w:type="dxa"/>
            <w:vAlign w:val="bottom"/>
          </w:tcPr>
          <w:p>
            <w:pPr>
              <w:ind w:left="60"/>
              <w:spacing w:after="0"/>
              <w:rPr>
                <w:sz w:val="20"/>
                <w:szCs w:val="20"/>
                <w:color w:val="auto"/>
              </w:rPr>
            </w:pPr>
            <w:r>
              <w:rPr>
                <w:rFonts w:ascii="Courier New" w:cs="Courier New" w:eastAsia="Courier New" w:hAnsi="Courier New"/>
                <w:sz w:val="17"/>
                <w:szCs w:val="17"/>
                <w:color w:val="auto"/>
              </w:rPr>
              <w:t>Financial Condition and Results of Operations</w:t>
            </w:r>
          </w:p>
        </w:tc>
        <w:tc>
          <w:tcPr>
            <w:tcW w:w="1260" w:type="dxa"/>
            <w:vAlign w:val="bottom"/>
          </w:tcPr>
          <w:p>
            <w:pPr>
              <w:spacing w:after="0"/>
              <w:rPr>
                <w:sz w:val="17"/>
                <w:szCs w:val="17"/>
                <w:color w:val="auto"/>
              </w:rPr>
            </w:pPr>
          </w:p>
        </w:tc>
      </w:tr>
      <w:tr>
        <w:trPr>
          <w:trHeight w:val="392"/>
        </w:trPr>
        <w:tc>
          <w:tcPr>
            <w:tcW w:w="860" w:type="dxa"/>
            <w:vAlign w:val="bottom"/>
          </w:tcPr>
          <w:p>
            <w:pPr>
              <w:spacing w:after="0"/>
              <w:rPr>
                <w:sz w:val="20"/>
                <w:szCs w:val="20"/>
                <w:color w:val="auto"/>
              </w:rPr>
            </w:pPr>
            <w:r>
              <w:rPr>
                <w:rFonts w:ascii="Courier New" w:cs="Courier New" w:eastAsia="Courier New" w:hAnsi="Courier New"/>
                <w:sz w:val="17"/>
                <w:szCs w:val="17"/>
                <w:color w:val="auto"/>
              </w:rPr>
              <w:t>PART II.</w:t>
            </w:r>
          </w:p>
        </w:tc>
        <w:tc>
          <w:tcPr>
            <w:tcW w:w="5520" w:type="dxa"/>
            <w:vAlign w:val="bottom"/>
          </w:tcPr>
          <w:p>
            <w:pPr>
              <w:ind w:left="160"/>
              <w:spacing w:after="0"/>
              <w:rPr>
                <w:sz w:val="20"/>
                <w:szCs w:val="20"/>
                <w:color w:val="auto"/>
              </w:rPr>
            </w:pPr>
            <w:r>
              <w:rPr>
                <w:rFonts w:ascii="Courier New" w:cs="Courier New" w:eastAsia="Courier New" w:hAnsi="Courier New"/>
                <w:sz w:val="17"/>
                <w:szCs w:val="17"/>
                <w:color w:val="auto"/>
              </w:rPr>
              <w:t>OTHER INFORMATION</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r>
    </w:tbl>
    <w:p>
      <w:pPr>
        <w:sectPr>
          <w:pgSz w:w="11900" w:h="16838" w:orient="portrait"/>
          <w:cols w:equalWidth="0" w:num="1">
            <w:col w:w="9699"/>
          </w:cols>
          <w:pgMar w:left="760" w:top="1440" w:right="1440" w:bottom="1440" w:gutter="0" w:footer="0" w:header="0"/>
        </w:sectPr>
      </w:pPr>
    </w:p>
    <w:bookmarkStart w:id="2" w:name="page3"/>
    <w:bookmarkEnd w:id="2"/>
    <w:p>
      <w:pPr>
        <w:spacing w:after="0" w:line="245"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S.E.C. FORM 10-Q</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June 30, 1995</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ind w:left="920" w:right="2159" w:firstLine="816"/>
        <w:spacing w:after="0" w:line="244" w:lineRule="auto"/>
        <w:rPr>
          <w:sz w:val="20"/>
          <w:szCs w:val="20"/>
          <w:color w:val="auto"/>
        </w:rPr>
      </w:pPr>
      <w:r>
        <w:rPr>
          <w:rFonts w:ascii="Courier New" w:cs="Courier New" w:eastAsia="Courier New" w:hAnsi="Courier New"/>
          <w:sz w:val="17"/>
          <w:szCs w:val="17"/>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a fair statement of the results for the interim periods presented.</w:t>
      </w:r>
    </w:p>
    <w:p>
      <w:pPr>
        <w:spacing w:after="0" w:line="396" w:lineRule="exact"/>
        <w:rPr>
          <w:sz w:val="20"/>
          <w:szCs w:val="20"/>
          <w:color w:val="auto"/>
        </w:rPr>
      </w:pPr>
    </w:p>
    <w:p>
      <w:pPr>
        <w:ind w:left="920" w:right="2159" w:firstLine="816"/>
        <w:spacing w:after="0" w:line="244" w:lineRule="auto"/>
        <w:rPr>
          <w:sz w:val="20"/>
          <w:szCs w:val="20"/>
          <w:color w:val="auto"/>
        </w:rPr>
      </w:pPr>
      <w:r>
        <w:rPr>
          <w:rFonts w:ascii="Courier New" w:cs="Courier New" w:eastAsia="Courier New" w:hAnsi="Courier New"/>
          <w:sz w:val="17"/>
          <w:szCs w:val="17"/>
          <w:color w:val="auto"/>
        </w:rPr>
        <w:t>The balance sheet as of December 31, 1994 was audited by Grant Thornton LLP, independent public accountants, who expressed an unqualified opinion on it in their report dated February 10, 1995. All other financial information presented is unaudited but has been reviewed as of June 30, 1995 and for each of the six months ended June 30, 1995 and 1994 by Grant Thornton LLP whose report thereon appears on Page 4. All adjustments and disclosures proposed by them have been reflected in the data presented.</w:t>
      </w:r>
    </w:p>
    <w:p>
      <w:pPr>
        <w:sectPr>
          <w:pgSz w:w="11900" w:h="16838" w:orient="portrait"/>
          <w:cols w:equalWidth="0" w:num="1">
            <w:col w:w="9699"/>
          </w:cols>
          <w:pgMar w:left="760" w:top="1440" w:right="1440" w:bottom="1440" w:gutter="0" w:footer="0" w:header="0"/>
        </w:sectPr>
      </w:pPr>
    </w:p>
    <w:bookmarkStart w:id="3" w:name="page4"/>
    <w:bookmarkEnd w:id="3"/>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Accountants' Review Report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Trustees and Shareholders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1" w:lineRule="exact"/>
        <w:rPr>
          <w:sz w:val="20"/>
          <w:szCs w:val="20"/>
          <w:color w:val="auto"/>
        </w:rPr>
      </w:pPr>
    </w:p>
    <w:p>
      <w:pPr>
        <w:jc w:val="both"/>
        <w:ind w:right="2159"/>
        <w:spacing w:after="0" w:line="259" w:lineRule="auto"/>
        <w:rPr>
          <w:sz w:val="20"/>
          <w:szCs w:val="20"/>
          <w:color w:val="auto"/>
        </w:rPr>
      </w:pPr>
      <w:r>
        <w:rPr>
          <w:rFonts w:ascii="Courier New" w:cs="Courier New" w:eastAsia="Courier New" w:hAnsi="Courier New"/>
          <w:sz w:val="16"/>
          <w:szCs w:val="16"/>
          <w:color w:val="auto"/>
        </w:rPr>
        <w:t>We have reviewed the accompanying consolidated balance sheet of Federal Realty Investment Trust as of June 30, 1995 and the related consolidated statements of operations, shareholders' equity and cash flows for the six month periods ended June 30, 1995 and 1994 and the consolidated statements of operations for the three-month periods ended June 30, 1995 and 1994.</w:t>
      </w:r>
    </w:p>
    <w:p>
      <w:pPr>
        <w:spacing w:after="0" w:line="3" w:lineRule="exact"/>
        <w:rPr>
          <w:sz w:val="20"/>
          <w:szCs w:val="20"/>
          <w:color w:val="auto"/>
        </w:rPr>
      </w:pPr>
    </w:p>
    <w:p>
      <w:pPr>
        <w:ind w:right="3179"/>
        <w:spacing w:after="0" w:line="243" w:lineRule="auto"/>
        <w:rPr>
          <w:sz w:val="20"/>
          <w:szCs w:val="20"/>
          <w:color w:val="auto"/>
        </w:rPr>
      </w:pPr>
      <w:r>
        <w:rPr>
          <w:rFonts w:ascii="Courier New" w:cs="Courier New" w:eastAsia="Courier New" w:hAnsi="Courier New"/>
          <w:sz w:val="17"/>
          <w:szCs w:val="17"/>
          <w:color w:val="auto"/>
        </w:rPr>
        <w:t>These financial statements are the responsibility of the Trust's management.</w:t>
      </w:r>
    </w:p>
    <w:p>
      <w:pPr>
        <w:spacing w:after="0" w:line="199"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We conducted our review in accordance with standards established by the American Institute of Certified Public Accountants. A review of interim financial information consists principally of applying analytical review procedures to financial data and making inquiries of persons responsible for financial and accounting matters. It is substantially less in scope than an audit conducted in accordance with generally accepted auditing standards, the objective of which is the expression of an opinion regarding the financial statements taken as a whole. Accordingly, we do not express such an opinion.</w:t>
      </w:r>
    </w:p>
    <w:p>
      <w:pPr>
        <w:spacing w:after="0" w:line="200" w:lineRule="exact"/>
        <w:rPr>
          <w:sz w:val="20"/>
          <w:szCs w:val="20"/>
          <w:color w:val="auto"/>
        </w:rPr>
      </w:pPr>
    </w:p>
    <w:p>
      <w:pPr>
        <w:jc w:val="both"/>
        <w:ind w:right="2259"/>
        <w:spacing w:after="0" w:line="243" w:lineRule="auto"/>
        <w:rPr>
          <w:sz w:val="20"/>
          <w:szCs w:val="20"/>
          <w:color w:val="auto"/>
        </w:rPr>
      </w:pPr>
      <w:r>
        <w:rPr>
          <w:rFonts w:ascii="Courier New" w:cs="Courier New" w:eastAsia="Courier New" w:hAnsi="Courier New"/>
          <w:sz w:val="17"/>
          <w:szCs w:val="17"/>
          <w:color w:val="auto"/>
        </w:rPr>
        <w:t>Based on our review, we are not aware of any material modifications that should be made to the accompanying financial statements for them to be in conformity with generally accepted accounting principles.</w:t>
      </w:r>
    </w:p>
    <w:p>
      <w:pPr>
        <w:spacing w:after="0" w:line="200" w:lineRule="exact"/>
        <w:rPr>
          <w:sz w:val="20"/>
          <w:szCs w:val="20"/>
          <w:color w:val="auto"/>
        </w:rPr>
      </w:pPr>
    </w:p>
    <w:p>
      <w:pPr>
        <w:ind w:right="2159"/>
        <w:spacing w:after="0" w:line="261" w:lineRule="auto"/>
        <w:rPr>
          <w:sz w:val="20"/>
          <w:szCs w:val="20"/>
          <w:color w:val="auto"/>
        </w:rPr>
      </w:pPr>
      <w:r>
        <w:rPr>
          <w:rFonts w:ascii="Courier New" w:cs="Courier New" w:eastAsia="Courier New" w:hAnsi="Courier New"/>
          <w:sz w:val="16"/>
          <w:szCs w:val="16"/>
          <w:color w:val="auto"/>
        </w:rPr>
        <w:t>We have previously audited, in accordance with generally accepted auditing standards, the consolidated balance sheet as of December 31, 1994 and the related consolidated statements of operations, shareholders' equity and cash flows for the year then ended (not presented herein); and in our report dated February 10, 1995, we expressed an unqualified opinion on those consolidated financial statements. In our opinion, the information set forth in the accompanying condensed consolidated balance sheet as of December 31, 1994 is stated fairly, in all material respects, in relation to the consolidated balance sheet from which it has been derived.</w:t>
      </w:r>
    </w:p>
    <w:p>
      <w:pPr>
        <w:spacing w:after="0" w:line="187"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Grant Thornton LLP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Washington, D.C.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August 8, 1995</w:t>
      </w:r>
    </w:p>
    <w:p>
      <w:pPr>
        <w:sectPr>
          <w:pgSz w:w="11900" w:h="16838" w:orient="portrait"/>
          <w:cols w:equalWidth="0" w:num="1">
            <w:col w:w="9699"/>
          </w:cols>
          <w:pgMar w:left="760" w:top="144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3"/>
        </w:trPr>
        <w:tc>
          <w:tcPr>
            <w:tcW w:w="6020" w:type="dxa"/>
            <w:vAlign w:val="bottom"/>
          </w:tcPr>
          <w:p>
            <w:pPr>
              <w:spacing w:after="0"/>
              <w:rPr>
                <w:sz w:val="20"/>
                <w:szCs w:val="20"/>
                <w:color w:val="auto"/>
              </w:rPr>
            </w:pPr>
            <w:r>
              <w:rPr>
                <w:rFonts w:ascii="Courier New" w:cs="Courier New" w:eastAsia="Courier New" w:hAnsi="Courier New"/>
                <w:sz w:val="17"/>
                <w:szCs w:val="17"/>
                <w:color w:val="auto"/>
              </w:rPr>
              <w:t>Federal Realty Investment Trust</w:t>
            </w:r>
          </w:p>
        </w:tc>
        <w:tc>
          <w:tcPr>
            <w:tcW w:w="1620" w:type="dxa"/>
            <w:vAlign w:val="bottom"/>
          </w:tcPr>
          <w:p>
            <w:pPr>
              <w:spacing w:after="0"/>
              <w:rPr>
                <w:sz w:val="16"/>
                <w:szCs w:val="16"/>
                <w:color w:val="auto"/>
              </w:rPr>
            </w:pPr>
          </w:p>
        </w:tc>
        <w:tc>
          <w:tcPr>
            <w:tcW w:w="3360" w:type="dxa"/>
            <w:vAlign w:val="bottom"/>
          </w:tcPr>
          <w:p>
            <w:pPr>
              <w:spacing w:after="0"/>
              <w:rPr>
                <w:sz w:val="16"/>
                <w:szCs w:val="16"/>
                <w:color w:val="auto"/>
              </w:rPr>
            </w:pPr>
          </w:p>
        </w:tc>
      </w:tr>
      <w:tr>
        <w:trPr>
          <w:trHeight w:val="196"/>
        </w:trPr>
        <w:tc>
          <w:tcPr>
            <w:tcW w:w="6020" w:type="dxa"/>
            <w:vAlign w:val="bottom"/>
          </w:tcPr>
          <w:p>
            <w:pPr>
              <w:spacing w:after="0"/>
              <w:rPr>
                <w:sz w:val="20"/>
                <w:szCs w:val="20"/>
                <w:color w:val="auto"/>
              </w:rPr>
            </w:pPr>
            <w:r>
              <w:rPr>
                <w:rFonts w:ascii="Courier New" w:cs="Courier New" w:eastAsia="Courier New" w:hAnsi="Courier New"/>
                <w:sz w:val="17"/>
                <w:szCs w:val="17"/>
                <w:color w:val="auto"/>
              </w:rPr>
              <w:t>CONSOLIDATED BALANCE SHEETS</w:t>
            </w:r>
          </w:p>
        </w:tc>
        <w:tc>
          <w:tcPr>
            <w:tcW w:w="16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196"/>
        </w:trPr>
        <w:tc>
          <w:tcPr>
            <w:tcW w:w="6020" w:type="dxa"/>
            <w:vAlign w:val="bottom"/>
          </w:tcPr>
          <w:p>
            <w:pPr>
              <w:ind w:left="100"/>
              <w:spacing w:after="0"/>
              <w:rPr>
                <w:sz w:val="20"/>
                <w:szCs w:val="20"/>
                <w:color w:val="auto"/>
              </w:rPr>
            </w:pPr>
            <w:r>
              <w:rPr>
                <w:rFonts w:ascii="Courier New" w:cs="Courier New" w:eastAsia="Courier New" w:hAnsi="Courier New"/>
                <w:sz w:val="17"/>
                <w:szCs w:val="17"/>
                <w:color w:val="auto"/>
              </w:rPr>
              <w:t>(see accountants' review report)</w:t>
            </w:r>
          </w:p>
        </w:tc>
        <w:tc>
          <w:tcPr>
            <w:tcW w:w="16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196"/>
        </w:trPr>
        <w:tc>
          <w:tcPr>
            <w:tcW w:w="6020" w:type="dxa"/>
            <w:vAlign w:val="bottom"/>
          </w:tcPr>
          <w:p>
            <w:pPr>
              <w:spacing w:after="0"/>
              <w:rPr>
                <w:sz w:val="17"/>
                <w:szCs w:val="17"/>
                <w:color w:val="auto"/>
              </w:rPr>
            </w:pP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June 30, 1995</w:t>
            </w:r>
          </w:p>
        </w:tc>
        <w:tc>
          <w:tcPr>
            <w:tcW w:w="3360" w:type="dxa"/>
            <w:vAlign w:val="bottom"/>
          </w:tcPr>
          <w:p>
            <w:pPr>
              <w:spacing w:after="0"/>
              <w:rPr>
                <w:sz w:val="17"/>
                <w:szCs w:val="17"/>
                <w:color w:val="auto"/>
              </w:rPr>
            </w:pPr>
          </w:p>
        </w:tc>
      </w:tr>
      <w:tr>
        <w:trPr>
          <w:trHeight w:val="196"/>
        </w:trPr>
        <w:tc>
          <w:tcPr>
            <w:tcW w:w="6020" w:type="dxa"/>
            <w:vAlign w:val="bottom"/>
          </w:tcPr>
          <w:p>
            <w:pPr>
              <w:spacing w:after="0"/>
              <w:rPr>
                <w:sz w:val="17"/>
                <w:szCs w:val="17"/>
                <w:color w:val="auto"/>
              </w:rPr>
            </w:pP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December 31, 1994</w:t>
            </w:r>
          </w:p>
        </w:tc>
      </w:tr>
      <w:tr>
        <w:trPr>
          <w:trHeight w:val="196"/>
        </w:trPr>
        <w:tc>
          <w:tcPr>
            <w:tcW w:w="6020" w:type="dxa"/>
            <w:vAlign w:val="bottom"/>
          </w:tcPr>
          <w:p>
            <w:pPr>
              <w:spacing w:after="0"/>
              <w:rPr>
                <w:sz w:val="17"/>
                <w:szCs w:val="17"/>
                <w:color w:val="auto"/>
              </w:rPr>
            </w:pPr>
          </w:p>
        </w:tc>
        <w:tc>
          <w:tcPr>
            <w:tcW w:w="16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(unaudited)</w:t>
            </w:r>
          </w:p>
        </w:tc>
        <w:tc>
          <w:tcPr>
            <w:tcW w:w="336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r>
      <w:tr>
        <w:trPr>
          <w:trHeight w:val="196"/>
        </w:trPr>
        <w:tc>
          <w:tcPr>
            <w:tcW w:w="6020" w:type="dxa"/>
            <w:vAlign w:val="bottom"/>
          </w:tcPr>
          <w:p>
            <w:pPr>
              <w:ind w:left="2740"/>
              <w:spacing w:after="0"/>
              <w:rPr>
                <w:sz w:val="20"/>
                <w:szCs w:val="20"/>
                <w:color w:val="auto"/>
              </w:rPr>
            </w:pPr>
            <w:r>
              <w:rPr>
                <w:rFonts w:ascii="Courier New" w:cs="Courier New" w:eastAsia="Courier New" w:hAnsi="Courier New"/>
                <w:sz w:val="17"/>
                <w:szCs w:val="17"/>
                <w:color w:val="auto"/>
              </w:rPr>
              <w:t>ASSETS</w:t>
            </w:r>
          </w:p>
        </w:tc>
        <w:tc>
          <w:tcPr>
            <w:tcW w:w="1620" w:type="dxa"/>
            <w:vAlign w:val="bottom"/>
          </w:tcPr>
          <w:p>
            <w:pPr>
              <w:spacing w:after="0"/>
              <w:rPr>
                <w:sz w:val="17"/>
                <w:szCs w:val="17"/>
                <w:color w:val="auto"/>
              </w:rPr>
            </w:pPr>
          </w:p>
        </w:tc>
        <w:tc>
          <w:tcPr>
            <w:tcW w:w="3360" w:type="dxa"/>
            <w:vAlign w:val="bottom"/>
          </w:tcPr>
          <w:p>
            <w:pPr>
              <w:jc w:val="right"/>
              <w:ind w:right="1835"/>
              <w:spacing w:after="0"/>
              <w:rPr>
                <w:sz w:val="20"/>
                <w:szCs w:val="20"/>
                <w:color w:val="auto"/>
              </w:rPr>
            </w:pPr>
            <w:r>
              <w:rPr>
                <w:rFonts w:ascii="Courier New" w:cs="Courier New" w:eastAsia="Courier New" w:hAnsi="Courier New"/>
                <w:sz w:val="17"/>
                <w:szCs w:val="17"/>
                <w:color w:val="auto"/>
                <w:w w:val="99"/>
              </w:rPr>
              <w:t>(in thousands)</w:t>
            </w:r>
          </w:p>
        </w:tc>
      </w:tr>
      <w:tr>
        <w:trPr>
          <w:trHeight w:val="392"/>
        </w:trPr>
        <w:tc>
          <w:tcPr>
            <w:tcW w:w="6020" w:type="dxa"/>
            <w:vAlign w:val="bottom"/>
          </w:tcPr>
          <w:p>
            <w:pPr>
              <w:spacing w:after="0"/>
              <w:rPr>
                <w:sz w:val="20"/>
                <w:szCs w:val="20"/>
                <w:color w:val="auto"/>
              </w:rPr>
            </w:pPr>
            <w:r>
              <w:rPr>
                <w:rFonts w:ascii="Courier New" w:cs="Courier New" w:eastAsia="Courier New" w:hAnsi="Courier New"/>
                <w:sz w:val="17"/>
                <w:szCs w:val="17"/>
                <w:color w:val="auto"/>
              </w:rPr>
              <w:t>Investments</w:t>
            </w:r>
          </w:p>
        </w:tc>
        <w:tc>
          <w:tcPr>
            <w:tcW w:w="16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96"/>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Real estate, at cost</w:t>
            </w: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$927,504</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$852,722</w:t>
            </w:r>
          </w:p>
        </w:tc>
      </w:tr>
      <w:tr>
        <w:trPr>
          <w:trHeight w:val="196"/>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Less accumulated depreciation and amortization</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(175,674)</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(160,636)</w:t>
            </w:r>
          </w:p>
        </w:tc>
      </w:tr>
      <w:tr>
        <w:trPr>
          <w:trHeight w:val="196"/>
        </w:trPr>
        <w:tc>
          <w:tcPr>
            <w:tcW w:w="60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020" w:type="dxa"/>
            <w:vAlign w:val="bottom"/>
          </w:tcPr>
          <w:p>
            <w:pPr>
              <w:spacing w:after="0"/>
              <w:rPr>
                <w:sz w:val="17"/>
                <w:szCs w:val="17"/>
                <w:color w:val="auto"/>
              </w:rPr>
            </w:pP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751,830</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692,086</w:t>
            </w:r>
          </w:p>
        </w:tc>
      </w:tr>
      <w:tr>
        <w:trPr>
          <w:trHeight w:val="196"/>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Mortgage notes receivable</w:t>
            </w: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13,180</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13,178</w:t>
            </w:r>
          </w:p>
        </w:tc>
      </w:tr>
      <w:tr>
        <w:trPr>
          <w:trHeight w:val="196"/>
        </w:trPr>
        <w:tc>
          <w:tcPr>
            <w:tcW w:w="60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020" w:type="dxa"/>
            <w:vAlign w:val="bottom"/>
          </w:tcPr>
          <w:p>
            <w:pPr>
              <w:spacing w:after="0"/>
              <w:rPr>
                <w:sz w:val="17"/>
                <w:szCs w:val="17"/>
                <w:color w:val="auto"/>
              </w:rPr>
            </w:pP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765,010</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705,264</w:t>
            </w:r>
          </w:p>
        </w:tc>
      </w:tr>
      <w:tr>
        <w:trPr>
          <w:trHeight w:val="196"/>
        </w:trPr>
        <w:tc>
          <w:tcPr>
            <w:tcW w:w="602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6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196"/>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Cash</w:t>
            </w: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8,558</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3,995</w:t>
            </w:r>
          </w:p>
        </w:tc>
      </w:tr>
      <w:tr>
        <w:trPr>
          <w:trHeight w:val="196"/>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Investments</w:t>
            </w: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3,504</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3,588</w:t>
            </w:r>
          </w:p>
        </w:tc>
      </w:tr>
      <w:tr>
        <w:trPr>
          <w:trHeight w:val="196"/>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Notes receivable - officers</w:t>
            </w: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2,925</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2,778</w:t>
            </w:r>
          </w:p>
        </w:tc>
      </w:tr>
      <w:tr>
        <w:trPr>
          <w:trHeight w:val="196"/>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Accounts receivable</w:t>
            </w: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12,305</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16,023</w:t>
            </w:r>
          </w:p>
        </w:tc>
      </w:tr>
      <w:tr>
        <w:trPr>
          <w:trHeight w:val="196"/>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Prepaid expenses and other assets, principally</w:t>
            </w:r>
          </w:p>
        </w:tc>
        <w:tc>
          <w:tcPr>
            <w:tcW w:w="16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196"/>
        </w:trPr>
        <w:tc>
          <w:tcPr>
            <w:tcW w:w="6020" w:type="dxa"/>
            <w:vAlign w:val="bottom"/>
          </w:tcPr>
          <w:p>
            <w:pPr>
              <w:ind w:left="400"/>
              <w:spacing w:after="0"/>
              <w:rPr>
                <w:sz w:val="20"/>
                <w:szCs w:val="20"/>
                <w:color w:val="auto"/>
              </w:rPr>
            </w:pPr>
            <w:r>
              <w:rPr>
                <w:rFonts w:ascii="Courier New" w:cs="Courier New" w:eastAsia="Courier New" w:hAnsi="Courier New"/>
                <w:sz w:val="17"/>
                <w:szCs w:val="17"/>
                <w:color w:val="auto"/>
              </w:rPr>
              <w:t>property taxes, insurance, and lease commissions</w:t>
            </w: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19,008</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19,158</w:t>
            </w:r>
          </w:p>
        </w:tc>
      </w:tr>
      <w:tr>
        <w:trPr>
          <w:trHeight w:val="196"/>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Debt issue costs (net of accumulated amortization</w:t>
            </w:r>
          </w:p>
        </w:tc>
        <w:tc>
          <w:tcPr>
            <w:tcW w:w="16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196"/>
        </w:trPr>
        <w:tc>
          <w:tcPr>
            <w:tcW w:w="6020" w:type="dxa"/>
            <w:vAlign w:val="bottom"/>
          </w:tcPr>
          <w:p>
            <w:pPr>
              <w:ind w:left="400"/>
              <w:spacing w:after="0"/>
              <w:rPr>
                <w:sz w:val="20"/>
                <w:szCs w:val="20"/>
                <w:color w:val="auto"/>
              </w:rPr>
            </w:pPr>
            <w:r>
              <w:rPr>
                <w:rFonts w:ascii="Courier New" w:cs="Courier New" w:eastAsia="Courier New" w:hAnsi="Courier New"/>
                <w:sz w:val="17"/>
                <w:szCs w:val="17"/>
                <w:color w:val="auto"/>
              </w:rPr>
              <w:t>of $3,554,000 and $3,206,000, respectively)</w:t>
            </w: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3,822</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2,931</w:t>
            </w:r>
          </w:p>
        </w:tc>
      </w:tr>
      <w:tr>
        <w:trPr>
          <w:trHeight w:val="196"/>
        </w:trPr>
        <w:tc>
          <w:tcPr>
            <w:tcW w:w="60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020" w:type="dxa"/>
            <w:vAlign w:val="bottom"/>
          </w:tcPr>
          <w:p>
            <w:pPr>
              <w:spacing w:after="0"/>
              <w:rPr>
                <w:sz w:val="17"/>
                <w:szCs w:val="17"/>
                <w:color w:val="auto"/>
              </w:rPr>
            </w:pP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$815,132</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$753,737</w:t>
            </w:r>
          </w:p>
        </w:tc>
      </w:tr>
      <w:tr>
        <w:trPr>
          <w:trHeight w:val="196"/>
        </w:trPr>
        <w:tc>
          <w:tcPr>
            <w:tcW w:w="60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020" w:type="dxa"/>
            <w:vAlign w:val="bottom"/>
          </w:tcPr>
          <w:p>
            <w:pPr>
              <w:ind w:left="1220"/>
              <w:spacing w:after="0"/>
              <w:rPr>
                <w:sz w:val="20"/>
                <w:szCs w:val="20"/>
                <w:color w:val="auto"/>
              </w:rPr>
            </w:pPr>
            <w:r>
              <w:rPr>
                <w:rFonts w:ascii="Courier New" w:cs="Courier New" w:eastAsia="Courier New" w:hAnsi="Courier New"/>
                <w:sz w:val="17"/>
                <w:szCs w:val="17"/>
                <w:color w:val="auto"/>
              </w:rPr>
              <w:t>LIABILITIES AND SHAREHOLDERS' EQUITY</w:t>
            </w:r>
          </w:p>
        </w:tc>
        <w:tc>
          <w:tcPr>
            <w:tcW w:w="16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196"/>
        </w:trPr>
        <w:tc>
          <w:tcPr>
            <w:tcW w:w="6020" w:type="dxa"/>
            <w:vAlign w:val="bottom"/>
          </w:tcPr>
          <w:p>
            <w:pPr>
              <w:spacing w:after="0"/>
              <w:rPr>
                <w:sz w:val="20"/>
                <w:szCs w:val="20"/>
                <w:color w:val="auto"/>
              </w:rPr>
            </w:pPr>
            <w:r>
              <w:rPr>
                <w:rFonts w:ascii="Courier New" w:cs="Courier New" w:eastAsia="Courier New" w:hAnsi="Courier New"/>
                <w:sz w:val="17"/>
                <w:szCs w:val="17"/>
                <w:color w:val="auto"/>
              </w:rPr>
              <w:t>Liabilities</w:t>
            </w:r>
          </w:p>
        </w:tc>
        <w:tc>
          <w:tcPr>
            <w:tcW w:w="16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196"/>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Obligations under capital leases</w:t>
            </w: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$132,391</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$132,924</w:t>
            </w:r>
          </w:p>
        </w:tc>
      </w:tr>
      <w:tr>
        <w:trPr>
          <w:trHeight w:val="196"/>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Mortgages payable</w:t>
            </w: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79,783</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102,781</w:t>
            </w:r>
          </w:p>
        </w:tc>
      </w:tr>
      <w:tr>
        <w:trPr>
          <w:trHeight w:val="196"/>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Notes payable</w:t>
            </w: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26,754</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61,883</w:t>
            </w:r>
          </w:p>
        </w:tc>
      </w:tr>
      <w:tr>
        <w:trPr>
          <w:trHeight w:val="196"/>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Accrued expenses</w:t>
            </w: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16,519</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10,675</w:t>
            </w:r>
          </w:p>
        </w:tc>
      </w:tr>
      <w:tr>
        <w:trPr>
          <w:trHeight w:val="196"/>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Accounts payable</w:t>
            </w: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6,142</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6,566</w:t>
            </w:r>
          </w:p>
        </w:tc>
      </w:tr>
      <w:tr>
        <w:trPr>
          <w:trHeight w:val="196"/>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Dividends payable</w:t>
            </w: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12,527</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12,486</w:t>
            </w:r>
          </w:p>
        </w:tc>
      </w:tr>
      <w:tr>
        <w:trPr>
          <w:trHeight w:val="196"/>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Security deposits</w:t>
            </w: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2,921</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2,687</w:t>
            </w:r>
          </w:p>
        </w:tc>
      </w:tr>
      <w:tr>
        <w:trPr>
          <w:trHeight w:val="196"/>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Prepaid rents</w:t>
            </w: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1,012</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1,017</w:t>
            </w:r>
          </w:p>
        </w:tc>
      </w:tr>
      <w:tr>
        <w:trPr>
          <w:trHeight w:val="196"/>
        </w:trPr>
        <w:tc>
          <w:tcPr>
            <w:tcW w:w="6020" w:type="dxa"/>
            <w:vAlign w:val="bottom"/>
          </w:tcPr>
          <w:p>
            <w:pPr>
              <w:ind w:left="100"/>
              <w:spacing w:after="0"/>
              <w:rPr>
                <w:sz w:val="20"/>
                <w:szCs w:val="20"/>
                <w:color w:val="auto"/>
              </w:rPr>
            </w:pPr>
            <w:r>
              <w:rPr>
                <w:rFonts w:ascii="Courier New" w:cs="Courier New" w:eastAsia="Courier New" w:hAnsi="Courier New"/>
                <w:sz w:val="17"/>
                <w:szCs w:val="17"/>
                <w:color w:val="auto"/>
              </w:rPr>
              <w:t>Senior notes</w:t>
            </w: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125,000</w:t>
            </w:r>
          </w:p>
        </w:tc>
        <w:tc>
          <w:tcPr>
            <w:tcW w:w="3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6020" w:type="dxa"/>
            <w:vAlign w:val="bottom"/>
          </w:tcPr>
          <w:p>
            <w:pPr>
              <w:ind w:left="100"/>
              <w:spacing w:after="0"/>
              <w:rPr>
                <w:sz w:val="20"/>
                <w:szCs w:val="20"/>
                <w:color w:val="auto"/>
              </w:rPr>
            </w:pPr>
            <w:r>
              <w:rPr>
                <w:rFonts w:ascii="Courier New" w:cs="Courier New" w:eastAsia="Courier New" w:hAnsi="Courier New"/>
                <w:sz w:val="17"/>
                <w:szCs w:val="17"/>
                <w:color w:val="auto"/>
              </w:rPr>
              <w:t>Convertible subordinated debentures</w:t>
            </w: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75,289</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75,289</w:t>
            </w:r>
          </w:p>
        </w:tc>
      </w:tr>
      <w:tr>
        <w:trPr>
          <w:trHeight w:val="196"/>
        </w:trPr>
        <w:tc>
          <w:tcPr>
            <w:tcW w:w="6020" w:type="dxa"/>
            <w:vAlign w:val="bottom"/>
          </w:tcPr>
          <w:p>
            <w:pPr>
              <w:spacing w:after="0"/>
              <w:rPr>
                <w:sz w:val="20"/>
                <w:szCs w:val="20"/>
                <w:color w:val="auto"/>
              </w:rPr>
            </w:pPr>
            <w:r>
              <w:rPr>
                <w:rFonts w:ascii="Courier New" w:cs="Courier New" w:eastAsia="Courier New" w:hAnsi="Courier New"/>
                <w:sz w:val="17"/>
                <w:szCs w:val="17"/>
                <w:color w:val="auto"/>
              </w:rPr>
              <w:t>Investors' interest in consolidated assets</w:t>
            </w: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2,114</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2,274</w:t>
            </w:r>
          </w:p>
        </w:tc>
      </w:tr>
      <w:tr>
        <w:trPr>
          <w:trHeight w:val="196"/>
        </w:trPr>
        <w:tc>
          <w:tcPr>
            <w:tcW w:w="602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16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33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392"/>
        </w:trPr>
        <w:tc>
          <w:tcPr>
            <w:tcW w:w="602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6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96"/>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Common shares of beneficial interest, no par</w:t>
            </w:r>
          </w:p>
        </w:tc>
        <w:tc>
          <w:tcPr>
            <w:tcW w:w="16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196"/>
        </w:trPr>
        <w:tc>
          <w:tcPr>
            <w:tcW w:w="6020" w:type="dxa"/>
            <w:vAlign w:val="bottom"/>
          </w:tcPr>
          <w:p>
            <w:pPr>
              <w:ind w:left="400"/>
              <w:spacing w:after="0"/>
              <w:rPr>
                <w:sz w:val="20"/>
                <w:szCs w:val="20"/>
                <w:color w:val="auto"/>
              </w:rPr>
            </w:pPr>
            <w:r>
              <w:rPr>
                <w:rFonts w:ascii="Courier New" w:cs="Courier New" w:eastAsia="Courier New" w:hAnsi="Courier New"/>
                <w:sz w:val="17"/>
                <w:szCs w:val="17"/>
                <w:color w:val="auto"/>
              </w:rPr>
              <w:t>or stated value, unlimited authorization,</w:t>
            </w:r>
          </w:p>
        </w:tc>
        <w:tc>
          <w:tcPr>
            <w:tcW w:w="16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196"/>
        </w:trPr>
        <w:tc>
          <w:tcPr>
            <w:tcW w:w="6020" w:type="dxa"/>
            <w:vAlign w:val="bottom"/>
          </w:tcPr>
          <w:p>
            <w:pPr>
              <w:ind w:left="400"/>
              <w:spacing w:after="0"/>
              <w:rPr>
                <w:sz w:val="20"/>
                <w:szCs w:val="20"/>
                <w:color w:val="auto"/>
              </w:rPr>
            </w:pPr>
            <w:r>
              <w:rPr>
                <w:rFonts w:ascii="Courier New" w:cs="Courier New" w:eastAsia="Courier New" w:hAnsi="Courier New"/>
                <w:sz w:val="17"/>
                <w:szCs w:val="17"/>
                <w:color w:val="auto"/>
              </w:rPr>
              <w:t>issued 31,773,932 and 31,669,434 shares,</w:t>
            </w:r>
          </w:p>
        </w:tc>
        <w:tc>
          <w:tcPr>
            <w:tcW w:w="16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196"/>
        </w:trPr>
        <w:tc>
          <w:tcPr>
            <w:tcW w:w="6020" w:type="dxa"/>
            <w:vAlign w:val="bottom"/>
          </w:tcPr>
          <w:p>
            <w:pPr>
              <w:ind w:left="400"/>
              <w:spacing w:after="0"/>
              <w:rPr>
                <w:sz w:val="20"/>
                <w:szCs w:val="20"/>
                <w:color w:val="auto"/>
              </w:rPr>
            </w:pPr>
            <w:r>
              <w:rPr>
                <w:rFonts w:ascii="Courier New" w:cs="Courier New" w:eastAsia="Courier New" w:hAnsi="Courier New"/>
                <w:sz w:val="17"/>
                <w:szCs w:val="17"/>
                <w:color w:val="auto"/>
              </w:rPr>
              <w:t>respectively</w:t>
            </w: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499,104</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496,958</w:t>
            </w:r>
          </w:p>
        </w:tc>
      </w:tr>
      <w:tr>
        <w:trPr>
          <w:trHeight w:val="196"/>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Accumulated dividends in excess of Trust net income</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(157,762)</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(144,553)</w:t>
            </w:r>
          </w:p>
        </w:tc>
      </w:tr>
      <w:tr>
        <w:trPr>
          <w:trHeight w:val="196"/>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Allowance for unrealized loss on marketable securities</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(53)</w:t>
            </w:r>
          </w:p>
        </w:tc>
      </w:tr>
      <w:tr>
        <w:trPr>
          <w:trHeight w:val="196"/>
        </w:trPr>
        <w:tc>
          <w:tcPr>
            <w:tcW w:w="60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020" w:type="dxa"/>
            <w:vAlign w:val="bottom"/>
          </w:tcPr>
          <w:p>
            <w:pPr>
              <w:spacing w:after="0"/>
              <w:rPr>
                <w:sz w:val="17"/>
                <w:szCs w:val="17"/>
                <w:color w:val="auto"/>
              </w:rPr>
            </w:pP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341,331</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352,352</w:t>
            </w:r>
          </w:p>
        </w:tc>
      </w:tr>
      <w:tr>
        <w:trPr>
          <w:trHeight w:val="196"/>
        </w:trPr>
        <w:tc>
          <w:tcPr>
            <w:tcW w:w="6020" w:type="dxa"/>
            <w:vAlign w:val="bottom"/>
          </w:tcPr>
          <w:p>
            <w:pPr>
              <w:spacing w:after="0"/>
              <w:rPr>
                <w:sz w:val="20"/>
                <w:szCs w:val="20"/>
                <w:color w:val="auto"/>
              </w:rPr>
            </w:pPr>
            <w:r>
              <w:rPr>
                <w:rFonts w:ascii="Courier New" w:cs="Courier New" w:eastAsia="Courier New" w:hAnsi="Courier New"/>
                <w:sz w:val="17"/>
                <w:szCs w:val="17"/>
                <w:color w:val="auto"/>
              </w:rPr>
              <w:t>Less 60,200 common shares in treasury - at cost, deferred</w:t>
            </w:r>
          </w:p>
        </w:tc>
        <w:tc>
          <w:tcPr>
            <w:tcW w:w="16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196"/>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compensation and subscriptions receivable</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(6,651)</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(7,197)</w:t>
            </w:r>
          </w:p>
        </w:tc>
      </w:tr>
      <w:tr>
        <w:trPr>
          <w:trHeight w:val="196"/>
        </w:trPr>
        <w:tc>
          <w:tcPr>
            <w:tcW w:w="60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020" w:type="dxa"/>
            <w:vAlign w:val="bottom"/>
          </w:tcPr>
          <w:p>
            <w:pPr>
              <w:spacing w:after="0"/>
              <w:rPr>
                <w:sz w:val="17"/>
                <w:szCs w:val="17"/>
                <w:color w:val="auto"/>
              </w:rPr>
            </w:pP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334,680</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345,155</w:t>
            </w:r>
          </w:p>
        </w:tc>
      </w:tr>
      <w:tr>
        <w:trPr>
          <w:trHeight w:val="196"/>
        </w:trPr>
        <w:tc>
          <w:tcPr>
            <w:tcW w:w="60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020" w:type="dxa"/>
            <w:vAlign w:val="bottom"/>
          </w:tcPr>
          <w:p>
            <w:pPr>
              <w:spacing w:after="0"/>
              <w:rPr>
                <w:sz w:val="17"/>
                <w:szCs w:val="17"/>
                <w:color w:val="auto"/>
              </w:rPr>
            </w:pP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$815,132</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$753,737</w:t>
            </w:r>
          </w:p>
        </w:tc>
      </w:tr>
      <w:tr>
        <w:trPr>
          <w:trHeight w:val="196"/>
        </w:trPr>
        <w:tc>
          <w:tcPr>
            <w:tcW w:w="60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ectPr>
          <w:pgSz w:w="11900" w:h="16838" w:orient="portrait"/>
          <w:cols w:equalWidth="0" w:num="1">
            <w:col w:w="11000"/>
          </w:cols>
          <w:pgMar w:left="760" w:top="1292" w:right="1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3"/>
        </w:trPr>
        <w:tc>
          <w:tcPr>
            <w:tcW w:w="6160" w:type="dxa"/>
            <w:vAlign w:val="bottom"/>
          </w:tcPr>
          <w:p>
            <w:pPr>
              <w:spacing w:after="0"/>
              <w:rPr>
                <w:sz w:val="20"/>
                <w:szCs w:val="20"/>
                <w:color w:val="auto"/>
              </w:rPr>
            </w:pPr>
            <w:r>
              <w:rPr>
                <w:rFonts w:ascii="Courier New" w:cs="Courier New" w:eastAsia="Courier New" w:hAnsi="Courier New"/>
                <w:sz w:val="17"/>
                <w:szCs w:val="17"/>
                <w:color w:val="auto"/>
              </w:rPr>
              <w:t>Federal Realty Investment Trust</w:t>
            </w:r>
          </w:p>
        </w:tc>
        <w:tc>
          <w:tcPr>
            <w:tcW w:w="26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92"/>
        </w:trPr>
        <w:tc>
          <w:tcPr>
            <w:tcW w:w="6160" w:type="dxa"/>
            <w:vAlign w:val="bottom"/>
          </w:tcPr>
          <w:p>
            <w:pPr>
              <w:spacing w:after="0"/>
              <w:rPr>
                <w:sz w:val="20"/>
                <w:szCs w:val="20"/>
                <w:color w:val="auto"/>
              </w:rPr>
            </w:pPr>
            <w:r>
              <w:rPr>
                <w:rFonts w:ascii="Courier New" w:cs="Courier New" w:eastAsia="Courier New" w:hAnsi="Courier New"/>
                <w:sz w:val="17"/>
                <w:szCs w:val="17"/>
                <w:color w:val="auto"/>
              </w:rPr>
              <w:t>CONSOLIDATED STATEMENTS OF OPERATIONS</w:t>
            </w:r>
          </w:p>
        </w:tc>
        <w:tc>
          <w:tcPr>
            <w:tcW w:w="2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6"/>
        </w:trPr>
        <w:tc>
          <w:tcPr>
            <w:tcW w:w="6160" w:type="dxa"/>
            <w:vAlign w:val="bottom"/>
          </w:tcPr>
          <w:p>
            <w:pPr>
              <w:spacing w:after="0"/>
              <w:rPr>
                <w:sz w:val="20"/>
                <w:szCs w:val="20"/>
                <w:color w:val="auto"/>
              </w:rPr>
            </w:pPr>
            <w:r>
              <w:rPr>
                <w:rFonts w:ascii="Courier New" w:cs="Courier New" w:eastAsia="Courier New" w:hAnsi="Courier New"/>
                <w:sz w:val="17"/>
                <w:szCs w:val="17"/>
                <w:color w:val="auto"/>
              </w:rPr>
              <w:t>(see accountants' review report)</w:t>
            </w:r>
          </w:p>
        </w:tc>
        <w:tc>
          <w:tcPr>
            <w:tcW w:w="2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6160" w:type="dxa"/>
            <w:vAlign w:val="bottom"/>
          </w:tcPr>
          <w:p>
            <w:pPr>
              <w:ind w:left="1720"/>
              <w:spacing w:after="0"/>
              <w:rPr>
                <w:sz w:val="20"/>
                <w:szCs w:val="20"/>
                <w:color w:val="auto"/>
              </w:rPr>
            </w:pPr>
            <w:r>
              <w:rPr>
                <w:rFonts w:ascii="Courier New" w:cs="Courier New" w:eastAsia="Courier New" w:hAnsi="Courier New"/>
                <w:sz w:val="17"/>
                <w:szCs w:val="17"/>
                <w:color w:val="auto"/>
              </w:rPr>
              <w:t>(unaudited)</w:t>
            </w:r>
          </w:p>
        </w:tc>
        <w:tc>
          <w:tcPr>
            <w:tcW w:w="2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6160" w:type="dxa"/>
            <w:vAlign w:val="bottom"/>
          </w:tcPr>
          <w:p>
            <w:pPr>
              <w:spacing w:after="0"/>
              <w:rPr>
                <w:sz w:val="17"/>
                <w:szCs w:val="17"/>
                <w:color w:val="auto"/>
              </w:rPr>
            </w:pPr>
          </w:p>
        </w:tc>
        <w:tc>
          <w:tcPr>
            <w:tcW w:w="3840" w:type="dxa"/>
            <w:vAlign w:val="bottom"/>
            <w:gridSpan w:val="2"/>
          </w:tcPr>
          <w:p>
            <w:pPr>
              <w:jc w:val="right"/>
              <w:ind w:right="135"/>
              <w:spacing w:after="0"/>
              <w:rPr>
                <w:sz w:val="20"/>
                <w:szCs w:val="20"/>
                <w:color w:val="auto"/>
              </w:rPr>
            </w:pPr>
            <w:r>
              <w:rPr>
                <w:rFonts w:ascii="Courier New" w:cs="Courier New" w:eastAsia="Courier New" w:hAnsi="Courier New"/>
                <w:sz w:val="17"/>
                <w:szCs w:val="17"/>
                <w:color w:val="auto"/>
              </w:rPr>
              <w:t>Six months ended June 30,</w:t>
            </w:r>
          </w:p>
        </w:tc>
      </w:tr>
      <w:tr>
        <w:trPr>
          <w:trHeight w:val="196"/>
        </w:trPr>
        <w:tc>
          <w:tcPr>
            <w:tcW w:w="6160" w:type="dxa"/>
            <w:vAlign w:val="bottom"/>
          </w:tcPr>
          <w:p>
            <w:pPr>
              <w:spacing w:after="0"/>
              <w:rPr>
                <w:sz w:val="17"/>
                <w:szCs w:val="17"/>
                <w:color w:val="auto"/>
              </w:rPr>
            </w:pPr>
          </w:p>
        </w:tc>
        <w:tc>
          <w:tcPr>
            <w:tcW w:w="266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1995</w:t>
            </w:r>
          </w:p>
        </w:tc>
        <w:tc>
          <w:tcPr>
            <w:tcW w:w="11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1994</w:t>
            </w:r>
          </w:p>
        </w:tc>
      </w:tr>
      <w:tr>
        <w:trPr>
          <w:trHeight w:val="196"/>
        </w:trPr>
        <w:tc>
          <w:tcPr>
            <w:tcW w:w="6160" w:type="dxa"/>
            <w:vAlign w:val="bottom"/>
          </w:tcPr>
          <w:p>
            <w:pPr>
              <w:spacing w:after="0"/>
              <w:rPr>
                <w:sz w:val="17"/>
                <w:szCs w:val="17"/>
                <w:color w:val="auto"/>
              </w:rPr>
            </w:pPr>
          </w:p>
        </w:tc>
        <w:tc>
          <w:tcPr>
            <w:tcW w:w="266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r>
      <w:tr>
        <w:trPr>
          <w:trHeight w:val="196"/>
        </w:trPr>
        <w:tc>
          <w:tcPr>
            <w:tcW w:w="6160" w:type="dxa"/>
            <w:vAlign w:val="bottom"/>
          </w:tcPr>
          <w:p>
            <w:pPr>
              <w:spacing w:after="0"/>
              <w:rPr>
                <w:sz w:val="20"/>
                <w:szCs w:val="20"/>
                <w:color w:val="auto"/>
              </w:rPr>
            </w:pPr>
            <w:r>
              <w:rPr>
                <w:rFonts w:ascii="Courier New" w:cs="Courier New" w:eastAsia="Courier New" w:hAnsi="Courier New"/>
                <w:sz w:val="17"/>
                <w:szCs w:val="17"/>
                <w:color w:val="auto"/>
              </w:rPr>
              <w:t>(In thousands, except per share data)</w:t>
            </w:r>
          </w:p>
        </w:tc>
        <w:tc>
          <w:tcPr>
            <w:tcW w:w="2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92"/>
        </w:trPr>
        <w:tc>
          <w:tcPr>
            <w:tcW w:w="616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2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6"/>
        </w:trPr>
        <w:tc>
          <w:tcPr>
            <w:tcW w:w="6160" w:type="dxa"/>
            <w:vAlign w:val="bottom"/>
          </w:tcPr>
          <w:p>
            <w:pPr>
              <w:ind w:left="200"/>
              <w:spacing w:after="0"/>
              <w:rPr>
                <w:sz w:val="20"/>
                <w:szCs w:val="20"/>
                <w:color w:val="auto"/>
              </w:rPr>
            </w:pPr>
            <w:r>
              <w:rPr>
                <w:rFonts w:ascii="Courier New" w:cs="Courier New" w:eastAsia="Courier New" w:hAnsi="Courier New"/>
                <w:sz w:val="17"/>
                <w:szCs w:val="17"/>
                <w:color w:val="auto"/>
              </w:rPr>
              <w:t>Rental income</w:t>
            </w:r>
          </w:p>
        </w:tc>
        <w:tc>
          <w:tcPr>
            <w:tcW w:w="26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$68,647</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$61,930</w:t>
            </w:r>
          </w:p>
        </w:tc>
      </w:tr>
      <w:tr>
        <w:trPr>
          <w:trHeight w:val="196"/>
        </w:trPr>
        <w:tc>
          <w:tcPr>
            <w:tcW w:w="6160" w:type="dxa"/>
            <w:vAlign w:val="bottom"/>
          </w:tcPr>
          <w:p>
            <w:pPr>
              <w:ind w:left="200"/>
              <w:spacing w:after="0"/>
              <w:rPr>
                <w:sz w:val="20"/>
                <w:szCs w:val="20"/>
                <w:color w:val="auto"/>
              </w:rPr>
            </w:pPr>
            <w:r>
              <w:rPr>
                <w:rFonts w:ascii="Courier New" w:cs="Courier New" w:eastAsia="Courier New" w:hAnsi="Courier New"/>
                <w:sz w:val="17"/>
                <w:szCs w:val="17"/>
                <w:color w:val="auto"/>
              </w:rPr>
              <w:t>Interest</w:t>
            </w:r>
          </w:p>
        </w:tc>
        <w:tc>
          <w:tcPr>
            <w:tcW w:w="26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1,893</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2,037</w:t>
            </w:r>
          </w:p>
        </w:tc>
      </w:tr>
      <w:tr>
        <w:trPr>
          <w:trHeight w:val="196"/>
        </w:trPr>
        <w:tc>
          <w:tcPr>
            <w:tcW w:w="6160" w:type="dxa"/>
            <w:vAlign w:val="bottom"/>
          </w:tcPr>
          <w:p>
            <w:pPr>
              <w:ind w:left="200"/>
              <w:spacing w:after="0"/>
              <w:rPr>
                <w:sz w:val="20"/>
                <w:szCs w:val="20"/>
                <w:color w:val="auto"/>
              </w:rPr>
            </w:pPr>
            <w:r>
              <w:rPr>
                <w:rFonts w:ascii="Courier New" w:cs="Courier New" w:eastAsia="Courier New" w:hAnsi="Courier New"/>
                <w:sz w:val="17"/>
                <w:szCs w:val="17"/>
                <w:color w:val="auto"/>
              </w:rPr>
              <w:t>Other income</w:t>
            </w:r>
          </w:p>
        </w:tc>
        <w:tc>
          <w:tcPr>
            <w:tcW w:w="26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3,376</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2,519</w:t>
            </w:r>
          </w:p>
        </w:tc>
      </w:tr>
      <w:tr>
        <w:trPr>
          <w:trHeight w:val="196"/>
        </w:trPr>
        <w:tc>
          <w:tcPr>
            <w:tcW w:w="6160" w:type="dxa"/>
            <w:vAlign w:val="bottom"/>
          </w:tcPr>
          <w:p>
            <w:pPr>
              <w:spacing w:after="0"/>
              <w:rPr>
                <w:sz w:val="17"/>
                <w:szCs w:val="17"/>
                <w:color w:val="auto"/>
              </w:rPr>
            </w:pPr>
          </w:p>
        </w:tc>
        <w:tc>
          <w:tcPr>
            <w:tcW w:w="26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160" w:type="dxa"/>
            <w:vAlign w:val="bottom"/>
          </w:tcPr>
          <w:p>
            <w:pPr>
              <w:spacing w:after="0"/>
              <w:rPr>
                <w:sz w:val="17"/>
                <w:szCs w:val="17"/>
                <w:color w:val="auto"/>
              </w:rPr>
            </w:pPr>
          </w:p>
        </w:tc>
        <w:tc>
          <w:tcPr>
            <w:tcW w:w="26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73,916</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66,486</w:t>
            </w:r>
          </w:p>
        </w:tc>
      </w:tr>
      <w:tr>
        <w:trPr>
          <w:trHeight w:val="196"/>
        </w:trPr>
        <w:tc>
          <w:tcPr>
            <w:tcW w:w="616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2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6160" w:type="dxa"/>
            <w:vAlign w:val="bottom"/>
          </w:tcPr>
          <w:p>
            <w:pPr>
              <w:ind w:left="200"/>
              <w:spacing w:after="0"/>
              <w:rPr>
                <w:sz w:val="20"/>
                <w:szCs w:val="20"/>
                <w:color w:val="auto"/>
              </w:rPr>
            </w:pPr>
            <w:r>
              <w:rPr>
                <w:rFonts w:ascii="Courier New" w:cs="Courier New" w:eastAsia="Courier New" w:hAnsi="Courier New"/>
                <w:sz w:val="17"/>
                <w:szCs w:val="17"/>
                <w:color w:val="auto"/>
              </w:rPr>
              <w:t>Rental</w:t>
            </w:r>
          </w:p>
        </w:tc>
        <w:tc>
          <w:tcPr>
            <w:tcW w:w="26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16,219</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17,936</w:t>
            </w:r>
          </w:p>
        </w:tc>
      </w:tr>
      <w:tr>
        <w:trPr>
          <w:trHeight w:val="196"/>
        </w:trPr>
        <w:tc>
          <w:tcPr>
            <w:tcW w:w="6160" w:type="dxa"/>
            <w:vAlign w:val="bottom"/>
          </w:tcPr>
          <w:p>
            <w:pPr>
              <w:ind w:left="200"/>
              <w:spacing w:after="0"/>
              <w:rPr>
                <w:sz w:val="20"/>
                <w:szCs w:val="20"/>
                <w:color w:val="auto"/>
              </w:rPr>
            </w:pPr>
            <w:r>
              <w:rPr>
                <w:rFonts w:ascii="Courier New" w:cs="Courier New" w:eastAsia="Courier New" w:hAnsi="Courier New"/>
                <w:sz w:val="17"/>
                <w:szCs w:val="17"/>
                <w:color w:val="auto"/>
              </w:rPr>
              <w:t>Real estate taxes</w:t>
            </w:r>
          </w:p>
        </w:tc>
        <w:tc>
          <w:tcPr>
            <w:tcW w:w="26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6,985</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5,620</w:t>
            </w:r>
          </w:p>
        </w:tc>
      </w:tr>
      <w:tr>
        <w:trPr>
          <w:trHeight w:val="196"/>
        </w:trPr>
        <w:tc>
          <w:tcPr>
            <w:tcW w:w="6160" w:type="dxa"/>
            <w:vAlign w:val="bottom"/>
          </w:tcPr>
          <w:p>
            <w:pPr>
              <w:ind w:left="200"/>
              <w:spacing w:after="0"/>
              <w:rPr>
                <w:sz w:val="20"/>
                <w:szCs w:val="20"/>
                <w:color w:val="auto"/>
              </w:rPr>
            </w:pPr>
            <w:r>
              <w:rPr>
                <w:rFonts w:ascii="Courier New" w:cs="Courier New" w:eastAsia="Courier New" w:hAnsi="Courier New"/>
                <w:sz w:val="17"/>
                <w:szCs w:val="17"/>
                <w:color w:val="auto"/>
              </w:rPr>
              <w:t>Interest</w:t>
            </w:r>
          </w:p>
        </w:tc>
        <w:tc>
          <w:tcPr>
            <w:tcW w:w="26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18,716</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15,815</w:t>
            </w:r>
          </w:p>
        </w:tc>
      </w:tr>
      <w:tr>
        <w:trPr>
          <w:trHeight w:val="196"/>
        </w:trPr>
        <w:tc>
          <w:tcPr>
            <w:tcW w:w="6160" w:type="dxa"/>
            <w:vAlign w:val="bottom"/>
          </w:tcPr>
          <w:p>
            <w:pPr>
              <w:ind w:left="200"/>
              <w:spacing w:after="0"/>
              <w:rPr>
                <w:sz w:val="20"/>
                <w:szCs w:val="20"/>
                <w:color w:val="auto"/>
              </w:rPr>
            </w:pPr>
            <w:r>
              <w:rPr>
                <w:rFonts w:ascii="Courier New" w:cs="Courier New" w:eastAsia="Courier New" w:hAnsi="Courier New"/>
                <w:sz w:val="17"/>
                <w:szCs w:val="17"/>
                <w:color w:val="auto"/>
              </w:rPr>
              <w:t>Administrative</w:t>
            </w:r>
          </w:p>
        </w:tc>
        <w:tc>
          <w:tcPr>
            <w:tcW w:w="26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2,817</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3,184</w:t>
            </w:r>
          </w:p>
        </w:tc>
      </w:tr>
      <w:tr>
        <w:trPr>
          <w:trHeight w:val="196"/>
        </w:trPr>
        <w:tc>
          <w:tcPr>
            <w:tcW w:w="6160" w:type="dxa"/>
            <w:vAlign w:val="bottom"/>
          </w:tcPr>
          <w:p>
            <w:pPr>
              <w:ind w:left="200"/>
              <w:spacing w:after="0"/>
              <w:rPr>
                <w:sz w:val="20"/>
                <w:szCs w:val="20"/>
                <w:color w:val="auto"/>
              </w:rPr>
            </w:pPr>
            <w:r>
              <w:rPr>
                <w:rFonts w:ascii="Courier New" w:cs="Courier New" w:eastAsia="Courier New" w:hAnsi="Courier New"/>
                <w:sz w:val="17"/>
                <w:szCs w:val="17"/>
                <w:color w:val="auto"/>
              </w:rPr>
              <w:t>Depreciation and amortization</w:t>
            </w:r>
          </w:p>
        </w:tc>
        <w:tc>
          <w:tcPr>
            <w:tcW w:w="26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16,988</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14,166</w:t>
            </w:r>
          </w:p>
        </w:tc>
      </w:tr>
      <w:tr>
        <w:trPr>
          <w:trHeight w:val="196"/>
        </w:trPr>
        <w:tc>
          <w:tcPr>
            <w:tcW w:w="6160" w:type="dxa"/>
            <w:vAlign w:val="bottom"/>
          </w:tcPr>
          <w:p>
            <w:pPr>
              <w:spacing w:after="0"/>
              <w:rPr>
                <w:sz w:val="17"/>
                <w:szCs w:val="17"/>
                <w:color w:val="auto"/>
              </w:rPr>
            </w:pPr>
          </w:p>
        </w:tc>
        <w:tc>
          <w:tcPr>
            <w:tcW w:w="26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160" w:type="dxa"/>
            <w:vAlign w:val="bottom"/>
          </w:tcPr>
          <w:p>
            <w:pPr>
              <w:spacing w:after="0"/>
              <w:rPr>
                <w:sz w:val="17"/>
                <w:szCs w:val="17"/>
                <w:color w:val="auto"/>
              </w:rPr>
            </w:pPr>
          </w:p>
        </w:tc>
        <w:tc>
          <w:tcPr>
            <w:tcW w:w="26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61,725</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56,721</w:t>
            </w:r>
          </w:p>
        </w:tc>
      </w:tr>
      <w:tr>
        <w:trPr>
          <w:trHeight w:val="196"/>
        </w:trPr>
        <w:tc>
          <w:tcPr>
            <w:tcW w:w="6160" w:type="dxa"/>
            <w:vAlign w:val="bottom"/>
          </w:tcPr>
          <w:p>
            <w:pPr>
              <w:spacing w:after="0"/>
              <w:rPr>
                <w:sz w:val="17"/>
                <w:szCs w:val="17"/>
                <w:color w:val="auto"/>
              </w:rPr>
            </w:pPr>
          </w:p>
        </w:tc>
        <w:tc>
          <w:tcPr>
            <w:tcW w:w="26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160" w:type="dxa"/>
            <w:vAlign w:val="bottom"/>
          </w:tcPr>
          <w:p>
            <w:pPr>
              <w:spacing w:after="0"/>
              <w:rPr>
                <w:sz w:val="20"/>
                <w:szCs w:val="20"/>
                <w:color w:val="auto"/>
              </w:rPr>
            </w:pPr>
            <w:r>
              <w:rPr>
                <w:rFonts w:ascii="Courier New" w:cs="Courier New" w:eastAsia="Courier New" w:hAnsi="Courier New"/>
                <w:sz w:val="17"/>
                <w:szCs w:val="17"/>
                <w:color w:val="auto"/>
              </w:rPr>
              <w:t>Operating income before investors' share</w:t>
            </w:r>
          </w:p>
        </w:tc>
        <w:tc>
          <w:tcPr>
            <w:tcW w:w="2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6160" w:type="dxa"/>
            <w:vAlign w:val="bottom"/>
          </w:tcPr>
          <w:p>
            <w:pPr>
              <w:ind w:left="200"/>
              <w:spacing w:after="0"/>
              <w:rPr>
                <w:sz w:val="20"/>
                <w:szCs w:val="20"/>
                <w:color w:val="auto"/>
              </w:rPr>
            </w:pPr>
            <w:r>
              <w:rPr>
                <w:rFonts w:ascii="Courier New" w:cs="Courier New" w:eastAsia="Courier New" w:hAnsi="Courier New"/>
                <w:sz w:val="17"/>
                <w:szCs w:val="17"/>
                <w:color w:val="auto"/>
              </w:rPr>
              <w:t>of operations and loss on real estate to be sold</w:t>
            </w:r>
          </w:p>
        </w:tc>
        <w:tc>
          <w:tcPr>
            <w:tcW w:w="26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12,191</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9,765</w:t>
            </w:r>
          </w:p>
        </w:tc>
      </w:tr>
      <w:tr>
        <w:trPr>
          <w:trHeight w:val="196"/>
        </w:trPr>
        <w:tc>
          <w:tcPr>
            <w:tcW w:w="6160" w:type="dxa"/>
            <w:vAlign w:val="bottom"/>
          </w:tcPr>
          <w:p>
            <w:pPr>
              <w:ind w:left="200"/>
              <w:spacing w:after="0"/>
              <w:rPr>
                <w:sz w:val="20"/>
                <w:szCs w:val="20"/>
                <w:color w:val="auto"/>
              </w:rPr>
            </w:pPr>
            <w:r>
              <w:rPr>
                <w:rFonts w:ascii="Courier New" w:cs="Courier New" w:eastAsia="Courier New" w:hAnsi="Courier New"/>
                <w:sz w:val="17"/>
                <w:szCs w:val="17"/>
                <w:color w:val="auto"/>
              </w:rPr>
              <w:t>Investors' share of operations</w:t>
            </w:r>
          </w:p>
        </w:tc>
        <w:tc>
          <w:tcPr>
            <w:tcW w:w="26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170</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(476)</w:t>
            </w:r>
          </w:p>
        </w:tc>
      </w:tr>
      <w:tr>
        <w:trPr>
          <w:trHeight w:val="196"/>
        </w:trPr>
        <w:tc>
          <w:tcPr>
            <w:tcW w:w="6160" w:type="dxa"/>
            <w:vAlign w:val="bottom"/>
          </w:tcPr>
          <w:p>
            <w:pPr>
              <w:spacing w:after="0"/>
              <w:rPr>
                <w:sz w:val="17"/>
                <w:szCs w:val="17"/>
                <w:color w:val="auto"/>
              </w:rPr>
            </w:pPr>
          </w:p>
        </w:tc>
        <w:tc>
          <w:tcPr>
            <w:tcW w:w="26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160" w:type="dxa"/>
            <w:vAlign w:val="bottom"/>
          </w:tcPr>
          <w:p>
            <w:pPr>
              <w:spacing w:after="0"/>
              <w:rPr>
                <w:sz w:val="20"/>
                <w:szCs w:val="20"/>
                <w:color w:val="auto"/>
              </w:rPr>
            </w:pPr>
            <w:r>
              <w:rPr>
                <w:rFonts w:ascii="Courier New" w:cs="Courier New" w:eastAsia="Courier New" w:hAnsi="Courier New"/>
                <w:sz w:val="17"/>
                <w:szCs w:val="17"/>
                <w:color w:val="auto"/>
              </w:rPr>
              <w:t>Income before loss on  real estate to be sold</w:t>
            </w:r>
          </w:p>
        </w:tc>
        <w:tc>
          <w:tcPr>
            <w:tcW w:w="26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12,361</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9,289</w:t>
            </w:r>
          </w:p>
        </w:tc>
      </w:tr>
      <w:tr>
        <w:trPr>
          <w:trHeight w:val="589"/>
        </w:trPr>
        <w:tc>
          <w:tcPr>
            <w:tcW w:w="6160" w:type="dxa"/>
            <w:vAlign w:val="bottom"/>
          </w:tcPr>
          <w:p>
            <w:pPr>
              <w:ind w:left="300"/>
              <w:spacing w:after="0"/>
              <w:rPr>
                <w:sz w:val="20"/>
                <w:szCs w:val="20"/>
                <w:color w:val="auto"/>
              </w:rPr>
            </w:pPr>
            <w:r>
              <w:rPr>
                <w:rFonts w:ascii="Courier New" w:cs="Courier New" w:eastAsia="Courier New" w:hAnsi="Courier New"/>
                <w:sz w:val="17"/>
                <w:szCs w:val="17"/>
                <w:color w:val="auto"/>
              </w:rPr>
              <w:t>Loss on real estate to be sold</w:t>
            </w:r>
          </w:p>
        </w:tc>
        <w:tc>
          <w:tcPr>
            <w:tcW w:w="26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(535)</w:t>
            </w:r>
          </w:p>
        </w:tc>
        <w:tc>
          <w:tcPr>
            <w:tcW w:w="11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r>
      <w:tr>
        <w:trPr>
          <w:trHeight w:val="196"/>
        </w:trPr>
        <w:tc>
          <w:tcPr>
            <w:tcW w:w="6160" w:type="dxa"/>
            <w:vAlign w:val="bottom"/>
          </w:tcPr>
          <w:p>
            <w:pPr>
              <w:spacing w:after="0"/>
              <w:rPr>
                <w:sz w:val="17"/>
                <w:szCs w:val="17"/>
                <w:color w:val="auto"/>
              </w:rPr>
            </w:pPr>
          </w:p>
        </w:tc>
        <w:tc>
          <w:tcPr>
            <w:tcW w:w="26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1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6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$11,826</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$9,289</w:t>
            </w:r>
          </w:p>
        </w:tc>
      </w:tr>
      <w:tr>
        <w:trPr>
          <w:trHeight w:val="196"/>
        </w:trPr>
        <w:tc>
          <w:tcPr>
            <w:tcW w:w="6160" w:type="dxa"/>
            <w:vAlign w:val="bottom"/>
          </w:tcPr>
          <w:p>
            <w:pPr>
              <w:spacing w:after="0"/>
              <w:rPr>
                <w:sz w:val="17"/>
                <w:szCs w:val="17"/>
                <w:color w:val="auto"/>
              </w:rPr>
            </w:pPr>
          </w:p>
        </w:tc>
        <w:tc>
          <w:tcPr>
            <w:tcW w:w="26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16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Shares</w:t>
            </w:r>
          </w:p>
        </w:tc>
        <w:tc>
          <w:tcPr>
            <w:tcW w:w="26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31,691</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29,760</w:t>
            </w:r>
          </w:p>
        </w:tc>
      </w:tr>
      <w:tr>
        <w:trPr>
          <w:trHeight w:val="196"/>
        </w:trPr>
        <w:tc>
          <w:tcPr>
            <w:tcW w:w="6160" w:type="dxa"/>
            <w:vAlign w:val="bottom"/>
          </w:tcPr>
          <w:p>
            <w:pPr>
              <w:spacing w:after="0"/>
              <w:rPr>
                <w:sz w:val="17"/>
                <w:szCs w:val="17"/>
                <w:color w:val="auto"/>
              </w:rPr>
            </w:pPr>
          </w:p>
        </w:tc>
        <w:tc>
          <w:tcPr>
            <w:tcW w:w="26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160" w:type="dxa"/>
            <w:vAlign w:val="bottom"/>
          </w:tcPr>
          <w:p>
            <w:pPr>
              <w:spacing w:after="0"/>
              <w:rPr>
                <w:sz w:val="20"/>
                <w:szCs w:val="20"/>
                <w:color w:val="auto"/>
              </w:rPr>
            </w:pPr>
            <w:r>
              <w:rPr>
                <w:rFonts w:ascii="Courier New" w:cs="Courier New" w:eastAsia="Courier New" w:hAnsi="Courier New"/>
                <w:sz w:val="17"/>
                <w:szCs w:val="17"/>
                <w:color w:val="auto"/>
              </w:rPr>
              <w:t>Earnings per share</w:t>
            </w:r>
          </w:p>
        </w:tc>
        <w:tc>
          <w:tcPr>
            <w:tcW w:w="2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6"/>
        </w:trPr>
        <w:tc>
          <w:tcPr>
            <w:tcW w:w="6160" w:type="dxa"/>
            <w:vAlign w:val="bottom"/>
          </w:tcPr>
          <w:p>
            <w:pPr>
              <w:ind w:left="200"/>
              <w:spacing w:after="0"/>
              <w:rPr>
                <w:sz w:val="20"/>
                <w:szCs w:val="20"/>
                <w:color w:val="auto"/>
              </w:rPr>
            </w:pPr>
            <w:r>
              <w:rPr>
                <w:rFonts w:ascii="Courier New" w:cs="Courier New" w:eastAsia="Courier New" w:hAnsi="Courier New"/>
                <w:sz w:val="17"/>
                <w:szCs w:val="17"/>
                <w:color w:val="auto"/>
              </w:rPr>
              <w:t>Income before loss on real estate to be sold</w:t>
            </w:r>
          </w:p>
        </w:tc>
        <w:tc>
          <w:tcPr>
            <w:tcW w:w="26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$0.39</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$0.31</w:t>
            </w:r>
          </w:p>
        </w:tc>
      </w:tr>
      <w:tr>
        <w:trPr>
          <w:trHeight w:val="392"/>
        </w:trPr>
        <w:tc>
          <w:tcPr>
            <w:tcW w:w="6160" w:type="dxa"/>
            <w:vAlign w:val="bottom"/>
          </w:tcPr>
          <w:p>
            <w:pPr>
              <w:ind w:left="200"/>
              <w:spacing w:after="0"/>
              <w:rPr>
                <w:sz w:val="20"/>
                <w:szCs w:val="20"/>
                <w:color w:val="auto"/>
              </w:rPr>
            </w:pPr>
            <w:r>
              <w:rPr>
                <w:rFonts w:ascii="Courier New" w:cs="Courier New" w:eastAsia="Courier New" w:hAnsi="Courier New"/>
                <w:sz w:val="17"/>
                <w:szCs w:val="17"/>
                <w:color w:val="auto"/>
              </w:rPr>
              <w:t>Loss on real estate to be sold</w:t>
            </w:r>
          </w:p>
        </w:tc>
        <w:tc>
          <w:tcPr>
            <w:tcW w:w="26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(0.02)</w:t>
            </w:r>
          </w:p>
        </w:tc>
        <w:tc>
          <w:tcPr>
            <w:tcW w:w="11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r>
      <w:tr>
        <w:trPr>
          <w:trHeight w:val="196"/>
        </w:trPr>
        <w:tc>
          <w:tcPr>
            <w:tcW w:w="6160" w:type="dxa"/>
            <w:vAlign w:val="bottom"/>
          </w:tcPr>
          <w:p>
            <w:pPr>
              <w:spacing w:after="0"/>
              <w:rPr>
                <w:sz w:val="17"/>
                <w:szCs w:val="17"/>
                <w:color w:val="auto"/>
              </w:rPr>
            </w:pPr>
          </w:p>
        </w:tc>
        <w:tc>
          <w:tcPr>
            <w:tcW w:w="26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160" w:type="dxa"/>
            <w:vAlign w:val="bottom"/>
          </w:tcPr>
          <w:p>
            <w:pPr>
              <w:spacing w:after="0"/>
              <w:rPr>
                <w:sz w:val="17"/>
                <w:szCs w:val="17"/>
                <w:color w:val="auto"/>
              </w:rPr>
            </w:pPr>
          </w:p>
        </w:tc>
        <w:tc>
          <w:tcPr>
            <w:tcW w:w="26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$0.37</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$0.31</w:t>
            </w:r>
          </w:p>
        </w:tc>
      </w:tr>
      <w:tr>
        <w:trPr>
          <w:trHeight w:val="196"/>
        </w:trPr>
        <w:tc>
          <w:tcPr>
            <w:tcW w:w="6160" w:type="dxa"/>
            <w:vAlign w:val="bottom"/>
          </w:tcPr>
          <w:p>
            <w:pPr>
              <w:spacing w:after="0"/>
              <w:rPr>
                <w:sz w:val="17"/>
                <w:szCs w:val="17"/>
                <w:color w:val="auto"/>
              </w:rPr>
            </w:pPr>
          </w:p>
        </w:tc>
        <w:tc>
          <w:tcPr>
            <w:tcW w:w="26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ectPr>
          <w:pgSz w:w="11900" w:h="16838" w:orient="portrait"/>
          <w:cols w:equalWidth="0" w:num="1">
            <w:col w:w="10000"/>
          </w:cols>
          <w:pgMar w:left="760" w:top="703" w:right="11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3"/>
        </w:trPr>
        <w:tc>
          <w:tcPr>
            <w:tcW w:w="5860" w:type="dxa"/>
            <w:vAlign w:val="bottom"/>
          </w:tcPr>
          <w:p>
            <w:pPr>
              <w:spacing w:after="0"/>
              <w:rPr>
                <w:sz w:val="20"/>
                <w:szCs w:val="20"/>
                <w:color w:val="auto"/>
              </w:rPr>
            </w:pPr>
            <w:r>
              <w:rPr>
                <w:rFonts w:ascii="Courier New" w:cs="Courier New" w:eastAsia="Courier New" w:hAnsi="Courier New"/>
                <w:sz w:val="17"/>
                <w:szCs w:val="17"/>
                <w:color w:val="auto"/>
              </w:rPr>
              <w:t>Federal Realty Investment Trust</w:t>
            </w:r>
          </w:p>
        </w:tc>
        <w:tc>
          <w:tcPr>
            <w:tcW w:w="2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2"/>
        </w:trPr>
        <w:tc>
          <w:tcPr>
            <w:tcW w:w="5860" w:type="dxa"/>
            <w:vAlign w:val="bottom"/>
          </w:tcPr>
          <w:p>
            <w:pPr>
              <w:spacing w:after="0"/>
              <w:rPr>
                <w:sz w:val="20"/>
                <w:szCs w:val="20"/>
                <w:color w:val="auto"/>
              </w:rPr>
            </w:pPr>
            <w:r>
              <w:rPr>
                <w:rFonts w:ascii="Courier New" w:cs="Courier New" w:eastAsia="Courier New" w:hAnsi="Courier New"/>
                <w:sz w:val="17"/>
                <w:szCs w:val="17"/>
                <w:color w:val="auto"/>
              </w:rPr>
              <w:t>CONSOLIDATED STATEMENTS OF OPERATIONS</w:t>
            </w:r>
          </w:p>
        </w:tc>
        <w:tc>
          <w:tcPr>
            <w:tcW w:w="2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5860" w:type="dxa"/>
            <w:vAlign w:val="bottom"/>
          </w:tcPr>
          <w:p>
            <w:pPr>
              <w:spacing w:after="0"/>
              <w:rPr>
                <w:sz w:val="20"/>
                <w:szCs w:val="20"/>
                <w:color w:val="auto"/>
              </w:rPr>
            </w:pPr>
            <w:r>
              <w:rPr>
                <w:rFonts w:ascii="Courier New" w:cs="Courier New" w:eastAsia="Courier New" w:hAnsi="Courier New"/>
                <w:sz w:val="17"/>
                <w:szCs w:val="17"/>
                <w:color w:val="auto"/>
              </w:rPr>
              <w:t>(see accountants' review report)</w:t>
            </w:r>
          </w:p>
        </w:tc>
        <w:tc>
          <w:tcPr>
            <w:tcW w:w="2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860" w:type="dxa"/>
            <w:vAlign w:val="bottom"/>
          </w:tcPr>
          <w:p>
            <w:pPr>
              <w:ind w:left="1720"/>
              <w:spacing w:after="0"/>
              <w:rPr>
                <w:sz w:val="20"/>
                <w:szCs w:val="20"/>
                <w:color w:val="auto"/>
              </w:rPr>
            </w:pPr>
            <w:r>
              <w:rPr>
                <w:rFonts w:ascii="Courier New" w:cs="Courier New" w:eastAsia="Courier New" w:hAnsi="Courier New"/>
                <w:sz w:val="17"/>
                <w:szCs w:val="17"/>
                <w:color w:val="auto"/>
              </w:rPr>
              <w:t>(unaudited)</w:t>
            </w:r>
          </w:p>
        </w:tc>
        <w:tc>
          <w:tcPr>
            <w:tcW w:w="2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860" w:type="dxa"/>
            <w:vAlign w:val="bottom"/>
          </w:tcPr>
          <w:p>
            <w:pPr>
              <w:spacing w:after="0"/>
              <w:rPr>
                <w:sz w:val="17"/>
                <w:szCs w:val="17"/>
                <w:color w:val="auto"/>
              </w:rPr>
            </w:pPr>
          </w:p>
        </w:tc>
        <w:tc>
          <w:tcPr>
            <w:tcW w:w="3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Three months ended June 30,</w:t>
            </w:r>
          </w:p>
        </w:tc>
      </w:tr>
      <w:tr>
        <w:trPr>
          <w:trHeight w:val="196"/>
        </w:trPr>
        <w:tc>
          <w:tcPr>
            <w:tcW w:w="5860" w:type="dxa"/>
            <w:vAlign w:val="bottom"/>
          </w:tcPr>
          <w:p>
            <w:pPr>
              <w:spacing w:after="0"/>
              <w:rPr>
                <w:sz w:val="17"/>
                <w:szCs w:val="17"/>
                <w:color w:val="auto"/>
              </w:rPr>
            </w:pPr>
          </w:p>
        </w:tc>
        <w:tc>
          <w:tcPr>
            <w:tcW w:w="23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1995</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1994</w:t>
            </w:r>
          </w:p>
        </w:tc>
      </w:tr>
      <w:tr>
        <w:trPr>
          <w:trHeight w:val="196"/>
        </w:trPr>
        <w:tc>
          <w:tcPr>
            <w:tcW w:w="5860" w:type="dxa"/>
            <w:vAlign w:val="bottom"/>
          </w:tcPr>
          <w:p>
            <w:pPr>
              <w:spacing w:after="0"/>
              <w:rPr>
                <w:sz w:val="17"/>
                <w:szCs w:val="17"/>
                <w:color w:val="auto"/>
              </w:rPr>
            </w:pPr>
          </w:p>
        </w:tc>
        <w:tc>
          <w:tcPr>
            <w:tcW w:w="23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60" w:type="dxa"/>
            <w:vAlign w:val="bottom"/>
          </w:tcPr>
          <w:p>
            <w:pPr>
              <w:spacing w:after="0"/>
              <w:rPr>
                <w:sz w:val="20"/>
                <w:szCs w:val="20"/>
                <w:color w:val="auto"/>
              </w:rPr>
            </w:pPr>
            <w:r>
              <w:rPr>
                <w:rFonts w:ascii="Courier New" w:cs="Courier New" w:eastAsia="Courier New" w:hAnsi="Courier New"/>
                <w:sz w:val="17"/>
                <w:szCs w:val="17"/>
                <w:color w:val="auto"/>
              </w:rPr>
              <w:t>(In thousands, except per share data)</w:t>
            </w:r>
          </w:p>
        </w:tc>
        <w:tc>
          <w:tcPr>
            <w:tcW w:w="2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92"/>
        </w:trPr>
        <w:tc>
          <w:tcPr>
            <w:tcW w:w="586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2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5860" w:type="dxa"/>
            <w:vAlign w:val="bottom"/>
          </w:tcPr>
          <w:p>
            <w:pPr>
              <w:ind w:left="200"/>
              <w:spacing w:after="0"/>
              <w:rPr>
                <w:sz w:val="20"/>
                <w:szCs w:val="20"/>
                <w:color w:val="auto"/>
              </w:rPr>
            </w:pPr>
            <w:r>
              <w:rPr>
                <w:rFonts w:ascii="Courier New" w:cs="Courier New" w:eastAsia="Courier New" w:hAnsi="Courier New"/>
                <w:sz w:val="17"/>
                <w:szCs w:val="17"/>
                <w:color w:val="auto"/>
              </w:rPr>
              <w:t>Rental income</w:t>
            </w:r>
          </w:p>
        </w:tc>
        <w:tc>
          <w:tcPr>
            <w:tcW w:w="23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$34,240</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$30,449</w:t>
            </w:r>
          </w:p>
        </w:tc>
      </w:tr>
      <w:tr>
        <w:trPr>
          <w:trHeight w:val="196"/>
        </w:trPr>
        <w:tc>
          <w:tcPr>
            <w:tcW w:w="5860" w:type="dxa"/>
            <w:vAlign w:val="bottom"/>
          </w:tcPr>
          <w:p>
            <w:pPr>
              <w:ind w:left="200"/>
              <w:spacing w:after="0"/>
              <w:rPr>
                <w:sz w:val="20"/>
                <w:szCs w:val="20"/>
                <w:color w:val="auto"/>
              </w:rPr>
            </w:pPr>
            <w:r>
              <w:rPr>
                <w:rFonts w:ascii="Courier New" w:cs="Courier New" w:eastAsia="Courier New" w:hAnsi="Courier New"/>
                <w:sz w:val="17"/>
                <w:szCs w:val="17"/>
                <w:color w:val="auto"/>
              </w:rPr>
              <w:t>Interest</w:t>
            </w:r>
          </w:p>
        </w:tc>
        <w:tc>
          <w:tcPr>
            <w:tcW w:w="23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887</w:t>
            </w:r>
          </w:p>
        </w:tc>
        <w:tc>
          <w:tcPr>
            <w:tcW w:w="1220" w:type="dxa"/>
            <w:vAlign w:val="bottom"/>
          </w:tcPr>
          <w:p>
            <w:pPr>
              <w:jc w:val="center"/>
              <w:ind w:left="415"/>
              <w:spacing w:after="0"/>
              <w:rPr>
                <w:sz w:val="20"/>
                <w:szCs w:val="20"/>
                <w:color w:val="auto"/>
              </w:rPr>
            </w:pPr>
            <w:r>
              <w:rPr>
                <w:rFonts w:ascii="Courier New" w:cs="Courier New" w:eastAsia="Courier New" w:hAnsi="Courier New"/>
                <w:sz w:val="17"/>
                <w:szCs w:val="17"/>
                <w:color w:val="auto"/>
              </w:rPr>
              <w:t>1,168</w:t>
            </w:r>
          </w:p>
        </w:tc>
      </w:tr>
      <w:tr>
        <w:trPr>
          <w:trHeight w:val="196"/>
        </w:trPr>
        <w:tc>
          <w:tcPr>
            <w:tcW w:w="5860" w:type="dxa"/>
            <w:vAlign w:val="bottom"/>
          </w:tcPr>
          <w:p>
            <w:pPr>
              <w:ind w:left="200"/>
              <w:spacing w:after="0"/>
              <w:rPr>
                <w:sz w:val="20"/>
                <w:szCs w:val="20"/>
                <w:color w:val="auto"/>
              </w:rPr>
            </w:pPr>
            <w:r>
              <w:rPr>
                <w:rFonts w:ascii="Courier New" w:cs="Courier New" w:eastAsia="Courier New" w:hAnsi="Courier New"/>
                <w:sz w:val="17"/>
                <w:szCs w:val="17"/>
                <w:color w:val="auto"/>
              </w:rPr>
              <w:t>Other income</w:t>
            </w:r>
          </w:p>
        </w:tc>
        <w:tc>
          <w:tcPr>
            <w:tcW w:w="23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1,862</w:t>
            </w:r>
          </w:p>
        </w:tc>
        <w:tc>
          <w:tcPr>
            <w:tcW w:w="1220" w:type="dxa"/>
            <w:vAlign w:val="bottom"/>
          </w:tcPr>
          <w:p>
            <w:pPr>
              <w:jc w:val="center"/>
              <w:ind w:left="415"/>
              <w:spacing w:after="0"/>
              <w:rPr>
                <w:sz w:val="20"/>
                <w:szCs w:val="20"/>
                <w:color w:val="auto"/>
              </w:rPr>
            </w:pPr>
            <w:r>
              <w:rPr>
                <w:rFonts w:ascii="Courier New" w:cs="Courier New" w:eastAsia="Courier New" w:hAnsi="Courier New"/>
                <w:sz w:val="17"/>
                <w:szCs w:val="17"/>
                <w:color w:val="auto"/>
              </w:rPr>
              <w:t>1,177</w:t>
            </w:r>
          </w:p>
        </w:tc>
      </w:tr>
      <w:tr>
        <w:trPr>
          <w:trHeight w:val="196"/>
        </w:trPr>
        <w:tc>
          <w:tcPr>
            <w:tcW w:w="5860" w:type="dxa"/>
            <w:vAlign w:val="bottom"/>
          </w:tcPr>
          <w:p>
            <w:pPr>
              <w:spacing w:after="0"/>
              <w:rPr>
                <w:sz w:val="17"/>
                <w:szCs w:val="17"/>
                <w:color w:val="auto"/>
              </w:rPr>
            </w:pPr>
          </w:p>
        </w:tc>
        <w:tc>
          <w:tcPr>
            <w:tcW w:w="23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center"/>
              <w:ind w:left="4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60" w:type="dxa"/>
            <w:vAlign w:val="bottom"/>
          </w:tcPr>
          <w:p>
            <w:pPr>
              <w:spacing w:after="0"/>
              <w:rPr>
                <w:sz w:val="17"/>
                <w:szCs w:val="17"/>
                <w:color w:val="auto"/>
              </w:rPr>
            </w:pPr>
          </w:p>
        </w:tc>
        <w:tc>
          <w:tcPr>
            <w:tcW w:w="23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36,989</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32,794</w:t>
            </w:r>
          </w:p>
        </w:tc>
      </w:tr>
      <w:tr>
        <w:trPr>
          <w:trHeight w:val="392"/>
        </w:trPr>
        <w:tc>
          <w:tcPr>
            <w:tcW w:w="586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2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5860" w:type="dxa"/>
            <w:vAlign w:val="bottom"/>
          </w:tcPr>
          <w:p>
            <w:pPr>
              <w:ind w:left="200"/>
              <w:spacing w:after="0"/>
              <w:rPr>
                <w:sz w:val="20"/>
                <w:szCs w:val="20"/>
                <w:color w:val="auto"/>
              </w:rPr>
            </w:pPr>
            <w:r>
              <w:rPr>
                <w:rFonts w:ascii="Courier New" w:cs="Courier New" w:eastAsia="Courier New" w:hAnsi="Courier New"/>
                <w:sz w:val="17"/>
                <w:szCs w:val="17"/>
                <w:color w:val="auto"/>
              </w:rPr>
              <w:t>Rental</w:t>
            </w:r>
          </w:p>
        </w:tc>
        <w:tc>
          <w:tcPr>
            <w:tcW w:w="23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8,264</w:t>
            </w:r>
          </w:p>
        </w:tc>
        <w:tc>
          <w:tcPr>
            <w:tcW w:w="1220" w:type="dxa"/>
            <w:vAlign w:val="bottom"/>
          </w:tcPr>
          <w:p>
            <w:pPr>
              <w:jc w:val="center"/>
              <w:ind w:left="415"/>
              <w:spacing w:after="0"/>
              <w:rPr>
                <w:sz w:val="20"/>
                <w:szCs w:val="20"/>
                <w:color w:val="auto"/>
              </w:rPr>
            </w:pPr>
            <w:r>
              <w:rPr>
                <w:rFonts w:ascii="Courier New" w:cs="Courier New" w:eastAsia="Courier New" w:hAnsi="Courier New"/>
                <w:sz w:val="17"/>
                <w:szCs w:val="17"/>
                <w:color w:val="auto"/>
              </w:rPr>
              <w:t>7,824</w:t>
            </w:r>
          </w:p>
        </w:tc>
      </w:tr>
      <w:tr>
        <w:trPr>
          <w:trHeight w:val="196"/>
        </w:trPr>
        <w:tc>
          <w:tcPr>
            <w:tcW w:w="5860" w:type="dxa"/>
            <w:vAlign w:val="bottom"/>
          </w:tcPr>
          <w:p>
            <w:pPr>
              <w:ind w:left="200"/>
              <w:spacing w:after="0"/>
              <w:rPr>
                <w:sz w:val="20"/>
                <w:szCs w:val="20"/>
                <w:color w:val="auto"/>
              </w:rPr>
            </w:pPr>
            <w:r>
              <w:rPr>
                <w:rFonts w:ascii="Courier New" w:cs="Courier New" w:eastAsia="Courier New" w:hAnsi="Courier New"/>
                <w:sz w:val="17"/>
                <w:szCs w:val="17"/>
                <w:color w:val="auto"/>
              </w:rPr>
              <w:t>Real estate taxes</w:t>
            </w:r>
          </w:p>
        </w:tc>
        <w:tc>
          <w:tcPr>
            <w:tcW w:w="23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3,588</w:t>
            </w:r>
          </w:p>
        </w:tc>
        <w:tc>
          <w:tcPr>
            <w:tcW w:w="1220" w:type="dxa"/>
            <w:vAlign w:val="bottom"/>
          </w:tcPr>
          <w:p>
            <w:pPr>
              <w:jc w:val="center"/>
              <w:ind w:left="415"/>
              <w:spacing w:after="0"/>
              <w:rPr>
                <w:sz w:val="20"/>
                <w:szCs w:val="20"/>
                <w:color w:val="auto"/>
              </w:rPr>
            </w:pPr>
            <w:r>
              <w:rPr>
                <w:rFonts w:ascii="Courier New" w:cs="Courier New" w:eastAsia="Courier New" w:hAnsi="Courier New"/>
                <w:sz w:val="17"/>
                <w:szCs w:val="17"/>
                <w:color w:val="auto"/>
              </w:rPr>
              <w:t>2,761</w:t>
            </w:r>
          </w:p>
        </w:tc>
      </w:tr>
      <w:tr>
        <w:trPr>
          <w:trHeight w:val="196"/>
        </w:trPr>
        <w:tc>
          <w:tcPr>
            <w:tcW w:w="5860" w:type="dxa"/>
            <w:vAlign w:val="bottom"/>
          </w:tcPr>
          <w:p>
            <w:pPr>
              <w:ind w:left="200"/>
              <w:spacing w:after="0"/>
              <w:rPr>
                <w:sz w:val="20"/>
                <w:szCs w:val="20"/>
                <w:color w:val="auto"/>
              </w:rPr>
            </w:pPr>
            <w:r>
              <w:rPr>
                <w:rFonts w:ascii="Courier New" w:cs="Courier New" w:eastAsia="Courier New" w:hAnsi="Courier New"/>
                <w:sz w:val="17"/>
                <w:szCs w:val="17"/>
                <w:color w:val="auto"/>
              </w:rPr>
              <w:t>Interest</w:t>
            </w:r>
          </w:p>
        </w:tc>
        <w:tc>
          <w:tcPr>
            <w:tcW w:w="23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9,559</w:t>
            </w:r>
          </w:p>
        </w:tc>
        <w:tc>
          <w:tcPr>
            <w:tcW w:w="1220" w:type="dxa"/>
            <w:vAlign w:val="bottom"/>
          </w:tcPr>
          <w:p>
            <w:pPr>
              <w:jc w:val="center"/>
              <w:ind w:left="415"/>
              <w:spacing w:after="0"/>
              <w:rPr>
                <w:sz w:val="20"/>
                <w:szCs w:val="20"/>
                <w:color w:val="auto"/>
              </w:rPr>
            </w:pPr>
            <w:r>
              <w:rPr>
                <w:rFonts w:ascii="Courier New" w:cs="Courier New" w:eastAsia="Courier New" w:hAnsi="Courier New"/>
                <w:sz w:val="17"/>
                <w:szCs w:val="17"/>
                <w:color w:val="auto"/>
              </w:rPr>
              <w:t>7,637</w:t>
            </w:r>
          </w:p>
        </w:tc>
      </w:tr>
      <w:tr>
        <w:trPr>
          <w:trHeight w:val="196"/>
        </w:trPr>
        <w:tc>
          <w:tcPr>
            <w:tcW w:w="5860" w:type="dxa"/>
            <w:vAlign w:val="bottom"/>
          </w:tcPr>
          <w:p>
            <w:pPr>
              <w:ind w:left="200"/>
              <w:spacing w:after="0"/>
              <w:rPr>
                <w:sz w:val="20"/>
                <w:szCs w:val="20"/>
                <w:color w:val="auto"/>
              </w:rPr>
            </w:pPr>
            <w:r>
              <w:rPr>
                <w:rFonts w:ascii="Courier New" w:cs="Courier New" w:eastAsia="Courier New" w:hAnsi="Courier New"/>
                <w:sz w:val="17"/>
                <w:szCs w:val="17"/>
                <w:color w:val="auto"/>
              </w:rPr>
              <w:t>Administrative</w:t>
            </w:r>
          </w:p>
        </w:tc>
        <w:tc>
          <w:tcPr>
            <w:tcW w:w="23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1,390</w:t>
            </w:r>
          </w:p>
        </w:tc>
        <w:tc>
          <w:tcPr>
            <w:tcW w:w="1220" w:type="dxa"/>
            <w:vAlign w:val="bottom"/>
          </w:tcPr>
          <w:p>
            <w:pPr>
              <w:jc w:val="center"/>
              <w:ind w:left="415"/>
              <w:spacing w:after="0"/>
              <w:rPr>
                <w:sz w:val="20"/>
                <w:szCs w:val="20"/>
                <w:color w:val="auto"/>
              </w:rPr>
            </w:pPr>
            <w:r>
              <w:rPr>
                <w:rFonts w:ascii="Courier New" w:cs="Courier New" w:eastAsia="Courier New" w:hAnsi="Courier New"/>
                <w:sz w:val="17"/>
                <w:szCs w:val="17"/>
                <w:color w:val="auto"/>
              </w:rPr>
              <w:t>1,803</w:t>
            </w:r>
          </w:p>
        </w:tc>
      </w:tr>
      <w:tr>
        <w:trPr>
          <w:trHeight w:val="196"/>
        </w:trPr>
        <w:tc>
          <w:tcPr>
            <w:tcW w:w="5860" w:type="dxa"/>
            <w:vAlign w:val="bottom"/>
          </w:tcPr>
          <w:p>
            <w:pPr>
              <w:ind w:left="200"/>
              <w:spacing w:after="0"/>
              <w:rPr>
                <w:sz w:val="20"/>
                <w:szCs w:val="20"/>
                <w:color w:val="auto"/>
              </w:rPr>
            </w:pPr>
            <w:r>
              <w:rPr>
                <w:rFonts w:ascii="Courier New" w:cs="Courier New" w:eastAsia="Courier New" w:hAnsi="Courier New"/>
                <w:sz w:val="17"/>
                <w:szCs w:val="17"/>
                <w:color w:val="auto"/>
              </w:rPr>
              <w:t>Depreciation and amortization</w:t>
            </w:r>
          </w:p>
        </w:tc>
        <w:tc>
          <w:tcPr>
            <w:tcW w:w="23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8,619</w:t>
            </w:r>
          </w:p>
        </w:tc>
        <w:tc>
          <w:tcPr>
            <w:tcW w:w="1220" w:type="dxa"/>
            <w:vAlign w:val="bottom"/>
          </w:tcPr>
          <w:p>
            <w:pPr>
              <w:jc w:val="center"/>
              <w:ind w:left="415"/>
              <w:spacing w:after="0"/>
              <w:rPr>
                <w:sz w:val="20"/>
                <w:szCs w:val="20"/>
                <w:color w:val="auto"/>
              </w:rPr>
            </w:pPr>
            <w:r>
              <w:rPr>
                <w:rFonts w:ascii="Courier New" w:cs="Courier New" w:eastAsia="Courier New" w:hAnsi="Courier New"/>
                <w:sz w:val="17"/>
                <w:szCs w:val="17"/>
                <w:color w:val="auto"/>
              </w:rPr>
              <w:t>7,269</w:t>
            </w:r>
          </w:p>
        </w:tc>
      </w:tr>
      <w:tr>
        <w:trPr>
          <w:trHeight w:val="196"/>
        </w:trPr>
        <w:tc>
          <w:tcPr>
            <w:tcW w:w="5860" w:type="dxa"/>
            <w:vAlign w:val="bottom"/>
          </w:tcPr>
          <w:p>
            <w:pPr>
              <w:spacing w:after="0"/>
              <w:rPr>
                <w:sz w:val="17"/>
                <w:szCs w:val="17"/>
                <w:color w:val="auto"/>
              </w:rPr>
            </w:pPr>
          </w:p>
        </w:tc>
        <w:tc>
          <w:tcPr>
            <w:tcW w:w="23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center"/>
              <w:ind w:left="4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60" w:type="dxa"/>
            <w:vAlign w:val="bottom"/>
          </w:tcPr>
          <w:p>
            <w:pPr>
              <w:spacing w:after="0"/>
              <w:rPr>
                <w:sz w:val="17"/>
                <w:szCs w:val="17"/>
                <w:color w:val="auto"/>
              </w:rPr>
            </w:pPr>
          </w:p>
        </w:tc>
        <w:tc>
          <w:tcPr>
            <w:tcW w:w="23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31,420</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27,294</w:t>
            </w:r>
          </w:p>
        </w:tc>
      </w:tr>
      <w:tr>
        <w:trPr>
          <w:trHeight w:val="196"/>
        </w:trPr>
        <w:tc>
          <w:tcPr>
            <w:tcW w:w="5860" w:type="dxa"/>
            <w:vAlign w:val="bottom"/>
          </w:tcPr>
          <w:p>
            <w:pPr>
              <w:spacing w:after="0"/>
              <w:rPr>
                <w:sz w:val="17"/>
                <w:szCs w:val="17"/>
                <w:color w:val="auto"/>
              </w:rPr>
            </w:pPr>
          </w:p>
        </w:tc>
        <w:tc>
          <w:tcPr>
            <w:tcW w:w="23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center"/>
              <w:ind w:left="4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60" w:type="dxa"/>
            <w:vAlign w:val="bottom"/>
          </w:tcPr>
          <w:p>
            <w:pPr>
              <w:spacing w:after="0"/>
              <w:rPr>
                <w:sz w:val="20"/>
                <w:szCs w:val="20"/>
                <w:color w:val="auto"/>
              </w:rPr>
            </w:pPr>
            <w:r>
              <w:rPr>
                <w:rFonts w:ascii="Courier New" w:cs="Courier New" w:eastAsia="Courier New" w:hAnsi="Courier New"/>
                <w:sz w:val="17"/>
                <w:szCs w:val="17"/>
                <w:color w:val="auto"/>
              </w:rPr>
              <w:t>Operating income before investors' share</w:t>
            </w:r>
          </w:p>
        </w:tc>
        <w:tc>
          <w:tcPr>
            <w:tcW w:w="2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860" w:type="dxa"/>
            <w:vAlign w:val="bottom"/>
          </w:tcPr>
          <w:p>
            <w:pPr>
              <w:ind w:left="200"/>
              <w:spacing w:after="0"/>
              <w:rPr>
                <w:sz w:val="20"/>
                <w:szCs w:val="20"/>
                <w:color w:val="auto"/>
              </w:rPr>
            </w:pPr>
            <w:r>
              <w:rPr>
                <w:rFonts w:ascii="Courier New" w:cs="Courier New" w:eastAsia="Courier New" w:hAnsi="Courier New"/>
                <w:sz w:val="17"/>
                <w:szCs w:val="17"/>
                <w:color w:val="auto"/>
              </w:rPr>
              <w:t>of operations and loss on real estate to be sold</w:t>
            </w:r>
          </w:p>
        </w:tc>
        <w:tc>
          <w:tcPr>
            <w:tcW w:w="23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5,569</w:t>
            </w:r>
          </w:p>
        </w:tc>
        <w:tc>
          <w:tcPr>
            <w:tcW w:w="1220" w:type="dxa"/>
            <w:vAlign w:val="bottom"/>
          </w:tcPr>
          <w:p>
            <w:pPr>
              <w:jc w:val="center"/>
              <w:ind w:left="415"/>
              <w:spacing w:after="0"/>
              <w:rPr>
                <w:sz w:val="20"/>
                <w:szCs w:val="20"/>
                <w:color w:val="auto"/>
              </w:rPr>
            </w:pPr>
            <w:r>
              <w:rPr>
                <w:rFonts w:ascii="Courier New" w:cs="Courier New" w:eastAsia="Courier New" w:hAnsi="Courier New"/>
                <w:sz w:val="17"/>
                <w:szCs w:val="17"/>
                <w:color w:val="auto"/>
              </w:rPr>
              <w:t>5,500</w:t>
            </w:r>
          </w:p>
        </w:tc>
      </w:tr>
      <w:tr>
        <w:trPr>
          <w:trHeight w:val="392"/>
        </w:trPr>
        <w:tc>
          <w:tcPr>
            <w:tcW w:w="5860" w:type="dxa"/>
            <w:vAlign w:val="bottom"/>
          </w:tcPr>
          <w:p>
            <w:pPr>
              <w:ind w:left="200"/>
              <w:spacing w:after="0"/>
              <w:rPr>
                <w:sz w:val="20"/>
                <w:szCs w:val="20"/>
                <w:color w:val="auto"/>
              </w:rPr>
            </w:pPr>
            <w:r>
              <w:rPr>
                <w:rFonts w:ascii="Courier New" w:cs="Courier New" w:eastAsia="Courier New" w:hAnsi="Courier New"/>
                <w:sz w:val="17"/>
                <w:szCs w:val="17"/>
                <w:color w:val="auto"/>
              </w:rPr>
              <w:t>Investors' share of operations</w:t>
            </w:r>
          </w:p>
        </w:tc>
        <w:tc>
          <w:tcPr>
            <w:tcW w:w="23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169</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(294)</w:t>
            </w:r>
          </w:p>
        </w:tc>
      </w:tr>
      <w:tr>
        <w:trPr>
          <w:trHeight w:val="196"/>
        </w:trPr>
        <w:tc>
          <w:tcPr>
            <w:tcW w:w="5860" w:type="dxa"/>
            <w:vAlign w:val="bottom"/>
          </w:tcPr>
          <w:p>
            <w:pPr>
              <w:spacing w:after="0"/>
              <w:rPr>
                <w:sz w:val="17"/>
                <w:szCs w:val="17"/>
                <w:color w:val="auto"/>
              </w:rPr>
            </w:pPr>
          </w:p>
        </w:tc>
        <w:tc>
          <w:tcPr>
            <w:tcW w:w="23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center"/>
              <w:ind w:left="415"/>
              <w:spacing w:after="0"/>
              <w:rPr>
                <w:sz w:val="20"/>
                <w:szCs w:val="20"/>
                <w:color w:val="auto"/>
              </w:rPr>
            </w:pPr>
            <w:r>
              <w:rPr>
                <w:rFonts w:ascii="Courier New" w:cs="Courier New" w:eastAsia="Courier New" w:hAnsi="Courier New"/>
                <w:sz w:val="17"/>
                <w:szCs w:val="17"/>
                <w:color w:val="auto"/>
              </w:rPr>
              <w:t>-------</w:t>
            </w:r>
          </w:p>
        </w:tc>
      </w:tr>
      <w:tr>
        <w:trPr>
          <w:trHeight w:val="392"/>
        </w:trPr>
        <w:tc>
          <w:tcPr>
            <w:tcW w:w="5860" w:type="dxa"/>
            <w:vAlign w:val="bottom"/>
          </w:tcPr>
          <w:p>
            <w:pPr>
              <w:spacing w:after="0"/>
              <w:rPr>
                <w:sz w:val="20"/>
                <w:szCs w:val="20"/>
                <w:color w:val="auto"/>
              </w:rPr>
            </w:pPr>
            <w:r>
              <w:rPr>
                <w:rFonts w:ascii="Courier New" w:cs="Courier New" w:eastAsia="Courier New" w:hAnsi="Courier New"/>
                <w:sz w:val="17"/>
                <w:szCs w:val="17"/>
                <w:color w:val="auto"/>
              </w:rPr>
              <w:t>Income before loss on real estate to be sold</w:t>
            </w:r>
          </w:p>
        </w:tc>
        <w:tc>
          <w:tcPr>
            <w:tcW w:w="23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5,738</w:t>
            </w:r>
          </w:p>
        </w:tc>
        <w:tc>
          <w:tcPr>
            <w:tcW w:w="1220" w:type="dxa"/>
            <w:vAlign w:val="bottom"/>
          </w:tcPr>
          <w:p>
            <w:pPr>
              <w:jc w:val="center"/>
              <w:ind w:left="415"/>
              <w:spacing w:after="0"/>
              <w:rPr>
                <w:sz w:val="20"/>
                <w:szCs w:val="20"/>
                <w:color w:val="auto"/>
              </w:rPr>
            </w:pPr>
            <w:r>
              <w:rPr>
                <w:rFonts w:ascii="Courier New" w:cs="Courier New" w:eastAsia="Courier New" w:hAnsi="Courier New"/>
                <w:sz w:val="17"/>
                <w:szCs w:val="17"/>
                <w:color w:val="auto"/>
              </w:rPr>
              <w:t>5,206</w:t>
            </w:r>
          </w:p>
        </w:tc>
      </w:tr>
      <w:tr>
        <w:trPr>
          <w:trHeight w:val="392"/>
        </w:trPr>
        <w:tc>
          <w:tcPr>
            <w:tcW w:w="5860" w:type="dxa"/>
            <w:vAlign w:val="bottom"/>
          </w:tcPr>
          <w:p>
            <w:pPr>
              <w:ind w:left="200"/>
              <w:spacing w:after="0"/>
              <w:rPr>
                <w:sz w:val="20"/>
                <w:szCs w:val="20"/>
                <w:color w:val="auto"/>
              </w:rPr>
            </w:pPr>
            <w:r>
              <w:rPr>
                <w:rFonts w:ascii="Courier New" w:cs="Courier New" w:eastAsia="Courier New" w:hAnsi="Courier New"/>
                <w:sz w:val="17"/>
                <w:szCs w:val="17"/>
                <w:color w:val="auto"/>
              </w:rPr>
              <w:t>Loss on real estate to be sold</w:t>
            </w:r>
          </w:p>
        </w:tc>
        <w:tc>
          <w:tcPr>
            <w:tcW w:w="23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(535)</w:t>
            </w:r>
          </w:p>
        </w:tc>
        <w:tc>
          <w:tcPr>
            <w:tcW w:w="1220" w:type="dxa"/>
            <w:vAlign w:val="bottom"/>
          </w:tcPr>
          <w:p>
            <w:pPr>
              <w:jc w:val="center"/>
              <w:ind w:left="43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5860" w:type="dxa"/>
            <w:vAlign w:val="bottom"/>
          </w:tcPr>
          <w:p>
            <w:pPr>
              <w:spacing w:after="0"/>
              <w:rPr>
                <w:sz w:val="17"/>
                <w:szCs w:val="17"/>
                <w:color w:val="auto"/>
              </w:rPr>
            </w:pPr>
          </w:p>
        </w:tc>
        <w:tc>
          <w:tcPr>
            <w:tcW w:w="23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center"/>
              <w:ind w:left="4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3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$5,203</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$5,206</w:t>
            </w:r>
          </w:p>
        </w:tc>
      </w:tr>
      <w:tr>
        <w:trPr>
          <w:trHeight w:val="196"/>
        </w:trPr>
        <w:tc>
          <w:tcPr>
            <w:tcW w:w="5860" w:type="dxa"/>
            <w:vAlign w:val="bottom"/>
          </w:tcPr>
          <w:p>
            <w:pPr>
              <w:spacing w:after="0"/>
              <w:rPr>
                <w:sz w:val="17"/>
                <w:szCs w:val="17"/>
                <w:color w:val="auto"/>
              </w:rPr>
            </w:pPr>
          </w:p>
        </w:tc>
        <w:tc>
          <w:tcPr>
            <w:tcW w:w="23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center"/>
              <w:ind w:left="415"/>
              <w:spacing w:after="0"/>
              <w:rPr>
                <w:sz w:val="20"/>
                <w:szCs w:val="20"/>
                <w:color w:val="auto"/>
              </w:rPr>
            </w:pPr>
            <w:r>
              <w:rPr>
                <w:rFonts w:ascii="Courier New" w:cs="Courier New" w:eastAsia="Courier New" w:hAnsi="Courier New"/>
                <w:sz w:val="17"/>
                <w:szCs w:val="17"/>
                <w:color w:val="auto"/>
              </w:rPr>
              <w:t>=======</w:t>
            </w:r>
          </w:p>
        </w:tc>
      </w:tr>
      <w:tr>
        <w:trPr>
          <w:trHeight w:val="392"/>
        </w:trPr>
        <w:tc>
          <w:tcPr>
            <w:tcW w:w="586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Shares</w:t>
            </w:r>
          </w:p>
        </w:tc>
        <w:tc>
          <w:tcPr>
            <w:tcW w:w="23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31,723</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31,351</w:t>
            </w:r>
          </w:p>
        </w:tc>
      </w:tr>
      <w:tr>
        <w:trPr>
          <w:trHeight w:val="196"/>
        </w:trPr>
        <w:tc>
          <w:tcPr>
            <w:tcW w:w="5860" w:type="dxa"/>
            <w:vAlign w:val="bottom"/>
          </w:tcPr>
          <w:p>
            <w:pPr>
              <w:spacing w:after="0"/>
              <w:rPr>
                <w:sz w:val="17"/>
                <w:szCs w:val="17"/>
                <w:color w:val="auto"/>
              </w:rPr>
            </w:pPr>
          </w:p>
        </w:tc>
        <w:tc>
          <w:tcPr>
            <w:tcW w:w="23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center"/>
              <w:ind w:left="415"/>
              <w:spacing w:after="0"/>
              <w:rPr>
                <w:sz w:val="20"/>
                <w:szCs w:val="20"/>
                <w:color w:val="auto"/>
              </w:rPr>
            </w:pPr>
            <w:r>
              <w:rPr>
                <w:rFonts w:ascii="Courier New" w:cs="Courier New" w:eastAsia="Courier New" w:hAnsi="Courier New"/>
                <w:sz w:val="17"/>
                <w:szCs w:val="17"/>
                <w:color w:val="auto"/>
              </w:rPr>
              <w:t>=======</w:t>
            </w:r>
          </w:p>
        </w:tc>
      </w:tr>
      <w:tr>
        <w:trPr>
          <w:trHeight w:val="589"/>
        </w:trPr>
        <w:tc>
          <w:tcPr>
            <w:tcW w:w="5860" w:type="dxa"/>
            <w:vAlign w:val="bottom"/>
          </w:tcPr>
          <w:p>
            <w:pPr>
              <w:spacing w:after="0"/>
              <w:rPr>
                <w:sz w:val="20"/>
                <w:szCs w:val="20"/>
                <w:color w:val="auto"/>
              </w:rPr>
            </w:pPr>
            <w:r>
              <w:rPr>
                <w:rFonts w:ascii="Courier New" w:cs="Courier New" w:eastAsia="Courier New" w:hAnsi="Courier New"/>
                <w:sz w:val="17"/>
                <w:szCs w:val="17"/>
                <w:color w:val="auto"/>
              </w:rPr>
              <w:t>Earnings per share</w:t>
            </w:r>
          </w:p>
        </w:tc>
        <w:tc>
          <w:tcPr>
            <w:tcW w:w="2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5860" w:type="dxa"/>
            <w:vAlign w:val="bottom"/>
          </w:tcPr>
          <w:p>
            <w:pPr>
              <w:ind w:left="200"/>
              <w:spacing w:after="0"/>
              <w:rPr>
                <w:sz w:val="20"/>
                <w:szCs w:val="20"/>
                <w:color w:val="auto"/>
              </w:rPr>
            </w:pPr>
            <w:r>
              <w:rPr>
                <w:rFonts w:ascii="Courier New" w:cs="Courier New" w:eastAsia="Courier New" w:hAnsi="Courier New"/>
                <w:sz w:val="17"/>
                <w:szCs w:val="17"/>
                <w:color w:val="auto"/>
              </w:rPr>
              <w:t>Income before loss on real estate to be sold</w:t>
            </w:r>
          </w:p>
        </w:tc>
        <w:tc>
          <w:tcPr>
            <w:tcW w:w="23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$0.18</w:t>
            </w:r>
          </w:p>
        </w:tc>
        <w:tc>
          <w:tcPr>
            <w:tcW w:w="1220" w:type="dxa"/>
            <w:vAlign w:val="bottom"/>
          </w:tcPr>
          <w:p>
            <w:pPr>
              <w:jc w:val="center"/>
              <w:ind w:left="415"/>
              <w:spacing w:after="0"/>
              <w:rPr>
                <w:sz w:val="20"/>
                <w:szCs w:val="20"/>
                <w:color w:val="auto"/>
              </w:rPr>
            </w:pPr>
            <w:r>
              <w:rPr>
                <w:rFonts w:ascii="Courier New" w:cs="Courier New" w:eastAsia="Courier New" w:hAnsi="Courier New"/>
                <w:sz w:val="17"/>
                <w:szCs w:val="17"/>
                <w:color w:val="auto"/>
              </w:rPr>
              <w:t>$0.17</w:t>
            </w:r>
          </w:p>
        </w:tc>
      </w:tr>
      <w:tr>
        <w:trPr>
          <w:trHeight w:val="196"/>
        </w:trPr>
        <w:tc>
          <w:tcPr>
            <w:tcW w:w="5860" w:type="dxa"/>
            <w:vAlign w:val="bottom"/>
          </w:tcPr>
          <w:p>
            <w:pPr>
              <w:ind w:left="200"/>
              <w:spacing w:after="0"/>
              <w:rPr>
                <w:sz w:val="20"/>
                <w:szCs w:val="20"/>
                <w:color w:val="auto"/>
              </w:rPr>
            </w:pPr>
            <w:r>
              <w:rPr>
                <w:rFonts w:ascii="Courier New" w:cs="Courier New" w:eastAsia="Courier New" w:hAnsi="Courier New"/>
                <w:sz w:val="17"/>
                <w:szCs w:val="17"/>
                <w:color w:val="auto"/>
              </w:rPr>
              <w:t>Loss on real estate to be sold</w:t>
            </w:r>
          </w:p>
        </w:tc>
        <w:tc>
          <w:tcPr>
            <w:tcW w:w="23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(0.02)</w:t>
            </w:r>
          </w:p>
        </w:tc>
        <w:tc>
          <w:tcPr>
            <w:tcW w:w="1220" w:type="dxa"/>
            <w:vAlign w:val="bottom"/>
          </w:tcPr>
          <w:p>
            <w:pPr>
              <w:jc w:val="center"/>
              <w:ind w:left="43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5860" w:type="dxa"/>
            <w:vAlign w:val="bottom"/>
          </w:tcPr>
          <w:p>
            <w:pPr>
              <w:spacing w:after="0"/>
              <w:rPr>
                <w:sz w:val="17"/>
                <w:szCs w:val="17"/>
                <w:color w:val="auto"/>
              </w:rPr>
            </w:pPr>
          </w:p>
        </w:tc>
        <w:tc>
          <w:tcPr>
            <w:tcW w:w="23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center"/>
              <w:ind w:left="4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60" w:type="dxa"/>
            <w:vAlign w:val="bottom"/>
          </w:tcPr>
          <w:p>
            <w:pPr>
              <w:spacing w:after="0"/>
              <w:rPr>
                <w:sz w:val="17"/>
                <w:szCs w:val="17"/>
                <w:color w:val="auto"/>
              </w:rPr>
            </w:pPr>
          </w:p>
        </w:tc>
        <w:tc>
          <w:tcPr>
            <w:tcW w:w="23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$0.16</w:t>
            </w:r>
          </w:p>
        </w:tc>
        <w:tc>
          <w:tcPr>
            <w:tcW w:w="1220" w:type="dxa"/>
            <w:vAlign w:val="bottom"/>
          </w:tcPr>
          <w:p>
            <w:pPr>
              <w:jc w:val="center"/>
              <w:ind w:left="415"/>
              <w:spacing w:after="0"/>
              <w:rPr>
                <w:sz w:val="20"/>
                <w:szCs w:val="20"/>
                <w:color w:val="auto"/>
              </w:rPr>
            </w:pPr>
            <w:r>
              <w:rPr>
                <w:rFonts w:ascii="Courier New" w:cs="Courier New" w:eastAsia="Courier New" w:hAnsi="Courier New"/>
                <w:sz w:val="17"/>
                <w:szCs w:val="17"/>
                <w:color w:val="auto"/>
              </w:rPr>
              <w:t>$0.17</w:t>
            </w:r>
          </w:p>
        </w:tc>
      </w:tr>
      <w:tr>
        <w:trPr>
          <w:trHeight w:val="196"/>
        </w:trPr>
        <w:tc>
          <w:tcPr>
            <w:tcW w:w="5860" w:type="dxa"/>
            <w:vAlign w:val="bottom"/>
          </w:tcPr>
          <w:p>
            <w:pPr>
              <w:spacing w:after="0"/>
              <w:rPr>
                <w:sz w:val="17"/>
                <w:szCs w:val="17"/>
                <w:color w:val="auto"/>
              </w:rPr>
            </w:pPr>
          </w:p>
        </w:tc>
        <w:tc>
          <w:tcPr>
            <w:tcW w:w="23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center"/>
              <w:ind w:left="4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ectPr>
          <w:pgSz w:w="11900" w:h="16838" w:orient="portrait"/>
          <w:cols w:equalWidth="0" w:num="1">
            <w:col w:w="9699"/>
          </w:cols>
          <w:pgMar w:left="760" w:top="703"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3"/>
        </w:trPr>
        <w:tc>
          <w:tcPr>
            <w:tcW w:w="5820" w:type="dxa"/>
            <w:vAlign w:val="bottom"/>
          </w:tcPr>
          <w:p>
            <w:pPr>
              <w:spacing w:after="0"/>
              <w:rPr>
                <w:sz w:val="20"/>
                <w:szCs w:val="20"/>
                <w:color w:val="auto"/>
              </w:rPr>
            </w:pPr>
            <w:r>
              <w:rPr>
                <w:rFonts w:ascii="Courier New" w:cs="Courier New" w:eastAsia="Courier New" w:hAnsi="Courier New"/>
                <w:sz w:val="17"/>
                <w:szCs w:val="17"/>
                <w:color w:val="auto"/>
              </w:rPr>
              <w:t>Federal Realty Investment Trust</w:t>
            </w:r>
          </w:p>
        </w:tc>
        <w:tc>
          <w:tcPr>
            <w:tcW w:w="1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92"/>
        </w:trPr>
        <w:tc>
          <w:tcPr>
            <w:tcW w:w="5820" w:type="dxa"/>
            <w:vAlign w:val="bottom"/>
          </w:tcPr>
          <w:p>
            <w:pPr>
              <w:spacing w:after="0"/>
              <w:rPr>
                <w:sz w:val="20"/>
                <w:szCs w:val="20"/>
                <w:color w:val="auto"/>
              </w:rPr>
            </w:pPr>
            <w:r>
              <w:rPr>
                <w:rFonts w:ascii="Courier New" w:cs="Courier New" w:eastAsia="Courier New" w:hAnsi="Courier New"/>
                <w:sz w:val="17"/>
                <w:szCs w:val="17"/>
                <w:color w:val="auto"/>
              </w:rPr>
              <w:t>CONSOLIDATED STATEMENTS OF SHAREHOLDERS' EQUITY</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6"/>
        </w:trPr>
        <w:tc>
          <w:tcPr>
            <w:tcW w:w="5820" w:type="dxa"/>
            <w:vAlign w:val="bottom"/>
          </w:tcPr>
          <w:p>
            <w:pPr>
              <w:spacing w:after="0"/>
              <w:rPr>
                <w:sz w:val="20"/>
                <w:szCs w:val="20"/>
                <w:color w:val="auto"/>
              </w:rPr>
            </w:pPr>
            <w:r>
              <w:rPr>
                <w:rFonts w:ascii="Courier New" w:cs="Courier New" w:eastAsia="Courier New" w:hAnsi="Courier New"/>
                <w:sz w:val="17"/>
                <w:szCs w:val="17"/>
                <w:color w:val="auto"/>
              </w:rPr>
              <w:t>(see accountants' review report)</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5820" w:type="dxa"/>
            <w:vAlign w:val="bottom"/>
          </w:tcPr>
          <w:p>
            <w:pPr>
              <w:ind w:left="2440"/>
              <w:spacing w:after="0"/>
              <w:rPr>
                <w:sz w:val="20"/>
                <w:szCs w:val="20"/>
                <w:color w:val="auto"/>
              </w:rPr>
            </w:pPr>
            <w:r>
              <w:rPr>
                <w:rFonts w:ascii="Courier New" w:cs="Courier New" w:eastAsia="Courier New" w:hAnsi="Courier New"/>
                <w:sz w:val="17"/>
                <w:szCs w:val="17"/>
                <w:color w:val="auto"/>
              </w:rPr>
              <w:t>(unaudited)</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5820" w:type="dxa"/>
            <w:vAlign w:val="bottom"/>
          </w:tcPr>
          <w:p>
            <w:pPr>
              <w:spacing w:after="0"/>
              <w:rPr>
                <w:sz w:val="17"/>
                <w:szCs w:val="17"/>
                <w:color w:val="auto"/>
              </w:rPr>
            </w:pPr>
          </w:p>
        </w:tc>
        <w:tc>
          <w:tcPr>
            <w:tcW w:w="4080" w:type="dxa"/>
            <w:vAlign w:val="bottom"/>
            <w:gridSpan w:val="3"/>
          </w:tcPr>
          <w:p>
            <w:pPr>
              <w:jc w:val="right"/>
              <w:ind w:right="735"/>
              <w:spacing w:after="0"/>
              <w:rPr>
                <w:sz w:val="20"/>
                <w:szCs w:val="20"/>
                <w:color w:val="auto"/>
              </w:rPr>
            </w:pPr>
            <w:r>
              <w:rPr>
                <w:rFonts w:ascii="Courier New" w:cs="Courier New" w:eastAsia="Courier New" w:hAnsi="Courier New"/>
                <w:sz w:val="17"/>
                <w:szCs w:val="17"/>
                <w:color w:val="auto"/>
              </w:rPr>
              <w:t>Six months ended June 30,</w:t>
            </w:r>
          </w:p>
        </w:tc>
        <w:tc>
          <w:tcPr>
            <w:tcW w:w="1100" w:type="dxa"/>
            <w:vAlign w:val="bottom"/>
          </w:tcPr>
          <w:p>
            <w:pPr>
              <w:spacing w:after="0"/>
              <w:rPr>
                <w:sz w:val="17"/>
                <w:szCs w:val="17"/>
                <w:color w:val="auto"/>
              </w:rPr>
            </w:pPr>
          </w:p>
        </w:tc>
      </w:tr>
      <w:tr>
        <w:trPr>
          <w:trHeight w:val="196"/>
        </w:trPr>
        <w:tc>
          <w:tcPr>
            <w:tcW w:w="5820" w:type="dxa"/>
            <w:vAlign w:val="bottom"/>
          </w:tcPr>
          <w:p>
            <w:pPr>
              <w:spacing w:after="0"/>
              <w:rPr>
                <w:sz w:val="17"/>
                <w:szCs w:val="17"/>
                <w:color w:val="auto"/>
              </w:rPr>
            </w:pPr>
          </w:p>
        </w:tc>
        <w:tc>
          <w:tcPr>
            <w:tcW w:w="14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1995</w:t>
            </w:r>
          </w:p>
        </w:tc>
        <w:tc>
          <w:tcPr>
            <w:tcW w:w="1380" w:type="dxa"/>
            <w:vAlign w:val="bottom"/>
          </w:tcPr>
          <w:p>
            <w:pPr>
              <w:spacing w:after="0"/>
              <w:rPr>
                <w:sz w:val="17"/>
                <w:szCs w:val="17"/>
                <w:color w:val="auto"/>
              </w:rPr>
            </w:pPr>
          </w:p>
        </w:tc>
        <w:tc>
          <w:tcPr>
            <w:tcW w:w="12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1994</w:t>
            </w:r>
          </w:p>
        </w:tc>
        <w:tc>
          <w:tcPr>
            <w:tcW w:w="1100" w:type="dxa"/>
            <w:vAlign w:val="bottom"/>
          </w:tcPr>
          <w:p>
            <w:pPr>
              <w:spacing w:after="0"/>
              <w:rPr>
                <w:sz w:val="17"/>
                <w:szCs w:val="17"/>
                <w:color w:val="auto"/>
              </w:rPr>
            </w:pPr>
          </w:p>
        </w:tc>
      </w:tr>
      <w:tr>
        <w:trPr>
          <w:trHeight w:val="196"/>
        </w:trPr>
        <w:tc>
          <w:tcPr>
            <w:tcW w:w="5820" w:type="dxa"/>
            <w:vAlign w:val="bottom"/>
          </w:tcPr>
          <w:p>
            <w:pPr>
              <w:spacing w:after="0"/>
              <w:rPr>
                <w:sz w:val="17"/>
                <w:szCs w:val="17"/>
                <w:color w:val="auto"/>
              </w:rPr>
            </w:pPr>
          </w:p>
        </w:tc>
        <w:tc>
          <w:tcPr>
            <w:tcW w:w="142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20" w:type="dxa"/>
            <w:vAlign w:val="bottom"/>
          </w:tcPr>
          <w:p>
            <w:pPr>
              <w:spacing w:after="0"/>
              <w:rPr>
                <w:sz w:val="20"/>
                <w:szCs w:val="20"/>
                <w:color w:val="auto"/>
              </w:rPr>
            </w:pPr>
            <w:r>
              <w:rPr>
                <w:rFonts w:ascii="Courier New" w:cs="Courier New" w:eastAsia="Courier New" w:hAnsi="Courier New"/>
                <w:sz w:val="17"/>
                <w:szCs w:val="17"/>
                <w:color w:val="auto"/>
              </w:rPr>
              <w:t>(In thousands, except per share amounts)</w:t>
            </w: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Shares</w:t>
            </w: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Amount</w:t>
            </w:r>
          </w:p>
        </w:tc>
        <w:tc>
          <w:tcPr>
            <w:tcW w:w="1280" w:type="dxa"/>
            <w:vAlign w:val="bottom"/>
          </w:tcPr>
          <w:p>
            <w:pPr>
              <w:ind w:left="260"/>
              <w:spacing w:after="0"/>
              <w:rPr>
                <w:sz w:val="20"/>
                <w:szCs w:val="20"/>
                <w:color w:val="auto"/>
              </w:rPr>
            </w:pPr>
            <w:r>
              <w:rPr>
                <w:rFonts w:ascii="Courier New" w:cs="Courier New" w:eastAsia="Courier New" w:hAnsi="Courier New"/>
                <w:sz w:val="17"/>
                <w:szCs w:val="17"/>
                <w:color w:val="auto"/>
              </w:rPr>
              <w:t>Shares</w:t>
            </w:r>
          </w:p>
        </w:tc>
        <w:tc>
          <w:tcPr>
            <w:tcW w:w="11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Amount</w:t>
            </w:r>
          </w:p>
        </w:tc>
      </w:tr>
      <w:tr>
        <w:trPr>
          <w:trHeight w:val="392"/>
        </w:trPr>
        <w:tc>
          <w:tcPr>
            <w:tcW w:w="5820" w:type="dxa"/>
            <w:vAlign w:val="bottom"/>
          </w:tcPr>
          <w:p>
            <w:pPr>
              <w:spacing w:after="0"/>
              <w:rPr>
                <w:sz w:val="20"/>
                <w:szCs w:val="20"/>
                <w:color w:val="auto"/>
              </w:rPr>
            </w:pPr>
            <w:r>
              <w:rPr>
                <w:rFonts w:ascii="Courier New" w:cs="Courier New" w:eastAsia="Courier New" w:hAnsi="Courier New"/>
                <w:sz w:val="17"/>
                <w:szCs w:val="17"/>
                <w:color w:val="auto"/>
              </w:rPr>
              <w:t>Common Shares of Beneficial Interest</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6"/>
        </w:trPr>
        <w:tc>
          <w:tcPr>
            <w:tcW w:w="5820" w:type="dxa"/>
            <w:vAlign w:val="bottom"/>
          </w:tcPr>
          <w:p>
            <w:pPr>
              <w:ind w:left="200"/>
              <w:spacing w:after="0"/>
              <w:rPr>
                <w:sz w:val="20"/>
                <w:szCs w:val="20"/>
                <w:color w:val="auto"/>
              </w:rPr>
            </w:pPr>
            <w:r>
              <w:rPr>
                <w:rFonts w:ascii="Courier New" w:cs="Courier New" w:eastAsia="Courier New" w:hAnsi="Courier New"/>
                <w:sz w:val="17"/>
                <w:szCs w:val="17"/>
                <w:color w:val="auto"/>
              </w:rPr>
              <w:t>Balance, beginning of period</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31,669,434</w:t>
            </w:r>
          </w:p>
        </w:tc>
        <w:tc>
          <w:tcPr>
            <w:tcW w:w="1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$496,958</w:t>
            </w: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28,077,999</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$408,005</w:t>
            </w:r>
          </w:p>
        </w:tc>
      </w:tr>
      <w:tr>
        <w:trPr>
          <w:trHeight w:val="196"/>
        </w:trPr>
        <w:tc>
          <w:tcPr>
            <w:tcW w:w="5820" w:type="dxa"/>
            <w:vAlign w:val="bottom"/>
          </w:tcPr>
          <w:p>
            <w:pPr>
              <w:ind w:left="200"/>
              <w:spacing w:after="0"/>
              <w:rPr>
                <w:sz w:val="20"/>
                <w:szCs w:val="20"/>
                <w:color w:val="auto"/>
              </w:rPr>
            </w:pPr>
            <w:r>
              <w:rPr>
                <w:rFonts w:ascii="Courier New" w:cs="Courier New" w:eastAsia="Courier New" w:hAnsi="Courier New"/>
                <w:sz w:val="17"/>
                <w:szCs w:val="17"/>
                <w:color w:val="auto"/>
              </w:rPr>
              <w:t>Exercise of stock options</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7,744</w:t>
            </w:r>
          </w:p>
        </w:tc>
        <w:tc>
          <w:tcPr>
            <w:tcW w:w="1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122</w:t>
            </w: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18,716</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406</w:t>
            </w:r>
          </w:p>
        </w:tc>
      </w:tr>
      <w:tr>
        <w:trPr>
          <w:trHeight w:val="196"/>
        </w:trPr>
        <w:tc>
          <w:tcPr>
            <w:tcW w:w="5820" w:type="dxa"/>
            <w:vAlign w:val="bottom"/>
          </w:tcPr>
          <w:p>
            <w:pPr>
              <w:ind w:left="200"/>
              <w:spacing w:after="0"/>
              <w:rPr>
                <w:sz w:val="20"/>
                <w:szCs w:val="20"/>
                <w:color w:val="auto"/>
              </w:rPr>
            </w:pPr>
            <w:r>
              <w:rPr>
                <w:rFonts w:ascii="Courier New" w:cs="Courier New" w:eastAsia="Courier New" w:hAnsi="Courier New"/>
                <w:sz w:val="17"/>
                <w:szCs w:val="17"/>
                <w:color w:val="auto"/>
              </w:rPr>
              <w:t>Shares issued under dividend reinvestment plan</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96,754</w:t>
            </w:r>
          </w:p>
        </w:tc>
        <w:tc>
          <w:tcPr>
            <w:tcW w:w="1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2,024</w:t>
            </w: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73,520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1,864</w:t>
            </w:r>
          </w:p>
        </w:tc>
      </w:tr>
      <w:tr>
        <w:trPr>
          <w:trHeight w:val="196"/>
        </w:trPr>
        <w:tc>
          <w:tcPr>
            <w:tcW w:w="5820" w:type="dxa"/>
            <w:vAlign w:val="bottom"/>
          </w:tcPr>
          <w:p>
            <w:pPr>
              <w:ind w:left="200"/>
              <w:spacing w:after="0"/>
              <w:rPr>
                <w:sz w:val="20"/>
                <w:szCs w:val="20"/>
                <w:color w:val="auto"/>
              </w:rPr>
            </w:pPr>
            <w:r>
              <w:rPr>
                <w:rFonts w:ascii="Courier New" w:cs="Courier New" w:eastAsia="Courier New" w:hAnsi="Courier New"/>
                <w:sz w:val="17"/>
                <w:szCs w:val="17"/>
                <w:color w:val="auto"/>
              </w:rPr>
              <w:t>Conversion of 5 1/4% subordinated debentures, net</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1,729</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64</w:t>
            </w:r>
          </w:p>
        </w:tc>
      </w:tr>
      <w:tr>
        <w:trPr>
          <w:trHeight w:val="196"/>
        </w:trPr>
        <w:tc>
          <w:tcPr>
            <w:tcW w:w="5820" w:type="dxa"/>
            <w:vAlign w:val="bottom"/>
          </w:tcPr>
          <w:p>
            <w:pPr>
              <w:ind w:left="200"/>
              <w:spacing w:after="0"/>
              <w:rPr>
                <w:sz w:val="20"/>
                <w:szCs w:val="20"/>
                <w:color w:val="auto"/>
              </w:rPr>
            </w:pPr>
            <w:r>
              <w:rPr>
                <w:rFonts w:ascii="Courier New" w:cs="Courier New" w:eastAsia="Courier New" w:hAnsi="Courier New"/>
                <w:sz w:val="17"/>
                <w:szCs w:val="17"/>
                <w:color w:val="auto"/>
              </w:rPr>
              <w:t>Shares purchased under share purchase plan</w:t>
            </w: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40,000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r>
      <w:tr>
        <w:trPr>
          <w:trHeight w:val="196"/>
        </w:trPr>
        <w:tc>
          <w:tcPr>
            <w:tcW w:w="5820" w:type="dxa"/>
            <w:vAlign w:val="bottom"/>
          </w:tcPr>
          <w:p>
            <w:pPr>
              <w:ind w:left="200"/>
              <w:spacing w:after="0"/>
              <w:rPr>
                <w:sz w:val="20"/>
                <w:szCs w:val="20"/>
                <w:color w:val="auto"/>
              </w:rPr>
            </w:pPr>
            <w:r>
              <w:rPr>
                <w:rFonts w:ascii="Courier New" w:cs="Courier New" w:eastAsia="Courier New" w:hAnsi="Courier New"/>
                <w:sz w:val="17"/>
                <w:szCs w:val="17"/>
                <w:color w:val="auto"/>
              </w:rPr>
              <w:t>Net proceeds of public offering and private placement</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3,340,000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82,963</w:t>
            </w:r>
          </w:p>
        </w:tc>
      </w:tr>
      <w:tr>
        <w:trPr>
          <w:trHeight w:val="196"/>
        </w:trPr>
        <w:tc>
          <w:tcPr>
            <w:tcW w:w="5820" w:type="dxa"/>
            <w:vAlign w:val="bottom"/>
          </w:tcPr>
          <w:p>
            <w:pPr>
              <w:spacing w:after="0"/>
              <w:rPr>
                <w:sz w:val="17"/>
                <w:szCs w:val="17"/>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820" w:type="dxa"/>
            <w:vAlign w:val="bottom"/>
          </w:tcPr>
          <w:p>
            <w:pPr>
              <w:ind w:left="200"/>
              <w:spacing w:after="0"/>
              <w:rPr>
                <w:sz w:val="20"/>
                <w:szCs w:val="20"/>
                <w:color w:val="auto"/>
              </w:rPr>
            </w:pPr>
            <w:r>
              <w:rPr>
                <w:rFonts w:ascii="Courier New" w:cs="Courier New" w:eastAsia="Courier New" w:hAnsi="Courier New"/>
                <w:sz w:val="17"/>
                <w:szCs w:val="17"/>
                <w:color w:val="auto"/>
              </w:rPr>
              <w:t>Balance, end of period</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31,773,932</w:t>
            </w:r>
          </w:p>
        </w:tc>
        <w:tc>
          <w:tcPr>
            <w:tcW w:w="1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$499,104</w:t>
            </w: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31,551,964</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$494,302</w:t>
            </w:r>
          </w:p>
        </w:tc>
      </w:tr>
      <w:tr>
        <w:trPr>
          <w:trHeight w:val="196"/>
        </w:trPr>
        <w:tc>
          <w:tcPr>
            <w:tcW w:w="5820" w:type="dxa"/>
            <w:vAlign w:val="bottom"/>
          </w:tcPr>
          <w:p>
            <w:pPr>
              <w:spacing w:after="0"/>
              <w:rPr>
                <w:sz w:val="17"/>
                <w:szCs w:val="17"/>
                <w:color w:val="auto"/>
              </w:rPr>
            </w:pPr>
          </w:p>
        </w:tc>
        <w:tc>
          <w:tcPr>
            <w:tcW w:w="14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820" w:type="dxa"/>
            <w:vAlign w:val="bottom"/>
          </w:tcPr>
          <w:p>
            <w:pPr>
              <w:spacing w:after="0"/>
              <w:rPr>
                <w:sz w:val="20"/>
                <w:szCs w:val="20"/>
                <w:color w:val="auto"/>
              </w:rPr>
            </w:pPr>
            <w:r>
              <w:rPr>
                <w:rFonts w:ascii="Courier New" w:cs="Courier New" w:eastAsia="Courier New" w:hAnsi="Courier New"/>
                <w:sz w:val="17"/>
                <w:szCs w:val="17"/>
                <w:color w:val="auto"/>
              </w:rPr>
              <w:t>Common Shares of Beneficial Interest</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6"/>
        </w:trPr>
        <w:tc>
          <w:tcPr>
            <w:tcW w:w="5820" w:type="dxa"/>
            <w:vAlign w:val="bottom"/>
          </w:tcPr>
          <w:p>
            <w:pPr>
              <w:ind w:left="400"/>
              <w:spacing w:after="0"/>
              <w:rPr>
                <w:sz w:val="20"/>
                <w:szCs w:val="20"/>
                <w:color w:val="auto"/>
              </w:rPr>
            </w:pPr>
            <w:r>
              <w:rPr>
                <w:rFonts w:ascii="Courier New" w:cs="Courier New" w:eastAsia="Courier New" w:hAnsi="Courier New"/>
                <w:sz w:val="17"/>
                <w:szCs w:val="17"/>
                <w:color w:val="auto"/>
              </w:rPr>
              <w:t>in Treasury, Deferred Compensation and</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5820" w:type="dxa"/>
            <w:vAlign w:val="bottom"/>
          </w:tcPr>
          <w:p>
            <w:pPr>
              <w:ind w:left="400"/>
              <w:spacing w:after="0"/>
              <w:rPr>
                <w:sz w:val="20"/>
                <w:szCs w:val="20"/>
                <w:color w:val="auto"/>
              </w:rPr>
            </w:pPr>
            <w:r>
              <w:rPr>
                <w:rFonts w:ascii="Courier New" w:cs="Courier New" w:eastAsia="Courier New" w:hAnsi="Courier New"/>
                <w:sz w:val="17"/>
                <w:szCs w:val="17"/>
                <w:color w:val="auto"/>
              </w:rPr>
              <w:t>Subscriptions Receivable</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5820" w:type="dxa"/>
            <w:vAlign w:val="bottom"/>
          </w:tcPr>
          <w:p>
            <w:pPr>
              <w:ind w:left="200"/>
              <w:spacing w:after="0"/>
              <w:rPr>
                <w:sz w:val="20"/>
                <w:szCs w:val="20"/>
                <w:color w:val="auto"/>
              </w:rPr>
            </w:pPr>
            <w:r>
              <w:rPr>
                <w:rFonts w:ascii="Courier New" w:cs="Courier New" w:eastAsia="Courier New" w:hAnsi="Courier New"/>
                <w:sz w:val="17"/>
                <w:szCs w:val="17"/>
                <w:color w:val="auto"/>
              </w:rPr>
              <w:t>Balance, beginning of period</w:t>
            </w:r>
          </w:p>
        </w:tc>
        <w:tc>
          <w:tcPr>
            <w:tcW w:w="14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(434,700)</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($7,197)</w:t>
            </w:r>
          </w:p>
        </w:tc>
        <w:tc>
          <w:tcPr>
            <w:tcW w:w="12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(422,575)</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($6,619)</w:t>
            </w:r>
          </w:p>
        </w:tc>
      </w:tr>
      <w:tr>
        <w:trPr>
          <w:trHeight w:val="196"/>
        </w:trPr>
        <w:tc>
          <w:tcPr>
            <w:tcW w:w="5820" w:type="dxa"/>
            <w:vAlign w:val="bottom"/>
          </w:tcPr>
          <w:p>
            <w:pPr>
              <w:ind w:left="200"/>
              <w:spacing w:after="0"/>
              <w:rPr>
                <w:sz w:val="20"/>
                <w:szCs w:val="20"/>
                <w:color w:val="auto"/>
              </w:rPr>
            </w:pPr>
            <w:r>
              <w:rPr>
                <w:rFonts w:ascii="Courier New" w:cs="Courier New" w:eastAsia="Courier New" w:hAnsi="Courier New"/>
                <w:sz w:val="17"/>
                <w:szCs w:val="17"/>
                <w:color w:val="auto"/>
              </w:rPr>
              <w:t>Amortization of deferred compensation</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32,875</w:t>
            </w:r>
          </w:p>
        </w:tc>
        <w:tc>
          <w:tcPr>
            <w:tcW w:w="1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546</w:t>
            </w: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27,875</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422</w:t>
            </w:r>
          </w:p>
        </w:tc>
      </w:tr>
      <w:tr>
        <w:trPr>
          <w:trHeight w:val="196"/>
        </w:trPr>
        <w:tc>
          <w:tcPr>
            <w:tcW w:w="5820" w:type="dxa"/>
            <w:vAlign w:val="bottom"/>
          </w:tcPr>
          <w:p>
            <w:pPr>
              <w:ind w:left="200"/>
              <w:spacing w:after="0"/>
              <w:rPr>
                <w:sz w:val="20"/>
                <w:szCs w:val="20"/>
                <w:color w:val="auto"/>
              </w:rPr>
            </w:pPr>
            <w:r>
              <w:rPr>
                <w:rFonts w:ascii="Courier New" w:cs="Courier New" w:eastAsia="Courier New" w:hAnsi="Courier New"/>
                <w:sz w:val="17"/>
                <w:szCs w:val="17"/>
                <w:color w:val="auto"/>
              </w:rPr>
              <w:t>Subscription of shares under share purchase plan</w:t>
            </w: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(40,000)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r>
      <w:tr>
        <w:trPr>
          <w:trHeight w:val="196"/>
        </w:trPr>
        <w:tc>
          <w:tcPr>
            <w:tcW w:w="5820" w:type="dxa"/>
            <w:vAlign w:val="bottom"/>
          </w:tcPr>
          <w:p>
            <w:pPr>
              <w:spacing w:after="0"/>
              <w:rPr>
                <w:sz w:val="17"/>
                <w:szCs w:val="17"/>
                <w:color w:val="auto"/>
              </w:rPr>
            </w:pPr>
          </w:p>
        </w:tc>
        <w:tc>
          <w:tcPr>
            <w:tcW w:w="14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820" w:type="dxa"/>
            <w:vAlign w:val="bottom"/>
          </w:tcPr>
          <w:p>
            <w:pPr>
              <w:ind w:left="200"/>
              <w:spacing w:after="0"/>
              <w:rPr>
                <w:sz w:val="20"/>
                <w:szCs w:val="20"/>
                <w:color w:val="auto"/>
              </w:rPr>
            </w:pPr>
            <w:r>
              <w:rPr>
                <w:rFonts w:ascii="Courier New" w:cs="Courier New" w:eastAsia="Courier New" w:hAnsi="Courier New"/>
                <w:sz w:val="17"/>
                <w:szCs w:val="17"/>
                <w:color w:val="auto"/>
              </w:rPr>
              <w:t>Balance, end of period</w:t>
            </w:r>
          </w:p>
        </w:tc>
        <w:tc>
          <w:tcPr>
            <w:tcW w:w="14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(401,825)</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($6,651)</w:t>
            </w:r>
          </w:p>
        </w:tc>
        <w:tc>
          <w:tcPr>
            <w:tcW w:w="12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(434,700)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($7,197)</w:t>
            </w:r>
          </w:p>
        </w:tc>
      </w:tr>
      <w:tr>
        <w:trPr>
          <w:trHeight w:val="196"/>
        </w:trPr>
        <w:tc>
          <w:tcPr>
            <w:tcW w:w="5820" w:type="dxa"/>
            <w:vAlign w:val="bottom"/>
          </w:tcPr>
          <w:p>
            <w:pPr>
              <w:spacing w:after="0"/>
              <w:rPr>
                <w:sz w:val="17"/>
                <w:szCs w:val="17"/>
                <w:color w:val="auto"/>
              </w:rPr>
            </w:pPr>
          </w:p>
        </w:tc>
        <w:tc>
          <w:tcPr>
            <w:tcW w:w="14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820" w:type="dxa"/>
            <w:vAlign w:val="bottom"/>
          </w:tcPr>
          <w:p>
            <w:pPr>
              <w:spacing w:after="0"/>
              <w:rPr>
                <w:sz w:val="20"/>
                <w:szCs w:val="20"/>
                <w:color w:val="auto"/>
              </w:rPr>
            </w:pPr>
            <w:r>
              <w:rPr>
                <w:rFonts w:ascii="Courier New" w:cs="Courier New" w:eastAsia="Courier New" w:hAnsi="Courier New"/>
                <w:sz w:val="17"/>
                <w:szCs w:val="17"/>
                <w:color w:val="auto"/>
              </w:rPr>
              <w:t>Allowance for Unrealized Loss on Marketable Securities</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6"/>
        </w:trPr>
        <w:tc>
          <w:tcPr>
            <w:tcW w:w="5820" w:type="dxa"/>
            <w:vAlign w:val="bottom"/>
          </w:tcPr>
          <w:p>
            <w:pPr>
              <w:ind w:left="200"/>
              <w:spacing w:after="0"/>
              <w:rPr>
                <w:sz w:val="20"/>
                <w:szCs w:val="20"/>
                <w:color w:val="auto"/>
              </w:rPr>
            </w:pPr>
            <w:r>
              <w:rPr>
                <w:rFonts w:ascii="Courier New" w:cs="Courier New" w:eastAsia="Courier New" w:hAnsi="Courier New"/>
                <w:sz w:val="17"/>
                <w:szCs w:val="17"/>
                <w:color w:val="auto"/>
              </w:rPr>
              <w:t>Balance, beginning of period</w:t>
            </w:r>
          </w:p>
        </w:tc>
        <w:tc>
          <w:tcPr>
            <w:tcW w:w="1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($53)</w:t>
            </w:r>
          </w:p>
        </w:tc>
        <w:tc>
          <w:tcPr>
            <w:tcW w:w="1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($364)</w:t>
            </w:r>
          </w:p>
        </w:tc>
      </w:tr>
      <w:tr>
        <w:trPr>
          <w:trHeight w:val="196"/>
        </w:trPr>
        <w:tc>
          <w:tcPr>
            <w:tcW w:w="5820" w:type="dxa"/>
            <w:vAlign w:val="bottom"/>
          </w:tcPr>
          <w:p>
            <w:pPr>
              <w:ind w:left="200"/>
              <w:spacing w:after="0"/>
              <w:rPr>
                <w:sz w:val="20"/>
                <w:szCs w:val="20"/>
                <w:color w:val="auto"/>
              </w:rPr>
            </w:pPr>
            <w:r>
              <w:rPr>
                <w:rFonts w:ascii="Courier New" w:cs="Courier New" w:eastAsia="Courier New" w:hAnsi="Courier New"/>
                <w:sz w:val="17"/>
                <w:szCs w:val="17"/>
                <w:color w:val="auto"/>
              </w:rPr>
              <w:t>Unrealized (loss ) recovery</w:t>
            </w:r>
          </w:p>
        </w:tc>
        <w:tc>
          <w:tcPr>
            <w:tcW w:w="1420" w:type="dxa"/>
            <w:vAlign w:val="bottom"/>
          </w:tcPr>
          <w:p>
            <w:pPr>
              <w:spacing w:after="0"/>
              <w:rPr>
                <w:sz w:val="17"/>
                <w:szCs w:val="17"/>
                <w:color w:val="auto"/>
              </w:rPr>
            </w:pPr>
          </w:p>
        </w:tc>
        <w:tc>
          <w:tcPr>
            <w:tcW w:w="1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42</w:t>
            </w:r>
          </w:p>
        </w:tc>
        <w:tc>
          <w:tcPr>
            <w:tcW w:w="1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(122)</w:t>
            </w:r>
          </w:p>
        </w:tc>
      </w:tr>
      <w:tr>
        <w:trPr>
          <w:trHeight w:val="196"/>
        </w:trPr>
        <w:tc>
          <w:tcPr>
            <w:tcW w:w="5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820" w:type="dxa"/>
            <w:vAlign w:val="bottom"/>
          </w:tcPr>
          <w:p>
            <w:pPr>
              <w:ind w:left="200"/>
              <w:spacing w:after="0"/>
              <w:rPr>
                <w:sz w:val="20"/>
                <w:szCs w:val="20"/>
                <w:color w:val="auto"/>
              </w:rPr>
            </w:pPr>
            <w:r>
              <w:rPr>
                <w:rFonts w:ascii="Courier New" w:cs="Courier New" w:eastAsia="Courier New" w:hAnsi="Courier New"/>
                <w:sz w:val="17"/>
                <w:szCs w:val="17"/>
                <w:color w:val="auto"/>
              </w:rPr>
              <w:t>Balance, end of period</w:t>
            </w:r>
          </w:p>
        </w:tc>
        <w:tc>
          <w:tcPr>
            <w:tcW w:w="1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c>
          <w:tcPr>
            <w:tcW w:w="1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($486)</w:t>
            </w:r>
          </w:p>
        </w:tc>
      </w:tr>
      <w:tr>
        <w:trPr>
          <w:trHeight w:val="196"/>
        </w:trPr>
        <w:tc>
          <w:tcPr>
            <w:tcW w:w="5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820" w:type="dxa"/>
            <w:vAlign w:val="bottom"/>
          </w:tcPr>
          <w:p>
            <w:pPr>
              <w:spacing w:after="0"/>
              <w:rPr>
                <w:sz w:val="20"/>
                <w:szCs w:val="20"/>
                <w:color w:val="auto"/>
              </w:rPr>
            </w:pPr>
            <w:r>
              <w:rPr>
                <w:rFonts w:ascii="Courier New" w:cs="Courier New" w:eastAsia="Courier New" w:hAnsi="Courier New"/>
                <w:sz w:val="17"/>
                <w:szCs w:val="17"/>
                <w:color w:val="auto"/>
              </w:rPr>
              <w:t>Accumulated Dividends in Excess of Trust Net Income</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6"/>
        </w:trPr>
        <w:tc>
          <w:tcPr>
            <w:tcW w:w="5820" w:type="dxa"/>
            <w:vAlign w:val="bottom"/>
          </w:tcPr>
          <w:p>
            <w:pPr>
              <w:ind w:left="200"/>
              <w:spacing w:after="0"/>
              <w:rPr>
                <w:sz w:val="20"/>
                <w:szCs w:val="20"/>
                <w:color w:val="auto"/>
              </w:rPr>
            </w:pPr>
            <w:r>
              <w:rPr>
                <w:rFonts w:ascii="Courier New" w:cs="Courier New" w:eastAsia="Courier New" w:hAnsi="Courier New"/>
                <w:sz w:val="17"/>
                <w:szCs w:val="17"/>
                <w:color w:val="auto"/>
              </w:rPr>
              <w:t>Balance, beginning of period</w:t>
            </w:r>
          </w:p>
        </w:tc>
        <w:tc>
          <w:tcPr>
            <w:tcW w:w="1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($144,553)</w:t>
            </w:r>
          </w:p>
        </w:tc>
        <w:tc>
          <w:tcPr>
            <w:tcW w:w="1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($116,823)</w:t>
            </w:r>
          </w:p>
        </w:tc>
      </w:tr>
      <w:tr>
        <w:trPr>
          <w:trHeight w:val="196"/>
        </w:trPr>
        <w:tc>
          <w:tcPr>
            <w:tcW w:w="5820" w:type="dxa"/>
            <w:vAlign w:val="bottom"/>
          </w:tcPr>
          <w:p>
            <w:pPr>
              <w:ind w:left="200"/>
              <w:spacing w:after="0"/>
              <w:rPr>
                <w:sz w:val="20"/>
                <w:szCs w:val="20"/>
                <w:color w:val="auto"/>
              </w:rPr>
            </w:pPr>
            <w:r>
              <w:rPr>
                <w:rFonts w:ascii="Courier New" w:cs="Courier New" w:eastAsia="Courier New" w:hAnsi="Courier New"/>
                <w:sz w:val="17"/>
                <w:szCs w:val="17"/>
                <w:color w:val="auto"/>
              </w:rPr>
              <w:t>Net income</w:t>
            </w:r>
          </w:p>
        </w:tc>
        <w:tc>
          <w:tcPr>
            <w:tcW w:w="1420" w:type="dxa"/>
            <w:vAlign w:val="bottom"/>
          </w:tcPr>
          <w:p>
            <w:pPr>
              <w:spacing w:after="0"/>
              <w:rPr>
                <w:sz w:val="17"/>
                <w:szCs w:val="17"/>
                <w:color w:val="auto"/>
              </w:rPr>
            </w:pPr>
          </w:p>
        </w:tc>
        <w:tc>
          <w:tcPr>
            <w:tcW w:w="1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11,826</w:t>
            </w:r>
          </w:p>
        </w:tc>
        <w:tc>
          <w:tcPr>
            <w:tcW w:w="1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9,289</w:t>
            </w:r>
          </w:p>
        </w:tc>
      </w:tr>
      <w:tr>
        <w:trPr>
          <w:trHeight w:val="196"/>
        </w:trPr>
        <w:tc>
          <w:tcPr>
            <w:tcW w:w="5820" w:type="dxa"/>
            <w:vAlign w:val="bottom"/>
          </w:tcPr>
          <w:p>
            <w:pPr>
              <w:ind w:left="200"/>
              <w:spacing w:after="0"/>
              <w:rPr>
                <w:sz w:val="20"/>
                <w:szCs w:val="20"/>
                <w:color w:val="auto"/>
              </w:rPr>
            </w:pPr>
            <w:r>
              <w:rPr>
                <w:rFonts w:ascii="Courier New" w:cs="Courier New" w:eastAsia="Courier New" w:hAnsi="Courier New"/>
                <w:sz w:val="17"/>
                <w:szCs w:val="17"/>
                <w:color w:val="auto"/>
              </w:rPr>
              <w:t>Dividends declared to shareholders</w:t>
            </w:r>
          </w:p>
        </w:tc>
        <w:tc>
          <w:tcPr>
            <w:tcW w:w="1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(25,035)</w:t>
            </w:r>
          </w:p>
        </w:tc>
        <w:tc>
          <w:tcPr>
            <w:tcW w:w="1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(23,244)</w:t>
            </w:r>
          </w:p>
        </w:tc>
      </w:tr>
      <w:tr>
        <w:trPr>
          <w:trHeight w:val="196"/>
        </w:trPr>
        <w:tc>
          <w:tcPr>
            <w:tcW w:w="5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820" w:type="dxa"/>
            <w:vAlign w:val="bottom"/>
          </w:tcPr>
          <w:p>
            <w:pPr>
              <w:ind w:left="200"/>
              <w:spacing w:after="0"/>
              <w:rPr>
                <w:sz w:val="20"/>
                <w:szCs w:val="20"/>
                <w:color w:val="auto"/>
              </w:rPr>
            </w:pPr>
            <w:r>
              <w:rPr>
                <w:rFonts w:ascii="Courier New" w:cs="Courier New" w:eastAsia="Courier New" w:hAnsi="Courier New"/>
                <w:sz w:val="17"/>
                <w:szCs w:val="17"/>
                <w:color w:val="auto"/>
              </w:rPr>
              <w:t>Balance, end of period</w:t>
            </w:r>
          </w:p>
        </w:tc>
        <w:tc>
          <w:tcPr>
            <w:tcW w:w="1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($157,762)</w:t>
            </w:r>
          </w:p>
        </w:tc>
        <w:tc>
          <w:tcPr>
            <w:tcW w:w="1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($130,778)</w:t>
            </w:r>
          </w:p>
        </w:tc>
      </w:tr>
      <w:tr>
        <w:trPr>
          <w:trHeight w:val="196"/>
        </w:trPr>
        <w:tc>
          <w:tcPr>
            <w:tcW w:w="5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ectPr>
          <w:pgSz w:w="11900" w:h="16838" w:orient="portrait"/>
          <w:cols w:equalWidth="0" w:num="1">
            <w:col w:w="11000"/>
          </w:cols>
          <w:pgMar w:left="760" w:top="703" w:right="1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3"/>
        </w:trPr>
        <w:tc>
          <w:tcPr>
            <w:tcW w:w="6580" w:type="dxa"/>
            <w:vAlign w:val="bottom"/>
            <w:gridSpan w:val="3"/>
          </w:tcPr>
          <w:p>
            <w:pPr>
              <w:spacing w:after="0"/>
              <w:rPr>
                <w:sz w:val="20"/>
                <w:szCs w:val="20"/>
                <w:color w:val="auto"/>
              </w:rPr>
            </w:pPr>
            <w:r>
              <w:rPr>
                <w:rFonts w:ascii="Courier New" w:cs="Courier New" w:eastAsia="Courier New" w:hAnsi="Courier New"/>
                <w:sz w:val="17"/>
                <w:szCs w:val="17"/>
                <w:color w:val="auto"/>
              </w:rPr>
              <w:t>Federal Realty Investment Trust</w:t>
            </w:r>
          </w:p>
        </w:tc>
        <w:tc>
          <w:tcPr>
            <w:tcW w:w="17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92"/>
        </w:trPr>
        <w:tc>
          <w:tcPr>
            <w:tcW w:w="6580" w:type="dxa"/>
            <w:vAlign w:val="bottom"/>
            <w:gridSpan w:val="3"/>
          </w:tcPr>
          <w:p>
            <w:pPr>
              <w:spacing w:after="0"/>
              <w:rPr>
                <w:sz w:val="20"/>
                <w:szCs w:val="20"/>
                <w:color w:val="auto"/>
              </w:rPr>
            </w:pPr>
            <w:r>
              <w:rPr>
                <w:rFonts w:ascii="Courier New" w:cs="Courier New" w:eastAsia="Courier New" w:hAnsi="Courier New"/>
                <w:sz w:val="17"/>
                <w:szCs w:val="17"/>
                <w:color w:val="auto"/>
              </w:rPr>
              <w:t>CONSOLIDATED STATEMENTS OF CASH FLOWS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6"/>
        </w:trPr>
        <w:tc>
          <w:tcPr>
            <w:tcW w:w="6580" w:type="dxa"/>
            <w:vAlign w:val="bottom"/>
            <w:gridSpan w:val="3"/>
          </w:tcPr>
          <w:p>
            <w:pPr>
              <w:spacing w:after="0"/>
              <w:rPr>
                <w:sz w:val="20"/>
                <w:szCs w:val="20"/>
                <w:color w:val="auto"/>
              </w:rPr>
            </w:pPr>
            <w:r>
              <w:rPr>
                <w:rFonts w:ascii="Courier New" w:cs="Courier New" w:eastAsia="Courier New" w:hAnsi="Courier New"/>
                <w:sz w:val="17"/>
                <w:szCs w:val="17"/>
                <w:color w:val="auto"/>
              </w:rPr>
              <w:t>(see accountants' review report)</w:t>
            </w:r>
          </w:p>
        </w:tc>
        <w:tc>
          <w:tcPr>
            <w:tcW w:w="17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60" w:type="dxa"/>
            <w:vAlign w:val="bottom"/>
          </w:tcPr>
          <w:p>
            <w:pPr>
              <w:ind w:left="200"/>
              <w:spacing w:after="0"/>
              <w:rPr>
                <w:sz w:val="20"/>
                <w:szCs w:val="20"/>
                <w:color w:val="auto"/>
              </w:rPr>
            </w:pPr>
            <w:r>
              <w:rPr>
                <w:rFonts w:ascii="Courier New" w:cs="Courier New" w:eastAsia="Courier New" w:hAnsi="Courier New"/>
                <w:sz w:val="17"/>
                <w:szCs w:val="17"/>
                <w:color w:val="auto"/>
              </w:rPr>
              <w:t>(audited)</w:t>
            </w:r>
          </w:p>
        </w:tc>
        <w:tc>
          <w:tcPr>
            <w:tcW w:w="17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3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Six months ended June 30,</w:t>
            </w:r>
          </w:p>
        </w:tc>
      </w:tr>
      <w:tr>
        <w:trPr>
          <w:trHeight w:val="196"/>
        </w:trPr>
        <w:tc>
          <w:tcPr>
            <w:tcW w:w="1520" w:type="dxa"/>
            <w:vAlign w:val="bottom"/>
            <w:gridSpan w:val="2"/>
          </w:tcPr>
          <w:p>
            <w:pPr>
              <w:spacing w:after="0"/>
              <w:rPr>
                <w:sz w:val="20"/>
                <w:szCs w:val="20"/>
                <w:color w:val="auto"/>
              </w:rPr>
            </w:pPr>
            <w:r>
              <w:rPr>
                <w:rFonts w:ascii="Courier New" w:cs="Courier New" w:eastAsia="Courier New" w:hAnsi="Courier New"/>
                <w:sz w:val="17"/>
                <w:szCs w:val="17"/>
                <w:color w:val="auto"/>
              </w:rPr>
              <w:t>(In thousands)</w:t>
            </w:r>
          </w:p>
        </w:tc>
        <w:tc>
          <w:tcPr>
            <w:tcW w:w="5060" w:type="dxa"/>
            <w:vAlign w:val="bottom"/>
          </w:tcPr>
          <w:p>
            <w:pPr>
              <w:spacing w:after="0"/>
              <w:rPr>
                <w:sz w:val="17"/>
                <w:szCs w:val="17"/>
                <w:color w:val="auto"/>
              </w:rPr>
            </w:pPr>
          </w:p>
        </w:tc>
        <w:tc>
          <w:tcPr>
            <w:tcW w:w="172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1995</w:t>
            </w:r>
          </w:p>
        </w:tc>
        <w:tc>
          <w:tcPr>
            <w:tcW w:w="14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1994</w:t>
            </w:r>
          </w:p>
        </w:tc>
      </w:tr>
      <w:tr>
        <w:trPr>
          <w:trHeight w:val="196"/>
        </w:trPr>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7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580" w:type="dxa"/>
            <w:vAlign w:val="bottom"/>
            <w:gridSpan w:val="3"/>
          </w:tcPr>
          <w:p>
            <w:pPr>
              <w:spacing w:after="0"/>
              <w:rPr>
                <w:sz w:val="20"/>
                <w:szCs w:val="20"/>
                <w:color w:val="auto"/>
              </w:rPr>
            </w:pPr>
            <w:r>
              <w:rPr>
                <w:rFonts w:ascii="Courier New" w:cs="Courier New" w:eastAsia="Courier New" w:hAnsi="Courier New"/>
                <w:sz w:val="17"/>
                <w:szCs w:val="17"/>
                <w:color w:val="auto"/>
              </w:rPr>
              <w:t>OPERATING ACTIVITIES</w:t>
            </w:r>
          </w:p>
        </w:tc>
        <w:tc>
          <w:tcPr>
            <w:tcW w:w="17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220" w:type="dxa"/>
            <w:vAlign w:val="bottom"/>
          </w:tcPr>
          <w:p>
            <w:pPr>
              <w:ind w:left="200"/>
              <w:spacing w:after="0"/>
              <w:rPr>
                <w:sz w:val="20"/>
                <w:szCs w:val="20"/>
                <w:color w:val="auto"/>
              </w:rPr>
            </w:pPr>
            <w:r>
              <w:rPr>
                <w:rFonts w:ascii="Courier New" w:cs="Courier New" w:eastAsia="Courier New" w:hAnsi="Courier New"/>
                <w:sz w:val="17"/>
                <w:szCs w:val="17"/>
                <w:color w:val="auto"/>
                <w:w w:val="97"/>
              </w:rPr>
              <w:t>Net income</w:t>
            </w:r>
          </w:p>
        </w:tc>
        <w:tc>
          <w:tcPr>
            <w:tcW w:w="30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7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$11,826</w:t>
            </w:r>
          </w:p>
        </w:tc>
        <w:tc>
          <w:tcPr>
            <w:tcW w:w="14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$9,289</w:t>
            </w:r>
          </w:p>
        </w:tc>
      </w:tr>
      <w:tr>
        <w:trPr>
          <w:trHeight w:val="196"/>
        </w:trPr>
        <w:tc>
          <w:tcPr>
            <w:tcW w:w="658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Adjustments to reconcile net income to net cash</w:t>
            </w:r>
          </w:p>
        </w:tc>
        <w:tc>
          <w:tcPr>
            <w:tcW w:w="17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6580" w:type="dxa"/>
            <w:vAlign w:val="bottom"/>
            <w:gridSpan w:val="3"/>
          </w:tcPr>
          <w:p>
            <w:pPr>
              <w:ind w:left="400"/>
              <w:spacing w:after="0"/>
              <w:rPr>
                <w:sz w:val="20"/>
                <w:szCs w:val="20"/>
                <w:color w:val="auto"/>
              </w:rPr>
            </w:pPr>
            <w:r>
              <w:rPr>
                <w:rFonts w:ascii="Courier New" w:cs="Courier New" w:eastAsia="Courier New" w:hAnsi="Courier New"/>
                <w:sz w:val="17"/>
                <w:szCs w:val="17"/>
                <w:color w:val="auto"/>
              </w:rPr>
              <w:t>provided by operations</w:t>
            </w:r>
          </w:p>
        </w:tc>
        <w:tc>
          <w:tcPr>
            <w:tcW w:w="17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6580" w:type="dxa"/>
            <w:vAlign w:val="bottom"/>
            <w:gridSpan w:val="3"/>
          </w:tcPr>
          <w:p>
            <w:pPr>
              <w:ind w:left="500"/>
              <w:spacing w:after="0"/>
              <w:rPr>
                <w:sz w:val="20"/>
                <w:szCs w:val="20"/>
                <w:color w:val="auto"/>
              </w:rPr>
            </w:pPr>
            <w:r>
              <w:rPr>
                <w:rFonts w:ascii="Courier New" w:cs="Courier New" w:eastAsia="Courier New" w:hAnsi="Courier New"/>
                <w:sz w:val="17"/>
                <w:szCs w:val="17"/>
                <w:color w:val="auto"/>
              </w:rPr>
              <w:t>Depreciation and amortization</w:t>
            </w:r>
          </w:p>
        </w:tc>
        <w:tc>
          <w:tcPr>
            <w:tcW w:w="17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16,988</w:t>
            </w:r>
          </w:p>
        </w:tc>
        <w:tc>
          <w:tcPr>
            <w:tcW w:w="14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14,166</w:t>
            </w:r>
          </w:p>
        </w:tc>
      </w:tr>
      <w:tr>
        <w:trPr>
          <w:trHeight w:val="196"/>
        </w:trPr>
        <w:tc>
          <w:tcPr>
            <w:tcW w:w="6580" w:type="dxa"/>
            <w:vAlign w:val="bottom"/>
            <w:gridSpan w:val="3"/>
          </w:tcPr>
          <w:p>
            <w:pPr>
              <w:ind w:left="500"/>
              <w:spacing w:after="0"/>
              <w:rPr>
                <w:sz w:val="20"/>
                <w:szCs w:val="20"/>
                <w:color w:val="auto"/>
              </w:rPr>
            </w:pPr>
            <w:r>
              <w:rPr>
                <w:rFonts w:ascii="Courier New" w:cs="Courier New" w:eastAsia="Courier New" w:hAnsi="Courier New"/>
                <w:sz w:val="17"/>
                <w:szCs w:val="17"/>
                <w:color w:val="auto"/>
              </w:rPr>
              <w:t>Rent abatements in lieu of leasehold improvements,</w:t>
            </w:r>
          </w:p>
        </w:tc>
        <w:tc>
          <w:tcPr>
            <w:tcW w:w="17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6580" w:type="dxa"/>
            <w:vAlign w:val="bottom"/>
            <w:gridSpan w:val="3"/>
          </w:tcPr>
          <w:p>
            <w:pPr>
              <w:ind w:left="600"/>
              <w:spacing w:after="0"/>
              <w:rPr>
                <w:sz w:val="20"/>
                <w:szCs w:val="20"/>
                <w:color w:val="auto"/>
              </w:rPr>
            </w:pPr>
            <w:r>
              <w:rPr>
                <w:rFonts w:ascii="Courier New" w:cs="Courier New" w:eastAsia="Courier New" w:hAnsi="Courier New"/>
                <w:sz w:val="17"/>
                <w:szCs w:val="17"/>
                <w:color w:val="auto"/>
              </w:rPr>
              <w:t>net of tenant improvements retired</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(918)</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(122)</w:t>
            </w:r>
          </w:p>
        </w:tc>
      </w:tr>
      <w:tr>
        <w:trPr>
          <w:trHeight w:val="196"/>
        </w:trPr>
        <w:tc>
          <w:tcPr>
            <w:tcW w:w="6580" w:type="dxa"/>
            <w:vAlign w:val="bottom"/>
            <w:gridSpan w:val="3"/>
          </w:tcPr>
          <w:p>
            <w:pPr>
              <w:ind w:left="500"/>
              <w:spacing w:after="0"/>
              <w:rPr>
                <w:sz w:val="20"/>
                <w:szCs w:val="20"/>
                <w:color w:val="auto"/>
              </w:rPr>
            </w:pPr>
            <w:r>
              <w:rPr>
                <w:rFonts w:ascii="Courier New" w:cs="Courier New" w:eastAsia="Courier New" w:hAnsi="Courier New"/>
                <w:sz w:val="17"/>
                <w:szCs w:val="17"/>
                <w:color w:val="auto"/>
              </w:rPr>
              <w:t>Imputed interest and amortization of debt cost</w:t>
            </w:r>
          </w:p>
        </w:tc>
        <w:tc>
          <w:tcPr>
            <w:tcW w:w="17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356</w:t>
            </w:r>
          </w:p>
        </w:tc>
        <w:tc>
          <w:tcPr>
            <w:tcW w:w="14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297</w:t>
            </w:r>
          </w:p>
        </w:tc>
      </w:tr>
      <w:tr>
        <w:trPr>
          <w:trHeight w:val="196"/>
        </w:trPr>
        <w:tc>
          <w:tcPr>
            <w:tcW w:w="6580" w:type="dxa"/>
            <w:vAlign w:val="bottom"/>
            <w:gridSpan w:val="3"/>
          </w:tcPr>
          <w:p>
            <w:pPr>
              <w:ind w:left="500"/>
              <w:spacing w:after="0"/>
              <w:rPr>
                <w:sz w:val="20"/>
                <w:szCs w:val="20"/>
                <w:color w:val="auto"/>
              </w:rPr>
            </w:pPr>
            <w:r>
              <w:rPr>
                <w:rFonts w:ascii="Courier New" w:cs="Courier New" w:eastAsia="Courier New" w:hAnsi="Courier New"/>
                <w:sz w:val="17"/>
                <w:szCs w:val="17"/>
                <w:color w:val="auto"/>
              </w:rPr>
              <w:t>Amortization of deferred compensation and</w:t>
            </w:r>
          </w:p>
        </w:tc>
        <w:tc>
          <w:tcPr>
            <w:tcW w:w="17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6580" w:type="dxa"/>
            <w:vAlign w:val="bottom"/>
            <w:gridSpan w:val="3"/>
          </w:tcPr>
          <w:p>
            <w:pPr>
              <w:ind w:left="600"/>
              <w:spacing w:after="0"/>
              <w:rPr>
                <w:sz w:val="20"/>
                <w:szCs w:val="20"/>
                <w:color w:val="auto"/>
              </w:rPr>
            </w:pPr>
            <w:r>
              <w:rPr>
                <w:rFonts w:ascii="Courier New" w:cs="Courier New" w:eastAsia="Courier New" w:hAnsi="Courier New"/>
                <w:sz w:val="17"/>
                <w:szCs w:val="17"/>
                <w:color w:val="auto"/>
              </w:rPr>
              <w:t>forgiveness of officers' notes</w:t>
            </w:r>
          </w:p>
        </w:tc>
        <w:tc>
          <w:tcPr>
            <w:tcW w:w="17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265</w:t>
            </w:r>
          </w:p>
        </w:tc>
        <w:tc>
          <w:tcPr>
            <w:tcW w:w="14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300</w:t>
            </w:r>
          </w:p>
        </w:tc>
      </w:tr>
      <w:tr>
        <w:trPr>
          <w:trHeight w:val="196"/>
        </w:trPr>
        <w:tc>
          <w:tcPr>
            <w:tcW w:w="6580" w:type="dxa"/>
            <w:vAlign w:val="bottom"/>
            <w:gridSpan w:val="3"/>
          </w:tcPr>
          <w:p>
            <w:pPr>
              <w:ind w:left="400"/>
              <w:spacing w:after="0"/>
              <w:rPr>
                <w:sz w:val="20"/>
                <w:szCs w:val="20"/>
                <w:color w:val="auto"/>
              </w:rPr>
            </w:pPr>
            <w:r>
              <w:rPr>
                <w:rFonts w:ascii="Courier New" w:cs="Courier New" w:eastAsia="Courier New" w:hAnsi="Courier New"/>
                <w:sz w:val="17"/>
                <w:szCs w:val="17"/>
                <w:color w:val="auto"/>
              </w:rPr>
              <w:t>Loss on real estate to be sold</w:t>
            </w:r>
          </w:p>
        </w:tc>
        <w:tc>
          <w:tcPr>
            <w:tcW w:w="17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535</w:t>
            </w:r>
          </w:p>
        </w:tc>
        <w:tc>
          <w:tcPr>
            <w:tcW w:w="1480" w:type="dxa"/>
            <w:vAlign w:val="bottom"/>
          </w:tcPr>
          <w:p>
            <w:pPr>
              <w:spacing w:after="0"/>
              <w:rPr>
                <w:sz w:val="17"/>
                <w:szCs w:val="17"/>
                <w:color w:val="auto"/>
              </w:rPr>
            </w:pPr>
          </w:p>
        </w:tc>
      </w:tr>
      <w:tr>
        <w:trPr>
          <w:trHeight w:val="196"/>
        </w:trPr>
        <w:tc>
          <w:tcPr>
            <w:tcW w:w="658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Changes in assets and liabilities</w:t>
            </w:r>
          </w:p>
        </w:tc>
        <w:tc>
          <w:tcPr>
            <w:tcW w:w="17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52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Decrease</w:t>
            </w:r>
          </w:p>
        </w:tc>
        <w:tc>
          <w:tcPr>
            <w:tcW w:w="5060" w:type="dxa"/>
            <w:vAlign w:val="bottom"/>
          </w:tcPr>
          <w:p>
            <w:pPr>
              <w:spacing w:after="0"/>
              <w:rPr>
                <w:sz w:val="20"/>
                <w:szCs w:val="20"/>
                <w:color w:val="auto"/>
              </w:rPr>
            </w:pPr>
            <w:r>
              <w:rPr>
                <w:rFonts w:ascii="Courier New" w:cs="Courier New" w:eastAsia="Courier New" w:hAnsi="Courier New"/>
                <w:sz w:val="17"/>
                <w:szCs w:val="17"/>
                <w:color w:val="auto"/>
              </w:rPr>
              <w:t>in accounts receivable</w:t>
            </w:r>
          </w:p>
        </w:tc>
        <w:tc>
          <w:tcPr>
            <w:tcW w:w="17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3,718</w:t>
            </w:r>
          </w:p>
        </w:tc>
        <w:tc>
          <w:tcPr>
            <w:tcW w:w="14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400</w:t>
            </w:r>
          </w:p>
        </w:tc>
      </w:tr>
      <w:tr>
        <w:trPr>
          <w:trHeight w:val="196"/>
        </w:trPr>
        <w:tc>
          <w:tcPr>
            <w:tcW w:w="6580" w:type="dxa"/>
            <w:vAlign w:val="bottom"/>
            <w:gridSpan w:val="3"/>
          </w:tcPr>
          <w:p>
            <w:pPr>
              <w:ind w:left="500"/>
              <w:spacing w:after="0"/>
              <w:rPr>
                <w:sz w:val="20"/>
                <w:szCs w:val="20"/>
                <w:color w:val="auto"/>
              </w:rPr>
            </w:pPr>
            <w:r>
              <w:rPr>
                <w:rFonts w:ascii="Courier New" w:cs="Courier New" w:eastAsia="Courier New" w:hAnsi="Courier New"/>
                <w:sz w:val="17"/>
                <w:szCs w:val="17"/>
                <w:color w:val="auto"/>
              </w:rPr>
              <w:t>Increase in prepaid expenses and other</w:t>
            </w:r>
          </w:p>
        </w:tc>
        <w:tc>
          <w:tcPr>
            <w:tcW w:w="17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6580" w:type="dxa"/>
            <w:vAlign w:val="bottom"/>
            <w:gridSpan w:val="3"/>
          </w:tcPr>
          <w:p>
            <w:pPr>
              <w:ind w:left="600"/>
              <w:spacing w:after="0"/>
              <w:rPr>
                <w:sz w:val="20"/>
                <w:szCs w:val="20"/>
                <w:color w:val="auto"/>
              </w:rPr>
            </w:pPr>
            <w:r>
              <w:rPr>
                <w:rFonts w:ascii="Courier New" w:cs="Courier New" w:eastAsia="Courier New" w:hAnsi="Courier New"/>
                <w:sz w:val="17"/>
                <w:szCs w:val="17"/>
                <w:color w:val="auto"/>
              </w:rPr>
              <w:t>assets before depreciation and amortization</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(1,569)</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(631)</w:t>
            </w:r>
          </w:p>
        </w:tc>
      </w:tr>
      <w:tr>
        <w:trPr>
          <w:trHeight w:val="196"/>
        </w:trPr>
        <w:tc>
          <w:tcPr>
            <w:tcW w:w="6580" w:type="dxa"/>
            <w:vAlign w:val="bottom"/>
            <w:gridSpan w:val="3"/>
          </w:tcPr>
          <w:p>
            <w:pPr>
              <w:ind w:left="500"/>
              <w:spacing w:after="0"/>
              <w:rPr>
                <w:sz w:val="20"/>
                <w:szCs w:val="20"/>
                <w:color w:val="auto"/>
              </w:rPr>
            </w:pPr>
            <w:r>
              <w:rPr>
                <w:rFonts w:ascii="Courier New" w:cs="Courier New" w:eastAsia="Courier New" w:hAnsi="Courier New"/>
                <w:sz w:val="17"/>
                <w:szCs w:val="17"/>
                <w:color w:val="auto"/>
              </w:rPr>
              <w:t>(Decrease) increase in operating accounts payable,</w:t>
            </w:r>
          </w:p>
        </w:tc>
        <w:tc>
          <w:tcPr>
            <w:tcW w:w="17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6580" w:type="dxa"/>
            <w:vAlign w:val="bottom"/>
            <w:gridSpan w:val="3"/>
          </w:tcPr>
          <w:p>
            <w:pPr>
              <w:ind w:left="600"/>
              <w:spacing w:after="0"/>
              <w:rPr>
                <w:sz w:val="20"/>
                <w:szCs w:val="20"/>
                <w:color w:val="auto"/>
              </w:rPr>
            </w:pPr>
            <w:r>
              <w:rPr>
                <w:rFonts w:ascii="Courier New" w:cs="Courier New" w:eastAsia="Courier New" w:hAnsi="Courier New"/>
                <w:sz w:val="17"/>
                <w:szCs w:val="17"/>
                <w:color w:val="auto"/>
              </w:rPr>
              <w:t>security deposits and prepaid rent</w:t>
            </w:r>
          </w:p>
        </w:tc>
        <w:tc>
          <w:tcPr>
            <w:tcW w:w="17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1,108</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(822)</w:t>
            </w:r>
          </w:p>
        </w:tc>
      </w:tr>
      <w:tr>
        <w:trPr>
          <w:trHeight w:val="196"/>
        </w:trPr>
        <w:tc>
          <w:tcPr>
            <w:tcW w:w="6580" w:type="dxa"/>
            <w:vAlign w:val="bottom"/>
            <w:gridSpan w:val="3"/>
          </w:tcPr>
          <w:p>
            <w:pPr>
              <w:ind w:left="500"/>
              <w:spacing w:after="0"/>
              <w:rPr>
                <w:sz w:val="20"/>
                <w:szCs w:val="20"/>
                <w:color w:val="auto"/>
              </w:rPr>
            </w:pPr>
            <w:r>
              <w:rPr>
                <w:rFonts w:ascii="Courier New" w:cs="Courier New" w:eastAsia="Courier New" w:hAnsi="Courier New"/>
                <w:sz w:val="17"/>
                <w:szCs w:val="17"/>
                <w:color w:val="auto"/>
              </w:rPr>
              <w:t>Increase (decrease) in accrued expenses, net of the premium</w:t>
            </w:r>
          </w:p>
        </w:tc>
        <w:tc>
          <w:tcPr>
            <w:tcW w:w="17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6580" w:type="dxa"/>
            <w:vAlign w:val="bottom"/>
            <w:gridSpan w:val="3"/>
          </w:tcPr>
          <w:p>
            <w:pPr>
              <w:ind w:left="600"/>
              <w:spacing w:after="0"/>
              <w:rPr>
                <w:sz w:val="20"/>
                <w:szCs w:val="20"/>
                <w:color w:val="auto"/>
              </w:rPr>
            </w:pPr>
            <w:r>
              <w:rPr>
                <w:rFonts w:ascii="Courier New" w:cs="Courier New" w:eastAsia="Courier New" w:hAnsi="Courier New"/>
                <w:sz w:val="17"/>
                <w:szCs w:val="17"/>
                <w:color w:val="auto"/>
              </w:rPr>
              <w:t>put on the 5 1/4% convertible subordinated debentures</w:t>
            </w:r>
          </w:p>
        </w:tc>
        <w:tc>
          <w:tcPr>
            <w:tcW w:w="17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6,179</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(2,014)</w:t>
            </w:r>
          </w:p>
        </w:tc>
      </w:tr>
      <w:tr>
        <w:trPr>
          <w:trHeight w:val="196"/>
        </w:trPr>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7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58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Net cash provided by operating activities</w:t>
            </w:r>
          </w:p>
        </w:tc>
        <w:tc>
          <w:tcPr>
            <w:tcW w:w="17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38,488</w:t>
            </w:r>
          </w:p>
        </w:tc>
        <w:tc>
          <w:tcPr>
            <w:tcW w:w="14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20,863</w:t>
            </w:r>
          </w:p>
        </w:tc>
      </w:tr>
      <w:tr>
        <w:trPr>
          <w:trHeight w:val="392"/>
        </w:trPr>
        <w:tc>
          <w:tcPr>
            <w:tcW w:w="6580" w:type="dxa"/>
            <w:vAlign w:val="bottom"/>
            <w:gridSpan w:val="3"/>
          </w:tcPr>
          <w:p>
            <w:pPr>
              <w:spacing w:after="0"/>
              <w:rPr>
                <w:sz w:val="20"/>
                <w:szCs w:val="20"/>
                <w:color w:val="auto"/>
              </w:rPr>
            </w:pPr>
            <w:r>
              <w:rPr>
                <w:rFonts w:ascii="Courier New" w:cs="Courier New" w:eastAsia="Courier New" w:hAnsi="Courier New"/>
                <w:sz w:val="17"/>
                <w:szCs w:val="17"/>
                <w:color w:val="auto"/>
              </w:rPr>
              <w:t>INVESTING ACTIVITIES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6"/>
        </w:trPr>
        <w:tc>
          <w:tcPr>
            <w:tcW w:w="658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Acquisition of real estate</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(56,759)</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(26,334)</w:t>
            </w:r>
          </w:p>
        </w:tc>
      </w:tr>
      <w:tr>
        <w:trPr>
          <w:trHeight w:val="196"/>
        </w:trPr>
        <w:tc>
          <w:tcPr>
            <w:tcW w:w="658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Capital expenditures</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(17,820)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(17,132)</w:t>
            </w:r>
          </w:p>
        </w:tc>
      </w:tr>
      <w:tr>
        <w:trPr>
          <w:trHeight w:val="196"/>
        </w:trPr>
        <w:tc>
          <w:tcPr>
            <w:tcW w:w="658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Net increase in notes receivable</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(168)</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(4,566)</w:t>
            </w:r>
          </w:p>
        </w:tc>
      </w:tr>
      <w:tr>
        <w:trPr>
          <w:trHeight w:val="196"/>
        </w:trPr>
        <w:tc>
          <w:tcPr>
            <w:tcW w:w="15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Net decrease</w:t>
            </w:r>
          </w:p>
        </w:tc>
        <w:tc>
          <w:tcPr>
            <w:tcW w:w="5060" w:type="dxa"/>
            <w:vAlign w:val="bottom"/>
          </w:tcPr>
          <w:p>
            <w:pPr>
              <w:ind w:left="100"/>
              <w:spacing w:after="0"/>
              <w:rPr>
                <w:sz w:val="20"/>
                <w:szCs w:val="20"/>
                <w:color w:val="auto"/>
              </w:rPr>
            </w:pPr>
            <w:r>
              <w:rPr>
                <w:rFonts w:ascii="Courier New" w:cs="Courier New" w:eastAsia="Courier New" w:hAnsi="Courier New"/>
                <w:sz w:val="17"/>
                <w:szCs w:val="17"/>
                <w:color w:val="auto"/>
              </w:rPr>
              <w:t>in temporary investments</w:t>
            </w:r>
          </w:p>
        </w:tc>
        <w:tc>
          <w:tcPr>
            <w:tcW w:w="17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142</w:t>
            </w:r>
          </w:p>
        </w:tc>
        <w:tc>
          <w:tcPr>
            <w:tcW w:w="14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190</w:t>
            </w:r>
          </w:p>
        </w:tc>
      </w:tr>
      <w:tr>
        <w:trPr>
          <w:trHeight w:val="196"/>
        </w:trPr>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7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58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Net cash used in investing activities</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(74,605)</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(47,842)</w:t>
            </w:r>
          </w:p>
        </w:tc>
      </w:tr>
      <w:tr>
        <w:trPr>
          <w:trHeight w:val="196"/>
        </w:trPr>
        <w:tc>
          <w:tcPr>
            <w:tcW w:w="6580" w:type="dxa"/>
            <w:vAlign w:val="bottom"/>
            <w:gridSpan w:val="3"/>
          </w:tcPr>
          <w:p>
            <w:pPr>
              <w:spacing w:after="0"/>
              <w:rPr>
                <w:sz w:val="20"/>
                <w:szCs w:val="20"/>
                <w:color w:val="auto"/>
              </w:rPr>
            </w:pPr>
            <w:r>
              <w:rPr>
                <w:rFonts w:ascii="Courier New" w:cs="Courier New" w:eastAsia="Courier New" w:hAnsi="Courier New"/>
                <w:sz w:val="17"/>
                <w:szCs w:val="17"/>
                <w:color w:val="auto"/>
              </w:rPr>
              <w:t>FINANCING ACTIVITIES</w:t>
            </w:r>
          </w:p>
        </w:tc>
        <w:tc>
          <w:tcPr>
            <w:tcW w:w="17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658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Regular payments on mortgages, capital leases, and</w:t>
            </w:r>
          </w:p>
        </w:tc>
        <w:tc>
          <w:tcPr>
            <w:tcW w:w="17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6580" w:type="dxa"/>
            <w:vAlign w:val="bottom"/>
            <w:gridSpan w:val="3"/>
          </w:tcPr>
          <w:p>
            <w:pPr>
              <w:ind w:left="400"/>
              <w:spacing w:after="0"/>
              <w:rPr>
                <w:sz w:val="20"/>
                <w:szCs w:val="20"/>
                <w:color w:val="auto"/>
              </w:rPr>
            </w:pPr>
            <w:r>
              <w:rPr>
                <w:rFonts w:ascii="Courier New" w:cs="Courier New" w:eastAsia="Courier New" w:hAnsi="Courier New"/>
                <w:sz w:val="17"/>
                <w:szCs w:val="17"/>
                <w:color w:val="auto"/>
              </w:rPr>
              <w:t>notes payable</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(1,087)</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(1,018)</w:t>
            </w:r>
          </w:p>
        </w:tc>
      </w:tr>
      <w:tr>
        <w:trPr>
          <w:trHeight w:val="196"/>
        </w:trPr>
        <w:tc>
          <w:tcPr>
            <w:tcW w:w="658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(Balloon payments) issuance  of mortgages and notes payable</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(23,601)</w:t>
            </w:r>
          </w:p>
        </w:tc>
        <w:tc>
          <w:tcPr>
            <w:tcW w:w="14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22,500</w:t>
            </w:r>
          </w:p>
        </w:tc>
      </w:tr>
      <w:tr>
        <w:trPr>
          <w:trHeight w:val="196"/>
        </w:trPr>
        <w:tc>
          <w:tcPr>
            <w:tcW w:w="658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Net change in lines of credit</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(35,380)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(6,913)</w:t>
            </w:r>
          </w:p>
        </w:tc>
      </w:tr>
      <w:tr>
        <w:trPr>
          <w:trHeight w:val="196"/>
        </w:trPr>
        <w:tc>
          <w:tcPr>
            <w:tcW w:w="1220" w:type="dxa"/>
            <w:vAlign w:val="bottom"/>
          </w:tcPr>
          <w:p>
            <w:pPr>
              <w:ind w:left="200"/>
              <w:spacing w:after="0"/>
              <w:rPr>
                <w:sz w:val="20"/>
                <w:szCs w:val="20"/>
                <w:color w:val="auto"/>
              </w:rPr>
            </w:pPr>
            <w:r>
              <w:rPr>
                <w:rFonts w:ascii="Courier New" w:cs="Courier New" w:eastAsia="Courier New" w:hAnsi="Courier New"/>
                <w:sz w:val="17"/>
                <w:szCs w:val="17"/>
                <w:color w:val="auto"/>
              </w:rPr>
              <w:t>Issuance</w:t>
            </w:r>
          </w:p>
        </w:tc>
        <w:tc>
          <w:tcPr>
            <w:tcW w:w="5360" w:type="dxa"/>
            <w:vAlign w:val="bottom"/>
            <w:gridSpan w:val="2"/>
          </w:tcPr>
          <w:p>
            <w:pPr>
              <w:spacing w:after="0"/>
              <w:rPr>
                <w:sz w:val="20"/>
                <w:szCs w:val="20"/>
                <w:color w:val="auto"/>
              </w:rPr>
            </w:pPr>
            <w:r>
              <w:rPr>
                <w:rFonts w:ascii="Courier New" w:cs="Courier New" w:eastAsia="Courier New" w:hAnsi="Courier New"/>
                <w:sz w:val="17"/>
                <w:szCs w:val="17"/>
                <w:color w:val="auto"/>
              </w:rPr>
              <w:t>of senior notes, net of costs</w:t>
            </w:r>
          </w:p>
        </w:tc>
        <w:tc>
          <w:tcPr>
            <w:tcW w:w="17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123,761</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15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8"/>
              </w:rPr>
              <w:t>Redemption of</w:t>
            </w:r>
          </w:p>
        </w:tc>
        <w:tc>
          <w:tcPr>
            <w:tcW w:w="5060" w:type="dxa"/>
            <w:vAlign w:val="bottom"/>
          </w:tcPr>
          <w:p>
            <w:pPr>
              <w:ind w:left="200"/>
              <w:spacing w:after="0"/>
              <w:rPr>
                <w:sz w:val="20"/>
                <w:szCs w:val="20"/>
                <w:color w:val="auto"/>
              </w:rPr>
            </w:pPr>
            <w:r>
              <w:rPr>
                <w:rFonts w:ascii="Courier New" w:cs="Courier New" w:eastAsia="Courier New" w:hAnsi="Courier New"/>
                <w:sz w:val="17"/>
                <w:szCs w:val="17"/>
                <w:color w:val="auto"/>
              </w:rPr>
              <w:t>5 1/4% convertible subordinated</w:t>
            </w:r>
          </w:p>
        </w:tc>
        <w:tc>
          <w:tcPr>
            <w:tcW w:w="17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6580" w:type="dxa"/>
            <w:vAlign w:val="bottom"/>
            <w:gridSpan w:val="3"/>
          </w:tcPr>
          <w:p>
            <w:pPr>
              <w:ind w:left="400"/>
              <w:spacing w:after="0"/>
              <w:rPr>
                <w:sz w:val="20"/>
                <w:szCs w:val="20"/>
                <w:color w:val="auto"/>
              </w:rPr>
            </w:pPr>
            <w:r>
              <w:rPr>
                <w:rFonts w:ascii="Courier New" w:cs="Courier New" w:eastAsia="Courier New" w:hAnsi="Courier New"/>
                <w:sz w:val="17"/>
                <w:szCs w:val="17"/>
                <w:color w:val="auto"/>
              </w:rPr>
              <w:t>debentures including premium put</w:t>
            </w:r>
          </w:p>
        </w:tc>
        <w:tc>
          <w:tcPr>
            <w:tcW w:w="1720" w:type="dxa"/>
            <w:vAlign w:val="bottom"/>
          </w:tcPr>
          <w:p>
            <w:pPr>
              <w:jc w:val="right"/>
              <w:ind w:right="355"/>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(47,790)</w:t>
            </w:r>
          </w:p>
        </w:tc>
      </w:tr>
      <w:tr>
        <w:trPr>
          <w:trHeight w:val="196"/>
        </w:trPr>
        <w:tc>
          <w:tcPr>
            <w:tcW w:w="658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Dividends paid</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(23,625)</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(20,574)</w:t>
            </w:r>
          </w:p>
        </w:tc>
      </w:tr>
      <w:tr>
        <w:trPr>
          <w:trHeight w:val="196"/>
        </w:trPr>
        <w:tc>
          <w:tcPr>
            <w:tcW w:w="658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Issuance of shares of beneficial interest</w:t>
            </w:r>
          </w:p>
        </w:tc>
        <w:tc>
          <w:tcPr>
            <w:tcW w:w="17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772</w:t>
            </w:r>
          </w:p>
        </w:tc>
        <w:tc>
          <w:tcPr>
            <w:tcW w:w="14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83,577</w:t>
            </w:r>
          </w:p>
        </w:tc>
      </w:tr>
      <w:tr>
        <w:trPr>
          <w:trHeight w:val="196"/>
        </w:trPr>
        <w:tc>
          <w:tcPr>
            <w:tcW w:w="1220" w:type="dxa"/>
            <w:vAlign w:val="bottom"/>
          </w:tcPr>
          <w:p>
            <w:pPr>
              <w:ind w:left="200"/>
              <w:spacing w:after="0"/>
              <w:rPr>
                <w:sz w:val="20"/>
                <w:szCs w:val="20"/>
                <w:color w:val="auto"/>
              </w:rPr>
            </w:pPr>
            <w:r>
              <w:rPr>
                <w:rFonts w:ascii="Courier New" w:cs="Courier New" w:eastAsia="Courier New" w:hAnsi="Courier New"/>
                <w:sz w:val="17"/>
                <w:szCs w:val="17"/>
                <w:color w:val="auto"/>
              </w:rPr>
              <w:t>Increase</w:t>
            </w:r>
          </w:p>
        </w:tc>
        <w:tc>
          <w:tcPr>
            <w:tcW w:w="5360" w:type="dxa"/>
            <w:vAlign w:val="bottom"/>
            <w:gridSpan w:val="2"/>
          </w:tcPr>
          <w:p>
            <w:pPr>
              <w:spacing w:after="0"/>
              <w:rPr>
                <w:sz w:val="20"/>
                <w:szCs w:val="20"/>
                <w:color w:val="auto"/>
              </w:rPr>
            </w:pPr>
            <w:r>
              <w:rPr>
                <w:rFonts w:ascii="Courier New" w:cs="Courier New" w:eastAsia="Courier New" w:hAnsi="Courier New"/>
                <w:sz w:val="17"/>
                <w:szCs w:val="17"/>
                <w:color w:val="auto"/>
              </w:rPr>
              <w:t>in minority interest</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(160)</w:t>
            </w:r>
          </w:p>
        </w:tc>
        <w:tc>
          <w:tcPr>
            <w:tcW w:w="14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24</w:t>
            </w:r>
          </w:p>
        </w:tc>
      </w:tr>
      <w:tr>
        <w:trPr>
          <w:trHeight w:val="196"/>
        </w:trPr>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1220" w:type="dxa"/>
            <w:vAlign w:val="bottom"/>
          </w:tcPr>
          <w:p>
            <w:pPr>
              <w:ind w:left="200"/>
              <w:spacing w:after="0"/>
              <w:rPr>
                <w:sz w:val="20"/>
                <w:szCs w:val="20"/>
                <w:color w:val="auto"/>
              </w:rPr>
            </w:pPr>
            <w:r>
              <w:rPr>
                <w:rFonts w:ascii="Courier New" w:cs="Courier New" w:eastAsia="Courier New" w:hAnsi="Courier New"/>
                <w:sz w:val="17"/>
                <w:szCs w:val="17"/>
                <w:color w:val="auto"/>
              </w:rPr>
              <w:t>Net cash</w:t>
            </w:r>
          </w:p>
        </w:tc>
        <w:tc>
          <w:tcPr>
            <w:tcW w:w="5360" w:type="dxa"/>
            <w:vAlign w:val="bottom"/>
            <w:gridSpan w:val="2"/>
          </w:tcPr>
          <w:p>
            <w:pPr>
              <w:spacing w:after="0"/>
              <w:rPr>
                <w:sz w:val="20"/>
                <w:szCs w:val="20"/>
                <w:color w:val="auto"/>
              </w:rPr>
            </w:pPr>
            <w:r>
              <w:rPr>
                <w:rFonts w:ascii="Courier New" w:cs="Courier New" w:eastAsia="Courier New" w:hAnsi="Courier New"/>
                <w:sz w:val="17"/>
                <w:szCs w:val="17"/>
                <w:color w:val="auto"/>
              </w:rPr>
              <w:t>provided by  (used in) financing activities</w:t>
            </w:r>
          </w:p>
        </w:tc>
        <w:tc>
          <w:tcPr>
            <w:tcW w:w="17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40,680</w:t>
            </w:r>
          </w:p>
        </w:tc>
        <w:tc>
          <w:tcPr>
            <w:tcW w:w="14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29,806</w:t>
            </w:r>
          </w:p>
        </w:tc>
      </w:tr>
      <w:tr>
        <w:trPr>
          <w:trHeight w:val="196"/>
        </w:trPr>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580" w:type="dxa"/>
            <w:vAlign w:val="bottom"/>
            <w:gridSpan w:val="3"/>
          </w:tcPr>
          <w:p>
            <w:pPr>
              <w:spacing w:after="0"/>
              <w:rPr>
                <w:sz w:val="20"/>
                <w:szCs w:val="20"/>
                <w:color w:val="auto"/>
              </w:rPr>
            </w:pPr>
            <w:r>
              <w:rPr>
                <w:rFonts w:ascii="Courier New" w:cs="Courier New" w:eastAsia="Courier New" w:hAnsi="Courier New"/>
                <w:sz w:val="17"/>
                <w:szCs w:val="17"/>
                <w:color w:val="auto"/>
              </w:rPr>
              <w:t>Increase (decrease) in cash</w:t>
            </w:r>
          </w:p>
        </w:tc>
        <w:tc>
          <w:tcPr>
            <w:tcW w:w="17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4,563</w:t>
            </w:r>
          </w:p>
        </w:tc>
        <w:tc>
          <w:tcPr>
            <w:tcW w:w="14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2,827</w:t>
            </w:r>
          </w:p>
        </w:tc>
      </w:tr>
      <w:tr>
        <w:trPr>
          <w:trHeight w:val="196"/>
        </w:trPr>
        <w:tc>
          <w:tcPr>
            <w:tcW w:w="6580" w:type="dxa"/>
            <w:vAlign w:val="bottom"/>
            <w:gridSpan w:val="3"/>
          </w:tcPr>
          <w:p>
            <w:pPr>
              <w:spacing w:after="0"/>
              <w:rPr>
                <w:sz w:val="20"/>
                <w:szCs w:val="20"/>
                <w:color w:val="auto"/>
              </w:rPr>
            </w:pPr>
            <w:r>
              <w:rPr>
                <w:rFonts w:ascii="Courier New" w:cs="Courier New" w:eastAsia="Courier New" w:hAnsi="Courier New"/>
                <w:sz w:val="17"/>
                <w:szCs w:val="17"/>
                <w:color w:val="auto"/>
              </w:rPr>
              <w:t>Cash at beginning of period</w:t>
            </w:r>
          </w:p>
        </w:tc>
        <w:tc>
          <w:tcPr>
            <w:tcW w:w="17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3,995</w:t>
            </w:r>
          </w:p>
        </w:tc>
        <w:tc>
          <w:tcPr>
            <w:tcW w:w="14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9,635</w:t>
            </w:r>
          </w:p>
        </w:tc>
      </w:tr>
      <w:tr>
        <w:trPr>
          <w:trHeight w:val="196"/>
        </w:trPr>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7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580" w:type="dxa"/>
            <w:vAlign w:val="bottom"/>
            <w:gridSpan w:val="3"/>
          </w:tcPr>
          <w:p>
            <w:pPr>
              <w:spacing w:after="0"/>
              <w:rPr>
                <w:sz w:val="20"/>
                <w:szCs w:val="20"/>
                <w:color w:val="auto"/>
              </w:rPr>
            </w:pPr>
            <w:r>
              <w:rPr>
                <w:rFonts w:ascii="Courier New" w:cs="Courier New" w:eastAsia="Courier New" w:hAnsi="Courier New"/>
                <w:sz w:val="17"/>
                <w:szCs w:val="17"/>
                <w:color w:val="auto"/>
              </w:rPr>
              <w:t>Cash at end of period</w:t>
            </w:r>
          </w:p>
        </w:tc>
        <w:tc>
          <w:tcPr>
            <w:tcW w:w="17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$8,558</w:t>
            </w:r>
          </w:p>
        </w:tc>
        <w:tc>
          <w:tcPr>
            <w:tcW w:w="14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$12,462</w:t>
            </w:r>
          </w:p>
        </w:tc>
      </w:tr>
      <w:tr>
        <w:trPr>
          <w:trHeight w:val="196"/>
        </w:trPr>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7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580" w:type="dxa"/>
            <w:vAlign w:val="bottom"/>
            <w:gridSpan w:val="3"/>
          </w:tcPr>
          <w:p>
            <w:pPr>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tc>
        <w:tc>
          <w:tcPr>
            <w:tcW w:w="172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ectPr>
          <w:pgSz w:w="11900" w:h="16838" w:orient="portrait"/>
          <w:cols w:equalWidth="0" w:num="1">
            <w:col w:w="9780"/>
          </w:cols>
          <w:pgMar w:left="760" w:top="703" w:right="1359" w:bottom="1440" w:gutter="0" w:footer="0" w:header="0"/>
        </w:sectPr>
      </w:pPr>
    </w:p>
    <w:bookmarkStart w:id="9" w:name="page10"/>
    <w:bookmarkEnd w:id="9"/>
    <w:p>
      <w:pPr>
        <w:ind w:left="224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June 30, 1995</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(see accountants' review report)</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(unaudited)</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A - ACCOUNTING POLICIES AND OTHER DATA</w:t>
      </w:r>
    </w:p>
    <w:p>
      <w:pPr>
        <w:spacing w:after="0" w:line="201" w:lineRule="exact"/>
        <w:rPr>
          <w:sz w:val="20"/>
          <w:szCs w:val="20"/>
          <w:color w:val="auto"/>
        </w:rPr>
      </w:pPr>
    </w:p>
    <w:p>
      <w:pPr>
        <w:ind w:right="2259" w:firstLine="918"/>
        <w:spacing w:after="0" w:line="266" w:lineRule="auto"/>
        <w:rPr>
          <w:sz w:val="20"/>
          <w:szCs w:val="20"/>
          <w:color w:val="auto"/>
        </w:rPr>
      </w:pPr>
      <w:r>
        <w:rPr>
          <w:rFonts w:ascii="Courier New" w:cs="Courier New" w:eastAsia="Courier New" w:hAnsi="Courier New"/>
          <w:sz w:val="16"/>
          <w:szCs w:val="16"/>
          <w:color w:val="auto"/>
        </w:rPr>
        <w:t>Reference should be made to the notes to financial statements included in the Annual Report to shareholders for the year ended December 31, 1994 which contain the Trust's accounting policies and other data.</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B - DIVIDENDS PAYABLE</w:t>
      </w:r>
    </w:p>
    <w:p>
      <w:pPr>
        <w:spacing w:after="0" w:line="201" w:lineRule="exact"/>
        <w:rPr>
          <w:sz w:val="20"/>
          <w:szCs w:val="20"/>
          <w:color w:val="auto"/>
        </w:rPr>
      </w:pPr>
    </w:p>
    <w:p>
      <w:pPr>
        <w:ind w:right="2259" w:firstLine="918"/>
        <w:spacing w:after="0" w:line="273" w:lineRule="auto"/>
        <w:rPr>
          <w:sz w:val="20"/>
          <w:szCs w:val="20"/>
          <w:color w:val="auto"/>
        </w:rPr>
      </w:pPr>
      <w:r>
        <w:rPr>
          <w:rFonts w:ascii="Courier New" w:cs="Courier New" w:eastAsia="Courier New" w:hAnsi="Courier New"/>
          <w:sz w:val="16"/>
          <w:szCs w:val="16"/>
          <w:color w:val="auto"/>
        </w:rPr>
        <w:t>On May 11, 1995 the Trustees declared a cash dividend of $.395 per share, payable July 14, 1995 to shareholders of record June 27, 1995.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C - REAL ESTATE</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On February 16, 1995 the Trust purchased a 6,800 square foot retail building in Greenwich, Connecticut for $2.0 million in cash. On April 5, 1995 the Trust purchased a 125,800 square foot portfolio of seven retail buildings in the West Hartford, Connecticut area for $15.3 million in cash. On April 12, 1995 the Trust purchased a 35,500 square foot retail building in Greenwich, Connecticut for cash of $12.9 million. On June 15, 1995 the Trust purchased a 10,000 square foot retail building in Westport, Connecticut for $5.7 million in cash. In connection with these purchases, brokerage commissions of $548,000 were incurred to a company that is fifty percent owned by a brother of the Trust's president. These commissions were paid pursuant to a brokerage contract on terms comparable to terms contained in contracts which the Trust has with brokers providing similar services in other geographic areas.</w:t>
      </w:r>
    </w:p>
    <w:p>
      <w:pPr>
        <w:spacing w:after="0" w:line="202" w:lineRule="exact"/>
        <w:rPr>
          <w:sz w:val="20"/>
          <w:szCs w:val="20"/>
          <w:color w:val="auto"/>
        </w:rPr>
      </w:pPr>
    </w:p>
    <w:p>
      <w:pPr>
        <w:ind w:right="2159" w:firstLine="510"/>
        <w:spacing w:after="0" w:line="264" w:lineRule="auto"/>
        <w:rPr>
          <w:sz w:val="20"/>
          <w:szCs w:val="20"/>
          <w:color w:val="auto"/>
        </w:rPr>
      </w:pPr>
      <w:r>
        <w:rPr>
          <w:rFonts w:ascii="Courier New" w:cs="Courier New" w:eastAsia="Courier New" w:hAnsi="Courier New"/>
          <w:sz w:val="16"/>
          <w:szCs w:val="16"/>
          <w:color w:val="auto"/>
        </w:rPr>
        <w:t>On April 27, 1995 the Trust purchased the 302,000 square foot Finley Square Shopping Center in Downers Grove, Illinois for cash of $18.8 million. On June 12, 1995 the Trust purchased a 12,400 square foot building contiguous to its Bethesda Row property for $2.0 million in cash.</w:t>
      </w:r>
    </w:p>
    <w:p>
      <w:pPr>
        <w:spacing w:after="0" w:line="183"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During the second quarter of 1995, the Trust recognized a $535,000 impairment in the value of North City Plaza in New Castle, Pennsylvania, thereby valuing the center at its fair value less estimated costs to sell, pending its disposal. On August 1, 1995 the center was sold for $1.8 million.</w:t>
      </w:r>
    </w:p>
    <w:p>
      <w:pPr>
        <w:sectPr>
          <w:pgSz w:w="11900" w:h="16838" w:orient="portrait"/>
          <w:cols w:equalWidth="0" w:num="1">
            <w:col w:w="9699"/>
          </w:cols>
          <w:pgMar w:left="760" w:top="1292" w:right="1440" w:bottom="1440" w:gutter="0" w:footer="0" w:header="0"/>
        </w:sectPr>
      </w:pPr>
    </w:p>
    <w:bookmarkStart w:id="10" w:name="page11"/>
    <w:bookmarkEnd w:id="10"/>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D - Senior Notes</w:t>
      </w:r>
    </w:p>
    <w:p>
      <w:pPr>
        <w:spacing w:after="0" w:line="201" w:lineRule="exact"/>
        <w:rPr>
          <w:sz w:val="20"/>
          <w:szCs w:val="20"/>
          <w:color w:val="auto"/>
        </w:rPr>
      </w:pPr>
    </w:p>
    <w:p>
      <w:pPr>
        <w:ind w:right="2559" w:firstLine="918"/>
        <w:spacing w:after="0" w:line="243" w:lineRule="auto"/>
        <w:rPr>
          <w:sz w:val="20"/>
          <w:szCs w:val="20"/>
          <w:color w:val="auto"/>
        </w:rPr>
      </w:pPr>
      <w:r>
        <w:rPr>
          <w:rFonts w:ascii="Courier New" w:cs="Courier New" w:eastAsia="Courier New" w:hAnsi="Courier New"/>
          <w:sz w:val="17"/>
          <w:szCs w:val="17"/>
          <w:color w:val="auto"/>
        </w:rPr>
        <w:t>On January 19, 1995 the Trust issued $100.0 million of 8 7/8% Notes, due January 15, 2000. The notes, which were issued at a</w:t>
      </w:r>
    </w:p>
    <w:p>
      <w:pPr>
        <w:spacing w:after="0" w:line="2" w:lineRule="exact"/>
        <w:rPr>
          <w:sz w:val="20"/>
          <w:szCs w:val="20"/>
          <w:color w:val="auto"/>
        </w:rPr>
      </w:pPr>
    </w:p>
    <w:p>
      <w:pPr>
        <w:jc w:val="both"/>
        <w:ind w:right="2259"/>
        <w:spacing w:after="0" w:line="266" w:lineRule="auto"/>
        <w:rPr>
          <w:sz w:val="20"/>
          <w:szCs w:val="20"/>
          <w:color w:val="auto"/>
        </w:rPr>
      </w:pPr>
      <w:r>
        <w:rPr>
          <w:rFonts w:ascii="Courier New" w:cs="Courier New" w:eastAsia="Courier New" w:hAnsi="Courier New"/>
          <w:sz w:val="16"/>
          <w:szCs w:val="16"/>
          <w:color w:val="auto"/>
        </w:rPr>
        <w:t>price of 99.815%, pay interest semiannually on January 15 and July 15 and are not redeemable prior to maturity. After deducting the underwriting discount and other costs, the Trust netted approximately $98.9 million.</w:t>
      </w:r>
    </w:p>
    <w:p>
      <w:pPr>
        <w:spacing w:after="0" w:line="182" w:lineRule="exact"/>
        <w:rPr>
          <w:sz w:val="20"/>
          <w:szCs w:val="20"/>
          <w:color w:val="auto"/>
        </w:rPr>
      </w:pPr>
    </w:p>
    <w:p>
      <w:pPr>
        <w:ind w:right="2159" w:firstLine="510"/>
        <w:spacing w:after="0" w:line="262" w:lineRule="auto"/>
        <w:rPr>
          <w:sz w:val="20"/>
          <w:szCs w:val="20"/>
          <w:color w:val="auto"/>
        </w:rPr>
      </w:pPr>
      <w:r>
        <w:rPr>
          <w:rFonts w:ascii="Courier New" w:cs="Courier New" w:eastAsia="Courier New" w:hAnsi="Courier New"/>
          <w:sz w:val="16"/>
          <w:szCs w:val="16"/>
          <w:color w:val="auto"/>
        </w:rPr>
        <w:t>In order to protect itself against the risk that the general level of interest rates for such securities would rise before the senior notes were priced, in December 1994, the Trust entered into two interest rate hedge agreements on a total principal amount of $75.0 million. The cost of the agreements, which terminated on January 20, 1995, was $21,000, which is being amortized into interest expense over the life of the notes.</w:t>
      </w:r>
    </w:p>
    <w:p>
      <w:pPr>
        <w:spacing w:after="0" w:line="186"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In January 1995 the Trust executed a five year interest rate swap on $25.0 million, whereby the Trust swapped fixed interest payment obligations of 8.136% for a floating rate interest payment of three month LIBOR. The floating rate during the first quarter of 1995 was 6.1875%. In May 1995 the swap was terminated and the Trust sold the swap for $1.5 million, which is being amortized as a deduction to interest expense over the remaining term.</w:t>
      </w:r>
    </w:p>
    <w:p>
      <w:pPr>
        <w:spacing w:after="0" w:line="199"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On April 21, 1995 the Trust issued $25 million of senior notes. The notes, which are due April 21, 2002 and bear interest at 8%, payable semiannually, were issued at a price of 99.683%. The proceeds of $24.9 million were used to repay amounts which had been borrowed on the revolving credit facilities during April 1995 to fund acquisitions and property renovations.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E - MORTGAGES PAYABLE</w:t>
      </w:r>
    </w:p>
    <w:p>
      <w:pPr>
        <w:spacing w:after="0" w:line="201" w:lineRule="exact"/>
        <w:rPr>
          <w:sz w:val="20"/>
          <w:szCs w:val="20"/>
          <w:color w:val="auto"/>
        </w:rPr>
      </w:pPr>
    </w:p>
    <w:p>
      <w:pPr>
        <w:ind w:right="2359" w:firstLine="918"/>
        <w:spacing w:after="0" w:line="243" w:lineRule="auto"/>
        <w:rPr>
          <w:sz w:val="20"/>
          <w:szCs w:val="20"/>
          <w:color w:val="auto"/>
        </w:rPr>
      </w:pPr>
      <w:r>
        <w:rPr>
          <w:rFonts w:ascii="Courier New" w:cs="Courier New" w:eastAsia="Courier New" w:hAnsi="Courier New"/>
          <w:sz w:val="17"/>
          <w:szCs w:val="17"/>
          <w:color w:val="auto"/>
        </w:rPr>
        <w:t>In January, 1995 the Trust repaid the $22.5 million mortgage on Northeast Plaza in Atlanta, Georgia with proceeds from the senior note offering.</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F - NOTES PAYABLE</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The Trust has $130 million of unsecured medium term revolving credit facilities with four banks. The facilities, which bear interest at LIBOR plus 85 to 100 basis points, require fees and have covenants requiring a minimum shareholders' equity and a maximum ratio of debt to net worth. The maximum drawn under these facilities during the first six months of 1995 was $66.8 million which was repaid in January from the proceeds of the senior notes issuance. The weighted average interest rate on borrowings for the six months ended June 30, 1995 was 7.1%. At June 30, 1995 there was $19.4 million drawn under these facilities.</w:t>
      </w:r>
    </w:p>
    <w:p>
      <w:pPr>
        <w:spacing w:after="0" w:line="200" w:lineRule="exact"/>
        <w:rPr>
          <w:sz w:val="20"/>
          <w:szCs w:val="20"/>
          <w:color w:val="auto"/>
        </w:rPr>
      </w:pPr>
    </w:p>
    <w:p>
      <w:pPr>
        <w:ind w:right="2259" w:firstLine="918"/>
        <w:spacing w:after="0" w:line="263" w:lineRule="auto"/>
        <w:rPr>
          <w:sz w:val="20"/>
          <w:szCs w:val="20"/>
          <w:color w:val="auto"/>
        </w:rPr>
      </w:pPr>
      <w:r>
        <w:rPr>
          <w:rFonts w:ascii="Courier New" w:cs="Courier New" w:eastAsia="Courier New" w:hAnsi="Courier New"/>
          <w:sz w:val="16"/>
          <w:szCs w:val="16"/>
          <w:color w:val="auto"/>
        </w:rPr>
        <w:t>In January 1995 the Trust paid a $1.1 million note that had been issued in connection with the purchase of Queen Anne Plaza in December 1994. In connection with the buyout of a tenant at Queen Anne Plaza in January 1995, the Trust issued a noninterest bearing note payable of $2.2 million, due in annual installments of $200,000 for 11 years. Using an</w:t>
      </w:r>
    </w:p>
    <w:p>
      <w:pPr>
        <w:sectPr>
          <w:pgSz w:w="11900" w:h="16838" w:orient="portrait"/>
          <w:cols w:equalWidth="0" w:num="1">
            <w:col w:w="9699"/>
          </w:cols>
          <w:pgMar w:left="760" w:top="1440" w:right="1440" w:bottom="1440" w:gutter="0" w:footer="0" w:header="0"/>
        </w:sectPr>
      </w:pPr>
    </w:p>
    <w:bookmarkStart w:id="11" w:name="page12"/>
    <w:bookmarkEnd w:id="11"/>
    <w:p>
      <w:pPr>
        <w:spacing w:after="0" w:line="246"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7"/>
          <w:szCs w:val="17"/>
          <w:color w:val="auto"/>
        </w:rPr>
        <w:t>interest rate of 8 7/8%, the note has been recorded at its discounted value of $1.7 million.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H - SHAREHOLDERS' EQUITY</w:t>
      </w:r>
    </w:p>
    <w:p>
      <w:pPr>
        <w:spacing w:after="0" w:line="201"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During the first six months of 1995, 7,744 shares were issued at prices ranging from $15.00 per share to $20.50 per share as the result of the exercise of stock options. The Trust accepted a note from one of its officers of $5,002 in connection with the issuance of certain of these shares.</w:t>
      </w:r>
    </w:p>
    <w:p>
      <w:pPr>
        <w:spacing w:after="0" w:line="198"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On February 15, 1995, 719,000 stock options at $20.75 per share were granted to employees of the Trust. On May 10, 1995, the eight trustees of the Trust other than the president were each awarded options to purchase 2,500 shares at $22 per share.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I - INTEREST EXPENSE</w:t>
      </w:r>
    </w:p>
    <w:p>
      <w:pPr>
        <w:spacing w:after="0" w:line="201" w:lineRule="exact"/>
        <w:rPr>
          <w:sz w:val="20"/>
          <w:szCs w:val="20"/>
          <w:color w:val="auto"/>
        </w:rPr>
      </w:pPr>
    </w:p>
    <w:p>
      <w:pPr>
        <w:jc w:val="both"/>
        <w:ind w:right="2159" w:firstLine="918"/>
        <w:spacing w:after="0" w:line="259" w:lineRule="auto"/>
        <w:rPr>
          <w:sz w:val="20"/>
          <w:szCs w:val="20"/>
          <w:color w:val="auto"/>
        </w:rPr>
      </w:pPr>
      <w:r>
        <w:rPr>
          <w:rFonts w:ascii="Courier New" w:cs="Courier New" w:eastAsia="Courier New" w:hAnsi="Courier New"/>
          <w:sz w:val="16"/>
          <w:szCs w:val="16"/>
          <w:color w:val="auto"/>
        </w:rPr>
        <w:t>The Trust incurred interest expense totaling $19.1 million during the first six months of 1995 and $15.9 million during the first six months of 1994, of which $390,000 and $76,000, respectively, were capitalized.</w:t>
      </w:r>
    </w:p>
    <w:p>
      <w:pPr>
        <w:spacing w:after="0" w:line="2"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Interest paid was $13.0 million in the first six months of 1995 and $24.8 million in the first six months of 1994.</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J - COMMITMENTS AND CONTINGENCIES</w:t>
      </w:r>
    </w:p>
    <w:p>
      <w:pPr>
        <w:spacing w:after="0" w:line="201"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The State of New Jersey Division of Taxation has assessed the Trust $364,000 in taxes, penalty and interest for the years 1985 through 1990, since the State has disallowed the dividends paid deduction in computing New Jersey taxable income. The Trust is protesting this assessment since the Trust believes that it is entitled to the deduction. At this time, the outcome of this matter is unknown; however in a case involving another real estate investment trust, the New Jersey tax court ruled that the dividends paid deduction was allowable and this decision was upheld by the Appellate Court.</w:t>
      </w:r>
    </w:p>
    <w:p>
      <w:pPr>
        <w:spacing w:after="0" w:line="200" w:lineRule="exact"/>
        <w:rPr>
          <w:sz w:val="20"/>
          <w:szCs w:val="20"/>
          <w:color w:val="auto"/>
        </w:rPr>
      </w:pPr>
    </w:p>
    <w:p>
      <w:pPr>
        <w:jc w:val="both"/>
        <w:ind w:right="2259" w:firstLine="918"/>
        <w:spacing w:after="0" w:line="266" w:lineRule="auto"/>
        <w:rPr>
          <w:sz w:val="20"/>
          <w:szCs w:val="20"/>
          <w:color w:val="auto"/>
        </w:rPr>
      </w:pPr>
      <w:r>
        <w:rPr>
          <w:rFonts w:ascii="Courier New" w:cs="Courier New" w:eastAsia="Courier New" w:hAnsi="Courier New"/>
          <w:sz w:val="16"/>
          <w:szCs w:val="16"/>
          <w:color w:val="auto"/>
        </w:rPr>
        <w:t>Included in the Trust's investments is $2.9 million of Olympia &amp; York Senior First Mortgage Notes. The Olympia &amp; York notes were written down in 1992 to management's best estimate of their net realizable value.</w:t>
      </w:r>
    </w:p>
    <w:p>
      <w:pPr>
        <w:spacing w:after="0" w:line="182"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As previously reported, certain of the Trust's shopping centers have some environmental contamination. The North Carolina Department of the Environment, Health and Natural Resources ("DEHNR") issued a Notice of Violation ("NOV") against a former drycleaner tenant at Eastgate Shopping Center in Chapel Hill, North Carolina concerning a spill at the shopping center. As owner of the shopping center, the Trust was named in and received a copy of the NOV. Estimates to remediate the spill range from $300,000 to $500,000. The Trust has entered into an agreement with two previous owners of the shopping center to share the costs to assess and remediate. In 1993 the Trust recorded a liability of $120,000 as its estimated share of the clean up costs.</w:t>
      </w:r>
    </w:p>
    <w:p>
      <w:pPr>
        <w:spacing w:after="0" w:line="201" w:lineRule="exact"/>
        <w:rPr>
          <w:sz w:val="20"/>
          <w:szCs w:val="20"/>
          <w:color w:val="auto"/>
        </w:rPr>
      </w:pPr>
    </w:p>
    <w:p>
      <w:pPr>
        <w:ind w:right="2359" w:firstLine="918"/>
        <w:spacing w:after="0" w:line="243" w:lineRule="auto"/>
        <w:rPr>
          <w:sz w:val="20"/>
          <w:szCs w:val="20"/>
          <w:color w:val="auto"/>
        </w:rPr>
      </w:pPr>
      <w:r>
        <w:rPr>
          <w:rFonts w:ascii="Courier New" w:cs="Courier New" w:eastAsia="Courier New" w:hAnsi="Courier New"/>
          <w:sz w:val="17"/>
          <w:szCs w:val="17"/>
          <w:color w:val="auto"/>
        </w:rPr>
        <w:t>In 1992 contaminants at levels in excess of New Jersey cleanup standards were identified at a shopping center in New Jersey. The Trust</w:t>
      </w:r>
    </w:p>
    <w:p>
      <w:pPr>
        <w:sectPr>
          <w:pgSz w:w="11900" w:h="16838" w:orient="portrait"/>
          <w:cols w:equalWidth="0" w:num="1">
            <w:col w:w="9699"/>
          </w:cols>
          <w:pgMar w:left="760" w:top="1440" w:right="1440" w:bottom="1440" w:gutter="0" w:footer="0" w:header="0"/>
        </w:sectPr>
      </w:pPr>
    </w:p>
    <w:bookmarkStart w:id="12" w:name="page13"/>
    <w:bookmarkEnd w:id="12"/>
    <w:p>
      <w:pPr>
        <w:spacing w:after="0" w:line="246"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has retained an environmental consultant to investigate the contamination. The Trust is also evaluating whether it has insurance coverage for this matter. At this time, the Trust is unable to determine what the range of remediation costs might be. The Trust has also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to estimate the range of remediation costs, if any.</w:t>
      </w:r>
    </w:p>
    <w:p>
      <w:pPr>
        <w:spacing w:after="0" w:line="200"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The Trust reserved $2.25 million at closing in 1993 for environmental issues principally associated with Gaithersburg Square Shopping Center. Pursuant to an indemnity agreement entered into with the seller at closing, the Trust agreed to take certain actions with respect to identified chlorinated solvent contamination. The seller indemnified the Trust for certain third party claims and government requirements related to contamination at adjacent properties.</w:t>
      </w:r>
    </w:p>
    <w:p>
      <w:pPr>
        <w:spacing w:after="0" w:line="199" w:lineRule="exact"/>
        <w:rPr>
          <w:sz w:val="20"/>
          <w:szCs w:val="20"/>
          <w:color w:val="auto"/>
        </w:rPr>
      </w:pPr>
    </w:p>
    <w:p>
      <w:pPr>
        <w:ind w:right="2459" w:firstLine="918"/>
        <w:spacing w:after="0" w:line="244" w:lineRule="auto"/>
        <w:rPr>
          <w:sz w:val="20"/>
          <w:szCs w:val="20"/>
          <w:color w:val="auto"/>
        </w:rPr>
      </w:pPr>
      <w:r>
        <w:rPr>
          <w:rFonts w:ascii="Courier New" w:cs="Courier New" w:eastAsia="Courier New" w:hAnsi="Courier New"/>
          <w:sz w:val="17"/>
          <w:szCs w:val="17"/>
          <w:color w:val="auto"/>
        </w:rPr>
        <w:t>At June 30, 1995 in connection with certain redevelopment projects and tenant fitouts, the Trust is contractually obligated on contracts of approximately $4.7 million. At June 30, 1995 the Trust is also contractually obligated under leases with tenants to provide approximately $8.5 million for improvements.</w:t>
      </w:r>
    </w:p>
    <w:p>
      <w:pPr>
        <w:sectPr>
          <w:pgSz w:w="11900" w:h="16838" w:orient="portrait"/>
          <w:cols w:equalWidth="0" w:num="1">
            <w:col w:w="9699"/>
          </w:cols>
          <w:pgMar w:left="760" w:top="1440" w:right="1440" w:bottom="1440" w:gutter="0" w:footer="0" w:header="0"/>
        </w:sectPr>
      </w:pPr>
    </w:p>
    <w:bookmarkStart w:id="13" w:name="page14"/>
    <w:bookmarkEnd w:id="13"/>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K - COMPONENTS OF RENTAL INCOME</w:t>
      </w:r>
    </w:p>
    <w:p>
      <w:pPr>
        <w:spacing w:after="0" w:line="201" w:lineRule="exact"/>
        <w:rPr>
          <w:sz w:val="20"/>
          <w:szCs w:val="20"/>
          <w:color w:val="auto"/>
        </w:rPr>
      </w:pPr>
    </w:p>
    <w:p>
      <w:pPr>
        <w:ind w:right="2259" w:firstLine="918"/>
        <w:spacing w:after="0" w:line="243" w:lineRule="auto"/>
        <w:rPr>
          <w:sz w:val="20"/>
          <w:szCs w:val="20"/>
          <w:color w:val="auto"/>
        </w:rPr>
      </w:pPr>
      <w:r>
        <w:rPr>
          <w:rFonts w:ascii="Courier New" w:cs="Courier New" w:eastAsia="Courier New" w:hAnsi="Courier New"/>
          <w:sz w:val="17"/>
          <w:szCs w:val="17"/>
          <w:color w:val="auto"/>
        </w:rPr>
        <w:t>The components of rental income for the six months ended June 30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00" w:type="dxa"/>
            <w:vAlign w:val="bottom"/>
          </w:tcPr>
          <w:p>
            <w:pPr>
              <w:spacing w:after="0"/>
              <w:rPr>
                <w:sz w:val="16"/>
                <w:szCs w:val="16"/>
                <w:color w:val="auto"/>
              </w:rPr>
            </w:pPr>
          </w:p>
        </w:tc>
        <w:tc>
          <w:tcPr>
            <w:tcW w:w="138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1995</w:t>
            </w:r>
          </w:p>
        </w:tc>
        <w:tc>
          <w:tcPr>
            <w:tcW w:w="1220" w:type="dxa"/>
            <w:vAlign w:val="bottom"/>
          </w:tcPr>
          <w:p>
            <w:pPr>
              <w:ind w:left="500"/>
              <w:spacing w:after="0"/>
              <w:rPr>
                <w:sz w:val="20"/>
                <w:szCs w:val="20"/>
                <w:color w:val="auto"/>
              </w:rPr>
            </w:pPr>
            <w:r>
              <w:rPr>
                <w:rFonts w:ascii="Courier New" w:cs="Courier New" w:eastAsia="Courier New" w:hAnsi="Courier New"/>
                <w:sz w:val="17"/>
                <w:szCs w:val="17"/>
                <w:color w:val="auto"/>
              </w:rPr>
              <w:t>1994</w:t>
            </w:r>
          </w:p>
        </w:tc>
      </w:tr>
      <w:tr>
        <w:trPr>
          <w:trHeight w:val="196"/>
        </w:trPr>
        <w:tc>
          <w:tcPr>
            <w:tcW w:w="2500" w:type="dxa"/>
            <w:vAlign w:val="bottom"/>
          </w:tcPr>
          <w:p>
            <w:pPr>
              <w:spacing w:after="0"/>
              <w:rPr>
                <w:sz w:val="17"/>
                <w:szCs w:val="17"/>
                <w:color w:val="auto"/>
              </w:rPr>
            </w:pPr>
          </w:p>
        </w:tc>
        <w:tc>
          <w:tcPr>
            <w:tcW w:w="260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(in thousands)</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Retail Properties</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2500" w:type="dxa"/>
            <w:vAlign w:val="bottom"/>
          </w:tcPr>
          <w:p>
            <w:pPr>
              <w:ind w:left="400"/>
              <w:spacing w:after="0"/>
              <w:rPr>
                <w:sz w:val="20"/>
                <w:szCs w:val="20"/>
                <w:color w:val="auto"/>
              </w:rPr>
            </w:pPr>
            <w:r>
              <w:rPr>
                <w:rFonts w:ascii="Courier New" w:cs="Courier New" w:eastAsia="Courier New" w:hAnsi="Courier New"/>
                <w:sz w:val="17"/>
                <w:szCs w:val="17"/>
                <w:color w:val="auto"/>
              </w:rPr>
              <w:t>Minimum rent</w:t>
            </w:r>
          </w:p>
        </w:tc>
        <w:tc>
          <w:tcPr>
            <w:tcW w:w="13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$53,847</w:t>
            </w:r>
          </w:p>
        </w:tc>
        <w:tc>
          <w:tcPr>
            <w:tcW w:w="1220" w:type="dxa"/>
            <w:vAlign w:val="bottom"/>
          </w:tcPr>
          <w:p>
            <w:pPr>
              <w:ind w:left="500"/>
              <w:spacing w:after="0"/>
              <w:rPr>
                <w:sz w:val="20"/>
                <w:szCs w:val="20"/>
                <w:color w:val="auto"/>
              </w:rPr>
            </w:pPr>
            <w:r>
              <w:rPr>
                <w:rFonts w:ascii="Courier New" w:cs="Courier New" w:eastAsia="Courier New" w:hAnsi="Courier New"/>
                <w:sz w:val="17"/>
                <w:szCs w:val="17"/>
                <w:color w:val="auto"/>
                <w:w w:val="97"/>
              </w:rPr>
              <w:t>$47,173</w:t>
            </w:r>
          </w:p>
        </w:tc>
      </w:tr>
      <w:tr>
        <w:trPr>
          <w:trHeight w:val="196"/>
        </w:trPr>
        <w:tc>
          <w:tcPr>
            <w:tcW w:w="2500" w:type="dxa"/>
            <w:vAlign w:val="bottom"/>
          </w:tcPr>
          <w:p>
            <w:pPr>
              <w:ind w:left="400"/>
              <w:spacing w:after="0"/>
              <w:rPr>
                <w:sz w:val="20"/>
                <w:szCs w:val="20"/>
                <w:color w:val="auto"/>
              </w:rPr>
            </w:pPr>
            <w:r>
              <w:rPr>
                <w:rFonts w:ascii="Courier New" w:cs="Courier New" w:eastAsia="Courier New" w:hAnsi="Courier New"/>
                <w:sz w:val="17"/>
                <w:szCs w:val="17"/>
                <w:color w:val="auto"/>
              </w:rPr>
              <w:t>Cost reimbursements</w:t>
            </w:r>
          </w:p>
        </w:tc>
        <w:tc>
          <w:tcPr>
            <w:tcW w:w="13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10,946</w:t>
            </w:r>
          </w:p>
        </w:tc>
        <w:tc>
          <w:tcPr>
            <w:tcW w:w="1220" w:type="dxa"/>
            <w:vAlign w:val="bottom"/>
          </w:tcPr>
          <w:p>
            <w:pPr>
              <w:ind w:left="500"/>
              <w:spacing w:after="0"/>
              <w:rPr>
                <w:sz w:val="20"/>
                <w:szCs w:val="20"/>
                <w:color w:val="auto"/>
              </w:rPr>
            </w:pPr>
            <w:r>
              <w:rPr>
                <w:rFonts w:ascii="Courier New" w:cs="Courier New" w:eastAsia="Courier New" w:hAnsi="Courier New"/>
                <w:sz w:val="17"/>
                <w:szCs w:val="17"/>
                <w:color w:val="auto"/>
              </w:rPr>
              <w:t>10,944</w:t>
            </w:r>
          </w:p>
        </w:tc>
      </w:tr>
      <w:tr>
        <w:trPr>
          <w:trHeight w:val="196"/>
        </w:trPr>
        <w:tc>
          <w:tcPr>
            <w:tcW w:w="2500" w:type="dxa"/>
            <w:vAlign w:val="bottom"/>
          </w:tcPr>
          <w:p>
            <w:pPr>
              <w:ind w:left="400"/>
              <w:spacing w:after="0"/>
              <w:rPr>
                <w:sz w:val="20"/>
                <w:szCs w:val="20"/>
                <w:color w:val="auto"/>
              </w:rPr>
            </w:pPr>
            <w:r>
              <w:rPr>
                <w:rFonts w:ascii="Courier New" w:cs="Courier New" w:eastAsia="Courier New" w:hAnsi="Courier New"/>
                <w:sz w:val="17"/>
                <w:szCs w:val="17"/>
                <w:color w:val="auto"/>
              </w:rPr>
              <w:t>Percentage rents</w:t>
            </w:r>
          </w:p>
        </w:tc>
        <w:tc>
          <w:tcPr>
            <w:tcW w:w="13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2,630</w:t>
            </w:r>
          </w:p>
        </w:tc>
        <w:tc>
          <w:tcPr>
            <w:tcW w:w="1220" w:type="dxa"/>
            <w:vAlign w:val="bottom"/>
          </w:tcPr>
          <w:p>
            <w:pPr>
              <w:ind w:left="600"/>
              <w:spacing w:after="0"/>
              <w:rPr>
                <w:sz w:val="20"/>
                <w:szCs w:val="20"/>
                <w:color w:val="auto"/>
              </w:rPr>
            </w:pPr>
            <w:r>
              <w:rPr>
                <w:rFonts w:ascii="Courier New" w:cs="Courier New" w:eastAsia="Courier New" w:hAnsi="Courier New"/>
                <w:sz w:val="17"/>
                <w:szCs w:val="17"/>
                <w:color w:val="auto"/>
              </w:rPr>
              <w:t>2,649</w:t>
            </w:r>
          </w:p>
        </w:tc>
      </w:tr>
      <w:tr>
        <w:trPr>
          <w:trHeight w:val="196"/>
        </w:trPr>
        <w:tc>
          <w:tcPr>
            <w:tcW w:w="2500" w:type="dxa"/>
            <w:vAlign w:val="bottom"/>
          </w:tcPr>
          <w:p>
            <w:pPr>
              <w:spacing w:after="0"/>
              <w:rPr>
                <w:sz w:val="20"/>
                <w:szCs w:val="20"/>
                <w:color w:val="auto"/>
              </w:rPr>
            </w:pPr>
            <w:r>
              <w:rPr>
                <w:rFonts w:ascii="Courier New" w:cs="Courier New" w:eastAsia="Courier New" w:hAnsi="Courier New"/>
                <w:sz w:val="17"/>
                <w:szCs w:val="17"/>
                <w:color w:val="auto"/>
              </w:rPr>
              <w:t>Apartments</w:t>
            </w:r>
          </w:p>
        </w:tc>
        <w:tc>
          <w:tcPr>
            <w:tcW w:w="13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1,224</w:t>
            </w:r>
          </w:p>
        </w:tc>
        <w:tc>
          <w:tcPr>
            <w:tcW w:w="1220" w:type="dxa"/>
            <w:vAlign w:val="bottom"/>
          </w:tcPr>
          <w:p>
            <w:pPr>
              <w:ind w:left="600"/>
              <w:spacing w:after="0"/>
              <w:rPr>
                <w:sz w:val="20"/>
                <w:szCs w:val="20"/>
                <w:color w:val="auto"/>
              </w:rPr>
            </w:pPr>
            <w:r>
              <w:rPr>
                <w:rFonts w:ascii="Courier New" w:cs="Courier New" w:eastAsia="Courier New" w:hAnsi="Courier New"/>
                <w:sz w:val="17"/>
                <w:szCs w:val="17"/>
                <w:color w:val="auto"/>
              </w:rPr>
              <w:t>1,164</w:t>
            </w:r>
          </w:p>
        </w:tc>
      </w:tr>
      <w:tr>
        <w:trPr>
          <w:trHeight w:val="196"/>
        </w:trPr>
        <w:tc>
          <w:tcPr>
            <w:tcW w:w="2500" w:type="dxa"/>
            <w:vAlign w:val="bottom"/>
          </w:tcPr>
          <w:p>
            <w:pPr>
              <w:spacing w:after="0"/>
              <w:rPr>
                <w:sz w:val="17"/>
                <w:szCs w:val="17"/>
                <w:color w:val="auto"/>
              </w:rPr>
            </w:pPr>
          </w:p>
        </w:tc>
        <w:tc>
          <w:tcPr>
            <w:tcW w:w="13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ind w:left="500"/>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2500" w:type="dxa"/>
            <w:vAlign w:val="bottom"/>
          </w:tcPr>
          <w:p>
            <w:pPr>
              <w:spacing w:after="0"/>
              <w:rPr>
                <w:sz w:val="17"/>
                <w:szCs w:val="17"/>
                <w:color w:val="auto"/>
              </w:rPr>
            </w:pPr>
          </w:p>
        </w:tc>
        <w:tc>
          <w:tcPr>
            <w:tcW w:w="13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$68,647</w:t>
            </w:r>
          </w:p>
        </w:tc>
        <w:tc>
          <w:tcPr>
            <w:tcW w:w="1220" w:type="dxa"/>
            <w:vAlign w:val="bottom"/>
          </w:tcPr>
          <w:p>
            <w:pPr>
              <w:ind w:left="500"/>
              <w:spacing w:after="0"/>
              <w:rPr>
                <w:sz w:val="20"/>
                <w:szCs w:val="20"/>
                <w:color w:val="auto"/>
              </w:rPr>
            </w:pPr>
            <w:r>
              <w:rPr>
                <w:rFonts w:ascii="Courier New" w:cs="Courier New" w:eastAsia="Courier New" w:hAnsi="Courier New"/>
                <w:sz w:val="17"/>
                <w:szCs w:val="17"/>
                <w:color w:val="auto"/>
                <w:w w:val="97"/>
              </w:rPr>
              <w:t>$61,930</w:t>
            </w:r>
          </w:p>
        </w:tc>
      </w:tr>
      <w:tr>
        <w:trPr>
          <w:trHeight w:val="196"/>
        </w:trPr>
        <w:tc>
          <w:tcPr>
            <w:tcW w:w="2500" w:type="dxa"/>
            <w:vAlign w:val="bottom"/>
          </w:tcPr>
          <w:p>
            <w:pPr>
              <w:spacing w:after="0"/>
              <w:rPr>
                <w:sz w:val="17"/>
                <w:szCs w:val="17"/>
                <w:color w:val="auto"/>
              </w:rPr>
            </w:pPr>
          </w:p>
        </w:tc>
        <w:tc>
          <w:tcPr>
            <w:tcW w:w="13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ind w:left="500"/>
              <w:spacing w:after="0"/>
              <w:rPr>
                <w:sz w:val="20"/>
                <w:szCs w:val="20"/>
                <w:color w:val="auto"/>
              </w:rPr>
            </w:pPr>
            <w:r>
              <w:rPr>
                <w:rFonts w:ascii="Courier New" w:cs="Courier New" w:eastAsia="Courier New" w:hAnsi="Courier New"/>
                <w:sz w:val="17"/>
                <w:szCs w:val="17"/>
                <w:color w:val="auto"/>
                <w:w w:val="97"/>
              </w:rPr>
              <w:t>=======</w:t>
            </w:r>
          </w:p>
        </w:tc>
      </w:tr>
    </w:tbl>
    <w:p>
      <w:pPr>
        <w:sectPr>
          <w:pgSz w:w="11900" w:h="16838" w:orient="portrait"/>
          <w:cols w:equalWidth="0" w:num="1">
            <w:col w:w="9699"/>
          </w:cols>
          <w:pgMar w:left="760" w:top="1440" w:right="1440" w:bottom="1440" w:gutter="0" w:footer="0" w:header="0"/>
        </w:sectPr>
      </w:pPr>
    </w:p>
    <w:bookmarkStart w:id="14" w:name="page15"/>
    <w:bookmarkEnd w:id="14"/>
    <w:p>
      <w:pPr>
        <w:spacing w:after="0" w:line="245"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FEDERAL REALTY INVESTMENT TRUST</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FORM 10-Q</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JUNE 31, 1995</w:t>
      </w:r>
    </w:p>
    <w:p>
      <w:pPr>
        <w:spacing w:after="0" w:line="20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MANAGEMENT'S DISCUSSION AND ANALYSIS OF</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FINANCIAL CONDITION AND RESULTS OF OPERATIONS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Federal Realty meets its liquidity requirements through net cash provided by operating activities, long term borrowing through debt offerings and mortgages, medium and short term borrowing under revolving credit facilities, and equity offerings. Because all or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199" w:lineRule="exact"/>
        <w:rPr>
          <w:sz w:val="20"/>
          <w:szCs w:val="20"/>
          <w:color w:val="auto"/>
        </w:rPr>
      </w:pPr>
    </w:p>
    <w:p>
      <w:pPr>
        <w:ind w:right="2159" w:firstLine="510"/>
        <w:spacing w:after="0" w:line="260" w:lineRule="auto"/>
        <w:rPr>
          <w:sz w:val="20"/>
          <w:szCs w:val="20"/>
          <w:color w:val="auto"/>
        </w:rPr>
      </w:pPr>
      <w:r>
        <w:rPr>
          <w:rFonts w:ascii="Courier New" w:cs="Courier New" w:eastAsia="Courier New" w:hAnsi="Courier New"/>
          <w:sz w:val="16"/>
          <w:szCs w:val="16"/>
          <w:color w:val="auto"/>
        </w:rPr>
        <w:t>During the first six months of 1995 the Trust purchased $35.9 million of street retail properties, i.e. retail buildings in densely developed urban and suburban areas. In addition, during April 1995 the Trust purchased the 302,000 square foot Finley Square Shopping Center in Downers Grove, Illinois for $18.8 million. In June 1995 the Trust purchased a newly constructed 12,400 square foot building, contiguous to its Bethesda Row property, for $2.0 million in cash. During the first six months of 1995 the Trust spent $17.8 million on tenant work and improvements to its properties; these improvements included: (1) $2.4 million on Congressional Plaza whose redevelopment is in the final phases; (2) $1.7 million to buy out a below market lease at Queen Anne Plaza; (3) $3.6 million on Gaithersburg Square which is currently being expanded, redeveloped and retenanted; and (4) $1.4 million on the renovation of Brick Plaza.</w:t>
      </w:r>
    </w:p>
    <w:p>
      <w:pPr>
        <w:spacing w:after="0" w:line="194" w:lineRule="exact"/>
        <w:rPr>
          <w:sz w:val="20"/>
          <w:szCs w:val="20"/>
          <w:color w:val="auto"/>
        </w:rPr>
      </w:pPr>
    </w:p>
    <w:p>
      <w:pPr>
        <w:ind w:right="2559" w:firstLine="918"/>
        <w:spacing w:after="0" w:line="244" w:lineRule="auto"/>
        <w:rPr>
          <w:sz w:val="20"/>
          <w:szCs w:val="20"/>
          <w:color w:val="auto"/>
        </w:rPr>
      </w:pPr>
      <w:r>
        <w:rPr>
          <w:rFonts w:ascii="Courier New" w:cs="Courier New" w:eastAsia="Courier New" w:hAnsi="Courier New"/>
          <w:sz w:val="17"/>
          <w:szCs w:val="17"/>
          <w:color w:val="auto"/>
        </w:rPr>
        <w:t>On January 19, 1995 the Trust issued $100.0 million of 8 7/8% Notes, due January 15, 2000, netting proceeds of approximately $98.9 million. The proceeds from this issuance were used to repay a $22.5 million mortgage, to repay $66.8 million which was outstanding on its revolving credit facilities and to partially fund the first quarter property acquisitions and improvements.</w:t>
      </w:r>
    </w:p>
    <w:p>
      <w:pPr>
        <w:spacing w:after="0" w:line="199"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On April 21, 1995 the Trust issued $25 million of senior notes due 2002, the proceeds of which were used to repay amounts which had been borrowed on the revolving credit facilities during April to fund acquisitions and property renovations.</w:t>
      </w:r>
    </w:p>
    <w:p>
      <w:pPr>
        <w:spacing w:after="0" w:line="198" w:lineRule="exact"/>
        <w:rPr>
          <w:sz w:val="20"/>
          <w:szCs w:val="20"/>
          <w:color w:val="auto"/>
        </w:rPr>
      </w:pPr>
    </w:p>
    <w:p>
      <w:pPr>
        <w:ind w:right="2159" w:firstLine="918"/>
        <w:spacing w:after="0" w:line="261" w:lineRule="auto"/>
        <w:rPr>
          <w:sz w:val="20"/>
          <w:szCs w:val="20"/>
          <w:color w:val="auto"/>
        </w:rPr>
      </w:pPr>
      <w:r>
        <w:rPr>
          <w:rFonts w:ascii="Courier New" w:cs="Courier New" w:eastAsia="Courier New" w:hAnsi="Courier New"/>
          <w:sz w:val="16"/>
          <w:szCs w:val="16"/>
          <w:color w:val="auto"/>
        </w:rPr>
        <w:t>The Trust has available $130.0 million of unsecured medium-term revolving credit facilities with four banks. The facilities, which require fees and have covenants requiring a minimum shareholders' equity and a maximum ratio of debt to net worth, are used to fund acquisitions and other cash requirements until conditions are favorable for issuing equity or long term debt. At June 30, 1995 there was $19.4 million drawn under these facilities. The maximum amount borrowed under these facilities during the first six months of 1995 was $66.8 million. Amounts advanced under these facilities bear interest at LIBOR plus 85 - 100 basis</w:t>
      </w:r>
    </w:p>
    <w:p>
      <w:pPr>
        <w:sectPr>
          <w:pgSz w:w="11900" w:h="16838" w:orient="portrait"/>
          <w:cols w:equalWidth="0" w:num="1">
            <w:col w:w="9699"/>
          </w:cols>
          <w:pgMar w:left="760" w:top="1440" w:right="1440" w:bottom="1440" w:gutter="0" w:footer="0" w:header="0"/>
        </w:sectPr>
      </w:pPr>
    </w:p>
    <w:bookmarkStart w:id="15" w:name="page16"/>
    <w:bookmarkEnd w:id="15"/>
    <w:p>
      <w:pPr>
        <w:spacing w:after="0" w:line="246"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points; the weighted average interest rate on borrowings during the first six months of 1995 was 7.1%.</w:t>
      </w:r>
    </w:p>
    <w:p>
      <w:pPr>
        <w:spacing w:after="0" w:line="199" w:lineRule="exact"/>
        <w:rPr>
          <w:sz w:val="20"/>
          <w:szCs w:val="20"/>
          <w:color w:val="auto"/>
        </w:rPr>
      </w:pPr>
    </w:p>
    <w:p>
      <w:pPr>
        <w:ind w:right="2259" w:firstLine="918"/>
        <w:spacing w:after="0" w:line="261" w:lineRule="auto"/>
        <w:rPr>
          <w:sz w:val="20"/>
          <w:szCs w:val="20"/>
          <w:color w:val="auto"/>
        </w:rPr>
      </w:pPr>
      <w:r>
        <w:rPr>
          <w:rFonts w:ascii="Courier New" w:cs="Courier New" w:eastAsia="Courier New" w:hAnsi="Courier New"/>
          <w:sz w:val="16"/>
          <w:szCs w:val="16"/>
          <w:color w:val="auto"/>
        </w:rPr>
        <w:t>The Trust is committed under leases for approximately $8.5 million in tenant work. In addition the Trust has budgeted approximately $25 million for the remainder of 1995 for improvements to its properties, including the renovations of Brick Plaza, Gaithersburg Square and the completion of the renovation of Congressional Plaza. Furthermore, the Trust is actively seeking to acquire shopping centers in its core major metropolitan markets and to acquire retail buildings in densely developed urban and suburban areas. The Trust is also continuing to study site acquisitions in its core markets to permit the Trust to develop shopping centers. These expenditures will be funded with the revolving credit facilities pending their permanent financing with either equity or debt.</w:t>
      </w:r>
    </w:p>
    <w:p>
      <w:pPr>
        <w:spacing w:after="0" w:line="186"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On August 1, 1995 the Trust sold North City Plaza in New Castle, Pennsylvania for $1.8 million. The Trust recorded a loss of $535,000 during the second quarter to adjust the carrying value of North City to its fair value or sales price less costs to sell.</w:t>
      </w:r>
    </w:p>
    <w:p>
      <w:pPr>
        <w:spacing w:after="0" w:line="198"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The Trust believes that the amounts available under its revolving credit facilities provide it with the liquidity needed for its short term renovation and acquisition plans. The Trust believes that the unencumbered value of its properties and its access to the capital markets, as demonstrated by its past success in raising capital, give it the ability to raise the capital, both debt and equity, needed to funds its long term capital and debt repayment needs.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CONTINGENCIES</w:t>
      </w:r>
    </w:p>
    <w:p>
      <w:pPr>
        <w:spacing w:after="0" w:line="201"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The State of New Jersey Division of Taxation has assessed the Trust $364,000 in taxes, penalty and interest for the years 1985 through 1990, since the State has disallowed the dividends paid deduction in computing New Jersey taxable income. The Trust is protesting this assessment since the Trust believes that it is entitled to the deduction. At this time, the outcome of this matter is unknown; however in a case involving another real estate investment trust, the New Jersey tax court ruled that the dividends paid deduction was allowable and this decision was upheld by the Appellate Court.</w:t>
      </w:r>
    </w:p>
    <w:p>
      <w:pPr>
        <w:spacing w:after="0" w:line="200"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Included in the Trust's investments is $2.9 million of Olympia &amp; York Senior First Mortgage Notes. The Olympia &amp; York notes were written down during 1992 to management's best estimate of their net realizable value. Interest income on these notes is not being recorded as revenue, but is being treated as a reduction of principal.</w:t>
      </w:r>
    </w:p>
    <w:p>
      <w:pPr>
        <w:spacing w:after="0" w:line="198" w:lineRule="exact"/>
        <w:rPr>
          <w:sz w:val="20"/>
          <w:szCs w:val="20"/>
          <w:color w:val="auto"/>
        </w:rPr>
      </w:pPr>
    </w:p>
    <w:p>
      <w:pPr>
        <w:ind w:right="2159" w:firstLine="918"/>
        <w:spacing w:after="0" w:line="261" w:lineRule="auto"/>
        <w:rPr>
          <w:sz w:val="20"/>
          <w:szCs w:val="20"/>
          <w:color w:val="auto"/>
        </w:rPr>
      </w:pPr>
      <w:r>
        <w:rPr>
          <w:rFonts w:ascii="Courier New" w:cs="Courier New" w:eastAsia="Courier New" w:hAnsi="Courier New"/>
          <w:sz w:val="16"/>
          <w:szCs w:val="16"/>
          <w:color w:val="auto"/>
        </w:rPr>
        <w:t>As previously reported, certain of the Trust's shopping centers have some environmental contamination. The North Carolina Department of the Environment, Health and Natural Resources ("DEHNR") issued a Notice of Violation ("NOV") against a drycleaner tenant at Eastgate Shopping Center in Chapel Hill, North Carolina concerning a spill at the shopping center. As owner of the shopping center, the Trust was named in and received a copy of the NOV. Estimates to remediate the spill range from $300,000 to $500,000. The Trust has entered into an agreement with two previous</w:t>
      </w:r>
    </w:p>
    <w:p>
      <w:pPr>
        <w:sectPr>
          <w:pgSz w:w="11900" w:h="16838" w:orient="portrait"/>
          <w:cols w:equalWidth="0" w:num="1">
            <w:col w:w="9699"/>
          </w:cols>
          <w:pgMar w:left="760" w:top="1440" w:right="1440" w:bottom="1440" w:gutter="0" w:footer="0" w:header="0"/>
        </w:sectPr>
      </w:pPr>
    </w:p>
    <w:bookmarkStart w:id="16" w:name="page17"/>
    <w:bookmarkEnd w:id="16"/>
    <w:p>
      <w:pPr>
        <w:spacing w:after="0" w:line="246" w:lineRule="exact"/>
        <w:rPr>
          <w:sz w:val="20"/>
          <w:szCs w:val="20"/>
          <w:color w:val="auto"/>
        </w:rPr>
      </w:pPr>
    </w:p>
    <w:p>
      <w:pPr>
        <w:jc w:val="both"/>
        <w:ind w:right="2159"/>
        <w:spacing w:after="0" w:line="243" w:lineRule="auto"/>
        <w:rPr>
          <w:sz w:val="20"/>
          <w:szCs w:val="20"/>
          <w:color w:val="auto"/>
        </w:rPr>
      </w:pPr>
      <w:r>
        <w:rPr>
          <w:rFonts w:ascii="Courier New" w:cs="Courier New" w:eastAsia="Courier New" w:hAnsi="Courier New"/>
          <w:sz w:val="17"/>
          <w:szCs w:val="17"/>
          <w:color w:val="auto"/>
        </w:rPr>
        <w:t>owners of the shopping center to share the costs to assess and remediate. In 1993 the Trust recorded a liability of $120,000 as its estimated share of the clean up costs.</w:t>
      </w:r>
    </w:p>
    <w:p>
      <w:pPr>
        <w:spacing w:after="0" w:line="200" w:lineRule="exact"/>
        <w:rPr>
          <w:sz w:val="20"/>
          <w:szCs w:val="20"/>
          <w:color w:val="auto"/>
        </w:rPr>
      </w:pPr>
    </w:p>
    <w:p>
      <w:pPr>
        <w:ind w:right="2159" w:firstLine="918"/>
        <w:spacing w:after="0" w:line="261" w:lineRule="auto"/>
        <w:rPr>
          <w:sz w:val="20"/>
          <w:szCs w:val="20"/>
          <w:color w:val="auto"/>
        </w:rPr>
      </w:pPr>
      <w:r>
        <w:rPr>
          <w:rFonts w:ascii="Courier New" w:cs="Courier New" w:eastAsia="Courier New" w:hAnsi="Courier New"/>
          <w:sz w:val="16"/>
          <w:szCs w:val="16"/>
          <w:color w:val="auto"/>
        </w:rPr>
        <w:t>In 1992 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 the Trust is unable to determine what the range of remediation costs might be. The Trust had also previously identified chorlinated solvent contamination at another property. The contamination appears to be linked to the current and/or previous dry cleaner. The Trust intends to look to the responsible parties for any remediation effort. Evaluation of this situation is preliminary and it is impossible to estimate the range of remediation costs, if any.</w:t>
      </w:r>
    </w:p>
    <w:p>
      <w:pPr>
        <w:spacing w:after="0" w:line="186"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The Trust reserved $2.25 million at closing in 1993 for environmental issues principally associated with Gaithersburg Square Shopping Center. Pursuant to an indemnity agreement entered into with the seller at closing, the Trust agreed to take certain actions with respect to identified chlorinated solvent contamination. The seller indemnified the Trust against certain third party claims and government requirements related to contamination at adjacent properties.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 - SIX MONTHS ENDED JUNE 30, 1995 AND 1994</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The Trust has historically reported its funds from operations in addition to its net income. Funds from operations is a supplemental measure of real estate companies' operating performance which excludes historical cost depreciation, since real estate values have historically risen and fallen with market conditions rather than over time. Funds from operations was defined as income before depreciation and amortization and extraordinary items less gains on sale of real estate. The National Association of Real Estate Investment Trusts ("NAREIT") has recently issued a white paper, which has amended the definition as follows: income before depreciation and amortization of real estate assets and before extraordinary items and significant non-recurring events less gains on sale of real estate. The Trust intends to comply with this new definition and has consequently restated funds from operations for prior periods. Funds from operations does not replace net income as a measure of performance or net cash provided by operating activities as a measure of liquidity. Rather, funds from operations has been adopted to provide a consistent measure of operating performance in the industry.</w:t>
      </w:r>
    </w:p>
    <w:p>
      <w:pPr>
        <w:spacing w:after="0" w:line="203" w:lineRule="exact"/>
        <w:rPr>
          <w:sz w:val="20"/>
          <w:szCs w:val="20"/>
          <w:color w:val="auto"/>
        </w:rPr>
      </w:pPr>
    </w:p>
    <w:p>
      <w:pPr>
        <w:ind w:right="2159" w:firstLine="918"/>
        <w:spacing w:after="0" w:line="243" w:lineRule="auto"/>
        <w:rPr>
          <w:sz w:val="20"/>
          <w:szCs w:val="20"/>
          <w:color w:val="auto"/>
        </w:rPr>
      </w:pPr>
      <w:r>
        <w:rPr>
          <w:rFonts w:ascii="Courier New" w:cs="Courier New" w:eastAsia="Courier New" w:hAnsi="Courier New"/>
          <w:sz w:val="17"/>
          <w:szCs w:val="17"/>
          <w:color w:val="auto"/>
        </w:rPr>
        <w:t>The reconciliation of net income to funds from operations for the six months ended June 30 is as follows:</w:t>
      </w:r>
    </w:p>
    <w:p>
      <w:pPr>
        <w:sectPr>
          <w:pgSz w:w="11900" w:h="16838" w:orient="portrait"/>
          <w:cols w:equalWidth="0" w:num="1">
            <w:col w:w="9699"/>
          </w:cols>
          <w:pgMar w:left="760" w:top="1440" w:right="1440" w:bottom="1440" w:gutter="0" w:footer="0" w:header="0"/>
        </w:sectPr>
      </w:pPr>
    </w:p>
    <w:bookmarkStart w:id="17" w:name="page18"/>
    <w:bookmarkEnd w:id="17"/>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80" w:type="dxa"/>
            <w:vAlign w:val="bottom"/>
          </w:tcPr>
          <w:p>
            <w:pPr>
              <w:spacing w:after="0"/>
              <w:rPr>
                <w:sz w:val="16"/>
                <w:szCs w:val="16"/>
                <w:color w:val="auto"/>
              </w:rPr>
            </w:pPr>
          </w:p>
        </w:tc>
        <w:tc>
          <w:tcPr>
            <w:tcW w:w="152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1995</w:t>
            </w:r>
          </w:p>
        </w:tc>
        <w:tc>
          <w:tcPr>
            <w:tcW w:w="12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1994</w:t>
            </w:r>
          </w:p>
        </w:tc>
      </w:tr>
      <w:tr>
        <w:trPr>
          <w:trHeight w:val="196"/>
        </w:trPr>
        <w:tc>
          <w:tcPr>
            <w:tcW w:w="4080" w:type="dxa"/>
            <w:vAlign w:val="bottom"/>
          </w:tcPr>
          <w:p>
            <w:pPr>
              <w:spacing w:after="0"/>
              <w:rPr>
                <w:sz w:val="17"/>
                <w:szCs w:val="17"/>
                <w:color w:val="auto"/>
              </w:rPr>
            </w:pPr>
          </w:p>
        </w:tc>
        <w:tc>
          <w:tcPr>
            <w:tcW w:w="2760" w:type="dxa"/>
            <w:vAlign w:val="bottom"/>
            <w:gridSpan w:val="2"/>
          </w:tcPr>
          <w:p>
            <w:pPr>
              <w:jc w:val="right"/>
              <w:ind w:right="435"/>
              <w:spacing w:after="0"/>
              <w:rPr>
                <w:sz w:val="20"/>
                <w:szCs w:val="20"/>
                <w:color w:val="auto"/>
              </w:rPr>
            </w:pPr>
            <w:r>
              <w:rPr>
                <w:rFonts w:ascii="Courier New" w:cs="Courier New" w:eastAsia="Courier New" w:hAnsi="Courier New"/>
                <w:sz w:val="17"/>
                <w:szCs w:val="17"/>
                <w:color w:val="auto"/>
              </w:rPr>
              <w:t>(in thousands)</w:t>
            </w:r>
          </w:p>
        </w:tc>
      </w:tr>
      <w:tr>
        <w:trPr>
          <w:trHeight w:val="196"/>
        </w:trPr>
        <w:tc>
          <w:tcPr>
            <w:tcW w:w="40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5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$11,826</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$ 9,289</w:t>
            </w:r>
          </w:p>
        </w:tc>
      </w:tr>
      <w:tr>
        <w:trPr>
          <w:trHeight w:val="196"/>
        </w:trPr>
        <w:tc>
          <w:tcPr>
            <w:tcW w:w="4080" w:type="dxa"/>
            <w:vAlign w:val="bottom"/>
          </w:tcPr>
          <w:p>
            <w:pPr>
              <w:spacing w:after="0"/>
              <w:rPr>
                <w:sz w:val="20"/>
                <w:szCs w:val="20"/>
                <w:color w:val="auto"/>
              </w:rPr>
            </w:pPr>
            <w:r>
              <w:rPr>
                <w:rFonts w:ascii="Courier New" w:cs="Courier New" w:eastAsia="Courier New" w:hAnsi="Courier New"/>
                <w:sz w:val="17"/>
                <w:szCs w:val="17"/>
                <w:color w:val="auto"/>
              </w:rPr>
              <w:t>Plus:  depreciation and amortization</w:t>
            </w: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4080" w:type="dxa"/>
            <w:vAlign w:val="bottom"/>
          </w:tcPr>
          <w:p>
            <w:pPr>
              <w:ind w:left="920"/>
              <w:spacing w:after="0"/>
              <w:rPr>
                <w:sz w:val="20"/>
                <w:szCs w:val="20"/>
                <w:color w:val="auto"/>
              </w:rPr>
            </w:pPr>
            <w:r>
              <w:rPr>
                <w:rFonts w:ascii="Courier New" w:cs="Courier New" w:eastAsia="Courier New" w:hAnsi="Courier New"/>
                <w:sz w:val="17"/>
                <w:szCs w:val="17"/>
                <w:color w:val="auto"/>
              </w:rPr>
              <w:t>of real estate assets</w:t>
            </w:r>
          </w:p>
        </w:tc>
        <w:tc>
          <w:tcPr>
            <w:tcW w:w="15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15,028</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12,622</w:t>
            </w:r>
          </w:p>
        </w:tc>
      </w:tr>
      <w:tr>
        <w:trPr>
          <w:trHeight w:val="196"/>
        </w:trPr>
        <w:tc>
          <w:tcPr>
            <w:tcW w:w="4080" w:type="dxa"/>
            <w:vAlign w:val="bottom"/>
          </w:tcPr>
          <w:p>
            <w:pPr>
              <w:ind w:left="700"/>
              <w:spacing w:after="0"/>
              <w:rPr>
                <w:sz w:val="20"/>
                <w:szCs w:val="20"/>
                <w:color w:val="auto"/>
              </w:rPr>
            </w:pPr>
            <w:r>
              <w:rPr>
                <w:rFonts w:ascii="Courier New" w:cs="Courier New" w:eastAsia="Courier New" w:hAnsi="Courier New"/>
                <w:sz w:val="17"/>
                <w:szCs w:val="17"/>
                <w:color w:val="auto"/>
              </w:rPr>
              <w:t>amortization of initial direct</w:t>
            </w: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4080" w:type="dxa"/>
            <w:vAlign w:val="bottom"/>
          </w:tcPr>
          <w:p>
            <w:pPr>
              <w:ind w:left="920"/>
              <w:spacing w:after="0"/>
              <w:rPr>
                <w:sz w:val="20"/>
                <w:szCs w:val="20"/>
                <w:color w:val="auto"/>
              </w:rPr>
            </w:pPr>
            <w:r>
              <w:rPr>
                <w:rFonts w:ascii="Courier New" w:cs="Courier New" w:eastAsia="Courier New" w:hAnsi="Courier New"/>
                <w:sz w:val="17"/>
                <w:szCs w:val="17"/>
                <w:color w:val="auto"/>
              </w:rPr>
              <w:t>costs of leases</w:t>
            </w:r>
          </w:p>
        </w:tc>
        <w:tc>
          <w:tcPr>
            <w:tcW w:w="15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1,218</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1,185</w:t>
            </w:r>
          </w:p>
        </w:tc>
      </w:tr>
      <w:tr>
        <w:trPr>
          <w:trHeight w:val="196"/>
        </w:trPr>
        <w:tc>
          <w:tcPr>
            <w:tcW w:w="4080" w:type="dxa"/>
            <w:vAlign w:val="bottom"/>
          </w:tcPr>
          <w:p>
            <w:pPr>
              <w:ind w:left="700"/>
              <w:spacing w:after="0"/>
              <w:rPr>
                <w:sz w:val="20"/>
                <w:szCs w:val="20"/>
                <w:color w:val="auto"/>
              </w:rPr>
            </w:pPr>
            <w:r>
              <w:rPr>
                <w:rFonts w:ascii="Courier New" w:cs="Courier New" w:eastAsia="Courier New" w:hAnsi="Courier New"/>
                <w:sz w:val="17"/>
                <w:szCs w:val="17"/>
                <w:color w:val="auto"/>
              </w:rPr>
              <w:t>loss on sale and nonrecurring</w:t>
            </w: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4080" w:type="dxa"/>
            <w:vAlign w:val="bottom"/>
          </w:tcPr>
          <w:p>
            <w:pPr>
              <w:ind w:left="920"/>
              <w:spacing w:after="0"/>
              <w:rPr>
                <w:sz w:val="20"/>
                <w:szCs w:val="20"/>
                <w:color w:val="auto"/>
              </w:rPr>
            </w:pPr>
            <w:r>
              <w:rPr>
                <w:rFonts w:ascii="Courier New" w:cs="Courier New" w:eastAsia="Courier New" w:hAnsi="Courier New"/>
                <w:sz w:val="17"/>
                <w:szCs w:val="17"/>
                <w:color w:val="auto"/>
              </w:rPr>
              <w:t>items</w:t>
            </w:r>
          </w:p>
        </w:tc>
        <w:tc>
          <w:tcPr>
            <w:tcW w:w="15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535</w:t>
            </w:r>
          </w:p>
        </w:tc>
        <w:tc>
          <w:tcPr>
            <w:tcW w:w="12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r>
      <w:tr>
        <w:trPr>
          <w:trHeight w:val="196"/>
        </w:trPr>
        <w:tc>
          <w:tcPr>
            <w:tcW w:w="4080" w:type="dxa"/>
            <w:vAlign w:val="bottom"/>
          </w:tcPr>
          <w:p>
            <w:pPr>
              <w:spacing w:after="0"/>
              <w:rPr>
                <w:sz w:val="17"/>
                <w:szCs w:val="17"/>
                <w:color w:val="auto"/>
              </w:rPr>
            </w:pPr>
          </w:p>
        </w:tc>
        <w:tc>
          <w:tcPr>
            <w:tcW w:w="15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080" w:type="dxa"/>
            <w:vAlign w:val="bottom"/>
          </w:tcPr>
          <w:p>
            <w:pPr>
              <w:spacing w:after="0"/>
              <w:rPr>
                <w:sz w:val="20"/>
                <w:szCs w:val="20"/>
                <w:color w:val="auto"/>
              </w:rPr>
            </w:pPr>
            <w:r>
              <w:rPr>
                <w:rFonts w:ascii="Courier New" w:cs="Courier New" w:eastAsia="Courier New" w:hAnsi="Courier New"/>
                <w:sz w:val="17"/>
                <w:szCs w:val="17"/>
                <w:color w:val="auto"/>
              </w:rPr>
              <w:t>Funds from operations</w:t>
            </w:r>
          </w:p>
        </w:tc>
        <w:tc>
          <w:tcPr>
            <w:tcW w:w="15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$28,607</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$23,096</w:t>
            </w:r>
          </w:p>
        </w:tc>
      </w:tr>
      <w:tr>
        <w:trPr>
          <w:trHeight w:val="196"/>
        </w:trPr>
        <w:tc>
          <w:tcPr>
            <w:tcW w:w="4080" w:type="dxa"/>
            <w:vAlign w:val="bottom"/>
          </w:tcPr>
          <w:p>
            <w:pPr>
              <w:spacing w:after="0"/>
              <w:rPr>
                <w:sz w:val="17"/>
                <w:szCs w:val="17"/>
                <w:color w:val="auto"/>
              </w:rPr>
            </w:pPr>
          </w:p>
        </w:tc>
        <w:tc>
          <w:tcPr>
            <w:tcW w:w="15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1" w:lineRule="exact"/>
        <w:rPr>
          <w:sz w:val="20"/>
          <w:szCs w:val="20"/>
          <w:color w:val="auto"/>
        </w:rPr>
      </w:pPr>
    </w:p>
    <w:p>
      <w:pPr>
        <w:ind w:right="2159" w:firstLine="918"/>
        <w:spacing w:after="0" w:line="273" w:lineRule="auto"/>
        <w:rPr>
          <w:sz w:val="20"/>
          <w:szCs w:val="20"/>
          <w:color w:val="auto"/>
        </w:rPr>
      </w:pPr>
      <w:r>
        <w:rPr>
          <w:rFonts w:ascii="Courier New" w:cs="Courier New" w:eastAsia="Courier New" w:hAnsi="Courier New"/>
          <w:sz w:val="16"/>
          <w:szCs w:val="16"/>
          <w:color w:val="auto"/>
        </w:rPr>
        <w:t>Funds from operations increased 24% to $28.6 million in the first six months of 1995 from $23.1 million in the first six months of 1994.</w:t>
      </w:r>
    </w:p>
    <w:p>
      <w:pPr>
        <w:spacing w:after="0" w:line="176"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Rental income, which consists of minimum rent, percentage rent and cost recoveries, increased 11% from $61.9 million in the first six months of 1994 to $68.6 million in the first six months of 1995. If rental income is adjusted to remove the effect of properties purchased in 1994 and 1995, it increased 5%. Forty percent of the increase is from Congressional Plaza, which was renovated and retenanted in 1994. Ellisburg Circle, whose redevelopment was completed in 1994, contributed an additional 14% of the increase.</w:t>
      </w:r>
    </w:p>
    <w:p>
      <w:pPr>
        <w:spacing w:after="0" w:line="199"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Minimum rent increased 14% from $48.3 million in the first six months of 1994 to $55.1 million in the first six months of 1995. If properties purchased in 1994 and 1995 are excluded, minimum rent increased $3.6 million or 7.5%. A major component of this increase is contributions from recently renovated centers and from the retenanting of some anchor spaces. Cost recoveries, if adjusted to remove the effect of 1995 and 1994 acquisitions, are down slightly, primarily due to the decrease in snow removal expense in 1995 as compared to 1994.</w:t>
      </w:r>
    </w:p>
    <w:p>
      <w:pPr>
        <w:spacing w:after="0" w:line="199"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Other income which includes items which tend to fluctuate from period to period, such as utility reimbursements, telephone income, merchant association dues, lease termination fees, late fees and temporary tenant income, has increased from $2.5 million in 1994 to $3.4 million in 1995 due principally to a commission on telephone services and to lease termination fees.</w:t>
      </w:r>
    </w:p>
    <w:p>
      <w:pPr>
        <w:spacing w:after="0" w:line="199" w:lineRule="exact"/>
        <w:rPr>
          <w:sz w:val="20"/>
          <w:szCs w:val="20"/>
          <w:color w:val="auto"/>
        </w:rPr>
      </w:pPr>
    </w:p>
    <w:p>
      <w:pPr>
        <w:ind w:right="2459" w:firstLine="918"/>
        <w:spacing w:after="0" w:line="244" w:lineRule="auto"/>
        <w:rPr>
          <w:sz w:val="20"/>
          <w:szCs w:val="20"/>
          <w:color w:val="auto"/>
        </w:rPr>
      </w:pPr>
      <w:r>
        <w:rPr>
          <w:rFonts w:ascii="Courier New" w:cs="Courier New" w:eastAsia="Courier New" w:hAnsi="Courier New"/>
          <w:sz w:val="17"/>
          <w:szCs w:val="17"/>
          <w:color w:val="auto"/>
        </w:rPr>
        <w:t>Rental expenses have decreased from $17.9 million in the first six months of 1994 to $16.2 million in the first six months of 1995, despite the acquisition of new properties in 1994 and 1995. The major decrease is in snow removal expense, but there was also a significant decrease in bad debt and related expenses. Real estate tax expense has increased because of the new properties and because of increased assessments at several centers.</w:t>
      </w:r>
    </w:p>
    <w:p>
      <w:pPr>
        <w:spacing w:after="0" w:line="199" w:lineRule="exact"/>
        <w:rPr>
          <w:sz w:val="20"/>
          <w:szCs w:val="20"/>
          <w:color w:val="auto"/>
        </w:rPr>
      </w:pPr>
    </w:p>
    <w:p>
      <w:pPr>
        <w:ind w:right="2259" w:firstLine="918"/>
        <w:spacing w:after="0" w:line="264" w:lineRule="auto"/>
        <w:rPr>
          <w:sz w:val="20"/>
          <w:szCs w:val="20"/>
          <w:color w:val="auto"/>
        </w:rPr>
      </w:pPr>
      <w:r>
        <w:rPr>
          <w:rFonts w:ascii="Courier New" w:cs="Courier New" w:eastAsia="Courier New" w:hAnsi="Courier New"/>
          <w:sz w:val="16"/>
          <w:szCs w:val="16"/>
          <w:color w:val="auto"/>
        </w:rPr>
        <w:t>Interest expense has increased from $15.8 million during the first six months of 1994 to $18.7 million during the comparable period of 1995. Interest expense on the senior notes issued January and April 1995 exceeds the interest saved due to the redemption in April 1994 of most of</w:t>
      </w:r>
    </w:p>
    <w:p>
      <w:pPr>
        <w:sectPr>
          <w:pgSz w:w="11900" w:h="16838" w:orient="portrait"/>
          <w:cols w:equalWidth="0" w:num="1">
            <w:col w:w="9699"/>
          </w:cols>
          <w:pgMar w:left="760" w:top="1440" w:right="1440" w:bottom="1440" w:gutter="0" w:footer="0" w:header="0"/>
        </w:sectPr>
      </w:pPr>
    </w:p>
    <w:bookmarkStart w:id="18" w:name="page19"/>
    <w:bookmarkEnd w:id="18"/>
    <w:p>
      <w:pPr>
        <w:spacing w:after="0" w:line="246" w:lineRule="exact"/>
        <w:rPr>
          <w:sz w:val="20"/>
          <w:szCs w:val="20"/>
          <w:color w:val="auto"/>
        </w:rPr>
      </w:pPr>
    </w:p>
    <w:p>
      <w:pPr>
        <w:jc w:val="both"/>
        <w:ind w:right="2259"/>
        <w:spacing w:after="0" w:line="243" w:lineRule="auto"/>
        <w:rPr>
          <w:sz w:val="20"/>
          <w:szCs w:val="20"/>
          <w:color w:val="auto"/>
        </w:rPr>
      </w:pPr>
      <w:r>
        <w:rPr>
          <w:rFonts w:ascii="Courier New" w:cs="Courier New" w:eastAsia="Courier New" w:hAnsi="Courier New"/>
          <w:sz w:val="17"/>
          <w:szCs w:val="17"/>
          <w:color w:val="auto"/>
        </w:rPr>
        <w:t>the convertible subordinated debentures due 2002. The ratio of earnings to fixed charges was 1.61x in 1995 and 1.56x in 1994. The ratio of funds from operations to fixed charges was 2.43x in 1995 and 2.41x in 1994.</w:t>
      </w:r>
    </w:p>
    <w:p>
      <w:pPr>
        <w:spacing w:after="0" w:line="200" w:lineRule="exact"/>
        <w:rPr>
          <w:sz w:val="20"/>
          <w:szCs w:val="20"/>
          <w:color w:val="auto"/>
        </w:rPr>
      </w:pPr>
    </w:p>
    <w:p>
      <w:pPr>
        <w:jc w:val="both"/>
        <w:ind w:right="2459" w:firstLine="918"/>
        <w:spacing w:after="0" w:line="243" w:lineRule="auto"/>
        <w:rPr>
          <w:sz w:val="20"/>
          <w:szCs w:val="20"/>
          <w:color w:val="auto"/>
        </w:rPr>
      </w:pPr>
      <w:r>
        <w:rPr>
          <w:rFonts w:ascii="Courier New" w:cs="Courier New" w:eastAsia="Courier New" w:hAnsi="Courier New"/>
          <w:sz w:val="17"/>
          <w:szCs w:val="17"/>
          <w:color w:val="auto"/>
        </w:rPr>
        <w:t>Depreciation and amortization expense has increased because of the recent acquisitions and because of depreciation on tenant work and recent property improvements.</w:t>
      </w:r>
    </w:p>
    <w:p>
      <w:pPr>
        <w:spacing w:after="0" w:line="200" w:lineRule="exact"/>
        <w:rPr>
          <w:sz w:val="20"/>
          <w:szCs w:val="20"/>
          <w:color w:val="auto"/>
        </w:rPr>
      </w:pPr>
    </w:p>
    <w:p>
      <w:pPr>
        <w:jc w:val="both"/>
        <w:ind w:right="2259" w:firstLine="918"/>
        <w:spacing w:after="0" w:line="243" w:lineRule="auto"/>
        <w:rPr>
          <w:sz w:val="20"/>
          <w:szCs w:val="20"/>
          <w:color w:val="auto"/>
        </w:rPr>
      </w:pPr>
      <w:r>
        <w:rPr>
          <w:rFonts w:ascii="Courier New" w:cs="Courier New" w:eastAsia="Courier New" w:hAnsi="Courier New"/>
          <w:sz w:val="17"/>
          <w:szCs w:val="17"/>
          <w:color w:val="auto"/>
        </w:rPr>
        <w:t>During the second quarter of 1995 the Trust recorded a $535,000 loss, resulting from the write down of North City Plaza to its fair value less costs to sell, since it was being prepared for sale.</w:t>
      </w:r>
    </w:p>
    <w:p>
      <w:pPr>
        <w:spacing w:after="0" w:line="200" w:lineRule="exact"/>
        <w:rPr>
          <w:sz w:val="20"/>
          <w:szCs w:val="20"/>
          <w:color w:val="auto"/>
        </w:rPr>
      </w:pPr>
    </w:p>
    <w:p>
      <w:pPr>
        <w:jc w:val="both"/>
        <w:ind w:right="2459" w:firstLine="918"/>
        <w:spacing w:after="0" w:line="244" w:lineRule="auto"/>
        <w:rPr>
          <w:sz w:val="20"/>
          <w:szCs w:val="20"/>
          <w:color w:val="auto"/>
        </w:rPr>
      </w:pPr>
      <w:r>
        <w:rPr>
          <w:rFonts w:ascii="Courier New" w:cs="Courier New" w:eastAsia="Courier New" w:hAnsi="Courier New"/>
          <w:sz w:val="17"/>
          <w:szCs w:val="17"/>
          <w:color w:val="auto"/>
        </w:rPr>
        <w:t>As a result of the foregoing items, primarily the increases in minimum rent and other income and the decreases in rental expense, net income rose from $9.3 million in the first six months of 1994 to $11.8 million in the first six months of 1995.</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 - THREE MONTHS ENDED JUNE 30, 1995 AND 1994</w:t>
      </w:r>
    </w:p>
    <w:p>
      <w:pPr>
        <w:spacing w:after="0" w:line="201" w:lineRule="exact"/>
        <w:rPr>
          <w:sz w:val="20"/>
          <w:szCs w:val="20"/>
          <w:color w:val="auto"/>
        </w:rPr>
      </w:pPr>
    </w:p>
    <w:p>
      <w:pPr>
        <w:ind w:right="2259" w:firstLine="918"/>
        <w:spacing w:after="0" w:line="243" w:lineRule="auto"/>
        <w:rPr>
          <w:sz w:val="20"/>
          <w:szCs w:val="20"/>
          <w:color w:val="auto"/>
        </w:rPr>
      </w:pPr>
      <w:r>
        <w:rPr>
          <w:rFonts w:ascii="Courier New" w:cs="Courier New" w:eastAsia="Courier New" w:hAnsi="Courier New"/>
          <w:sz w:val="17"/>
          <w:szCs w:val="17"/>
          <w:color w:val="auto"/>
        </w:rPr>
        <w:t>Funds from operations for the quarter ended June 30, 1995 increased 14% to $14.0 million as compared to $12.3 million in the second quarter of 1994.</w:t>
      </w:r>
    </w:p>
    <w:p>
      <w:pPr>
        <w:spacing w:after="0" w:line="200"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Rental income, which consists of minimum rent, percentage rent and cost recoveries, increased 12% from $30.4 million in the second quarter of 1994 to $34.2 million in the second quarter of 1995. If rental income is adjusted to remove the effect of properties purchased in 1994 and 1995, it increased 5%. Thirty-six percent of this increase is from Congressional Plaza, which was renovated and retenanted in 1994. Ellisburg Circle, whose redevelopment was completed in 1994, contributed an additional 14% of the increase.</w:t>
      </w:r>
    </w:p>
    <w:p>
      <w:pPr>
        <w:spacing w:after="0" w:line="199"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Minimum rent increased 14% from $24.5 million in the second quarter of 1994 to $27.9 million in the second quarter of 1995. If properties purchased in 1994 and 1995 are excluded, minimum rent increased 6.5%. A major component of this increase is contributions from recently renovated centers and from the retenanting of some spaces. Cost recoveries in the second quarter of 1995 have increased over the second quarter 1994 recoveries due to the 1994 and 1995 property acquisitions.</w:t>
      </w:r>
    </w:p>
    <w:p>
      <w:pPr>
        <w:spacing w:after="0" w:line="199" w:lineRule="exact"/>
        <w:rPr>
          <w:sz w:val="20"/>
          <w:szCs w:val="20"/>
          <w:color w:val="auto"/>
        </w:rPr>
      </w:pPr>
    </w:p>
    <w:p>
      <w:pPr>
        <w:ind w:right="2759" w:firstLine="918"/>
        <w:spacing w:after="0" w:line="243" w:lineRule="auto"/>
        <w:rPr>
          <w:sz w:val="20"/>
          <w:szCs w:val="20"/>
          <w:color w:val="auto"/>
        </w:rPr>
      </w:pPr>
      <w:r>
        <w:rPr>
          <w:rFonts w:ascii="Courier New" w:cs="Courier New" w:eastAsia="Courier New" w:hAnsi="Courier New"/>
          <w:sz w:val="17"/>
          <w:szCs w:val="17"/>
          <w:color w:val="auto"/>
        </w:rPr>
        <w:t>Other income has increased from $1.2 million in the second quarter of 1994 to $1.9 million in the second quarter of 1995. The largest component of the increase was due to lease termination fees.</w:t>
      </w:r>
    </w:p>
    <w:p>
      <w:pPr>
        <w:spacing w:after="0" w:line="200"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Rental expenses have increased from the second quarter of 1994 to the second quarter of 1995 because of the 1994 and 1995 acquisitions. Real estate tax expense has increased because of the new acquisitions and because of increased assessments at several centers.</w:t>
      </w:r>
    </w:p>
    <w:p>
      <w:pPr>
        <w:spacing w:after="0" w:line="198" w:lineRule="exact"/>
        <w:rPr>
          <w:sz w:val="20"/>
          <w:szCs w:val="20"/>
          <w:color w:val="auto"/>
        </w:rPr>
      </w:pPr>
    </w:p>
    <w:p>
      <w:pPr>
        <w:ind w:right="2259" w:firstLine="918"/>
        <w:spacing w:after="0" w:line="243" w:lineRule="auto"/>
        <w:rPr>
          <w:sz w:val="20"/>
          <w:szCs w:val="20"/>
          <w:color w:val="auto"/>
        </w:rPr>
      </w:pPr>
      <w:r>
        <w:rPr>
          <w:rFonts w:ascii="Courier New" w:cs="Courier New" w:eastAsia="Courier New" w:hAnsi="Courier New"/>
          <w:sz w:val="17"/>
          <w:szCs w:val="17"/>
          <w:color w:val="auto"/>
        </w:rPr>
        <w:t>Interest expense has increased from $7.6 million in the second quarter of 1994 to $9.6 million during the comparable period of 1995, due to interest on the $125 million of senior notes issued in 1995.</w:t>
      </w:r>
    </w:p>
    <w:p>
      <w:pPr>
        <w:sectPr>
          <w:pgSz w:w="11900" w:h="16838" w:orient="portrait"/>
          <w:cols w:equalWidth="0" w:num="1">
            <w:col w:w="9699"/>
          </w:cols>
          <w:pgMar w:left="760" w:top="1440" w:right="1440" w:bottom="1440" w:gutter="0" w:footer="0" w:header="0"/>
        </w:sectPr>
      </w:pPr>
    </w:p>
    <w:bookmarkStart w:id="19" w:name="page20"/>
    <w:bookmarkEnd w:id="19"/>
    <w:p>
      <w:pPr>
        <w:spacing w:after="0" w:line="246" w:lineRule="exact"/>
        <w:rPr>
          <w:sz w:val="20"/>
          <w:szCs w:val="20"/>
          <w:color w:val="auto"/>
        </w:rPr>
      </w:pPr>
    </w:p>
    <w:p>
      <w:pPr>
        <w:ind w:right="2159" w:firstLine="918"/>
        <w:spacing w:after="0" w:line="243" w:lineRule="auto"/>
        <w:rPr>
          <w:sz w:val="20"/>
          <w:szCs w:val="20"/>
          <w:color w:val="auto"/>
        </w:rPr>
      </w:pPr>
      <w:r>
        <w:rPr>
          <w:rFonts w:ascii="Courier New" w:cs="Courier New" w:eastAsia="Courier New" w:hAnsi="Courier New"/>
          <w:sz w:val="17"/>
          <w:szCs w:val="17"/>
          <w:color w:val="auto"/>
        </w:rPr>
        <w:t>General and administrative expenses are down in the second quarter of 1995 as compared to the same quarter of 1994, primarily because of a decrease in costs related to unsuccessful acquisitions.</w:t>
      </w:r>
    </w:p>
    <w:p>
      <w:pPr>
        <w:spacing w:after="0" w:line="200"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Depreciation and amortization expense has increased from the second quarter of 1994 to the second quarter of 1995 because of the recent acquisitions and because of depreciation on tenant work and recent property improvements.</w:t>
      </w:r>
    </w:p>
    <w:p>
      <w:pPr>
        <w:spacing w:after="0" w:line="198" w:lineRule="exact"/>
        <w:rPr>
          <w:sz w:val="20"/>
          <w:szCs w:val="20"/>
          <w:color w:val="auto"/>
        </w:rPr>
      </w:pPr>
    </w:p>
    <w:p>
      <w:pPr>
        <w:jc w:val="both"/>
        <w:ind w:right="2259" w:firstLine="918"/>
        <w:spacing w:after="0" w:line="243" w:lineRule="auto"/>
        <w:rPr>
          <w:sz w:val="20"/>
          <w:szCs w:val="20"/>
          <w:color w:val="auto"/>
        </w:rPr>
      </w:pPr>
      <w:r>
        <w:rPr>
          <w:rFonts w:ascii="Courier New" w:cs="Courier New" w:eastAsia="Courier New" w:hAnsi="Courier New"/>
          <w:sz w:val="17"/>
          <w:szCs w:val="17"/>
          <w:color w:val="auto"/>
        </w:rPr>
        <w:t>During the second quarter of 1995 the Trust recorded a $535,000 loss, resulting from the write down of North City Plaza to its fair value less costs to sell, since it was being prepared for sale.</w:t>
      </w:r>
    </w:p>
    <w:p>
      <w:pPr>
        <w:spacing w:after="0" w:line="200" w:lineRule="exact"/>
        <w:rPr>
          <w:sz w:val="20"/>
          <w:szCs w:val="20"/>
          <w:color w:val="auto"/>
        </w:rPr>
      </w:pPr>
    </w:p>
    <w:p>
      <w:pPr>
        <w:ind w:right="2359" w:firstLine="918"/>
        <w:spacing w:after="0" w:line="273" w:lineRule="auto"/>
        <w:rPr>
          <w:sz w:val="20"/>
          <w:szCs w:val="20"/>
          <w:color w:val="auto"/>
        </w:rPr>
      </w:pPr>
      <w:r>
        <w:rPr>
          <w:rFonts w:ascii="Courier New" w:cs="Courier New" w:eastAsia="Courier New" w:hAnsi="Courier New"/>
          <w:sz w:val="16"/>
          <w:szCs w:val="16"/>
          <w:color w:val="auto"/>
        </w:rPr>
        <w:t>Net income for the second quarter of 1995 was $5.2 million, the same as the second quarter of 1994, as a result of the foregoing items.</w:t>
      </w:r>
    </w:p>
    <w:p>
      <w:pPr>
        <w:sectPr>
          <w:pgSz w:w="11900" w:h="16838" w:orient="portrait"/>
          <w:cols w:equalWidth="0" w:num="1">
            <w:col w:w="9699"/>
          </w:cols>
          <w:pgMar w:left="760" w:top="1440" w:right="1440" w:bottom="1440" w:gutter="0" w:footer="0" w:header="0"/>
        </w:sectPr>
      </w:pPr>
    </w:p>
    <w:bookmarkStart w:id="20" w:name="page21"/>
    <w:bookmarkEnd w:id="20"/>
    <w:p>
      <w:pPr>
        <w:spacing w:after="0" w:line="245" w:lineRule="exact"/>
        <w:rPr>
          <w:sz w:val="20"/>
          <w:szCs w:val="20"/>
          <w:color w:val="auto"/>
        </w:rPr>
      </w:pPr>
    </w:p>
    <w:p>
      <w:pPr>
        <w:ind w:left="5"/>
        <w:spacing w:after="0"/>
        <w:rPr>
          <w:sz w:val="20"/>
          <w:szCs w:val="20"/>
          <w:color w:val="auto"/>
        </w:rPr>
      </w:pPr>
      <w:r>
        <w:rPr>
          <w:rFonts w:ascii="Courier New" w:cs="Courier New" w:eastAsia="Courier New" w:hAnsi="Courier New"/>
          <w:sz w:val="17"/>
          <w:szCs w:val="17"/>
          <w:color w:val="auto"/>
        </w:rPr>
        <w:t>PART II - OTHER INFORMATION</w:t>
      </w:r>
    </w:p>
    <w:p>
      <w:pPr>
        <w:spacing w:after="0" w:line="200" w:lineRule="exact"/>
        <w:rPr>
          <w:sz w:val="20"/>
          <w:szCs w:val="20"/>
          <w:color w:val="auto"/>
        </w:rPr>
      </w:pPr>
    </w:p>
    <w:p>
      <w:pPr>
        <w:ind w:left="5"/>
        <w:spacing w:after="0"/>
        <w:tabs>
          <w:tab w:leader="none" w:pos="905"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Submission of Matters to a Vote of Shareholders</w:t>
      </w:r>
    </w:p>
    <w:p>
      <w:pPr>
        <w:spacing w:after="0" w:line="201" w:lineRule="exact"/>
        <w:rPr>
          <w:sz w:val="20"/>
          <w:szCs w:val="20"/>
          <w:color w:val="auto"/>
        </w:rPr>
      </w:pPr>
    </w:p>
    <w:p>
      <w:pPr>
        <w:ind w:left="5" w:right="2259" w:firstLine="918"/>
        <w:spacing w:after="0" w:line="244" w:lineRule="auto"/>
        <w:rPr>
          <w:sz w:val="20"/>
          <w:szCs w:val="20"/>
          <w:color w:val="auto"/>
        </w:rPr>
      </w:pPr>
      <w:r>
        <w:rPr>
          <w:rFonts w:ascii="Courier New" w:cs="Courier New" w:eastAsia="Courier New" w:hAnsi="Courier New"/>
          <w:sz w:val="17"/>
          <w:szCs w:val="17"/>
          <w:color w:val="auto"/>
        </w:rPr>
        <w:t>At the 1995 Annual Meeting of Shareholders on May 10, 1995, the Shareholders elected three Trustees to serve for the ensuing three years. Holders of 25.4 million shares voted for each of the three Trustees and holders of approximately 209,000 shares voted against each of the three Trustees.</w:t>
      </w:r>
    </w:p>
    <w:p>
      <w:pPr>
        <w:spacing w:after="0" w:line="197" w:lineRule="exact"/>
        <w:rPr>
          <w:sz w:val="20"/>
          <w:szCs w:val="20"/>
          <w:color w:val="auto"/>
        </w:rPr>
      </w:pPr>
    </w:p>
    <w:p>
      <w:pPr>
        <w:ind w:left="405" w:hanging="405"/>
        <w:spacing w:after="0"/>
        <w:tabs>
          <w:tab w:leader="none" w:pos="40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4" w:lineRule="exact"/>
        <w:rPr>
          <w:sz w:val="20"/>
          <w:szCs w:val="20"/>
          <w:color w:val="auto"/>
        </w:rPr>
      </w:pPr>
    </w:p>
    <w:p>
      <w:pPr>
        <w:ind w:left="605"/>
        <w:spacing w:after="0"/>
        <w:rPr>
          <w:sz w:val="20"/>
          <w:szCs w:val="20"/>
          <w:color w:val="auto"/>
        </w:rPr>
      </w:pPr>
      <w:r>
        <w:rPr>
          <w:rFonts w:ascii="Courier New" w:cs="Courier New" w:eastAsia="Courier New" w:hAnsi="Courier New"/>
          <w:sz w:val="17"/>
          <w:szCs w:val="17"/>
          <w:color w:val="auto"/>
        </w:rPr>
        <w:t>(27) Financial Data Schedule....................Edgar filing only</w:t>
      </w:r>
    </w:p>
    <w:p>
      <w:pPr>
        <w:spacing w:after="0" w:line="200" w:lineRule="exact"/>
        <w:rPr>
          <w:sz w:val="20"/>
          <w:szCs w:val="20"/>
          <w:color w:val="auto"/>
        </w:rPr>
      </w:pPr>
    </w:p>
    <w:p>
      <w:pPr>
        <w:ind w:left="405" w:hanging="405"/>
        <w:spacing w:after="0"/>
        <w:tabs>
          <w:tab w:leader="none" w:pos="40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3" w:lineRule="exact"/>
        <w:rPr>
          <w:rFonts w:ascii="Courier New" w:cs="Courier New" w:eastAsia="Courier New" w:hAnsi="Courier New"/>
          <w:sz w:val="17"/>
          <w:szCs w:val="17"/>
          <w:color w:val="auto"/>
        </w:rPr>
      </w:pPr>
    </w:p>
    <w:p>
      <w:pPr>
        <w:ind w:left="40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 Form 8-K, dated May 25, 1995, was filed in response to Item 7.(c).</w:t>
      </w:r>
    </w:p>
    <w:p>
      <w:pPr>
        <w:spacing w:after="0" w:line="397" w:lineRule="exact"/>
        <w:rPr>
          <w:sz w:val="20"/>
          <w:szCs w:val="20"/>
          <w:color w:val="auto"/>
        </w:rPr>
      </w:pPr>
    </w:p>
    <w:p>
      <w:pPr>
        <w:ind w:left="5" w:right="2459" w:firstLine="918"/>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395" w:lineRule="exact"/>
        <w:rPr>
          <w:sz w:val="20"/>
          <w:szCs w:val="20"/>
          <w:color w:val="auto"/>
        </w:rPr>
      </w:pPr>
    </w:p>
    <w:p>
      <w:pPr>
        <w:ind w:left="1725"/>
        <w:spacing w:after="0"/>
        <w:rPr>
          <w:sz w:val="20"/>
          <w:szCs w:val="20"/>
          <w:color w:val="auto"/>
        </w:rPr>
      </w:pPr>
      <w:r>
        <w:rPr>
          <w:rFonts w:ascii="Courier New" w:cs="Courier New" w:eastAsia="Courier New" w:hAnsi="Courier New"/>
          <w:sz w:val="17"/>
          <w:szCs w:val="17"/>
          <w:color w:val="auto"/>
        </w:rPr>
        <w:t>FEDERAL REALTY INVESTMENT TRUST</w:t>
      </w:r>
    </w:p>
    <w:p>
      <w:pPr>
        <w:spacing w:after="0" w:line="4" w:lineRule="exact"/>
        <w:rPr>
          <w:sz w:val="20"/>
          <w:szCs w:val="20"/>
          <w:color w:val="auto"/>
        </w:rPr>
      </w:pPr>
    </w:p>
    <w:p>
      <w:pPr>
        <w:ind w:left="1725"/>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3265"/>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9704"/>
          </w:cols>
          <w:pgMar w:left="755" w:top="1440"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spacing w:after="0" w:line="243" w:lineRule="auto"/>
        <w:rPr>
          <w:sz w:val="20"/>
          <w:szCs w:val="20"/>
          <w:color w:val="auto"/>
        </w:rPr>
      </w:pPr>
      <w:r>
        <w:rPr>
          <w:rFonts w:ascii="Courier New" w:cs="Courier New" w:eastAsia="Courier New" w:hAnsi="Courier New"/>
          <w:sz w:val="17"/>
          <w:szCs w:val="17"/>
          <w:color w:val="auto"/>
        </w:rPr>
        <w:t>August 11, 1995 --------------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Steven J. Guttman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Steven J. Guttman,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Executive Officer)</w:t>
      </w:r>
    </w:p>
    <w:p>
      <w:pPr>
        <w:spacing w:after="0" w:line="200" w:lineRule="exact"/>
        <w:rPr>
          <w:sz w:val="20"/>
          <w:szCs w:val="20"/>
          <w:color w:val="auto"/>
        </w:rPr>
      </w:pPr>
    </w:p>
    <w:p>
      <w:pPr>
        <w:sectPr>
          <w:pgSz w:w="11900" w:h="16838" w:orient="portrait"/>
          <w:cols w:equalWidth="0" w:num="3">
            <w:col w:w="505" w:space="200"/>
            <w:col w:w="1540" w:space="400"/>
            <w:col w:w="7059"/>
          </w:cols>
          <w:pgMar w:left="755" w:top="1440" w:right="1440" w:bottom="1440" w:gutter="0" w:footer="0" w:header="0"/>
          <w:type w:val="continuous"/>
        </w:sectPr>
      </w:pPr>
    </w:p>
    <w:p>
      <w:pPr>
        <w:spacing w:after="0" w:line="19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243" w:lineRule="auto"/>
        <w:rPr>
          <w:sz w:val="20"/>
          <w:szCs w:val="20"/>
          <w:color w:val="auto"/>
        </w:rPr>
      </w:pPr>
      <w:r>
        <w:rPr>
          <w:rFonts w:ascii="Courier New" w:cs="Courier New" w:eastAsia="Courier New" w:hAnsi="Courier New"/>
          <w:sz w:val="17"/>
          <w:szCs w:val="17"/>
          <w:color w:val="auto"/>
        </w:rPr>
        <w:t>August 11, 1995 --------------</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Cecily A. Ward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Cecily A. Ward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Accounting Officer)</w:t>
      </w:r>
    </w:p>
    <w:p>
      <w:pPr>
        <w:sectPr>
          <w:pgSz w:w="11900" w:h="16838" w:orient="portrait"/>
          <w:cols w:equalWidth="0" w:num="3">
            <w:col w:w="505" w:space="200"/>
            <w:col w:w="1540" w:space="400"/>
            <w:col w:w="7059"/>
          </w:cols>
          <w:pgMar w:left="755" w:top="1440" w:right="1440" w:bottom="1440" w:gutter="0" w:footer="0" w:header="0"/>
          <w:type w:val="continuous"/>
        </w:sectPr>
      </w:pPr>
    </w:p>
    <w:bookmarkStart w:id="21" w:name="page22"/>
    <w:bookmarkEnd w:id="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ind w:left="6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schedule contains summary financial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information extracted from the Consolidated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Balance Sheet of Federal Realty Investment Trust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of June 30, 1995 and the related consolidated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statement of operations for the six months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30, 1995 and is qualified in its entirety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reference to such financial statements.</w:t>
      </w:r>
    </w:p>
    <w:p>
      <w:pPr>
        <w:spacing w:after="0" w:line="200" w:lineRule="exact"/>
        <w:rPr>
          <w:sz w:val="20"/>
          <w:szCs w:val="20"/>
          <w:color w:val="auto"/>
        </w:rPr>
      </w:pPr>
    </w:p>
    <w:p>
      <w:pPr>
        <w:ind w:left="880"/>
        <w:spacing w:after="0"/>
        <w:rPr>
          <w:sz w:val="20"/>
          <w:szCs w:val="20"/>
          <w:color w:val="auto"/>
        </w:rPr>
      </w:pPr>
      <w:r>
        <w:rPr>
          <w:rFonts w:ascii="Courier New" w:cs="Courier New" w:eastAsia="Courier New" w:hAnsi="Courier New"/>
          <w:sz w:val="17"/>
          <w:szCs w:val="17"/>
          <w:color w:val="auto"/>
        </w:rPr>
        <w:t>1,000</w:t>
      </w:r>
    </w:p>
    <w:p>
      <w:pPr>
        <w:spacing w:after="0" w:line="396"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6-MOS</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DEC-31-1995</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JUN-30-1995</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$8,558</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3,504</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15,230</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927,504</w:t>
      </w:r>
    </w:p>
    <w:p>
      <w:pPr>
        <w:spacing w:after="0" w:line="4"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7"/>
          <w:szCs w:val="17"/>
          <w:color w:val="auto"/>
        </w:rPr>
        <w:t>(175,674)</w:t>
      </w:r>
    </w:p>
    <w:p>
      <w:pPr>
        <w:spacing w:after="0" w:line="4"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7"/>
          <w:szCs w:val="17"/>
          <w:color w:val="auto"/>
        </w:rPr>
        <w:t>815,132</w:t>
      </w:r>
    </w:p>
    <w:p>
      <w:pPr>
        <w:spacing w:after="0" w:line="4"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439,217</w:t>
      </w:r>
    </w:p>
    <w:p>
      <w:pPr>
        <w:spacing w:after="0" w:line="4"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499,104</w:t>
      </w:r>
    </w:p>
    <w:p>
      <w:pPr>
        <w:spacing w:after="0" w:line="4"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(164,424)</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815,132</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72,023</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23,204</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18,716</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11,826</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11,826</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.37</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0</w:t>
      </w:r>
    </w:p>
    <w:p>
      <w:pPr>
        <w:spacing w:after="0" w:line="201" w:lineRule="exact"/>
        <w:rPr>
          <w:sz w:val="20"/>
          <w:szCs w:val="20"/>
          <w:color w:val="auto"/>
        </w:rPr>
      </w:pPr>
    </w:p>
    <w:p>
      <w:pPr>
        <w:ind w:left="780" w:right="4599" w:hanging="407"/>
        <w:spacing w:after="0" w:line="243" w:lineRule="auto"/>
        <w:rPr>
          <w:sz w:val="20"/>
          <w:szCs w:val="20"/>
          <w:color w:val="auto"/>
        </w:rPr>
      </w:pPr>
      <w:r>
        <w:rPr>
          <w:rFonts w:ascii="Courier New" w:cs="Courier New" w:eastAsia="Courier New" w:hAnsi="Courier New"/>
          <w:sz w:val="17"/>
          <w:szCs w:val="17"/>
          <w:color w:val="auto"/>
        </w:rPr>
        <w:t>Current assets and current liabilities are not listed since Federal Realty does not prepare a classified balance sheet.</w:t>
      </w:r>
    </w:p>
    <w:sectPr>
      <w:pgSz w:w="11900" w:h="16838" w:orient="portrait"/>
      <w:cols w:equalWidth="0" w:num="1">
        <w:col w:w="10079"/>
      </w:cols>
      <w:pgMar w:left="380" w:top="5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301"/>
    </w:lvl>
  </w:abstractNum>
  <w:abstractNum w:abstractNumId="1">
    <w:nsid w:val="74B0DC51"/>
    <w:multiLevelType w:val="hybridMultilevel"/>
    <w:lvl w:ilvl="0">
      <w:lvlJc w:val="left"/>
      <w:lvlText w:val="%1."/>
      <w:numFmt w:val="upperLetter"/>
      <w:start w:val="1"/>
    </w:lvl>
  </w:abstractNum>
  <w:abstractNum w:abstractNumId="2">
    <w:nsid w:val="19495CFF"/>
    <w:multiLevelType w:val="hybridMultilevel"/>
    <w:lvl w:ilvl="0">
      <w:lvlJc w:val="left"/>
      <w:lvlText w:val="%1."/>
      <w:numFmt w:val="upp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2019-12-12T06:23:36Z</dcterms:created>
  <dcterms:modified xsi:type="dcterms:W3CDTF">2019-12-12T06:23:36Z</dcterms:modified>
</cp:coreProperties>
</file>