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333-135159</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32406B"/>
        </w:rPr>
        <w:t>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32406B"/>
        </w:rPr>
        <w:t>(To Prospectus Dated June 20, 2006)</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32406B"/>
        </w:rPr>
        <w:t>2,002,670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2560955</wp:posOffset>
            </wp:positionH>
            <wp:positionV relativeFrom="paragraph">
              <wp:posOffset>114300</wp:posOffset>
            </wp:positionV>
            <wp:extent cx="2143760" cy="814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760" cy="814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32406B"/>
        </w:rPr>
        <w:t>Common Shares of Beneficial Interest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0" w:lineRule="exact"/>
        <w:rPr>
          <w:sz w:val="24"/>
          <w:szCs w:val="24"/>
          <w:color w:val="auto"/>
        </w:rPr>
      </w:pPr>
    </w:p>
    <w:p>
      <w:pPr>
        <w:ind w:right="160" w:firstLine="456"/>
        <w:spacing w:after="0" w:line="332" w:lineRule="auto"/>
        <w:rPr>
          <w:sz w:val="20"/>
          <w:szCs w:val="20"/>
          <w:color w:val="auto"/>
        </w:rPr>
      </w:pPr>
      <w:r>
        <w:rPr>
          <w:rFonts w:ascii="Arial" w:cs="Arial" w:eastAsia="Arial" w:hAnsi="Arial"/>
          <w:sz w:val="16"/>
          <w:szCs w:val="16"/>
          <w:color w:val="32406B"/>
        </w:rPr>
        <w:t>We are offering 2,002,670 of our common shares of beneficial interest. Our common shares are listed on the New York Stock Exchange under the symbol “FRT.” On September 13, 2006, the last reported sale price of our common shares on the New York Stock Exchange was $76.42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0" w:lineRule="exact"/>
        <w:rPr>
          <w:sz w:val="24"/>
          <w:szCs w:val="24"/>
          <w:color w:val="auto"/>
        </w:rPr>
      </w:pPr>
    </w:p>
    <w:p>
      <w:pPr>
        <w:ind w:right="140"/>
        <w:spacing w:after="0" w:line="256" w:lineRule="auto"/>
        <w:rPr>
          <w:sz w:val="20"/>
          <w:szCs w:val="20"/>
          <w:color w:val="auto"/>
        </w:rPr>
      </w:pPr>
      <w:r>
        <w:rPr>
          <w:rFonts w:ascii="Arial" w:cs="Arial" w:eastAsia="Arial" w:hAnsi="Arial"/>
          <w:sz w:val="22"/>
          <w:szCs w:val="22"/>
          <w:b w:val="1"/>
          <w:bCs w:val="1"/>
          <w:color w:val="32406B"/>
        </w:rPr>
        <w:t>Investing in our common shares involves risks. See “Risk Factors” in our Annual Report on Form 10-K filed with the SEC on March 3, 2006 and amended on March 10, 2006.</w:t>
      </w:r>
    </w:p>
    <w:p>
      <w:pPr>
        <w:spacing w:after="0" w:line="151" w:lineRule="exact"/>
        <w:rPr>
          <w:sz w:val="24"/>
          <w:szCs w:val="24"/>
          <w:color w:val="auto"/>
        </w:rPr>
      </w:pPr>
    </w:p>
    <w:tbl>
      <w:tblPr>
        <w:tblLayout w:type="fixed"/>
        <w:tblInd w:w="92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100"/>
              <w:spacing w:after="0"/>
              <w:rPr>
                <w:sz w:val="20"/>
                <w:szCs w:val="20"/>
                <w:color w:val="auto"/>
              </w:rPr>
            </w:pPr>
            <w:r>
              <w:rPr>
                <w:rFonts w:ascii="Arial" w:cs="Arial" w:eastAsia="Arial" w:hAnsi="Arial"/>
                <w:sz w:val="14"/>
                <w:szCs w:val="14"/>
                <w:b w:val="1"/>
                <w:bCs w:val="1"/>
                <w:color w:val="32406B"/>
              </w:rPr>
              <w:t>Per</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1"/>
        </w:trPr>
        <w:tc>
          <w:tcPr>
            <w:tcW w:w="7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32406B"/>
                <w:w w:val="87"/>
              </w:rPr>
              <w:t>Share</w:t>
            </w:r>
          </w:p>
        </w:tc>
        <w:tc>
          <w:tcPr>
            <w:tcW w:w="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32406B"/>
              </w:rPr>
              <w:t>Total</w:t>
            </w: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32406B"/>
              </w:rPr>
              <w:t>Public offering price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74.90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5"/>
              </w:rPr>
              <w:t>149,999,983.00</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32406B"/>
              </w:rPr>
              <w:t>Underwriting discounts and commissions</w:t>
            </w:r>
          </w:p>
        </w:tc>
        <w:tc>
          <w:tcPr>
            <w:tcW w:w="100" w:type="dxa"/>
            <w:vAlign w:val="bottom"/>
          </w:tcPr>
          <w:p>
            <w:pPr>
              <w:jc w:val="right"/>
              <w:spacing w:after="0"/>
              <w:rPr>
                <w:sz w:val="20"/>
                <w:szCs w:val="20"/>
                <w:color w:val="auto"/>
              </w:rPr>
            </w:pPr>
            <w:r>
              <w:rPr>
                <w:rFonts w:ascii="Arial" w:cs="Arial" w:eastAsia="Arial" w:hAnsi="Arial"/>
                <w:sz w:val="18"/>
                <w:szCs w:val="18"/>
                <w:color w:val="32406B"/>
                <w:w w:val="79"/>
              </w:rPr>
              <w:t>$</w:t>
            </w:r>
          </w:p>
        </w:tc>
        <w:tc>
          <w:tcPr>
            <w:tcW w:w="480" w:type="dxa"/>
            <w:vAlign w:val="bottom"/>
          </w:tcPr>
          <w:p>
            <w:pPr>
              <w:jc w:val="right"/>
              <w:spacing w:after="0"/>
              <w:rPr>
                <w:sz w:val="20"/>
                <w:szCs w:val="20"/>
                <w:color w:val="auto"/>
              </w:rPr>
            </w:pPr>
            <w:r>
              <w:rPr>
                <w:rFonts w:ascii="Arial" w:cs="Arial" w:eastAsia="Arial" w:hAnsi="Arial"/>
                <w:sz w:val="18"/>
                <w:szCs w:val="18"/>
                <w:color w:val="32406B"/>
              </w:rPr>
              <w:t>.39</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32406B"/>
              </w:rPr>
              <w:t>$</w:t>
            </w:r>
          </w:p>
        </w:tc>
        <w:tc>
          <w:tcPr>
            <w:tcW w:w="1220" w:type="dxa"/>
            <w:vAlign w:val="bottom"/>
          </w:tcPr>
          <w:p>
            <w:pPr>
              <w:jc w:val="right"/>
              <w:spacing w:after="0"/>
              <w:rPr>
                <w:sz w:val="20"/>
                <w:szCs w:val="20"/>
                <w:color w:val="auto"/>
              </w:rPr>
            </w:pPr>
            <w:r>
              <w:rPr>
                <w:rFonts w:ascii="Arial" w:cs="Arial" w:eastAsia="Arial" w:hAnsi="Arial"/>
                <w:sz w:val="18"/>
                <w:szCs w:val="18"/>
                <w:color w:val="32406B"/>
              </w:rPr>
              <w:t>781,041.30</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32406B"/>
              </w:rPr>
              <w:t>Proceeds, before expenses, to Federal Realty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32406B"/>
              </w:rPr>
              <w:t>74.51</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95"/>
              </w:rPr>
              <w:t>149,218,941.70</w:t>
            </w:r>
          </w:p>
        </w:tc>
      </w:tr>
    </w:tbl>
    <w:p>
      <w:pPr>
        <w:spacing w:after="0" w:line="154" w:lineRule="exact"/>
        <w:rPr>
          <w:sz w:val="24"/>
          <w:szCs w:val="24"/>
          <w:color w:val="auto"/>
        </w:rPr>
      </w:pPr>
    </w:p>
    <w:p>
      <w:pPr>
        <w:ind w:left="460"/>
        <w:spacing w:after="0"/>
        <w:rPr>
          <w:sz w:val="20"/>
          <w:szCs w:val="20"/>
          <w:color w:val="auto"/>
        </w:rPr>
      </w:pPr>
      <w:r>
        <w:rPr>
          <w:rFonts w:ascii="Arial" w:cs="Arial" w:eastAsia="Arial" w:hAnsi="Arial"/>
          <w:sz w:val="18"/>
          <w:szCs w:val="18"/>
          <w:color w:val="32406B"/>
        </w:rPr>
        <w:t>Delivery of the common shares will be made on or about September 19, 2006.</w:t>
      </w:r>
    </w:p>
    <w:p>
      <w:pPr>
        <w:spacing w:after="0" w:line="165" w:lineRule="exact"/>
        <w:rPr>
          <w:sz w:val="24"/>
          <w:szCs w:val="24"/>
          <w:color w:val="auto"/>
        </w:rPr>
      </w:pPr>
    </w:p>
    <w:p>
      <w:pPr>
        <w:ind w:right="460" w:firstLine="456"/>
        <w:spacing w:after="0" w:line="262" w:lineRule="auto"/>
        <w:rPr>
          <w:sz w:val="20"/>
          <w:szCs w:val="20"/>
          <w:color w:val="auto"/>
        </w:rPr>
      </w:pPr>
      <w:r>
        <w:rPr>
          <w:rFonts w:ascii="Arial" w:cs="Arial" w:eastAsia="Arial" w:hAnsi="Arial"/>
          <w:sz w:val="18"/>
          <w:szCs w:val="18"/>
          <w:b w:val="1"/>
          <w:bCs w:val="1"/>
          <w:color w:val="32406B"/>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38" w:lineRule="exact"/>
        <w:rPr>
          <w:sz w:val="24"/>
          <w:szCs w:val="24"/>
          <w:color w:val="auto"/>
        </w:rPr>
      </w:pPr>
    </w:p>
    <w:p>
      <w:pPr>
        <w:ind w:left="460"/>
        <w:spacing w:after="0"/>
        <w:rPr>
          <w:sz w:val="20"/>
          <w:szCs w:val="20"/>
          <w:color w:val="auto"/>
        </w:rPr>
      </w:pPr>
      <w:r>
        <w:rPr>
          <w:rFonts w:ascii="Arial" w:cs="Arial" w:eastAsia="Arial" w:hAnsi="Arial"/>
          <w:sz w:val="18"/>
          <w:szCs w:val="18"/>
          <w:color w:val="32406B"/>
        </w:rPr>
        <w:t>We have granted the underwriters a 30-day option to purchase up to an additional 300,400 common shares to cover over-allotments.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32406B"/>
        </w:rPr>
        <w:t>Sole Book-Running Manager</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32406B"/>
        </w:rPr>
        <w:t>Wachovia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220980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32"/>
          <w:szCs w:val="32"/>
          <w:b w:val="1"/>
          <w:bCs w:val="1"/>
          <w:color w:val="32406B"/>
        </w:rPr>
        <w:t>BB&amp;T Capital Markets</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32406B"/>
        </w:rPr>
        <w:t>RBC Capital Markets</w:t>
      </w:r>
    </w:p>
    <w:p>
      <w:pPr>
        <w:spacing w:after="0" w:line="78" w:lineRule="exact"/>
        <w:rPr>
          <w:sz w:val="24"/>
          <w:szCs w:val="24"/>
          <w:color w:val="auto"/>
        </w:rPr>
      </w:pPr>
    </w:p>
    <w:p>
      <w:pPr>
        <w:jc w:val="right"/>
        <w:spacing w:after="0"/>
        <w:rPr>
          <w:sz w:val="20"/>
          <w:szCs w:val="20"/>
          <w:color w:val="auto"/>
        </w:rPr>
      </w:pPr>
      <w:r>
        <w:rPr>
          <w:rFonts w:ascii="Arial" w:cs="Arial" w:eastAsia="Arial" w:hAnsi="Arial"/>
          <w:sz w:val="32"/>
          <w:szCs w:val="32"/>
          <w:b w:val="1"/>
          <w:bCs w:val="1"/>
          <w:color w:val="32406B"/>
        </w:rPr>
        <w:t>Stifel Nicolaus</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32406B"/>
        </w:rPr>
        <w:t>The date of this prospectus supplement is September 14, 2006.</w:t>
      </w:r>
    </w:p>
    <w:p>
      <w:pPr>
        <w:sectPr>
          <w:pgSz w:w="11900" w:h="16838" w:orient="portrait"/>
          <w:cols w:equalWidth="0" w:num="1">
            <w:col w:w="11420"/>
          </w:cols>
          <w:pgMar w:left="240" w:top="23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CALCULATION OF REGISTRATION FEE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3"/>
              </w:rPr>
              <w:t>Proposed</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3"/>
              </w:rPr>
              <w:t>Proposed</w:t>
            </w: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to</w:t>
            </w:r>
          </w:p>
        </w:tc>
        <w:tc>
          <w:tcPr>
            <w:tcW w:w="44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Maximum</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be</w:t>
            </w:r>
          </w:p>
        </w:tc>
        <w:tc>
          <w:tcPr>
            <w:tcW w:w="44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Offering</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46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49"/>
        </w:trPr>
        <w:tc>
          <w:tcPr>
            <w:tcW w:w="6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4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Registered</w:t>
            </w:r>
          </w:p>
        </w:tc>
        <w:tc>
          <w:tcPr>
            <w:tcW w:w="44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Price Per</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Offering Price</w:t>
            </w:r>
          </w:p>
        </w:tc>
        <w:tc>
          <w:tcPr>
            <w:tcW w:w="46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Registration</w:t>
            </w:r>
          </w:p>
        </w:tc>
        <w:tc>
          <w:tcPr>
            <w:tcW w:w="0" w:type="dxa"/>
            <w:vAlign w:val="bottom"/>
          </w:tcPr>
          <w:p>
            <w:pPr>
              <w:spacing w:after="0"/>
              <w:rPr>
                <w:sz w:val="1"/>
                <w:szCs w:val="1"/>
                <w:color w:val="auto"/>
              </w:rPr>
            </w:pPr>
          </w:p>
        </w:tc>
      </w:tr>
      <w:tr>
        <w:trPr>
          <w:trHeight w:val="148"/>
        </w:trPr>
        <w:tc>
          <w:tcPr>
            <w:tcW w:w="6500" w:type="dxa"/>
            <w:vAlign w:val="bottom"/>
            <w:gridSpan w:val="3"/>
            <w:vMerge w:val="continue"/>
          </w:tcPr>
          <w:p>
            <w:pPr>
              <w:spacing w:after="0"/>
              <w:rPr>
                <w:sz w:val="12"/>
                <w:szCs w:val="12"/>
                <w:color w:val="auto"/>
              </w:rPr>
            </w:pPr>
          </w:p>
        </w:tc>
        <w:tc>
          <w:tcPr>
            <w:tcW w:w="1180" w:type="dxa"/>
            <w:vAlign w:val="bottom"/>
            <w:gridSpan w:val="2"/>
          </w:tcPr>
          <w:p>
            <w:pPr>
              <w:jc w:val="center"/>
              <w:ind w:left="392"/>
              <w:spacing w:after="0" w:line="148" w:lineRule="exact"/>
              <w:rPr>
                <w:sz w:val="20"/>
                <w:szCs w:val="20"/>
                <w:color w:val="auto"/>
              </w:rPr>
            </w:pPr>
            <w:r>
              <w:rPr>
                <w:rFonts w:ascii="Arial" w:cs="Arial" w:eastAsia="Arial" w:hAnsi="Arial"/>
                <w:sz w:val="14"/>
                <w:szCs w:val="14"/>
                <w:b w:val="1"/>
                <w:bCs w:val="1"/>
                <w:color w:val="auto"/>
                <w:w w:val="93"/>
              </w:rPr>
              <w:t>(1)</w:t>
            </w:r>
          </w:p>
        </w:tc>
        <w:tc>
          <w:tcPr>
            <w:tcW w:w="440" w:type="dxa"/>
            <w:vAlign w:val="bottom"/>
          </w:tcPr>
          <w:p>
            <w:pPr>
              <w:spacing w:after="0"/>
              <w:rPr>
                <w:sz w:val="12"/>
                <w:szCs w:val="12"/>
                <w:color w:val="auto"/>
              </w:rPr>
            </w:pPr>
          </w:p>
        </w:tc>
        <w:tc>
          <w:tcPr>
            <w:tcW w:w="108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87"/>
              </w:rPr>
              <w:t>Share</w:t>
            </w:r>
          </w:p>
        </w:tc>
        <w:tc>
          <w:tcPr>
            <w:tcW w:w="1000" w:type="dxa"/>
            <w:vAlign w:val="bottom"/>
          </w:tcPr>
          <w:p>
            <w:pPr>
              <w:jc w:val="right"/>
              <w:ind w:right="349"/>
              <w:spacing w:after="0" w:line="148" w:lineRule="exact"/>
              <w:rPr>
                <w:sz w:val="20"/>
                <w:szCs w:val="20"/>
                <w:color w:val="auto"/>
              </w:rPr>
            </w:pPr>
            <w:r>
              <w:rPr>
                <w:rFonts w:ascii="Arial" w:cs="Arial" w:eastAsia="Arial" w:hAnsi="Arial"/>
                <w:sz w:val="14"/>
                <w:szCs w:val="14"/>
                <w:b w:val="1"/>
                <w:bCs w:val="1"/>
                <w:color w:val="auto"/>
              </w:rPr>
              <w:t>(1)</w:t>
            </w:r>
          </w:p>
        </w:tc>
        <w:tc>
          <w:tcPr>
            <w:tcW w:w="460" w:type="dxa"/>
            <w:vAlign w:val="bottom"/>
          </w:tcPr>
          <w:p>
            <w:pPr>
              <w:spacing w:after="0"/>
              <w:rPr>
                <w:sz w:val="12"/>
                <w:szCs w:val="12"/>
                <w:color w:val="auto"/>
              </w:rPr>
            </w:pPr>
          </w:p>
        </w:tc>
        <w:tc>
          <w:tcPr>
            <w:tcW w:w="780" w:type="dxa"/>
            <w:vAlign w:val="bottom"/>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88"/>
              </w:rPr>
              <w:t>Fee (2)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53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Shares of Beneficial Interest, par value $0.01 per share</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2,303,070</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5"/>
              </w:rPr>
              <w:t>$  74.90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$ 172,499,943</w:t>
            </w:r>
          </w:p>
        </w:tc>
        <w:tc>
          <w:tcPr>
            <w:tcW w:w="122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rPr>
              <w:t>$  18,458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5"/>
          <w:szCs w:val="15"/>
          <w:color w:val="auto"/>
        </w:rPr>
      </w:pPr>
      <w:r>
        <w:rPr>
          <w:rFonts w:ascii="Arial" w:cs="Arial" w:eastAsia="Arial" w:hAnsi="Arial"/>
          <w:sz w:val="15"/>
          <w:szCs w:val="15"/>
          <w:color w:val="auto"/>
        </w:rPr>
        <w:t>Includes 300,400 common shares, $0.01 par value, that may be purchased by the underwriters upon the exercise of the underwriters’ over-allotment option.</w:t>
      </w:r>
    </w:p>
    <w:p>
      <w:pPr>
        <w:spacing w:after="0" w:line="49" w:lineRule="exact"/>
        <w:rPr>
          <w:rFonts w:ascii="Arial" w:cs="Arial" w:eastAsia="Arial" w:hAnsi="Arial"/>
          <w:sz w:val="15"/>
          <w:szCs w:val="15"/>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456(b) and Rule 457(r).</w:t>
      </w:r>
    </w:p>
    <w:p>
      <w:pPr>
        <w:sectPr>
          <w:pgSz w:w="11900" w:h="16838" w:orient="portrait"/>
          <w:cols w:equalWidth="0" w:num="1">
            <w:col w:w="11420"/>
          </w:cols>
          <w:pgMar w:left="240" w:top="274" w:right="239" w:bottom="1440" w:gutter="0" w:footer="0" w:header="0"/>
        </w:sectPr>
      </w:pPr>
    </w:p>
    <w:bookmarkStart w:id="2" w:name="page3"/>
    <w:bookmarkEnd w:id="2"/>
    <w:p>
      <w:pPr>
        <w:ind w:right="180" w:firstLine="456"/>
        <w:spacing w:after="0" w:line="29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You should rely only on the information contained in or incorporated by reference in this prospectus supplement and the accompanying prospectus. We have not, and the underwriters have not, authorized anyone to provide you with different information. If anyone provides you with different or inconsistent information, you should not rely on it. We are not, and the underwriters are not, making an offer to sell these securities in any state where the offer or sale is not permitted. You should assume that the information contained in this prospectus supplement, the accompanying prospectus and the documents incorporated by reference is accurate only as of their respective dates.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173990</wp:posOffset>
            </wp:positionV>
            <wp:extent cx="15347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560" w:type="dxa"/>
            <w:vAlign w:val="bottom"/>
            <w:gridSpan w:val="2"/>
          </w:tcPr>
          <w:p>
            <w:pPr>
              <w:jc w:val="center"/>
              <w:ind w:right="4120"/>
              <w:spacing w:after="0"/>
              <w:rPr>
                <w:sz w:val="20"/>
                <w:szCs w:val="20"/>
                <w:color w:val="auto"/>
              </w:rPr>
            </w:pPr>
            <w:r>
              <w:rPr>
                <w:rFonts w:ascii="Arial" w:cs="Arial" w:eastAsia="Arial" w:hAnsi="Arial"/>
                <w:sz w:val="18"/>
                <w:szCs w:val="18"/>
                <w:b w:val="1"/>
                <w:bCs w:val="1"/>
                <w:color w:val="auto"/>
                <w:w w:val="96"/>
              </w:rPr>
              <w:t>TABLE OF CONTENTS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560" w:type="dxa"/>
            <w:vAlign w:val="bottom"/>
            <w:gridSpan w:val="2"/>
          </w:tcPr>
          <w:p>
            <w:pPr>
              <w:jc w:val="center"/>
              <w:ind w:right="4120"/>
              <w:spacing w:after="0"/>
              <w:rPr>
                <w:sz w:val="20"/>
                <w:szCs w:val="20"/>
                <w:color w:val="auto"/>
              </w:rPr>
            </w:pPr>
            <w:r>
              <w:rPr>
                <w:rFonts w:ascii="Arial" w:cs="Arial" w:eastAsia="Arial" w:hAnsi="Arial"/>
                <w:sz w:val="18"/>
                <w:szCs w:val="18"/>
                <w:b w:val="1"/>
                <w:bCs w:val="1"/>
                <w:color w:val="auto"/>
                <w:w w:val="85"/>
              </w:rPr>
              <w:t>Prospectus Supplement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060" w:type="dxa"/>
            <w:vAlign w:val="bottom"/>
            <w:gridSpan w:val="14"/>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Cautionary Statement Concerning Forward-Looking Statements</w:t>
              </w:r>
            </w:hyperlink>
          </w:p>
        </w:tc>
        <w:tc>
          <w:tcPr>
            <w:tcW w:w="3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1060" w:type="dxa"/>
            <w:vAlign w:val="bottom"/>
            <w:gridSpan w:val="14"/>
            <w:vMerge w:val="continue"/>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3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Prospectus Supplement Summary</w:t>
              </w:r>
            </w:hyperlink>
          </w:p>
        </w:tc>
        <w:tc>
          <w:tcPr>
            <w:tcW w:w="2120" w:type="dxa"/>
            <w:vAlign w:val="bottom"/>
            <w:tcBorders>
              <w:top w:val="single" w:sz="8" w:color="0000EE"/>
            </w:tcBorders>
            <w:gridSpan w:val="4"/>
          </w:tcPr>
          <w:p>
            <w:pPr>
              <w:spacing w:after="0"/>
              <w:rPr>
                <w:sz w:val="17"/>
                <w:szCs w:val="17"/>
                <w:color w:val="auto"/>
              </w:rPr>
            </w:pPr>
          </w:p>
        </w:tc>
        <w:tc>
          <w:tcPr>
            <w:tcW w:w="656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2"/>
              </w:rPr>
              <w:t>S-1</w:t>
            </w:r>
          </w:p>
        </w:tc>
        <w:tc>
          <w:tcPr>
            <w:tcW w:w="0" w:type="dxa"/>
            <w:vAlign w:val="bottom"/>
          </w:tcPr>
          <w:p>
            <w:pPr>
              <w:spacing w:after="0"/>
              <w:rPr>
                <w:sz w:val="1"/>
                <w:szCs w:val="1"/>
                <w:color w:val="auto"/>
              </w:rPr>
            </w:pPr>
          </w:p>
        </w:tc>
      </w:tr>
      <w:tr>
        <w:trPr>
          <w:trHeight w:val="196"/>
        </w:trPr>
        <w:tc>
          <w:tcPr>
            <w:tcW w:w="11060" w:type="dxa"/>
            <w:vAlign w:val="bottom"/>
            <w:gridSpan w:val="14"/>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Use of Proceeds</w:t>
              </w:r>
            </w:hyperlink>
          </w:p>
        </w:tc>
        <w:tc>
          <w:tcPr>
            <w:tcW w:w="8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2"/>
              </w:rPr>
              <w:t>S-3</w:t>
            </w:r>
          </w:p>
        </w:tc>
        <w:tc>
          <w:tcPr>
            <w:tcW w:w="0" w:type="dxa"/>
            <w:vAlign w:val="bottom"/>
          </w:tcPr>
          <w:p>
            <w:pPr>
              <w:spacing w:after="0"/>
              <w:rPr>
                <w:sz w:val="1"/>
                <w:szCs w:val="1"/>
                <w:color w:val="auto"/>
              </w:rPr>
            </w:pPr>
          </w:p>
        </w:tc>
      </w:tr>
      <w:tr>
        <w:trPr>
          <w:trHeight w:val="196"/>
        </w:trPr>
        <w:tc>
          <w:tcPr>
            <w:tcW w:w="9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8">
              <w:r>
                <w:rPr>
                  <w:rFonts w:ascii="Arial" w:cs="Arial" w:eastAsia="Arial" w:hAnsi="Arial"/>
                  <w:sz w:val="18"/>
                  <w:szCs w:val="18"/>
                  <w:color w:val="0000EE"/>
                  <w:w w:val="93"/>
                </w:rPr>
                <w:t>Underwriting</w:t>
              </w:r>
            </w:hyperlink>
          </w:p>
        </w:tc>
        <w:tc>
          <w:tcPr>
            <w:tcW w:w="180" w:type="dxa"/>
            <w:vAlign w:val="bottom"/>
            <w:tcBorders>
              <w:top w:val="single" w:sz="8" w:color="0000EE"/>
            </w:tcBorders>
            <w:gridSpan w:val="2"/>
          </w:tcPr>
          <w:p>
            <w:pPr>
              <w:spacing w:after="0"/>
              <w:rPr>
                <w:sz w:val="17"/>
                <w:szCs w:val="17"/>
                <w:color w:val="auto"/>
              </w:rPr>
            </w:pPr>
          </w:p>
        </w:tc>
        <w:tc>
          <w:tcPr>
            <w:tcW w:w="9920" w:type="dxa"/>
            <w:vAlign w:val="bottom"/>
            <w:gridSpan w:val="10"/>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2"/>
              </w:rPr>
              <w:t>S-4</w:t>
            </w:r>
          </w:p>
        </w:tc>
        <w:tc>
          <w:tcPr>
            <w:tcW w:w="0" w:type="dxa"/>
            <w:vAlign w:val="bottom"/>
          </w:tcPr>
          <w:p>
            <w:pPr>
              <w:spacing w:after="0"/>
              <w:rPr>
                <w:sz w:val="1"/>
                <w:szCs w:val="1"/>
                <w:color w:val="auto"/>
              </w:rPr>
            </w:pPr>
          </w:p>
        </w:tc>
      </w:tr>
      <w:tr>
        <w:trPr>
          <w:trHeight w:val="196"/>
        </w:trPr>
        <w:tc>
          <w:tcPr>
            <w:tcW w:w="11060" w:type="dxa"/>
            <w:vAlign w:val="bottom"/>
            <w:gridSpan w:val="14"/>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Experts</w:t>
              </w:r>
            </w:hyperlink>
          </w:p>
        </w:tc>
        <w:tc>
          <w:tcPr>
            <w:tcW w:w="8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2"/>
              </w:rPr>
              <w:t>S-6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Legal Matters</w:t>
              </w:r>
            </w:hyperlink>
          </w:p>
        </w:tc>
        <w:tc>
          <w:tcPr>
            <w:tcW w:w="10060" w:type="dxa"/>
            <w:vAlign w:val="bottom"/>
            <w:gridSpan w:val="11"/>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2"/>
              </w:rPr>
              <w:t>S-6</w:t>
            </w:r>
          </w:p>
        </w:tc>
        <w:tc>
          <w:tcPr>
            <w:tcW w:w="0" w:type="dxa"/>
            <w:vAlign w:val="bottom"/>
          </w:tcPr>
          <w:p>
            <w:pPr>
              <w:spacing w:after="0"/>
              <w:rPr>
                <w:sz w:val="1"/>
                <w:szCs w:val="1"/>
                <w:color w:val="auto"/>
              </w:rPr>
            </w:pPr>
          </w:p>
        </w:tc>
      </w:tr>
      <w:tr>
        <w:trPr>
          <w:trHeight w:val="196"/>
        </w:trPr>
        <w:tc>
          <w:tcPr>
            <w:tcW w:w="11060" w:type="dxa"/>
            <w:vAlign w:val="bottom"/>
            <w:gridSpan w:val="14"/>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Where You Can Find More Information</w:t>
              </w:r>
            </w:hyperlink>
          </w:p>
        </w:tc>
        <w:tc>
          <w:tcPr>
            <w:tcW w:w="8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2"/>
              </w:rPr>
              <w:t>S-7</w:t>
            </w:r>
          </w:p>
        </w:tc>
        <w:tc>
          <w:tcPr>
            <w:tcW w:w="0" w:type="dxa"/>
            <w:vAlign w:val="bottom"/>
          </w:tcPr>
          <w:p>
            <w:pPr>
              <w:spacing w:after="0"/>
              <w:rPr>
                <w:sz w:val="1"/>
                <w:szCs w:val="1"/>
                <w:color w:val="auto"/>
              </w:rPr>
            </w:pPr>
          </w:p>
        </w:tc>
      </w:tr>
      <w:tr>
        <w:trPr>
          <w:trHeight w:val="397"/>
        </w:trPr>
        <w:tc>
          <w:tcPr>
            <w:tcW w:w="5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560" w:type="dxa"/>
            <w:vAlign w:val="bottom"/>
            <w:gridSpan w:val="2"/>
          </w:tcPr>
          <w:p>
            <w:pPr>
              <w:jc w:val="center"/>
              <w:ind w:right="4140"/>
              <w:spacing w:after="0"/>
              <w:rPr>
                <w:sz w:val="20"/>
                <w:szCs w:val="20"/>
                <w:color w:val="auto"/>
              </w:rPr>
            </w:pPr>
            <w:r>
              <w:rPr>
                <w:rFonts w:ascii="Arial" w:cs="Arial" w:eastAsia="Arial" w:hAnsi="Arial"/>
                <w:sz w:val="18"/>
                <w:szCs w:val="18"/>
                <w:b w:val="1"/>
                <w:bCs w:val="1"/>
                <w:color w:val="auto"/>
                <w:w w:val="83"/>
              </w:rPr>
              <w:t>Prospectus</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060" w:type="dxa"/>
            <w:vAlign w:val="bottom"/>
            <w:gridSpan w:val="14"/>
            <w:vMerge w:val="restart"/>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About this Prospectus</w:t>
              </w:r>
            </w:hyperlink>
          </w:p>
        </w:tc>
        <w:tc>
          <w:tcPr>
            <w:tcW w:w="8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1060" w:type="dxa"/>
            <w:vAlign w:val="bottom"/>
            <w:gridSpan w:val="14"/>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Forward-Looking Information</w:t>
              </w:r>
            </w:hyperlink>
          </w:p>
        </w:tc>
        <w:tc>
          <w:tcPr>
            <w:tcW w:w="8920" w:type="dxa"/>
            <w:vAlign w:val="bottom"/>
            <w:gridSpan w:val="7"/>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060" w:type="dxa"/>
            <w:vAlign w:val="bottom"/>
            <w:gridSpan w:val="14"/>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The Company</w:t>
              </w:r>
            </w:hyperlink>
          </w:p>
        </w:tc>
        <w:tc>
          <w:tcPr>
            <w:tcW w:w="3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gridSpan w:val="3"/>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14"/>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Use of Proceeds</w:t>
              </w:r>
            </w:hyperlink>
          </w:p>
        </w:tc>
        <w:tc>
          <w:tcPr>
            <w:tcW w:w="3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Ratios of Earnings to Combined Fixed Charges and Preferred Share Dividends</w:t>
              </w:r>
            </w:hyperlink>
          </w:p>
        </w:tc>
        <w:tc>
          <w:tcPr>
            <w:tcW w:w="5520" w:type="dxa"/>
            <w:vAlign w:val="bottom"/>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Description of Debt Securities</w:t>
              </w:r>
            </w:hyperlink>
          </w:p>
        </w:tc>
        <w:tc>
          <w:tcPr>
            <w:tcW w:w="8920" w:type="dxa"/>
            <w:vAlign w:val="bottom"/>
            <w:gridSpan w:val="7"/>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Description of Shares of Beneficial Interest</w:t>
              </w:r>
            </w:hyperlink>
          </w:p>
        </w:tc>
        <w:tc>
          <w:tcPr>
            <w:tcW w:w="8000" w:type="dxa"/>
            <w:vAlign w:val="bottom"/>
            <w:gridSpan w:val="3"/>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9"/>
          </w:tcPr>
          <w:p>
            <w:pPr>
              <w:spacing w:after="0" w:line="196" w:lineRule="exact"/>
              <w:rPr>
                <w:rFonts w:ascii="Arial" w:cs="Arial" w:eastAsia="Arial" w:hAnsi="Arial"/>
                <w:sz w:val="18"/>
                <w:szCs w:val="18"/>
                <w:color w:val="0000EE"/>
                <w:w w:val="85"/>
              </w:rPr>
            </w:pPr>
            <w:hyperlink w:anchor="page41">
              <w:r>
                <w:rPr>
                  <w:rFonts w:ascii="Arial" w:cs="Arial" w:eastAsia="Arial" w:hAnsi="Arial"/>
                  <w:sz w:val="18"/>
                  <w:szCs w:val="18"/>
                  <w:color w:val="0000EE"/>
                  <w:w w:val="85"/>
                </w:rPr>
                <w:t>Federal Income Tax Consequences</w:t>
              </w:r>
            </w:hyperlink>
          </w:p>
        </w:tc>
        <w:tc>
          <w:tcPr>
            <w:tcW w:w="8600" w:type="dxa"/>
            <w:vAlign w:val="bottom"/>
            <w:gridSpan w:val="5"/>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1060" w:type="dxa"/>
            <w:vAlign w:val="bottom"/>
            <w:gridSpan w:val="14"/>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Plan of Distribution</w:t>
              </w:r>
            </w:hyperlink>
          </w:p>
        </w:tc>
        <w:tc>
          <w:tcPr>
            <w:tcW w:w="3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Legal Matters</w:t>
              </w:r>
            </w:hyperlink>
          </w:p>
        </w:tc>
        <w:tc>
          <w:tcPr>
            <w:tcW w:w="9660" w:type="dxa"/>
            <w:vAlign w:val="bottom"/>
            <w:gridSpan w:val="9"/>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Experts</w:t>
              </w:r>
            </w:hyperlink>
          </w:p>
        </w:tc>
        <w:tc>
          <w:tcPr>
            <w:tcW w:w="10060" w:type="dxa"/>
            <w:vAlign w:val="bottom"/>
            <w:gridSpan w:val="11"/>
          </w:tcPr>
          <w:p>
            <w:pPr>
              <w:spacing w:after="0"/>
              <w:rPr>
                <w:sz w:val="17"/>
                <w:szCs w:val="17"/>
                <w:color w:val="auto"/>
              </w:rPr>
            </w:pPr>
          </w:p>
        </w:tc>
        <w:tc>
          <w:tcPr>
            <w:tcW w:w="3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9"/>
          </w:tcPr>
          <w:p>
            <w:pPr>
              <w:spacing w:after="0" w:line="20" w:lineRule="exact"/>
              <w:rPr>
                <w:sz w:val="1"/>
                <w:szCs w:val="1"/>
                <w:color w:val="auto"/>
              </w:rPr>
            </w:pPr>
          </w:p>
        </w:tc>
        <w:tc>
          <w:tcPr>
            <w:tcW w:w="826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14"/>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Where You Can Find More Information</w:t>
              </w:r>
            </w:hyperlink>
          </w:p>
        </w:tc>
        <w:tc>
          <w:tcPr>
            <w:tcW w:w="3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74"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CAUTIONARY STATEMENT CONCERNING FORWARD-LOOKING STATEMENTS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prospectus supplement, the accompanying prospectus and documents that we “incorporate by reference” into this prospectus supplement and the accompanying prospectus contain statements that are not based on historical facts, including statements or information with words such as “may,” “will,” “could,” “should,” “plans,” “intends,” “expects,” “believes,” “estimates,” “anticipates,” “continues,” and similar words. These statements constitute forward-looking statements within the meaning of Section 27A of the Securities Act of 1933, Section 21E of the Securities Exchange Act of 1934 and the Private Securities Litigation Reform Act of 1995. In particular, the risk factors included or incorporated by reference in this prospectus supplement and the accompanying prospectus describe forward-looking information. The risk factors, including those contained in our Annual Report on Form 10-K filed with the Securities and Exchange Commission, or the SEC, on March 3, 2006 and amended on March 10, 2006, describe risks that may affect these statements but are not all-inclusive, particularly with respect to possible future events. Many things can happen that can cause actual results to be different from those we describe. These factors include, but are not limited to:</w:t>
      </w:r>
    </w:p>
    <w:p>
      <w:pPr>
        <w:spacing w:after="0" w:line="39" w:lineRule="exact"/>
        <w:rPr>
          <w:sz w:val="20"/>
          <w:szCs w:val="20"/>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our tenants will not pay rent or that we may be unable to renew leases or re-let space at favorable rents as leases expire;</w:t>
      </w:r>
    </w:p>
    <w:p>
      <w:pPr>
        <w:spacing w:after="0" w:line="90" w:lineRule="exact"/>
        <w:rPr>
          <w:rFonts w:ascii="Arial" w:cs="Arial" w:eastAsia="Arial" w:hAnsi="Arial"/>
          <w:sz w:val="18"/>
          <w:szCs w:val="18"/>
          <w:color w:val="auto"/>
        </w:rPr>
      </w:pPr>
    </w:p>
    <w:p>
      <w:pPr>
        <w:ind w:left="780" w:right="500" w:hanging="326"/>
        <w:spacing w:after="0" w:line="332" w:lineRule="auto"/>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spacing w:after="0" w:line="4" w:lineRule="exact"/>
        <w:rPr>
          <w:rFonts w:ascii="Arial" w:cs="Arial" w:eastAsia="Arial" w:hAnsi="Arial"/>
          <w:sz w:val="16"/>
          <w:szCs w:val="16"/>
          <w:color w:val="auto"/>
        </w:rPr>
      </w:pPr>
    </w:p>
    <w:p>
      <w:pPr>
        <w:ind w:left="780" w:right="120" w:hanging="326"/>
        <w:spacing w:after="0" w:line="268"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the number of properties we acquire for our own account, and therefore the amount of capital we invest in acquisitions, may be impacted by our real estate partnership;</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2"/>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2"/>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2"/>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2"/>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0" w:lineRule="exact"/>
        <w:rPr>
          <w:rFonts w:ascii="Arial" w:cs="Arial" w:eastAsia="Arial" w:hAnsi="Arial"/>
          <w:sz w:val="18"/>
          <w:szCs w:val="18"/>
          <w:color w:val="auto"/>
        </w:rPr>
      </w:pPr>
    </w:p>
    <w:p>
      <w:pPr>
        <w:ind w:left="780" w:right="260" w:hanging="326"/>
        <w:spacing w:after="0" w:line="259"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9" w:lineRule="exact"/>
        <w:rPr>
          <w:rFonts w:ascii="Arial" w:cs="Arial" w:eastAsia="Arial" w:hAnsi="Arial"/>
          <w:sz w:val="18"/>
          <w:szCs w:val="18"/>
          <w:color w:val="auto"/>
        </w:rPr>
      </w:pPr>
    </w:p>
    <w:p>
      <w:pPr>
        <w:ind w:left="780" w:right="240" w:hanging="326"/>
        <w:spacing w:after="0" w:line="259"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4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incorporated by reference into this prospectus supplement and the accompanying prospectus. Except as may be required by law, we make no promise to update any of the forward-looking statements whether as a result of new information, future events or otherwise.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74" w:right="2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PROSPECTUS SUPPLEMENT SUMMARY</w:t>
      </w:r>
    </w:p>
    <w:p>
      <w:pPr>
        <w:spacing w:after="0" w:line="177"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into this prospectus supplement and the accompanying prospectus.</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Trust</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Federal Realty Investment Trust is an equity real estate investment trust specializing in the ownership, management, development and redevelopment of high-quality retail and mixed-use properties. As of June 30, 2006, we owned or had an interest in 104 community and neighborhood shopping centers and mixed-use properties comprising approximately 17.7 million square feet, located primarily in densely populated and affluent communities throughout the Northeast and Mid-Atlantic United States, as well as California, and one apartment complex in Maryland. A joint venture in which we own a 30% interest owned six neighborhood shopping centers totaling approximately 0.7 million square feet as of June 30, 2006.</w:t>
      </w:r>
    </w:p>
    <w:p>
      <w:pPr>
        <w:spacing w:after="0" w:line="1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operate in a manner intended to qualify as a real estate investment trust for tax purposes pursuant to provisions of the Internal Revenue Code. Our offices are located at 1626 East Jefferson Street, Rockville, Maryland 20852. Our telephone number is (301) 998-8100 or (800) 658-8980. Our website address is www.federalrealty.com. The information contained on our website is not a part of this prospectus supplement.</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360"/>
          </w:cols>
          <w:pgMar w:left="240" w:top="274" w:right="29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Offering</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For a more complete description of the terms of the common shares being offering by this prospectus supplement and the accompanying prospectus, see “Description of Shares of Beneficial Interest” in the accompanying prospectus.</w:t>
      </w:r>
    </w:p>
    <w:p>
      <w:pPr>
        <w:sectPr>
          <w:pgSz w:w="11900" w:h="16838" w:orient="portrait"/>
          <w:cols w:equalWidth="0" w:num="1">
            <w:col w:w="11400"/>
          </w:cols>
          <w:pgMar w:left="240" w:top="274" w:right="25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Common shares offered</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2,002,670 common shares (1)</w:t>
      </w:r>
    </w:p>
    <w:p>
      <w:pPr>
        <w:spacing w:after="0" w:line="200" w:lineRule="exact"/>
        <w:rPr>
          <w:sz w:val="20"/>
          <w:szCs w:val="20"/>
          <w:color w:val="auto"/>
        </w:rPr>
      </w:pPr>
    </w:p>
    <w:p>
      <w:pPr>
        <w:sectPr>
          <w:pgSz w:w="11900" w:h="16838" w:orient="portrait"/>
          <w:cols w:equalWidth="0" w:num="2">
            <w:col w:w="3400" w:space="720"/>
            <w:col w:w="7280"/>
          </w:cols>
          <w:pgMar w:left="240" w:top="274" w:right="25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Common shares to be outstanding after the offering</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55,229,502 common shares (1)(2)</w:t>
      </w:r>
    </w:p>
    <w:p>
      <w:pPr>
        <w:spacing w:after="0" w:line="200" w:lineRule="exact"/>
        <w:rPr>
          <w:sz w:val="20"/>
          <w:szCs w:val="20"/>
          <w:color w:val="auto"/>
        </w:rPr>
      </w:pPr>
    </w:p>
    <w:p>
      <w:pPr>
        <w:sectPr>
          <w:pgSz w:w="11900" w:h="16838" w:orient="portrait"/>
          <w:cols w:equalWidth="0" w:num="2">
            <w:col w:w="3620" w:space="500"/>
            <w:col w:w="7280"/>
          </w:cols>
          <w:pgMar w:left="240" w:top="274" w:right="25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Public offering price per share</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$74.90</w:t>
      </w:r>
    </w:p>
    <w:p>
      <w:pPr>
        <w:spacing w:after="0" w:line="211" w:lineRule="exact"/>
        <w:rPr>
          <w:sz w:val="20"/>
          <w:szCs w:val="20"/>
          <w:color w:val="auto"/>
        </w:rPr>
      </w:pPr>
    </w:p>
    <w:p>
      <w:pPr>
        <w:sectPr>
          <w:pgSz w:w="11900" w:h="16838" w:orient="portrait"/>
          <w:cols w:equalWidth="0" w:num="2">
            <w:col w:w="3400" w:space="720"/>
            <w:col w:w="7280"/>
          </w:cols>
          <w:pgMar w:left="240" w:top="274" w:right="2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New York Stock Exchange symbol</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FRT</w:t>
      </w:r>
    </w:p>
    <w:p>
      <w:pPr>
        <w:spacing w:after="0" w:line="211" w:lineRule="exact"/>
        <w:rPr>
          <w:sz w:val="20"/>
          <w:szCs w:val="20"/>
          <w:color w:val="auto"/>
        </w:rPr>
      </w:pPr>
    </w:p>
    <w:p>
      <w:pPr>
        <w:sectPr>
          <w:pgSz w:w="11900" w:h="16838" w:orient="portrait"/>
          <w:cols w:equalWidth="0" w:num="2">
            <w:col w:w="3400" w:space="720"/>
            <w:col w:w="7280"/>
          </w:cols>
          <w:pgMar w:left="240" w:top="274" w:right="2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We expect to use these net proceeds on an interim basis to repay debt recently used to acquire three properties in New England and for general corporate purposes including paying down debt under our Revolving Credit Facility, and on a longer term basis to redeem our currently outstanding preferred shares. See “Use of Proceeds” on page S-3 for more information.</w:t>
      </w:r>
    </w:p>
    <w:p>
      <w:pPr>
        <w:spacing w:after="0" w:line="167" w:lineRule="exact"/>
        <w:rPr>
          <w:sz w:val="20"/>
          <w:szCs w:val="20"/>
          <w:color w:val="auto"/>
        </w:rPr>
      </w:pPr>
    </w:p>
    <w:p>
      <w:pPr>
        <w:sectPr>
          <w:pgSz w:w="11900" w:h="16838" w:orient="portrait"/>
          <w:cols w:equalWidth="0" w:num="2">
            <w:col w:w="3400" w:space="720"/>
            <w:col w:w="7280"/>
          </w:cols>
          <w:pgMar w:left="240" w:top="274" w:right="259" w:bottom="1440" w:gutter="0" w:footer="0" w:header="0"/>
          <w:type w:val="continuous"/>
        </w:sectPr>
      </w:pPr>
    </w:p>
    <w:p>
      <w:pPr>
        <w:spacing w:after="0"/>
        <w:rPr>
          <w:sz w:val="20"/>
          <w:szCs w:val="20"/>
          <w:color w:val="auto"/>
        </w:rPr>
      </w:pPr>
      <w:r>
        <w:rPr>
          <w:rFonts w:ascii="Arial" w:cs="Arial" w:eastAsia="Arial" w:hAnsi="Arial"/>
          <w:sz w:val="15"/>
          <w:szCs w:val="15"/>
          <w:color w:val="auto"/>
        </w:rPr>
        <w:t>Federal Income Tax Consequences</w:t>
      </w:r>
    </w:p>
    <w:p>
      <w:pPr>
        <w:spacing w:after="0" w:line="20" w:lineRule="exact"/>
        <w:rPr>
          <w:sz w:val="20"/>
          <w:szCs w:val="20"/>
          <w:color w:val="auto"/>
        </w:rPr>
      </w:pPr>
      <w:r>
        <w:rPr>
          <w:sz w:val="20"/>
          <w:szCs w:val="20"/>
          <w:color w:val="auto"/>
        </w:rPr>
        <w:br w:type="column"/>
      </w:r>
    </w:p>
    <w:p>
      <w:pPr>
        <w:ind w:right="240"/>
        <w:spacing w:after="0" w:line="259" w:lineRule="auto"/>
        <w:rPr>
          <w:sz w:val="20"/>
          <w:szCs w:val="20"/>
          <w:color w:val="auto"/>
        </w:rPr>
      </w:pPr>
      <w:r>
        <w:rPr>
          <w:rFonts w:ascii="Arial" w:cs="Arial" w:eastAsia="Arial" w:hAnsi="Arial"/>
          <w:sz w:val="18"/>
          <w:szCs w:val="18"/>
          <w:color w:val="auto"/>
        </w:rPr>
        <w:t>For a description of the material federal income tax consequences of an investment in our common shares, please review the disclosure contained in the attached prospectus under “Federal Income Tax Consequences.”</w:t>
      </w:r>
    </w:p>
    <w:p>
      <w:pPr>
        <w:spacing w:after="0" w:line="194" w:lineRule="exact"/>
        <w:rPr>
          <w:sz w:val="20"/>
          <w:szCs w:val="20"/>
          <w:color w:val="auto"/>
        </w:rPr>
      </w:pPr>
    </w:p>
    <w:p>
      <w:pPr>
        <w:sectPr>
          <w:pgSz w:w="11900" w:h="16838" w:orient="portrait"/>
          <w:cols w:equalWidth="0" w:num="2">
            <w:col w:w="3400" w:space="720"/>
            <w:col w:w="7280"/>
          </w:cols>
          <w:pgMar w:left="240" w:top="274" w:right="259" w:bottom="1440" w:gutter="0" w:footer="0" w:header="0"/>
          <w:type w:val="continuous"/>
        </w:sect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1054735</wp:posOffset>
            </wp:positionV>
            <wp:extent cx="7461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0" w:lineRule="auto"/>
        <w:rPr>
          <w:sz w:val="20"/>
          <w:szCs w:val="20"/>
          <w:color w:val="auto"/>
        </w:rPr>
      </w:pPr>
      <w:r>
        <w:rPr>
          <w:rFonts w:ascii="Arial" w:cs="Arial" w:eastAsia="Arial" w:hAnsi="Arial"/>
          <w:sz w:val="16"/>
          <w:szCs w:val="16"/>
          <w:color w:val="auto"/>
        </w:rPr>
        <w:t>Investing in our common shares involves risks. Please review the risk factors discussed in our Annual Report on Form 10-K filed with the SEC on March 3, 2006 and amended on March 10, 2006, and the other information contained or incorporated by reference in this prospectus supplement and the accompanying prospectus for a discussion of factors you should consider before deciding to invest in our common shares. You may obtain a copy of this Annual Report and the other documents incorporated by reference in this prospectus supplement and the accompanying prospectus by following the procedures described below under “Where You Can Find More Information.”</w:t>
      </w:r>
    </w:p>
    <w:p>
      <w:pPr>
        <w:spacing w:after="0" w:line="200" w:lineRule="exact"/>
        <w:rPr>
          <w:sz w:val="20"/>
          <w:szCs w:val="20"/>
          <w:color w:val="auto"/>
        </w:rPr>
      </w:pPr>
    </w:p>
    <w:p>
      <w:pPr>
        <w:sectPr>
          <w:pgSz w:w="11900" w:h="16838" w:orient="portrait"/>
          <w:cols w:equalWidth="0" w:num="2">
            <w:col w:w="3400" w:space="720"/>
            <w:col w:w="7280"/>
          </w:cols>
          <w:pgMar w:left="240" w:top="274" w:right="259" w:bottom="1440" w:gutter="0" w:footer="0" w:header="0"/>
          <w:type w:val="continuous"/>
        </w:sectPr>
      </w:pPr>
    </w:p>
    <w:p>
      <w:pPr>
        <w:spacing w:after="0" w:line="202"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Assumes no exercise by the underwriters of their 300,400 common share over-allotment option.</w:t>
      </w:r>
    </w:p>
    <w:p>
      <w:pPr>
        <w:spacing w:after="0" w:line="15"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upon 53,226,832 common shares outstanding as of September 13, 2006. Excludes common shares that we may issue upon (i) exercise of outstanding share options, (ii) conversion, exchange or redemption of downREIT partnership units, and (iii) exercise of contractual or put rights by current or former joint venture and other business partners.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00"/>
          </w:cols>
          <w:pgMar w:left="240" w:top="274" w:right="259" w:bottom="1440" w:gutter="0" w:footer="0" w:header="0"/>
          <w:type w:val="continuous"/>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USE OF PROCEEDS</w:t>
      </w:r>
    </w:p>
    <w:p>
      <w:pPr>
        <w:spacing w:after="0" w:line="1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net proceeds to us from the sale of the common shares offered by this prospectus supplement are estimated to be approximately $149.1 million, or approximately $171.5 million if the underwriters’ over-allotment option is exercised in full, in both cases after deducting the underwriting discount and other estimated expenses of this offering payable by us. We intend to use these net proceeds on an interim basis to repay debt recently used to acquire three properties in New England and for general corporate purposes including paying down debt under our Revolving Credit Facility, and on a longer term basis to redeem our currently outstanding preferred shares.</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As of September 13, 2006, we had approximately $150.0 million of debt outstanding on the bridge facility we used to finance the acquisition of three recently acquired properties in New England. This bridge facility bears interest at a weighted average annual rate of 5.755% and matures in December 2006. Our Revolving Credit Facility bears interest at a weighted average annual rate of 5.73% and matures in July 2010 subject to a one-year extension at our option. The borrowings under this facility were used for general corporate purposes, including working capital, property acquisitions and redevelopments.</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An affiliate of Wachovia Capital Markets, LLC is the lender under our bridge facility and will receive all proceeds used to reduce amounts outstanding under the bridge facility. Affiliates of Wachovia Capital Markets, LLC and RBC Capital Markets Corporation are lenders under our Revolving Credit Facility and will receive a portion of any proceeds used to pay down such facility. Currently we have 5,400,000 of our 8.5% Series B Cumulative Redeemable Preferred Shares outstanding. These shares have a liquidation preference of $25.00 per share, plus all accrued and unpaid dividends, and are entitled to receive cumulative dividends when, as and if authorized by our Board out of funds legally available for that purpose at a rate of $2.125 per annum. The preferred shares can be redeemed any time on or after November 27, 2006.</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380"/>
          </w:cols>
          <w:pgMar w:left="240" w:top="274" w:right="2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UNDERWRITING</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Wachovia Capital Markets, LLC is acting as the sole book-running manager of the offering and as representative of the underwriters named below. Subject to the terms and conditions stated in the underwriting agreement and a related pricing agreement, each dated the date of this prospectus supplement, each underwriter named below has severally agreed to purchase, and we have agreed to sell to that underwriter, the number of common shares set forth opposite the underwriter’s name.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560" w:type="dxa"/>
            <w:vAlign w:val="bottom"/>
            <w:gridSpan w:val="2"/>
          </w:tcPr>
          <w:p>
            <w:pPr>
              <w:spacing w:after="0"/>
              <w:rPr>
                <w:sz w:val="20"/>
                <w:szCs w:val="20"/>
                <w:color w:val="auto"/>
              </w:rPr>
            </w:pPr>
            <w:r>
              <w:rPr>
                <w:rFonts w:ascii="Arial" w:cs="Arial" w:eastAsia="Arial" w:hAnsi="Arial"/>
                <w:sz w:val="14"/>
                <w:szCs w:val="14"/>
                <w:b w:val="1"/>
                <w:bCs w:val="1"/>
                <w:color w:val="auto"/>
              </w:rPr>
              <w:t>Underwriter</w:t>
            </w:r>
          </w:p>
        </w:tc>
        <w:tc>
          <w:tcPr>
            <w:tcW w:w="8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Number of Shares</w:t>
            </w:r>
          </w:p>
        </w:tc>
      </w:tr>
      <w:tr>
        <w:trPr>
          <w:trHeight w:val="216"/>
        </w:trPr>
        <w:tc>
          <w:tcPr>
            <w:tcW w:w="20" w:type="dxa"/>
            <w:vAlign w:val="bottom"/>
          </w:tcPr>
          <w:p>
            <w:pPr>
              <w:spacing w:after="0"/>
              <w:rPr>
                <w:sz w:val="18"/>
                <w:szCs w:val="18"/>
                <w:color w:val="auto"/>
              </w:rPr>
            </w:pPr>
          </w:p>
        </w:tc>
        <w:tc>
          <w:tcPr>
            <w:tcW w:w="9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Wachovia Capital Markets, LLC</w:t>
            </w:r>
          </w:p>
        </w:tc>
        <w:tc>
          <w:tcPr>
            <w:tcW w:w="8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1,402,670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BB&amp;T Capital Markets, a division of Scott &amp; Stringfellow, Inc.</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RBC Capital Markets Corporation</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Stifel, Nicolaus &amp; Company, Incorporated</w:t>
            </w:r>
          </w:p>
        </w:tc>
        <w:tc>
          <w:tcPr>
            <w:tcW w:w="8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2,002,670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underwriters have agreed to purchase all of the common shares shown in the above table if any of those common shares are purchased. If an underwriter defaults, the underwriting agreement provides that the purchase commitment of the non-defaulting underwriters may be increased or the underwriting agreement may be terminated.</w:t>
      </w:r>
    </w:p>
    <w:p>
      <w:pPr>
        <w:spacing w:after="0" w:line="14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common shares are offered by the underwriters, subject to prior sale, when, as and if issued to and accepted by them, subject to approval of legal matters by counsel for the underwriters and other conditions. The underwriters reserve the right to withdraw, cancel or modify the offer and to reject orders in whole or in part.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granted the underwriters an option, exercisable during the 30-day period after the date of this prospectus supplement, to purchase up to a total of 300,400 additional common shares at the public offering price per share and underwriting discounts and commissions per share shown on the cover page of this prospectus supplement. The underwriters may exercise this option solely for the purpose of covering over-allotments, if any, made in connection with the offering of the common shares offered by this prospectus supplement. To the extent that the over-allotment option is exercised, each underwriter will become obligated, subject to certain conditions, to purchase approximately the same percentage of the additional common shares as the number set forth next to such underwriter’s name in the preceding table bears to the total number of common shares reflected in that table.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underwriters have advised us that they propose to offer the common shares to the public at the public offering price appearing on the cover page of this prospectus supplement and to certain dealers at that price less a concession of not more than $.23 per share. After the initial offering, the public offering price and concession to dealers may be changed.</w:t>
      </w:r>
    </w:p>
    <w:p>
      <w:pPr>
        <w:spacing w:after="0" w:line="14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table shows the public offering price, underwriting discounts and commissions, and proceeds, before expenses, to us, both on a per share basis and in total, assuming either no exercise or full exercise by the underwriters of the over-allotment option.</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Per Share</w:t>
            </w: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83"/>
              </w:rPr>
              <w:t>Total</w:t>
            </w:r>
          </w:p>
        </w:tc>
        <w:tc>
          <w:tcPr>
            <w:tcW w:w="12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660" w:type="dxa"/>
            <w:vAlign w:val="bottom"/>
            <w:tcBorders>
              <w:bottom w:val="single" w:sz="8" w:color="auto"/>
            </w:tcBorders>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w w:val="94"/>
              </w:rPr>
              <w:t>Without Option</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With Option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2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74.90</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149,999,983.00</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172,499,943.00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32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781,041.30</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898,197.30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32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74.51</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149,218,941.70</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171,601,745.70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4260" w:type="dxa"/>
            <w:vAlign w:val="bottom"/>
          </w:tcPr>
          <w:p>
            <w:pPr>
              <w:spacing w:after="0"/>
              <w:rPr>
                <w:sz w:val="24"/>
                <w:szCs w:val="24"/>
                <w:color w:val="auto"/>
              </w:rPr>
            </w:pPr>
          </w:p>
        </w:tc>
        <w:tc>
          <w:tcPr>
            <w:tcW w:w="3220" w:type="dxa"/>
            <w:vAlign w:val="bottom"/>
            <w:gridSpan w:val="2"/>
          </w:tcPr>
          <w:p>
            <w:pPr>
              <w:jc w:val="right"/>
              <w:ind w:right="1572"/>
              <w:spacing w:after="0"/>
              <w:rPr>
                <w:sz w:val="20"/>
                <w:szCs w:val="20"/>
                <w:color w:val="auto"/>
              </w:rPr>
            </w:pPr>
            <w:r>
              <w:rPr>
                <w:rFonts w:ascii="Arial" w:cs="Arial" w:eastAsia="Arial" w:hAnsi="Arial"/>
                <w:sz w:val="18"/>
                <w:szCs w:val="18"/>
                <w:color w:val="auto"/>
              </w:rPr>
              <w:t>S-4</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estimate that the expenses of this offering payable by us, not including underwriting discounts and commissions, will be approximately $133,000.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our chief executive officer and our chief financial officer have agreed that, for a period of 45 days from the date of this prospectus supplement, we and they will not, without the prior written consent of Wachovia Capital Markets, LLC, dispose of or hedge any of our common shares or any securities convertible into or exercisable, exchangeable or redeemable for our common shares. This lock-up agreement, however, will not prevent us from issuing or granting options to purchase:</w:t>
      </w:r>
    </w:p>
    <w:p>
      <w:pPr>
        <w:spacing w:after="0" w:line="62"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common shares in this offering;</w:t>
      </w:r>
    </w:p>
    <w:p>
      <w:pPr>
        <w:spacing w:after="0" w:line="90" w:lineRule="exact"/>
        <w:rPr>
          <w:rFonts w:ascii="Arial" w:cs="Arial" w:eastAsia="Arial" w:hAnsi="Arial"/>
          <w:sz w:val="18"/>
          <w:szCs w:val="18"/>
          <w:color w:val="auto"/>
        </w:rPr>
      </w:pPr>
    </w:p>
    <w:p>
      <w:pPr>
        <w:ind w:left="780" w:right="40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common shares pursuant to our Dividend Reinvestment and Share Purchase Plan, including as a result of exercises of options granted under these plans;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common shares pursuant to our employee or trustee benefit plans, including as a result of exercises of options granted under these plans;</w:t>
      </w:r>
    </w:p>
    <w:p>
      <w:pPr>
        <w:spacing w:after="0" w:line="113" w:lineRule="exact"/>
        <w:rPr>
          <w:rFonts w:ascii="Arial" w:cs="Arial" w:eastAsia="Arial" w:hAnsi="Arial"/>
          <w:sz w:val="16"/>
          <w:szCs w:val="16"/>
          <w:color w:val="auto"/>
        </w:rPr>
      </w:pPr>
    </w:p>
    <w:p>
      <w:pPr>
        <w:ind w:left="780" w:right="20" w:hanging="326"/>
        <w:spacing w:after="0" w:line="25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common shares pursuant to any exercise of contractual rights that exist on the date of this prospectus supplement and that require or permit us to issue common shares to current or former holders of partnership or other interests in certain of our “downREIT” partnerships or other subsidiaries, including as a result of exercises of options granted pursuant to such rights; and</w:t>
      </w:r>
    </w:p>
    <w:p>
      <w:pPr>
        <w:spacing w:after="0" w:line="59" w:lineRule="exact"/>
        <w:rPr>
          <w:rFonts w:ascii="Arial" w:cs="Arial" w:eastAsia="Arial" w:hAnsi="Arial"/>
          <w:sz w:val="18"/>
          <w:szCs w:val="18"/>
          <w:color w:val="auto"/>
        </w:rPr>
      </w:pPr>
    </w:p>
    <w:p>
      <w:pPr>
        <w:ind w:left="780" w:right="40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subject to certain conditions, common shares, preferred shares and any other of our securities, including securities convertible into or exercisable, exchangeable or redeemable for common shares, as consideration for the acquisition of real property.</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lock-up agreements do not prohibit the chief executive officer or the chief financial officer from exercising options (as long as they hold the common shares received from such exercises pursuant to the terms of the lock-up agreements) or purchasing shares under employee or trustee benefit plans, from making gifts of common shares or securities convertible into or exercisable, exchangeable or redeemable for common shares for the benefit of their immediate families or for charitable purposes as long as the donee enters into a similar lock-up agreement.</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Wachovia Capital Markets, LLC may, in its sole discretion and at any time or from time to time, without notice, release us, our chief executive officer or our chief financial officer from the lock-up agreements.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underwriters have advised us that they may engage in transactions, including stabilization bids, covering transactions or the imposition of penalty bids, which may have the effect of stabilizing or maintaining the market price of our common shares at a level above that which might otherwise prevail in the open market.</w:t>
      </w:r>
    </w:p>
    <w:p>
      <w:pPr>
        <w:spacing w:after="0" w:line="59" w:lineRule="exact"/>
        <w:rPr>
          <w:sz w:val="20"/>
          <w:szCs w:val="20"/>
          <w:color w:val="auto"/>
        </w:rPr>
      </w:pPr>
    </w:p>
    <w:p>
      <w:pPr>
        <w:ind w:left="780" w:right="4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“stabilizing bid” is a bid for or the purchase of the common shares on behalf of the underwriters for the purpose of fixing or maintaining the price of the common shares.</w:t>
      </w:r>
    </w:p>
    <w:p>
      <w:pPr>
        <w:spacing w:after="0" w:line="50" w:lineRule="exact"/>
        <w:rPr>
          <w:rFonts w:ascii="Arial" w:cs="Arial" w:eastAsia="Arial" w:hAnsi="Arial"/>
          <w:sz w:val="18"/>
          <w:szCs w:val="18"/>
          <w:color w:val="auto"/>
        </w:rPr>
      </w:pPr>
    </w:p>
    <w:p>
      <w:pPr>
        <w:ind w:left="780" w:right="36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“covering transaction” is a bid for or the purchase of the common shares on behalf of the underwriters to reduce a short position incurred by the underwriters in connection with this offering.</w:t>
      </w:r>
    </w:p>
    <w:p>
      <w:pPr>
        <w:spacing w:after="0" w:line="50" w:lineRule="exact"/>
        <w:rPr>
          <w:rFonts w:ascii="Arial" w:cs="Arial" w:eastAsia="Arial" w:hAnsi="Arial"/>
          <w:sz w:val="18"/>
          <w:szCs w:val="18"/>
          <w:color w:val="auto"/>
        </w:rPr>
      </w:pPr>
    </w:p>
    <w:p>
      <w:pPr>
        <w:ind w:left="780" w:hanging="326"/>
        <w:spacing w:after="0" w:line="306"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“penalty bid” is an arrangement permitting the underwriters to reclaim the selling concession otherwise accruing to an underwriter or selling group member, if any, in connection with this offering if the common shares originally sold by that underwriter or selling group member are purchased by the underwriters in a covering transaction and therefore have not been effectively placed by that underwriter or selling group member.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00"/>
          </w:cols>
          <w:pgMar w:left="240" w:top="280" w:right="259" w:bottom="1440" w:gutter="0" w:footer="0" w:header="0"/>
        </w:sectPr>
      </w:pPr>
    </w:p>
    <w:bookmarkStart w:id="9" w:name="page10"/>
    <w:bookmarkEnd w:id="9"/>
    <w:p>
      <w:pPr>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underwriters have advised us that these transactions may be effected on the New York Stock Exchange or otherwise. Neither we nor the underwriters makes any representation that the underwriters will engage in any of the transactions described above, and these transactions, if commenced, may be discontinued without notice. Neither we nor the underwriters makes any representation or prediction as to the direction or magnitude of the effect that the transactions described above, if commenced, may have on the market price of our common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underwriters have performed investment banking, commercial banking, advisory and fiduciary services for us from time to time for which they have received customary fees and expenses. The underwriters may, from time to time, engage in transactions with and perform services for us in the ordinary course of their business. In particular, affiliates of Wachovia Capital Markets, LLC and RBC Capital Markets Corporation are lenders under our Revolving Credit Facility, and affiliates of Wachovia Capital Markets, LLC are an administrative agent, arranger and book manager, respectively, under our Revolving Credit Facility. In addition, an affiliate of Wachovia Capital Markets, LLC is the lender under a bridge facility we recently used to finance the acquisition of three properties in New England and will receive all proceeds from this offering that are used to reduce amounts outstanding under this bridge facility.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the New York Stock Exchange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Prospectus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in electronic format may be made available on the websites maintained by one or more of the underwriters.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or to contribute to payments the underwriters may be required to make because of any of those liabilities.</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consolidated balance sheets as of December 31, 2005 and 2004 and the consolidated statements of operations, common shareholders’ equity and cash flows for the three years ended December 31, 2005, 2004 and 2003 appearing in our Annual Report on Form 10-K, as amended, for the fiscal year ended December 31, 2005 and incorporated by reference into this prospectus supplement and elsewhere in the registration statement have been audited by Grant Thornton LLP, independent registered public accounting firm as indicated in their report with respect thereto, and are incorporated by reference herein and therein in reliance upon the authority of said firm as experts in giving said report.</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legality of the common shares offered by this prospectus supplement will be passed upon for us by Pillsbury Winthrop Shaw Pittman LLP, Washington, DC. In addition, the description of federal income tax consequences contained in the accompanying prospectus under “Federal Income Tax Consequences” is, to the extent that it constitutes matters of law, summaries of legal matters or legal conclusions, based upon the opinion of Pillsbury Winthrop Shaw Pittman LLP. Sidley Austin LLP, San Francisco, California, will act as counsel to the underwriters.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00"/>
          </w:cols>
          <w:pgMar w:left="240" w:top="280" w:right="259" w:bottom="1440" w:gutter="0" w:footer="0" w:header="0"/>
        </w:sectPr>
      </w:pPr>
    </w:p>
    <w:bookmarkStart w:id="10" w:name="page11"/>
    <w:bookmarkEnd w:id="1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 YOU CAN FIND MORE INFORMATION</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file annual, quarterly and current reports, proxy statements and other information with the Securities and Exchange Commission, or SEC. Our SEC filings are available to the public at the SEC’s website at www.sec.gov. You may also read and copy any document we file at the SEC’s Public Reference Room at:</w:t>
      </w:r>
    </w:p>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Public Reference Section</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Please call the SEC at (800) SEC-0330 for further information on the operating rules and procedures for the public reference room. Reports, proxy statements and other information concerning Federal Realty Investment Trust may also be inspected at the offices of the New York Stock Exchange, which are located at 20 Broad Street, New York, NY 10005.</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SEC allows us to “incorporate by reference” the information we file with the SEC and the New York Stock Exchange, which means we can disclose important information to you by referring you to those documents. The information we incorporate by reference is an important part of this prospectus supplement and the accompanying prospectus, and all information that we will later file with the SEC will automatically update and supersede that information. Any statement contained in this prospectus supplement, the accompanying prospectus or a document incorporated or deemed to be incorporated by reference in this prospectus supplement or the accompanying prospectus will be deemed to have been modified or superseded to the extent that a statement contained in this prospectus supplement, or in any subsequently filed document that also is or is deemed to be incorporated by reference in this prospectus supplement or the accompanying prospectus, modifies or supersedes that statement. Any statement so modified or superseded will not be deemed, except as so modified or superseded, to constitute a part of this prospectus supplement or the accompanying prospectus. We do not incorporate by reference into this prospectus supplement or the accompanying prospectus any documents or portions of documents that, in accordance with SEC rules, we “furnish” to the SEC, as opposed to “file” with the SEC. As a result, the information that we furnish to the SEC is not and will not be a part of this prospectus or the accompanying prospectus supplement.</w:t>
      </w:r>
    </w:p>
    <w:p>
      <w:pPr>
        <w:spacing w:after="0" w:line="12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incorporate by reference the documents listed below as well as any future filings made with the SEC under Sections 13(a), 13(c), 14, or 15(d) of the Securities Exchange Act of 1934, or the Exchange Act (Exchange Act File No. 1-07533), from the date of this prospectus supplement until we terminate the offering hereunder.</w:t>
      </w:r>
    </w:p>
    <w:p>
      <w:pPr>
        <w:spacing w:after="0" w:line="59"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Annual Report on Form 10-K, as amended, for the fiscal year ended December 31, 2005</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Quarterly Report on Form 10-Q for the fiscal quarter ended March 31,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Quarterly Report on Form 10-Q for the fiscal quarter ended June 30,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Current Report on Form 8-K filed with the SEC on February 23,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Current Report on Form 8-K filed with the SEC on February 28,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March 10,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Current Report on Form 8-K filed with the SEC on July 13, 2006 (only with respect to Item 5.02 thereof)</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Current Report on Form 8-K filed with the SEC on July 14,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Current Report on Form 8-K filed with the SEC on July 31,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Current Report on Form 8-K filed with the SEC on August 7, 2006</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340"/>
          </w:cols>
          <w:pgMar w:left="240" w:top="274" w:right="319" w:bottom="1440" w:gutter="0" w:footer="0" w:header="0"/>
        </w:sectPr>
      </w:pPr>
    </w:p>
    <w:bookmarkStart w:id="11" w:name="page12"/>
    <w:bookmarkEnd w:id="11"/>
    <w:p>
      <w:pPr>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Copies of these filings are available at no cost on our website, www.federalrealty.com. Amendments to these filings will be posted to our website as soon as reasonably practical after filing with the SEC. In addition, you may obtain a copy of these filings and any amendments to the filings at no cost, by writing or telephoning us. Those copies will not include exhibits to the filings unless the exhibits are specifically incorporated by reference in the documents or unless you specifically request them. You also may obtain copies of any exhibits to the registration statement. Please direct your request to:</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Andrew P. Blocher</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Vice President, Capital Markets and Investor Relations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Federal Realty Investment Trust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1626 E. Jefferson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(301) 998-8100 or (800) 658-8980</w:t>
      </w:r>
    </w:p>
    <w:p>
      <w:pPr>
        <w:spacing w:after="0" w:line="16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This prospectus supplement and the accompanying prospectus do not contain all of the information included in the registration statement. We have omitted certain parts of the registration statement in accordance with the rules and regulations of the SEC. For further information, we refer you to the registration statement, including its exhibits and schedules. Statements contained in this prospectus supplement and the accompanying prospectus about the provisions or contents of any contract, agreement or any other document referred to are not necessarily complete. Please refer to the actual exhibit for a more complete description of the matters involved. You may obtain copies of the exhibits by contacting the person named above.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28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60" w:right="2460" w:firstLine="2064"/>
        <w:spacing w:after="0" w:line="444" w:lineRule="auto"/>
        <w:rPr>
          <w:sz w:val="20"/>
          <w:szCs w:val="20"/>
          <w:color w:val="auto"/>
        </w:rPr>
      </w:pPr>
      <w:r>
        <w:rPr>
          <w:rFonts w:ascii="Arial" w:cs="Arial" w:eastAsia="Arial" w:hAnsi="Arial"/>
          <w:sz w:val="16"/>
          <w:szCs w:val="16"/>
          <w:b w:val="1"/>
          <w:bCs w:val="1"/>
          <w:color w:val="auto"/>
        </w:rPr>
        <w:t xml:space="preserve">Debt Securities, Common Shares, Preferred Shares, Depositary Shares and Warrants </w:t>
      </w:r>
      <w:r>
        <w:rPr>
          <w:rFonts w:ascii="Arial" w:cs="Arial" w:eastAsia="Arial" w:hAnsi="Arial"/>
          <w:sz w:val="16"/>
          <w:szCs w:val="16"/>
          <w:color w:val="auto"/>
        </w:rPr>
        <w:t>We may from time to time offer, in one or more series, separately or together, the following:</w:t>
      </w:r>
    </w:p>
    <w:p>
      <w:pPr>
        <w:spacing w:after="0" w:line="1"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common shares of beneficial interest (and rights to acquire common shares that are attached to, or trade with, our common shares);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warrants to purchase our common and preferred shares.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for federal income tax purposes.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Please read this prospectus and the applicable supplement carefully before you invest.</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complete or accurate.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106045</wp:posOffset>
            </wp:positionV>
            <wp:extent cx="15347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June 20, 2006.</w:t>
      </w:r>
    </w:p>
    <w:p>
      <w:pPr>
        <w:sectPr>
          <w:pgSz w:w="11900" w:h="16838" w:orient="portrait"/>
          <w:cols w:equalWidth="0" w:num="1">
            <w:col w:w="11360"/>
          </w:cols>
          <w:pgMar w:left="240" w:top="274" w:right="29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80" w:type="dxa"/>
            <w:vAlign w:val="bottom"/>
            <w:gridSpan w:val="2"/>
          </w:tcPr>
          <w:p>
            <w:pPr>
              <w:ind w:left="172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140" w:type="dxa"/>
            <w:vAlign w:val="bottom"/>
            <w:gridSpan w:val="11"/>
            <w:vMerge w:val="restart"/>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About this Prospectus</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1140" w:type="dxa"/>
            <w:vAlign w:val="bottom"/>
            <w:gridSpan w:val="11"/>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Forward-Looking Information</w:t>
              </w:r>
            </w:hyperlink>
          </w:p>
        </w:tc>
        <w:tc>
          <w:tcPr>
            <w:tcW w:w="900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140" w:type="dxa"/>
            <w:vAlign w:val="bottom"/>
            <w:gridSpan w:val="11"/>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The Company</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11"/>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Use of Proceeds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Ratios of Earnings to Combined Fixed Charges and Preferred Share Dividends</w:t>
              </w:r>
            </w:hyperlink>
          </w:p>
        </w:tc>
        <w:tc>
          <w:tcPr>
            <w:tcW w:w="56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Description of Debt Securities</w:t>
              </w:r>
            </w:hyperlink>
          </w:p>
        </w:tc>
        <w:tc>
          <w:tcPr>
            <w:tcW w:w="900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Description of Shares of Beneficial Interest</w:t>
              </w:r>
            </w:hyperlink>
          </w:p>
        </w:tc>
        <w:tc>
          <w:tcPr>
            <w:tcW w:w="808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7"/>
          </w:tcPr>
          <w:p>
            <w:pPr>
              <w:spacing w:after="0" w:line="196" w:lineRule="exact"/>
              <w:rPr>
                <w:rFonts w:ascii="Arial" w:cs="Arial" w:eastAsia="Arial" w:hAnsi="Arial"/>
                <w:sz w:val="18"/>
                <w:szCs w:val="18"/>
                <w:color w:val="0000EE"/>
                <w:w w:val="85"/>
              </w:rPr>
            </w:pPr>
            <w:hyperlink w:anchor="page41">
              <w:r>
                <w:rPr>
                  <w:rFonts w:ascii="Arial" w:cs="Arial" w:eastAsia="Arial" w:hAnsi="Arial"/>
                  <w:sz w:val="18"/>
                  <w:szCs w:val="18"/>
                  <w:color w:val="0000EE"/>
                  <w:w w:val="85"/>
                </w:rPr>
                <w:t>Federal Income Tax Consequences</w:t>
              </w:r>
            </w:hyperlink>
          </w:p>
        </w:tc>
        <w:tc>
          <w:tcPr>
            <w:tcW w:w="868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1140" w:type="dxa"/>
            <w:vAlign w:val="bottom"/>
            <w:gridSpan w:val="11"/>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Plan of Distribution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Legal Matters</w:t>
              </w:r>
            </w:hyperlink>
          </w:p>
        </w:tc>
        <w:tc>
          <w:tcPr>
            <w:tcW w:w="974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Experts</w:t>
              </w:r>
            </w:hyperlink>
          </w:p>
        </w:tc>
        <w:tc>
          <w:tcPr>
            <w:tcW w:w="1014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83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11"/>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Where You Can Find More Information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You should read both this prospectus and the applicable prospectus supplement, together with additional information described under the heading “Where You Can Find More Information.”</w:t>
      </w:r>
    </w:p>
    <w:p>
      <w:pPr>
        <w:spacing w:after="0" w:line="14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References to “we,” “us” or “our” refer to Federal Realty Investment Trust and its directly or indirectly owned subsidiaries, unless the context otherwise requires. The term “you” refers to a prospective investor.</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INFORMATION</w:t>
      </w:r>
    </w:p>
    <w:p>
      <w:pPr>
        <w:spacing w:after="0" w:line="17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Before investing in our securities, you should be aware that there are various risks. Investors should carefully consider, among other factors, the factors discussed in this prospectus and in any prospectus supplement. This prospectus contains, and any accompanying prospectus supplement will contain, forward-looking statements within the meaning of Section 27A of the Securities Act of 1933, as amended, Section 21E of the Securities Exchange Act of 1934, as amended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1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Federal Realty Investment Trust is an equity real estate investment trust specializing in the ownership, management, development and redevelopment of high-quality retail and mixed-use properties. As of March 31,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2006, we owned or had a majority interest in 104 community and neighborhood shopping centers and mixed-use properties comprising approximately</w:t>
      </w:r>
    </w:p>
    <w:p>
      <w:pPr>
        <w:spacing w:after="0" w:line="3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17.6 million square feet, located primarily in densely populated and affluent communities throughout the Northeast and Mid-Atlantic United States, as well as in California, and one apartment complex in Maryland.</w:t>
      </w:r>
    </w:p>
    <w:p>
      <w:pPr>
        <w:spacing w:after="0" w:line="13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We operate in a manner intended to qualify as a real estate investment trust pursuant to provisions of the Internal Revenue Code. Our offices are located at 1626 East Jefferson Street, Rockville, Maryland 20852. Our telephone number is (301) 998-8100 or (800) 658-8980.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in our website is not a part of this prospectus.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51"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development of new properties;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redevelopment of existing properties;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327"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RATIOS OF EARNINGS TO COMBINED FIXED CHARGES AND PREFERRED SHARE DIVIDENDS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historical ratio of earnings to fixed charges and preferred stock dividends for the periods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For the Three Months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w w:val="86"/>
              </w:rPr>
              <w:t>For the Years Ended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620" w:type="dxa"/>
            <w:vAlign w:val="bottom"/>
          </w:tcPr>
          <w:p>
            <w:pPr>
              <w:spacing w:after="0"/>
              <w:rPr>
                <w:sz w:val="14"/>
                <w:szCs w:val="14"/>
                <w:color w:val="auto"/>
              </w:rPr>
            </w:pPr>
          </w:p>
        </w:tc>
        <w:tc>
          <w:tcPr>
            <w:tcW w:w="1360" w:type="dxa"/>
            <w:vAlign w:val="bottom"/>
            <w:tcBorders>
              <w:bottom w:val="single" w:sz="8" w:color="auto"/>
            </w:tcBorders>
            <w:gridSpan w:val="3"/>
          </w:tcPr>
          <w:p>
            <w:pPr>
              <w:jc w:val="right"/>
              <w:ind w:right="102"/>
              <w:spacing w:after="0"/>
              <w:rPr>
                <w:sz w:val="20"/>
                <w:szCs w:val="20"/>
                <w:color w:val="auto"/>
              </w:rPr>
            </w:pPr>
            <w:r>
              <w:rPr>
                <w:rFonts w:ascii="Arial" w:cs="Arial" w:eastAsia="Arial" w:hAnsi="Arial"/>
                <w:sz w:val="14"/>
                <w:szCs w:val="14"/>
                <w:b w:val="1"/>
                <w:bCs w:val="1"/>
                <w:color w:val="auto"/>
              </w:rPr>
              <w:t>Ended March 31,</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8"/>
          </w:tcPr>
          <w:p>
            <w:pPr>
              <w:jc w:val="center"/>
              <w:ind w:right="120"/>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20" w:type="dxa"/>
            <w:vAlign w:val="bottom"/>
          </w:tcPr>
          <w:p>
            <w:pPr>
              <w:spacing w:after="0"/>
              <w:rPr>
                <w:sz w:val="12"/>
                <w:szCs w:val="12"/>
                <w:color w:val="auto"/>
              </w:rPr>
            </w:pPr>
          </w:p>
        </w:tc>
        <w:tc>
          <w:tcPr>
            <w:tcW w:w="580" w:type="dxa"/>
            <w:vAlign w:val="bottom"/>
          </w:tcPr>
          <w:p>
            <w:pPr>
              <w:jc w:val="right"/>
              <w:ind w:right="84"/>
              <w:spacing w:after="0" w:line="142" w:lineRule="exact"/>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2"/>
                <w:szCs w:val="12"/>
                <w:color w:val="auto"/>
              </w:rPr>
            </w:pPr>
          </w:p>
        </w:tc>
        <w:tc>
          <w:tcPr>
            <w:tcW w:w="580" w:type="dxa"/>
            <w:vAlign w:val="bottom"/>
          </w:tcPr>
          <w:p>
            <w:pPr>
              <w:jc w:val="right"/>
              <w:ind w:right="62"/>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2005</w:t>
            </w:r>
          </w:p>
        </w:tc>
        <w:tc>
          <w:tcPr>
            <w:tcW w:w="58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2004</w:t>
            </w:r>
          </w:p>
        </w:tc>
        <w:tc>
          <w:tcPr>
            <w:tcW w:w="50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2003</w:t>
            </w:r>
          </w:p>
        </w:tc>
        <w:tc>
          <w:tcPr>
            <w:tcW w:w="48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2002</w:t>
            </w:r>
          </w:p>
        </w:tc>
        <w:tc>
          <w:tcPr>
            <w:tcW w:w="3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20" w:type="dxa"/>
            <w:vAlign w:val="bottom"/>
          </w:tcPr>
          <w:p>
            <w:pPr>
              <w:spacing w:after="0"/>
              <w:rPr>
                <w:sz w:val="20"/>
                <w:szCs w:val="20"/>
                <w:color w:val="auto"/>
              </w:rPr>
            </w:pPr>
            <w:r>
              <w:rPr>
                <w:rFonts w:ascii="Arial" w:cs="Arial" w:eastAsia="Arial" w:hAnsi="Arial"/>
                <w:sz w:val="18"/>
                <w:szCs w:val="18"/>
                <w:color w:val="auto"/>
              </w:rPr>
              <w:t>Ratio of earnings to combined fixed charges and preferred stock dividends</w:t>
            </w: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1.5</w:t>
            </w: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rPr>
              <w:t>1.4</w:t>
            </w: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1.0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ratio of earnings to fixed charges is computed by dividing earnings by fixed charges. In computing the ratio of earnings to fixed charges: (a) earnings consist of income from continuing operations before minority interests plus distributed income of equity investees and fixed charges (excluding capitalized interest) less minority interests of subsidiaries with no fixed charges; and (b) fixed charges consist of interest expense including amortization of debt discounts and issuance costs (including capitalized interest) and the estimated portion of rents payable by us representing interest.</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ratio of earnings to combined fixed charges and preferred stock dividends is computed by dividing earnings by the total of fixed charges and preferred stock dividends. In computing the ratio of earnings to combined fixed charges and preferred stock dividends: (a) earnings consist of income from continuing operations before minority interests plus distributed income of equity investees and fixed charges (excluding capitalized interest) less minority interests of subsidiaries with no fixed charges; (b) fixed charges consist of interest expense including amortization of debt discounts and issuance costs (including capitalized interest) and the estimated portion of rents payable by us representing interest; and (c) preferred stock dividends consist of preferred stock dividends and preferred stock redemption costs.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DESCRIPTION OF DEBT SECURITIES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Debt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90"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17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incur additional debt, subject to limitations in the agreements governing our credit and other debt facilities and other notes we may have issued.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w:t>
      </w:r>
    </w:p>
    <w:p>
      <w:pPr>
        <w:spacing w:after="0" w:line="90"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Any debt securities we offer through this prospectus will be issued under an indenture between us and Wachovia Bank National Association, as successor to First Union National Bank, Trustee. We have filed with the SEC two indentures that are exhibits to the registration statement that includes this prospectus. The senior indenture describes the general terms of senior debt securities we may issue. In addition to describing the general terms of subordinated debt securities that we may issue, the subordinated indenture includes additional terms describing the subordination provisions of these securities. Each of the indentures is subject to the Trust Indenture Act of 1939, as amended.</w:t>
      </w:r>
    </w:p>
    <w:p>
      <w:pPr>
        <w:spacing w:after="0" w:line="143"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The indentures do not include all the terms of debt securities we may issue through this prospectus. If we issue debt securities through this prospectus, our Board of Trustees will establish the additional terms for each series of debt securities. The additional terms will be either established pursuant to, and set forth in, a supplemental indenture, or established pursuant to a resolution of our Board of Trustees and set forth in an officer’s certificate. Each indenture describes the additional terms that may be established and we summarize the additional terms that may be established under “— Additional Terms of Debt Securities,” below.</w:t>
      </w:r>
    </w:p>
    <w:p>
      <w:pPr>
        <w:spacing w:after="0" w:line="9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summarized the provisions of the senior indenture and the subordinated indenture below. The summary is not complete. You should read the indentures for provisions that may be important to you. The extent, if any, to which the provisions of the base indentures apply to particular debt securities will be described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6" w:name="page17"/>
    <w:bookmarkEnd w:id="16"/>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prospectus supplement relating to those securities. You should read the prospectus supplement for more information regarding any particular issuance of debt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of Debt Securities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described above, the terms of a particular series of debt securities we offer through this prospectus will be established by our Board of Trustees when we issue the series. We will describe the terms of the series in a prospectus supplement. Each indenture provides that the terms that may be established include the following:</w:t>
      </w:r>
    </w:p>
    <w:p>
      <w:pPr>
        <w:spacing w:after="0" w:line="59"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90"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 determining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date or dates.</w:t>
      </w:r>
    </w:p>
    <w:p>
      <w:pPr>
        <w:spacing w:after="0" w:line="50" w:lineRule="exact"/>
        <w:rPr>
          <w:rFonts w:ascii="Arial" w:cs="Arial" w:eastAsia="Arial" w:hAnsi="Arial"/>
          <w:sz w:val="18"/>
          <w:szCs w:val="18"/>
          <w:color w:val="auto"/>
        </w:rPr>
      </w:pPr>
    </w:p>
    <w:p>
      <w:pPr>
        <w:ind w:left="780" w:right="68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calculating such rate or rates.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Accrual. </w:t>
      </w:r>
      <w:r>
        <w:rPr>
          <w:rFonts w:ascii="Arial" w:cs="Arial" w:eastAsia="Arial" w:hAnsi="Arial"/>
          <w:sz w:val="18"/>
          <w:szCs w:val="18"/>
          <w:color w:val="auto"/>
        </w:rPr>
        <w:t>The date or dates from which interest will accrue or the method by which such date or dates will be determined.</w:t>
      </w:r>
    </w:p>
    <w:p>
      <w:pPr>
        <w:spacing w:after="0" w:line="90" w:lineRule="exact"/>
        <w:rPr>
          <w:rFonts w:ascii="Arial" w:cs="Arial" w:eastAsia="Arial" w:hAnsi="Arial"/>
          <w:sz w:val="18"/>
          <w:szCs w:val="18"/>
          <w:color w:val="auto"/>
        </w:rPr>
      </w:pPr>
    </w:p>
    <w:p>
      <w:pPr>
        <w:ind w:left="780" w:right="34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Payment Dates. </w:t>
      </w:r>
      <w:r>
        <w:rPr>
          <w:rFonts w:ascii="Arial" w:cs="Arial" w:eastAsia="Arial" w:hAnsi="Arial"/>
          <w:sz w:val="18"/>
          <w:szCs w:val="18"/>
          <w:color w:val="auto"/>
        </w:rPr>
        <w:t>The date or dates on which interest will be payable and the record date or dates to determine the persons who will receive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w:t>
      </w:r>
    </w:p>
    <w:p>
      <w:pPr>
        <w:spacing w:after="0" w:line="50"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 which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debt securities may be surrendered for registration of transfer or exchange.</w:t>
      </w:r>
    </w:p>
    <w:p>
      <w:pPr>
        <w:spacing w:after="0" w:line="50" w:lineRule="exact"/>
        <w:rPr>
          <w:rFonts w:ascii="Arial" w:cs="Arial" w:eastAsia="Arial" w:hAnsi="Arial"/>
          <w:sz w:val="18"/>
          <w:szCs w:val="18"/>
          <w:color w:val="auto"/>
        </w:rPr>
      </w:pPr>
    </w:p>
    <w:p>
      <w:pPr>
        <w:ind w:left="780" w:right="100" w:hanging="326"/>
        <w:spacing w:after="0" w:line="259"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currency unit or units, in which, and the other terms and conditions upon which, the offered debt securities may be redeemed, in whole or in part, at our option, if we have that option.</w:t>
      </w:r>
    </w:p>
    <w:p>
      <w:pPr>
        <w:spacing w:after="0" w:line="59" w:lineRule="exact"/>
        <w:rPr>
          <w:rFonts w:ascii="Arial" w:cs="Arial" w:eastAsia="Arial" w:hAnsi="Arial"/>
          <w:sz w:val="18"/>
          <w:szCs w:val="18"/>
          <w:color w:val="auto"/>
        </w:rPr>
      </w:pPr>
    </w:p>
    <w:p>
      <w:pPr>
        <w:ind w:left="780" w:right="100" w:hanging="326"/>
        <w:spacing w:after="0" w:line="298" w:lineRule="auto"/>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Mandatory Redemption. </w:t>
      </w:r>
      <w:r>
        <w:rPr>
          <w:rFonts w:ascii="Arial" w:cs="Arial" w:eastAsia="Arial" w:hAnsi="Arial"/>
          <w:sz w:val="16"/>
          <w:szCs w:val="16"/>
          <w:color w:val="auto"/>
        </w:rPr>
        <w:t>The obligation, if any, we have to redeem or repurchase the offered debt securities pursuant to any sinking fund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31" w:lineRule="exact"/>
        <w:rPr>
          <w:rFonts w:ascii="Arial" w:cs="Arial" w:eastAsia="Arial" w:hAnsi="Arial"/>
          <w:sz w:val="16"/>
          <w:szCs w:val="16"/>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90" w:lineRule="exact"/>
        <w:rPr>
          <w:rFonts w:ascii="Arial" w:cs="Arial" w:eastAsia="Arial" w:hAnsi="Arial"/>
          <w:sz w:val="18"/>
          <w:szCs w:val="18"/>
          <w:color w:val="auto"/>
        </w:rPr>
      </w:pPr>
    </w:p>
    <w:p>
      <w:pPr>
        <w:ind w:left="780" w:right="160" w:hanging="326"/>
        <w:spacing w:after="0" w:line="256"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Currency. </w:t>
      </w:r>
      <w:r>
        <w:rPr>
          <w:rFonts w:ascii="Arial" w:cs="Arial" w:eastAsia="Arial" w:hAnsi="Arial"/>
          <w:sz w:val="18"/>
          <w:szCs w:val="18"/>
          <w:color w:val="auto"/>
        </w:rPr>
        <w:t>The currency or currency unit in which the offered debt securities may be denominated and/or the currency or currencies,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62"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Indexed Principal. </w:t>
      </w:r>
      <w:r>
        <w:rPr>
          <w:rFonts w:ascii="Arial" w:cs="Arial" w:eastAsia="Arial" w:hAnsi="Arial"/>
          <w:sz w:val="18"/>
          <w:szCs w:val="18"/>
          <w:color w:val="auto"/>
        </w:rPr>
        <w:t>If the amount of principal of, or premium, if any, or interest on, the offered debt securities may be determined with reference to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index or pursuant to a formula or other method, the manner in which such amounts will be determined.</w:t>
      </w:r>
    </w:p>
    <w:p>
      <w:pPr>
        <w:spacing w:after="0" w:line="50"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 maturity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method by which such portion shall be determined.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Special Rights. </w:t>
      </w:r>
      <w:r>
        <w:rPr>
          <w:rFonts w:ascii="Arial" w:cs="Arial" w:eastAsia="Arial" w:hAnsi="Arial"/>
          <w:sz w:val="18"/>
          <w:szCs w:val="18"/>
          <w:color w:val="auto"/>
        </w:rPr>
        <w:t>Provisions, if any, granting special rights to the holders of the offered debt securities if certain specified events occur.</w:t>
      </w:r>
    </w:p>
    <w:p>
      <w:pPr>
        <w:spacing w:after="0" w:line="90"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 indenture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the offered debt securities.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7" w:name="page18"/>
    <w:bookmarkEnd w:id="17"/>
    <w:p>
      <w:pPr>
        <w:ind w:left="780" w:right="22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Tax “Gross-Up.” </w:t>
      </w:r>
      <w:r>
        <w:rPr>
          <w:rFonts w:ascii="Arial" w:cs="Arial" w:eastAsia="Arial" w:hAnsi="Arial"/>
          <w:sz w:val="18"/>
          <w:szCs w:val="18"/>
          <w:color w:val="auto"/>
        </w:rPr>
        <w:t>The circumstances, if any, under which we will pay additional amounts on the offered debt securities held by non-U.S. persons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taxes, assessments or similar charges.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90" w:lineRule="exact"/>
        <w:rPr>
          <w:rFonts w:ascii="Arial" w:cs="Arial" w:eastAsia="Arial" w:hAnsi="Arial"/>
          <w:sz w:val="18"/>
          <w:szCs w:val="18"/>
          <w:color w:val="auto"/>
        </w:rPr>
      </w:pPr>
    </w:p>
    <w:p>
      <w:pPr>
        <w:ind w:left="780" w:right="46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Dates of Certificates. </w:t>
      </w:r>
      <w:r>
        <w:rPr>
          <w:rFonts w:ascii="Arial" w:cs="Arial" w:eastAsia="Arial" w:hAnsi="Arial"/>
          <w:sz w:val="18"/>
          <w:szCs w:val="18"/>
          <w:color w:val="auto"/>
        </w:rPr>
        <w:t>The date as of which any offered debt securities in bearer form and any temporary global security representing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are dated, if other than the original issuance date of the offered debt securities.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9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 the offered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90" w:lineRule="exact"/>
        <w:rPr>
          <w:rFonts w:ascii="Arial" w:cs="Arial" w:eastAsia="Arial" w:hAnsi="Arial"/>
          <w:sz w:val="18"/>
          <w:szCs w:val="18"/>
          <w:color w:val="auto"/>
        </w:rPr>
      </w:pPr>
    </w:p>
    <w:p>
      <w:pPr>
        <w:ind w:left="780" w:hanging="326"/>
        <w:spacing w:after="0" w:line="256"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Securities. </w:t>
      </w:r>
      <w:r>
        <w:rPr>
          <w:rFonts w:ascii="Arial" w:cs="Arial" w:eastAsia="Arial" w:hAnsi="Arial"/>
          <w:sz w:val="18"/>
          <w:szCs w:val="18"/>
          <w:color w:val="auto"/>
        </w:rPr>
        <w:t>Whether the offered debt securities are to be issued in whole or in part in the form of one or more temporary or permanent global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62" w:lineRule="exact"/>
        <w:rPr>
          <w:rFonts w:ascii="Arial" w:cs="Arial" w:eastAsia="Arial" w:hAnsi="Arial"/>
          <w:sz w:val="18"/>
          <w:szCs w:val="18"/>
          <w:color w:val="auto"/>
        </w:rPr>
      </w:pPr>
    </w:p>
    <w:p>
      <w:pPr>
        <w:ind w:left="780" w:right="160" w:hanging="326"/>
        <w:spacing w:after="0" w:line="259"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installation of principal or interest may be paid, only upon receipt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certificates or other documents or satisfaction of other conditions in addition to those specified in the applicable indenture, the form of those certificates, documents or conditions.</w:t>
      </w:r>
    </w:p>
    <w:p>
      <w:pPr>
        <w:spacing w:after="0" w:line="59" w:lineRule="exact"/>
        <w:rPr>
          <w:rFonts w:ascii="Arial" w:cs="Arial" w:eastAsia="Arial" w:hAnsi="Arial"/>
          <w:sz w:val="18"/>
          <w:szCs w:val="18"/>
          <w:color w:val="auto"/>
        </w:rPr>
      </w:pPr>
    </w:p>
    <w:p>
      <w:pPr>
        <w:ind w:left="780" w:right="220" w:hanging="326"/>
        <w:spacing w:after="0" w:line="332"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Payees. </w:t>
      </w:r>
      <w:r>
        <w:rPr>
          <w:rFonts w:ascii="Arial" w:cs="Arial" w:eastAsia="Arial" w:hAnsi="Arial"/>
          <w:sz w:val="16"/>
          <w:szCs w:val="16"/>
          <w:color w:val="auto"/>
        </w:rPr>
        <w:t>If other than as provided in the applicable indenture, the person to whom any interest on any registered security of the series will be payable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manner in which, or the person to whom, any interest on any bearer securities of the series will be payable.</w:t>
      </w:r>
    </w:p>
    <w:p>
      <w:pPr>
        <w:spacing w:after="0" w:line="4" w:lineRule="exact"/>
        <w:rPr>
          <w:rFonts w:ascii="Arial" w:cs="Arial" w:eastAsia="Arial" w:hAnsi="Arial"/>
          <w:sz w:val="16"/>
          <w:szCs w:val="16"/>
          <w:color w:val="auto"/>
        </w:rPr>
      </w:pPr>
    </w:p>
    <w:p>
      <w:pPr>
        <w:ind w:left="780" w:right="700" w:hanging="326"/>
        <w:spacing w:after="0" w:line="332"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Definitions. </w:t>
      </w:r>
      <w:r>
        <w:rPr>
          <w:rFonts w:ascii="Arial" w:cs="Arial" w:eastAsia="Arial" w:hAnsi="Arial"/>
          <w:sz w:val="16"/>
          <w:szCs w:val="16"/>
          <w:color w:val="auto"/>
        </w:rPr>
        <w:t>Any definitions for the offered debt securities of that series that are different from or in addition to the definitions included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indenture, including, without limitation, the definition of “unrestricted subsidiary” to be used for such series.</w:t>
      </w:r>
    </w:p>
    <w:p>
      <w:pPr>
        <w:spacing w:after="0" w:line="4" w:lineRule="exact"/>
        <w:rPr>
          <w:rFonts w:ascii="Arial" w:cs="Arial" w:eastAsia="Arial" w:hAnsi="Arial"/>
          <w:sz w:val="16"/>
          <w:szCs w:val="16"/>
          <w:color w:val="auto"/>
        </w:rPr>
      </w:pPr>
    </w:p>
    <w:p>
      <w:pPr>
        <w:ind w:left="780" w:right="280" w:hanging="326"/>
        <w:spacing w:after="0" w:line="332"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Subordination. </w:t>
      </w:r>
      <w:r>
        <w:rPr>
          <w:rFonts w:ascii="Arial" w:cs="Arial" w:eastAsia="Arial" w:hAnsi="Arial"/>
          <w:sz w:val="16"/>
          <w:szCs w:val="16"/>
          <w:color w:val="auto"/>
        </w:rPr>
        <w:t>In the case of the subordinated indenture, the relative degree to which the offered debt securities shall be senior to or junior to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debt securities, whether currently outstanding or to be offered in the future, and to other debt, in right of payment.</w:t>
      </w:r>
    </w:p>
    <w:p>
      <w:pPr>
        <w:spacing w:after="0" w:line="4" w:lineRule="exact"/>
        <w:rPr>
          <w:rFonts w:ascii="Arial" w:cs="Arial" w:eastAsia="Arial" w:hAnsi="Arial"/>
          <w:sz w:val="16"/>
          <w:szCs w:val="16"/>
          <w:color w:val="auto"/>
        </w:rPr>
      </w:pPr>
    </w:p>
    <w:p>
      <w:pPr>
        <w:ind w:left="780" w:right="600" w:hanging="326"/>
        <w:spacing w:after="0" w:line="332"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Guarantees. </w:t>
      </w:r>
      <w:r>
        <w:rPr>
          <w:rFonts w:ascii="Arial" w:cs="Arial" w:eastAsia="Arial" w:hAnsi="Arial"/>
          <w:sz w:val="16"/>
          <w:szCs w:val="16"/>
          <w:color w:val="auto"/>
        </w:rPr>
        <w:t>Whether the offered debt securities are guaranteed and, if so, the identity of the guarantors and the terms of the offered guarantees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whether and the extent to which the guarantees are subordinated to other debt of the guarantors).</w:t>
      </w:r>
    </w:p>
    <w:p>
      <w:pPr>
        <w:spacing w:after="0" w:line="4" w:lineRule="exact"/>
        <w:rPr>
          <w:rFonts w:ascii="Arial" w:cs="Arial" w:eastAsia="Arial" w:hAnsi="Arial"/>
          <w:sz w:val="16"/>
          <w:szCs w:val="16"/>
          <w:color w:val="auto"/>
        </w:rPr>
      </w:pPr>
    </w:p>
    <w:p>
      <w:pPr>
        <w:ind w:left="780" w:right="10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Conversion. </w:t>
      </w:r>
      <w:r>
        <w:rPr>
          <w:rFonts w:ascii="Arial" w:cs="Arial" w:eastAsia="Arial" w:hAnsi="Arial"/>
          <w:sz w:val="18"/>
          <w:szCs w:val="18"/>
          <w:color w:val="auto"/>
        </w:rPr>
        <w:t>The terms, if any, upon which the offered debt securities may be converted or exchanged into or for our common shares, preferred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other securities or property.</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90" w:lineRule="exact"/>
        <w:rPr>
          <w:rFonts w:ascii="Arial" w:cs="Arial" w:eastAsia="Arial" w:hAnsi="Arial"/>
          <w:sz w:val="18"/>
          <w:szCs w:val="18"/>
          <w:color w:val="auto"/>
        </w:rPr>
      </w:pPr>
    </w:p>
    <w:p>
      <w:pPr>
        <w:ind w:left="780" w:right="380" w:hanging="326"/>
        <w:spacing w:after="0" w:line="332"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Any other terms not inconsistent with the terms of the applicable indenture pertaining to the offered debt securities or which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or advisable under U.S. laws or regulations or advisable, as we determine, in connection with marketing of securities of the series.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Debt securities may be offered in either registered or bearer form.</w:t>
      </w:r>
    </w:p>
    <w:p>
      <w:pPr>
        <w:spacing w:after="0" w:line="90" w:lineRule="exact"/>
        <w:rPr>
          <w:sz w:val="20"/>
          <w:szCs w:val="20"/>
          <w:color w:val="auto"/>
        </w:rPr>
      </w:pPr>
    </w:p>
    <w:p>
      <w:pPr>
        <w:ind w:left="780" w:right="4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8" w:name="page19"/>
    <w:bookmarkEnd w:id="18"/>
    <w:p>
      <w:pPr>
        <w:ind w:left="780" w:right="120" w:hanging="326"/>
        <w:spacing w:after="0" w:line="306" w:lineRule="auto"/>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consequences relating to the offered debt securities in a prospectus supplement.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Unless we say otherwise in a prospectus supplement, we will issue debt securities in denominations of:</w:t>
      </w:r>
    </w:p>
    <w:p>
      <w:pPr>
        <w:spacing w:after="0" w:line="90"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Currencies and Indexed Securities. </w:t>
      </w:r>
      <w:r>
        <w:rPr>
          <w:rFonts w:ascii="Arial" w:cs="Arial" w:eastAsia="Arial" w:hAnsi="Arial"/>
          <w:sz w:val="18"/>
          <w:szCs w:val="18"/>
          <w:color w:val="auto"/>
        </w:rPr>
        <w:t>We may offer debt securities for which:</w:t>
      </w:r>
    </w:p>
    <w:p>
      <w:pPr>
        <w:spacing w:after="0" w:line="90"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other currency may be a currency unit composed of various currencies. Payments on debt securities may also be based on an index.</w:t>
      </w:r>
    </w:p>
    <w:p>
      <w:pPr>
        <w:spacing w:after="0" w:line="194" w:lineRule="exact"/>
        <w:rPr>
          <w:sz w:val="20"/>
          <w:szCs w:val="20"/>
          <w:color w:val="auto"/>
        </w:rPr>
      </w:pPr>
    </w:p>
    <w:p>
      <w:pPr>
        <w:jc w:val="both"/>
        <w:ind w:right="60" w:firstLine="456"/>
        <w:spacing w:after="0" w:line="253" w:lineRule="auto"/>
        <w:rPr>
          <w:sz w:val="20"/>
          <w:szCs w:val="20"/>
          <w:color w:val="auto"/>
        </w:rPr>
      </w:pPr>
      <w:r>
        <w:rPr>
          <w:rFonts w:ascii="Arial" w:cs="Arial" w:eastAsia="Arial" w:hAnsi="Arial"/>
          <w:sz w:val="17"/>
          <w:szCs w:val="17"/>
          <w:b w:val="1"/>
          <w:bCs w:val="1"/>
          <w:i w:val="1"/>
          <w:iCs w:val="1"/>
          <w:color w:val="auto"/>
        </w:rPr>
        <w:t xml:space="preserve">Payment, Transfer and Exchange. </w:t>
      </w:r>
      <w:r>
        <w:rPr>
          <w:rFonts w:ascii="Arial" w:cs="Arial" w:eastAsia="Arial" w:hAnsi="Arial"/>
          <w:sz w:val="17"/>
          <w:szCs w:val="17"/>
          <w:color w:val="auto"/>
        </w:rPr>
        <w:t>Unless we say otherwise in a prospectus supplement, the office for paying principal, interest and other amounts 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debt securities is Wachovia Bank National Association, 401 S. Tryon Street, 12</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Charlotte, North Carolina 28288. We will notify you of any change in the office’s location. At our option, however, we may make any interest payments on debt securities issued in registered form by:</w:t>
      </w:r>
    </w:p>
    <w:p>
      <w:pPr>
        <w:spacing w:after="0" w:line="63"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mailing checks to you at the address you specify;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specify.</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will describe in a prospectus supplement how we will pay amounts owing on bearer securities. We will only pay amounts owing on bearer securities at an office outside the United States.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you may transfer or exchange debt securities issued in registered form at an agency that we designate.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You may transfer or exchange debt securities without service charge, although we may require you to pay any related tax or other governmental charge.</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issue debt securities of a series in the form of one or more fully registered global securities. Each registered global security will:</w:t>
      </w:r>
    </w:p>
    <w:p>
      <w:pPr>
        <w:spacing w:after="0" w:line="90"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Registered 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Covenants</w:t>
      </w:r>
    </w:p>
    <w:p>
      <w:pPr>
        <w:spacing w:after="0" w:line="9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Each indenture contains the following covenants. Any additional material covenants applicable to any series of debt securities will be set forth in a prospectus supplement.</w:t>
      </w:r>
    </w:p>
    <w:p>
      <w:pPr>
        <w:spacing w:after="0" w:line="13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Existence. </w:t>
      </w:r>
      <w:r>
        <w:rPr>
          <w:rFonts w:ascii="Arial" w:cs="Arial" w:eastAsia="Arial" w:hAnsi="Arial"/>
          <w:sz w:val="16"/>
          <w:szCs w:val="16"/>
          <w:color w:val="auto"/>
        </w:rPr>
        <w:t>Except as permitted under “Consolidation, Merger or Sale of Assets,” we will do or cause to be done all things necessary to preserve and keep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 xml:space="preserve">Maintenance of Properties. </w:t>
      </w:r>
      <w:r>
        <w:rPr>
          <w:rFonts w:ascii="Arial" w:cs="Arial" w:eastAsia="Arial" w:hAnsi="Arial"/>
          <w:sz w:val="16"/>
          <w:szCs w:val="16"/>
          <w:color w:val="auto"/>
        </w:rPr>
        <w:t>We will cause all of our material properties used or useful in the conduct of our business to be maintained and kept in good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of Taxes and Other Claims. </w:t>
      </w:r>
      <w:r>
        <w:rPr>
          <w:rFonts w:ascii="Arial" w:cs="Arial" w:eastAsia="Arial" w:hAnsi="Arial"/>
          <w:sz w:val="18"/>
          <w:szCs w:val="18"/>
          <w:color w:val="auto"/>
        </w:rPr>
        <w:t>We will pay or discharge or cause to be paid or discharged, before they shall become delinquent:</w:t>
      </w:r>
    </w:p>
    <w:p>
      <w:pPr>
        <w:spacing w:after="0" w:line="90"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1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32"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Provision of Financial Information. </w:t>
      </w:r>
      <w:r>
        <w:rPr>
          <w:rFonts w:ascii="Arial" w:cs="Arial" w:eastAsia="Arial" w:hAnsi="Arial"/>
          <w:sz w:val="16"/>
          <w:szCs w:val="16"/>
          <w:color w:val="auto"/>
        </w:rPr>
        <w:t>Whether or not we are subject to Section 13 or 15(d) of the Exchange Act, we will, within 15 days of each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 dates by which we would have been required to file annual reports, quarterly reports and other documents with the SEC if we were so subject:</w:t>
      </w:r>
    </w:p>
    <w:p>
      <w:pPr>
        <w:spacing w:after="0" w:line="4" w:lineRule="exact"/>
        <w:rPr>
          <w:sz w:val="20"/>
          <w:szCs w:val="20"/>
          <w:color w:val="auto"/>
        </w:rPr>
      </w:pPr>
    </w:p>
    <w:p>
      <w:pPr>
        <w:jc w:val="both"/>
        <w:ind w:left="780" w:right="80" w:hanging="326"/>
        <w:spacing w:after="0" w:line="259"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59"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50"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may consolidate with, or sell, lease or convey all or substantially all of our assets, or merge with or into any other entity, provided that we satisfy all of the following conditions:</w:t>
      </w:r>
    </w:p>
    <w:p>
      <w:pPr>
        <w:spacing w:after="0" w:line="51"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we must be the continuing company, or</w:t>
      </w:r>
    </w:p>
    <w:p>
      <w:pPr>
        <w:spacing w:after="0" w:line="90" w:lineRule="exact"/>
        <w:rPr>
          <w:rFonts w:ascii="Arial" w:cs="Arial" w:eastAsia="Arial" w:hAnsi="Arial"/>
          <w:sz w:val="18"/>
          <w:szCs w:val="18"/>
          <w:color w:val="auto"/>
        </w:rPr>
      </w:pPr>
    </w:p>
    <w:p>
      <w:pPr>
        <w:ind w:left="1260" w:right="160" w:hanging="455"/>
        <w:spacing w:after="0" w:line="259" w:lineRule="auto"/>
        <w:tabs>
          <w:tab w:leader="none" w:pos="12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20" w:name="page21"/>
    <w:bookmarkEnd w:id="20"/>
    <w:p>
      <w:pPr>
        <w:ind w:left="780" w:right="40" w:hanging="326"/>
        <w:spacing w:after="0" w:line="26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immediately before and immediately after giving effect to such transactions, no default or event of default under the debt securities shall have occurred and be continuing; and</w:t>
      </w:r>
    </w:p>
    <w:p>
      <w:pPr>
        <w:spacing w:after="0" w:line="50" w:lineRule="exact"/>
        <w:rPr>
          <w:rFonts w:ascii="Arial" w:cs="Arial" w:eastAsia="Arial" w:hAnsi="Arial"/>
          <w:sz w:val="18"/>
          <w:szCs w:val="18"/>
          <w:color w:val="auto"/>
        </w:rPr>
      </w:pPr>
    </w:p>
    <w:p>
      <w:pPr>
        <w:ind w:left="780" w:right="220" w:hanging="326"/>
        <w:spacing w:after="0" w:line="256"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Generally. </w:t>
      </w:r>
      <w:r>
        <w:rPr>
          <w:rFonts w:ascii="Arial" w:cs="Arial" w:eastAsia="Arial" w:hAnsi="Arial"/>
          <w:sz w:val="16"/>
          <w:szCs w:val="16"/>
          <w:color w:val="auto"/>
        </w:rPr>
        <w:t>Unless we say otherwise in a prospectus supplement, the payment of principal, premium, if any, and interest on subordinated debt securities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1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Senior debt is defined in the subordinated indenture as the principal of and interest on, or substantially similar payments to be made by us in respect of, the following, whether outstanding at the date of execution of the subordinated indenture or thereafter incurred, created or assumed:</w:t>
      </w:r>
    </w:p>
    <w:p>
      <w:pPr>
        <w:spacing w:after="0" w:line="4" w:lineRule="exact"/>
        <w:rPr>
          <w:sz w:val="20"/>
          <w:szCs w:val="20"/>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obligations as lessee under leases of property whether made as part of any sale and leaseback transaction to which we are a party or otherwise;</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90" w:lineRule="exact"/>
        <w:rPr>
          <w:rFonts w:ascii="Arial" w:cs="Arial" w:eastAsia="Arial" w:hAnsi="Arial"/>
          <w:sz w:val="18"/>
          <w:szCs w:val="18"/>
          <w:color w:val="auto"/>
        </w:rPr>
      </w:pPr>
    </w:p>
    <w:p>
      <w:pPr>
        <w:ind w:left="780" w:right="280" w:hanging="326"/>
        <w:spacing w:after="0" w:line="332" w:lineRule="auto"/>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4" w:lineRule="exact"/>
        <w:rPr>
          <w:rFonts w:ascii="Arial" w:cs="Arial" w:eastAsia="Arial" w:hAnsi="Arial"/>
          <w:sz w:val="16"/>
          <w:szCs w:val="16"/>
          <w:color w:val="auto"/>
        </w:rPr>
      </w:pPr>
    </w:p>
    <w:p>
      <w:pPr>
        <w:ind w:left="780" w:right="100" w:hanging="326"/>
        <w:spacing w:after="0" w:line="268"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50" w:lineRule="exact"/>
        <w:rPr>
          <w:rFonts w:ascii="Arial" w:cs="Arial" w:eastAsia="Arial" w:hAnsi="Arial"/>
          <w:sz w:val="18"/>
          <w:szCs w:val="18"/>
          <w:color w:val="auto"/>
        </w:rPr>
      </w:pPr>
    </w:p>
    <w:p>
      <w:pPr>
        <w:ind w:left="1260" w:right="100" w:hanging="455"/>
        <w:spacing w:after="0" w:line="306" w:lineRule="auto"/>
        <w:tabs>
          <w:tab w:leader="none" w:pos="12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25" w:lineRule="exact"/>
        <w:rPr>
          <w:rFonts w:ascii="Arial" w:cs="Arial" w:eastAsia="Arial" w:hAnsi="Arial"/>
          <w:sz w:val="16"/>
          <w:szCs w:val="16"/>
          <w:color w:val="auto"/>
        </w:rPr>
      </w:pPr>
    </w:p>
    <w:p>
      <w:pPr>
        <w:ind w:left="1260" w:right="80" w:hanging="455"/>
        <w:spacing w:after="0" w:line="268" w:lineRule="auto"/>
        <w:tabs>
          <w:tab w:leader="none" w:pos="12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50" w:lineRule="exact"/>
        <w:rPr>
          <w:rFonts w:ascii="Arial" w:cs="Arial" w:eastAsia="Arial" w:hAnsi="Arial"/>
          <w:sz w:val="18"/>
          <w:szCs w:val="18"/>
          <w:color w:val="auto"/>
        </w:rPr>
      </w:pPr>
    </w:p>
    <w:p>
      <w:pPr>
        <w:ind w:left="1260" w:hanging="455"/>
        <w:spacing w:after="0"/>
        <w:tabs>
          <w:tab w:leader="none" w:pos="12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restrictions in the subordinated indenture upon the creation of additional senior debt.</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 debt,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not:</w:t>
      </w:r>
    </w:p>
    <w:p>
      <w:pPr>
        <w:spacing w:after="0" w:line="51" w:lineRule="exact"/>
        <w:rPr>
          <w:sz w:val="20"/>
          <w:szCs w:val="20"/>
          <w:color w:val="auto"/>
        </w:rPr>
      </w:pPr>
    </w:p>
    <w:p>
      <w:pPr>
        <w:ind w:left="5680" w:right="4960" w:hanging="5226"/>
        <w:spacing w:after="0" w:line="525" w:lineRule="auto"/>
        <w:tabs>
          <w:tab w:leader="none" w:pos="788" w:val="left"/>
        </w:tabs>
        <w:numPr>
          <w:ilvl w:val="0"/>
          <w:numId w:val="24"/>
        </w:numPr>
        <w:rPr>
          <w:rFonts w:ascii="Arial" w:cs="Arial" w:eastAsia="Arial" w:hAnsi="Arial"/>
          <w:sz w:val="16"/>
          <w:szCs w:val="16"/>
          <w:color w:val="auto"/>
        </w:rPr>
      </w:pPr>
      <w:r>
        <w:rPr>
          <w:rFonts w:ascii="Arial" w:cs="Arial" w:eastAsia="Arial" w:hAnsi="Arial"/>
          <w:sz w:val="16"/>
          <w:szCs w:val="16"/>
          <w:color w:val="auto"/>
        </w:rPr>
        <w:t>pay any principal, premium, if any, or interest on subordinated debt securities; or 9</w:t>
      </w:r>
    </w:p>
    <w:p>
      <w:pPr>
        <w:sectPr>
          <w:pgSz w:w="11900" w:h="16838" w:orient="portrait"/>
          <w:cols w:equalWidth="0" w:num="1">
            <w:col w:w="11420"/>
          </w:cols>
          <w:pgMar w:left="240" w:top="280" w:right="239" w:bottom="1440" w:gutter="0" w:footer="0" w:header="0"/>
        </w:sectPr>
      </w:pPr>
    </w:p>
    <w:bookmarkStart w:id="21" w:name="page22"/>
    <w:bookmarkEnd w:id="21"/>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 redeem, defease, or otherwise acquire any subordinated debt securities.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must resume payment on our subordinated debt securities, and make any payments we have missed, when one of the following has occurred:</w:t>
      </w:r>
    </w:p>
    <w:p>
      <w:pPr>
        <w:spacing w:after="0" w:line="113" w:lineRule="exact"/>
        <w:rPr>
          <w:sz w:val="20"/>
          <w:szCs w:val="20"/>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 amounts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distributing any assets if:</w:t>
      </w:r>
    </w:p>
    <w:p>
      <w:pPr>
        <w:spacing w:after="0" w:line="51" w:lineRule="exact"/>
        <w:rPr>
          <w:sz w:val="20"/>
          <w:szCs w:val="20"/>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must resume payments on our subordinated debt securities, and make any payments we have missed, upon the earliest of:</w:t>
      </w:r>
    </w:p>
    <w:p>
      <w:pPr>
        <w:spacing w:after="0" w:line="59" w:lineRule="exact"/>
        <w:rPr>
          <w:sz w:val="20"/>
          <w:szCs w:val="20"/>
          <w:color w:val="auto"/>
        </w:rPr>
      </w:pPr>
    </w:p>
    <w:p>
      <w:pPr>
        <w:ind w:left="780" w:hanging="326"/>
        <w:spacing w:after="0"/>
        <w:tabs>
          <w:tab w:leader="none" w:pos="7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date that is 179 days after receipt of notice (unless we have previously been required to pay all amounts owing on the applicable senior debt);</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date the default and all other similar defaults as to which notice has been given shall have been cured, waived or shall have ceased to exist;</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date the applicable senior debt (and all other senior debt as to which notice has been given) shall have been discharged or paid in full; and</w:t>
      </w:r>
    </w:p>
    <w:p>
      <w:pPr>
        <w:spacing w:after="0" w:line="113" w:lineRule="exact"/>
        <w:rPr>
          <w:rFonts w:ascii="Arial" w:cs="Arial" w:eastAsia="Arial" w:hAnsi="Arial"/>
          <w:sz w:val="16"/>
          <w:szCs w:val="16"/>
          <w:color w:val="auto"/>
        </w:rPr>
      </w:pPr>
    </w:p>
    <w:p>
      <w:pPr>
        <w:ind w:left="780" w:right="160" w:hanging="326"/>
        <w:spacing w:after="0" w:line="268" w:lineRule="auto"/>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 subordinated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w:t>
      </w:r>
    </w:p>
    <w:p>
      <w:pPr>
        <w:spacing w:after="0" w:line="51" w:lineRule="exact"/>
        <w:rPr>
          <w:sz w:val="20"/>
          <w:szCs w:val="20"/>
          <w:color w:val="auto"/>
        </w:rPr>
      </w:pPr>
    </w:p>
    <w:p>
      <w:pPr>
        <w:ind w:left="460" w:right="160" w:firstLine="443"/>
        <w:spacing w:after="0" w:line="268" w:lineRule="auto"/>
        <w:tabs>
          <w:tab w:leader="none" w:pos="10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default in the payment of any interest on any debt security of that series when it becomes due and payable, if the default continues for a period of 30 days.</w:t>
      </w:r>
    </w:p>
    <w:p>
      <w:pPr>
        <w:spacing w:after="0" w:line="50" w:lineRule="exact"/>
        <w:rPr>
          <w:rFonts w:ascii="Arial" w:cs="Arial" w:eastAsia="Arial" w:hAnsi="Arial"/>
          <w:sz w:val="18"/>
          <w:szCs w:val="18"/>
          <w:color w:val="auto"/>
        </w:rPr>
      </w:pPr>
    </w:p>
    <w:p>
      <w:pPr>
        <w:ind w:left="460" w:right="140" w:firstLine="443"/>
        <w:spacing w:after="0" w:line="268" w:lineRule="auto"/>
        <w:tabs>
          <w:tab w:leader="none" w:pos="10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50" w:lineRule="exact"/>
        <w:rPr>
          <w:rFonts w:ascii="Arial" w:cs="Arial" w:eastAsia="Arial" w:hAnsi="Arial"/>
          <w:sz w:val="18"/>
          <w:szCs w:val="18"/>
          <w:color w:val="auto"/>
        </w:rPr>
      </w:pPr>
    </w:p>
    <w:p>
      <w:pPr>
        <w:ind w:left="1060" w:hanging="157"/>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22" w:name="page23"/>
    <w:bookmarkEnd w:id="22"/>
    <w:p>
      <w:pPr>
        <w:ind w:left="460" w:firstLine="443"/>
        <w:spacing w:after="0" w:line="259" w:lineRule="auto"/>
        <w:tabs>
          <w:tab w:leader="none" w:pos="1064"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59" w:lineRule="exact"/>
        <w:rPr>
          <w:rFonts w:ascii="Arial" w:cs="Arial" w:eastAsia="Arial" w:hAnsi="Arial"/>
          <w:sz w:val="18"/>
          <w:szCs w:val="18"/>
          <w:color w:val="auto"/>
        </w:rPr>
      </w:pPr>
    </w:p>
    <w:p>
      <w:pPr>
        <w:ind w:left="1580" w:hanging="239"/>
        <w:spacing w:after="0"/>
        <w:tabs>
          <w:tab w:leader="none" w:pos="15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to us and the trustee by the holders of at least 25% in aggregate principal amount of the outstanding debt securities of the series.</w:t>
      </w:r>
    </w:p>
    <w:p>
      <w:pPr>
        <w:spacing w:after="0" w:line="113" w:lineRule="exact"/>
        <w:rPr>
          <w:rFonts w:ascii="Arial" w:cs="Arial" w:eastAsia="Arial" w:hAnsi="Arial"/>
          <w:sz w:val="16"/>
          <w:szCs w:val="16"/>
          <w:color w:val="auto"/>
        </w:rPr>
      </w:pPr>
    </w:p>
    <w:p>
      <w:pPr>
        <w:ind w:left="460" w:right="120" w:firstLine="443"/>
        <w:spacing w:after="0" w:line="289" w:lineRule="auto"/>
        <w:tabs>
          <w:tab w:leader="none" w:pos="1071"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(including such leases but not including such indebtedness or obligations for which recourse is limited to property purchased) in an aggregate principal amount in excess of $5,000,000,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118" w:lineRule="exact"/>
        <w:rPr>
          <w:rFonts w:ascii="Arial" w:cs="Arial" w:eastAsia="Arial" w:hAnsi="Arial"/>
          <w:sz w:val="16"/>
          <w:szCs w:val="16"/>
          <w:color w:val="auto"/>
        </w:rPr>
      </w:pPr>
    </w:p>
    <w:p>
      <w:pPr>
        <w:ind w:left="1080" w:hanging="177"/>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appoints a receiver in respect of us or any of our significant subsidiaries or for all or substantially all of the property of any of us; and</w:t>
      </w:r>
    </w:p>
    <w:p>
      <w:pPr>
        <w:spacing w:after="0" w:line="113" w:lineRule="exact"/>
        <w:rPr>
          <w:rFonts w:ascii="Arial" w:cs="Arial" w:eastAsia="Arial" w:hAnsi="Arial"/>
          <w:sz w:val="16"/>
          <w:szCs w:val="16"/>
          <w:color w:val="auto"/>
        </w:rPr>
      </w:pPr>
    </w:p>
    <w:p>
      <w:pPr>
        <w:ind w:left="1580" w:hanging="239"/>
        <w:spacing w:after="0"/>
        <w:tabs>
          <w:tab w:leader="none" w:pos="15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orders our liquidation or the liquidation of any of our significant subsidiaries,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the order or decree remains unstayed and in effect for 90 days.</w:t>
      </w:r>
    </w:p>
    <w:p>
      <w:pPr>
        <w:spacing w:after="0" w:line="90" w:lineRule="exact"/>
        <w:rPr>
          <w:sz w:val="20"/>
          <w:szCs w:val="20"/>
          <w:color w:val="auto"/>
        </w:rPr>
      </w:pPr>
    </w:p>
    <w:p>
      <w:pPr>
        <w:ind w:left="1080" w:hanging="177"/>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any of our significant subsidiaries do any of the following:</w:t>
      </w:r>
    </w:p>
    <w:p>
      <w:pPr>
        <w:spacing w:after="0" w:line="90" w:lineRule="exact"/>
        <w:rPr>
          <w:rFonts w:ascii="Arial" w:cs="Arial" w:eastAsia="Arial" w:hAnsi="Arial"/>
          <w:sz w:val="18"/>
          <w:szCs w:val="18"/>
          <w:color w:val="auto"/>
        </w:rPr>
      </w:pPr>
    </w:p>
    <w:p>
      <w:pPr>
        <w:ind w:left="920" w:right="80" w:firstLine="421"/>
        <w:spacing w:after="0" w:line="268" w:lineRule="auto"/>
        <w:tabs>
          <w:tab w:leader="none" w:pos="1579" w:val="left"/>
        </w:tabs>
        <w:numPr>
          <w:ilvl w:val="1"/>
          <w:numId w:val="31"/>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 or any other case or proceeding to be adjudicated bankrupt or insolvent;</w:t>
      </w:r>
    </w:p>
    <w:p>
      <w:pPr>
        <w:spacing w:after="0" w:line="50" w:lineRule="exact"/>
        <w:rPr>
          <w:rFonts w:ascii="Arial" w:cs="Arial" w:eastAsia="Arial" w:hAnsi="Arial"/>
          <w:sz w:val="18"/>
          <w:szCs w:val="18"/>
          <w:color w:val="auto"/>
        </w:rPr>
      </w:pPr>
    </w:p>
    <w:p>
      <w:pPr>
        <w:ind w:left="920" w:right="40" w:firstLine="421"/>
        <w:spacing w:after="0" w:line="332" w:lineRule="auto"/>
        <w:tabs>
          <w:tab w:leader="none" w:pos="1588" w:val="left"/>
        </w:tabs>
        <w:numPr>
          <w:ilvl w:val="1"/>
          <w:numId w:val="31"/>
        </w:numPr>
        <w:rPr>
          <w:rFonts w:ascii="Arial" w:cs="Arial" w:eastAsia="Arial" w:hAnsi="Arial"/>
          <w:sz w:val="16"/>
          <w:szCs w:val="16"/>
          <w:color w:val="auto"/>
        </w:rPr>
      </w:pPr>
      <w:r>
        <w:rPr>
          <w:rFonts w:ascii="Arial" w:cs="Arial" w:eastAsia="Arial" w:hAnsi="Arial"/>
          <w:sz w:val="16"/>
          <w:szCs w:val="16"/>
          <w:color w:val="auto"/>
        </w:rPr>
        <w:t>consent to the entry of a decree or order for relief in respect of us or any of our significant subsidiaries in an involuntary case or proceeding under any applicable bankruptcy law or to the commencement of any bankruptcy or insolvency case or proceeding against us or it;</w:t>
      </w:r>
    </w:p>
    <w:p>
      <w:pPr>
        <w:spacing w:after="0" w:line="4" w:lineRule="exact"/>
        <w:rPr>
          <w:rFonts w:ascii="Arial" w:cs="Arial" w:eastAsia="Arial" w:hAnsi="Arial"/>
          <w:sz w:val="16"/>
          <w:szCs w:val="16"/>
          <w:color w:val="auto"/>
        </w:rPr>
      </w:pPr>
    </w:p>
    <w:p>
      <w:pPr>
        <w:ind w:left="920" w:right="620" w:firstLine="421"/>
        <w:spacing w:after="0" w:line="268" w:lineRule="auto"/>
        <w:tabs>
          <w:tab w:leader="none" w:pos="1579" w:val="left"/>
        </w:tabs>
        <w:numPr>
          <w:ilvl w:val="1"/>
          <w:numId w:val="31"/>
        </w:numPr>
        <w:rPr>
          <w:rFonts w:ascii="Arial" w:cs="Arial" w:eastAsia="Arial" w:hAnsi="Arial"/>
          <w:sz w:val="18"/>
          <w:szCs w:val="18"/>
          <w:color w:val="auto"/>
        </w:rPr>
      </w:pPr>
      <w:r>
        <w:rPr>
          <w:rFonts w:ascii="Arial" w:cs="Arial" w:eastAsia="Arial" w:hAnsi="Arial"/>
          <w:sz w:val="18"/>
          <w:szCs w:val="18"/>
          <w:color w:val="auto"/>
        </w:rPr>
        <w:t>consent to the appointment of a receiver in respect of us or any of our significant subsidiaries for all or substantially all of our or its property; or</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90" w:lineRule="exact"/>
        <w:rPr>
          <w:rFonts w:ascii="Arial" w:cs="Arial" w:eastAsia="Arial" w:hAnsi="Arial"/>
          <w:sz w:val="18"/>
          <w:szCs w:val="18"/>
          <w:color w:val="auto"/>
        </w:rPr>
      </w:pPr>
    </w:p>
    <w:p>
      <w:pPr>
        <w:ind w:left="1060" w:hanging="157"/>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the debt securities of that series.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 waive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past default except for:</w:t>
      </w:r>
    </w:p>
    <w:p>
      <w:pPr>
        <w:spacing w:after="0" w:line="51" w:lineRule="exact"/>
        <w:rPr>
          <w:sz w:val="20"/>
          <w:szCs w:val="20"/>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Acceleration of Payment. </w:t>
      </w:r>
      <w:r>
        <w:rPr>
          <w:rFonts w:ascii="Arial" w:cs="Arial" w:eastAsia="Arial" w:hAnsi="Arial"/>
          <w:sz w:val="18"/>
          <w:szCs w:val="18"/>
          <w:color w:val="auto"/>
        </w:rPr>
        <w:t>Unless we say otherwise in a prospectus supplement, each indenture provides that if an event of default occurs and continues,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 or the holders of not less than 25% in aggregate principal amount of the debt securities of the applicable series outstanding may declare all unpaid principal of, premium, if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23" w:name="page24"/>
    <w:bookmarkEnd w:id="2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4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Waiver of Acceleration. </w:t>
      </w:r>
      <w:r>
        <w:rPr>
          <w:rFonts w:ascii="Arial" w:cs="Arial" w:eastAsia="Arial" w:hAnsi="Arial"/>
          <w:sz w:val="18"/>
          <w:szCs w:val="18"/>
          <w:color w:val="auto"/>
        </w:rPr>
        <w:t>Unless we say otherwise in a prospectus supplement, each indenture provides that, after a declaration of acceleration, but before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59" w:lineRule="exact"/>
        <w:rPr>
          <w:sz w:val="20"/>
          <w:szCs w:val="20"/>
          <w:color w:val="auto"/>
        </w:rPr>
      </w:pPr>
    </w:p>
    <w:p>
      <w:pPr>
        <w:ind w:left="780" w:hanging="326"/>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overdue interest on all debt securities of the applicable series,</w:t>
      </w:r>
    </w:p>
    <w:p>
      <w:pPr>
        <w:spacing w:after="0" w:line="90" w:lineRule="exact"/>
        <w:rPr>
          <w:rFonts w:ascii="Arial" w:cs="Arial" w:eastAsia="Arial" w:hAnsi="Arial"/>
          <w:sz w:val="18"/>
          <w:szCs w:val="18"/>
          <w:color w:val="auto"/>
        </w:rPr>
      </w:pPr>
    </w:p>
    <w:p>
      <w:pPr>
        <w:ind w:left="1260" w:right="220" w:hanging="455"/>
        <w:spacing w:after="0" w:line="268" w:lineRule="auto"/>
        <w:tabs>
          <w:tab w:leader="none" w:pos="12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50" w:lineRule="exact"/>
        <w:rPr>
          <w:rFonts w:ascii="Arial" w:cs="Arial" w:eastAsia="Arial" w:hAnsi="Arial"/>
          <w:sz w:val="18"/>
          <w:szCs w:val="18"/>
          <w:color w:val="auto"/>
        </w:rPr>
      </w:pPr>
    </w:p>
    <w:p>
      <w:pPr>
        <w:ind w:left="1260" w:hanging="455"/>
        <w:spacing w:after="0"/>
        <w:tabs>
          <w:tab w:leader="none" w:pos="12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to the extent that payment of such interest is lawful, interest upon overdue interest at the rate borne by the debt securities, and</w:t>
      </w:r>
    </w:p>
    <w:p>
      <w:pPr>
        <w:spacing w:after="0" w:line="90" w:lineRule="exact"/>
        <w:rPr>
          <w:rFonts w:ascii="Arial" w:cs="Arial" w:eastAsia="Arial" w:hAnsi="Arial"/>
          <w:sz w:val="18"/>
          <w:szCs w:val="18"/>
          <w:color w:val="auto"/>
        </w:rPr>
      </w:pPr>
    </w:p>
    <w:p>
      <w:pPr>
        <w:ind w:left="1260" w:right="260" w:hanging="455"/>
        <w:spacing w:after="0" w:line="268" w:lineRule="auto"/>
        <w:tabs>
          <w:tab w:leader="none" w:pos="12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50"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Notices of Default. </w:t>
      </w:r>
      <w:r>
        <w:rPr>
          <w:rFonts w:ascii="Arial" w:cs="Arial" w:eastAsia="Arial" w:hAnsi="Arial"/>
          <w:sz w:val="16"/>
          <w:szCs w:val="16"/>
          <w:color w:val="auto"/>
        </w:rPr>
        <w:t>Unless we say otherwise in a prospectus supplement, we are required to deliver to the trustee, on or before a date not more than 120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days after the end of each fiscal year, a written statement as to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series of debt securities of any default with respect to such series (except a default in the payment of the principal of, and premium, if any, or interest on any debt security of such series or in the payment of any sinking fund installment in respect of any debt security of such series) if the trustee considers such withholding to be in the interest of the holders.</w:t>
      </w:r>
    </w:p>
    <w:p>
      <w:pPr>
        <w:spacing w:after="0" w:line="11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b w:val="1"/>
          <w:bCs w:val="1"/>
          <w:i w:val="1"/>
          <w:iCs w:val="1"/>
          <w:color w:val="auto"/>
        </w:rPr>
        <w:t xml:space="preserve">Limitation on Suits. </w:t>
      </w:r>
      <w:r>
        <w:rPr>
          <w:rFonts w:ascii="Arial" w:cs="Arial" w:eastAsia="Arial" w:hAnsi="Arial"/>
          <w:sz w:val="18"/>
          <w:szCs w:val="18"/>
          <w:color w:val="auto"/>
        </w:rPr>
        <w:t>Each indenture provides that no holders of debt securities of any series may institute any proceedings, judicial or otherwise,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 to the indenture or for any remedy thereunder, except in the case of the failure of the trustee, for 60 days, to act after it has received a written request to institute proceedings in respect of an event of default from the holders of not less than 25% in aggregate principal amount of the debt securities of the applicable series outstanding, as well as an offer of indemnity reasonably satisfactory to it.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44"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Obligations of Trustee. </w:t>
      </w:r>
      <w:r>
        <w:rPr>
          <w:rFonts w:ascii="Arial" w:cs="Arial" w:eastAsia="Arial" w:hAnsi="Arial"/>
          <w:sz w:val="16"/>
          <w:szCs w:val="16"/>
          <w:color w:val="auto"/>
        </w:rPr>
        <w:t>Unless we say otherwise in a prospectus supplement, the trustee is under no obligation to exercise any of the rights or powers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80" w:right="299" w:bottom="1440" w:gutter="0" w:footer="0" w:header="0"/>
        </w:sectPr>
      </w:pPr>
    </w:p>
    <w:bookmarkStart w:id="24" w:name="page25"/>
    <w:bookmarkEnd w:id="24"/>
    <w:p>
      <w:pPr>
        <w:jc w:val="both"/>
        <w:ind w:right="2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96"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59" w:lineRule="exact"/>
        <w:rPr>
          <w:sz w:val="20"/>
          <w:szCs w:val="20"/>
          <w:color w:val="auto"/>
        </w:rPr>
      </w:pPr>
    </w:p>
    <w:p>
      <w:pPr>
        <w:ind w:left="780" w:right="340" w:hanging="326"/>
        <w:spacing w:after="0" w:line="268"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50" w:lineRule="exact"/>
        <w:rPr>
          <w:rFonts w:ascii="Arial" w:cs="Arial" w:eastAsia="Arial" w:hAnsi="Arial"/>
          <w:sz w:val="18"/>
          <w:szCs w:val="18"/>
          <w:color w:val="auto"/>
        </w:rPr>
      </w:pPr>
    </w:p>
    <w:p>
      <w:pPr>
        <w:ind w:left="780" w:hanging="326"/>
        <w:spacing w:after="0" w:line="332" w:lineRule="auto"/>
        <w:tabs>
          <w:tab w:leader="none" w:pos="7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in order to exercise either defeasance or covenant defeasance as to the outstanding debt securities of 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series:</w:t>
      </w:r>
    </w:p>
    <w:p>
      <w:pPr>
        <w:spacing w:after="0" w:line="84" w:lineRule="exact"/>
        <w:rPr>
          <w:sz w:val="20"/>
          <w:szCs w:val="20"/>
          <w:color w:val="auto"/>
        </w:rPr>
      </w:pPr>
    </w:p>
    <w:p>
      <w:pPr>
        <w:ind w:left="780" w:hanging="326"/>
        <w:spacing w:after="0"/>
        <w:tabs>
          <w:tab w:leader="none" w:pos="7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must irrevocably deposit with the trustee, in trust, for the benefit of the holders of the debt securities of the applicable series, an amount in</w:t>
      </w:r>
    </w:p>
    <w:p>
      <w:pPr>
        <w:spacing w:after="0" w:line="38" w:lineRule="exact"/>
        <w:rPr>
          <w:rFonts w:ascii="Arial" w:cs="Arial" w:eastAsia="Arial" w:hAnsi="Arial"/>
          <w:sz w:val="16"/>
          <w:szCs w:val="16"/>
          <w:color w:val="auto"/>
        </w:rPr>
      </w:pPr>
    </w:p>
    <w:p>
      <w:pPr>
        <w:ind w:left="780" w:right="100"/>
        <w:spacing w:after="0" w:line="253" w:lineRule="auto"/>
        <w:rPr>
          <w:rFonts w:ascii="Arial" w:cs="Arial" w:eastAsia="Arial" w:hAnsi="Arial"/>
          <w:sz w:val="16"/>
          <w:szCs w:val="16"/>
          <w:color w:val="auto"/>
        </w:rPr>
      </w:pPr>
      <w:r>
        <w:rPr>
          <w:rFonts w:ascii="Arial" w:cs="Arial" w:eastAsia="Arial" w:hAnsi="Arial"/>
          <w:sz w:val="18"/>
          <w:szCs w:val="18"/>
          <w:color w:val="auto"/>
        </w:rPr>
        <w:t>(i) currency, currencies or currency unit in which those debt securities are then specified as payable at maturity, (ii) government securities (as defined in the applicable indenture) or (iii) any combination thereof, as will be sufficient,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64" w:lineRule="exact"/>
        <w:rPr>
          <w:rFonts w:ascii="Arial" w:cs="Arial" w:eastAsia="Arial" w:hAnsi="Arial"/>
          <w:sz w:val="16"/>
          <w:szCs w:val="16"/>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90" w:lineRule="exact"/>
        <w:rPr>
          <w:sz w:val="20"/>
          <w:szCs w:val="20"/>
          <w:color w:val="auto"/>
        </w:rPr>
      </w:pPr>
    </w:p>
    <w:p>
      <w:pPr>
        <w:ind w:left="1260" w:hanging="455"/>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have received from, or there has been published by, the Internal Revenue Service a ruling, or</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since the date we issued the applicable debt securities, there has been a change in the applicable federal income tax law,</w:t>
      </w:r>
    </w:p>
    <w:p>
      <w:pPr>
        <w:spacing w:after="0" w:line="90" w:lineRule="exact"/>
        <w:rPr>
          <w:sz w:val="20"/>
          <w:szCs w:val="20"/>
          <w:color w:val="auto"/>
        </w:rPr>
      </w:pPr>
    </w:p>
    <w:p>
      <w:pPr>
        <w:ind w:left="800"/>
        <w:spacing w:after="0" w:line="259" w:lineRule="auto"/>
        <w:rPr>
          <w:sz w:val="20"/>
          <w:szCs w:val="20"/>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59" w:lineRule="exact"/>
        <w:rPr>
          <w:sz w:val="20"/>
          <w:szCs w:val="20"/>
          <w:color w:val="auto"/>
        </w:rPr>
      </w:pPr>
    </w:p>
    <w:p>
      <w:pPr>
        <w:ind w:left="780" w:right="60" w:hanging="326"/>
        <w:spacing w:after="0" w:line="256"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25" w:name="page26"/>
    <w:bookmarkEnd w:id="25"/>
    <w:p>
      <w:pPr>
        <w:ind w:left="780" w:right="60" w:hanging="326"/>
        <w:spacing w:after="0" w:line="268"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default or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50"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50" w:lineRule="exact"/>
        <w:rPr>
          <w:rFonts w:ascii="Arial" w:cs="Arial" w:eastAsia="Arial" w:hAnsi="Arial"/>
          <w:sz w:val="18"/>
          <w:szCs w:val="18"/>
          <w:color w:val="auto"/>
        </w:rPr>
      </w:pPr>
    </w:p>
    <w:p>
      <w:pPr>
        <w:ind w:left="780" w:right="400" w:hanging="326"/>
        <w:spacing w:after="0" w:line="268"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50" w:lineRule="exact"/>
        <w:rPr>
          <w:rFonts w:ascii="Arial" w:cs="Arial" w:eastAsia="Arial" w:hAnsi="Arial"/>
          <w:sz w:val="18"/>
          <w:szCs w:val="18"/>
          <w:color w:val="auto"/>
        </w:rPr>
      </w:pPr>
    </w:p>
    <w:p>
      <w:pPr>
        <w:ind w:left="780" w:hanging="326"/>
        <w:spacing w:after="0" w:line="306" w:lineRule="auto"/>
        <w:tabs>
          <w:tab w:leader="none" w:pos="7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representations under the Investment Company Act have been effected.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Amendments</w:t>
      </w:r>
    </w:p>
    <w:p>
      <w:pPr>
        <w:spacing w:after="0" w:line="9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Unless we say otherwise in a prospectus supplement, we and the trustee may modify and amend either indenture with the consent of the holders of a majority in aggregate principal amount of the outstanding debt 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26" w:lineRule="exact"/>
        <w:rPr>
          <w:sz w:val="20"/>
          <w:szCs w:val="20"/>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 the coin or currency in which the principal or premium, if any, of any debt security or the interest thereon is payable;</w:t>
      </w:r>
    </w:p>
    <w:p>
      <w:pPr>
        <w:spacing w:after="0" w:line="90"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50" w:lineRule="exact"/>
        <w:rPr>
          <w:rFonts w:ascii="Arial" w:cs="Arial" w:eastAsia="Arial" w:hAnsi="Arial"/>
          <w:sz w:val="18"/>
          <w:szCs w:val="18"/>
          <w:color w:val="auto"/>
        </w:rPr>
      </w:pPr>
    </w:p>
    <w:p>
      <w:pPr>
        <w:ind w:left="780" w:right="380" w:hanging="326"/>
        <w:spacing w:after="0" w:line="332" w:lineRule="auto"/>
        <w:tabs>
          <w:tab w:leader="none" w:pos="7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w:t>
      </w:r>
    </w:p>
    <w:p>
      <w:pPr>
        <w:spacing w:after="0" w:line="4" w:lineRule="exact"/>
        <w:rPr>
          <w:rFonts w:ascii="Arial" w:cs="Arial" w:eastAsia="Arial" w:hAnsi="Arial"/>
          <w:sz w:val="16"/>
          <w:szCs w:val="16"/>
          <w:color w:val="auto"/>
        </w:rPr>
      </w:pPr>
    </w:p>
    <w:p>
      <w:pPr>
        <w:ind w:left="780" w:right="20" w:hanging="326"/>
        <w:spacing w:after="0" w:line="256"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51" w:lineRule="exact"/>
        <w:rPr>
          <w:sz w:val="20"/>
          <w:szCs w:val="20"/>
          <w:color w:val="auto"/>
        </w:rPr>
      </w:pPr>
    </w:p>
    <w:p>
      <w:pPr>
        <w:ind w:left="780" w:right="520" w:hanging="326"/>
        <w:spacing w:after="0" w:line="268"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adds to our covenants for the benefit of the holders of all or any series of debt securities or surrenders any of our rights or powers;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90"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adds or changes any provisions to the extent necessary to provide that bearer securities may be registrable as to principal, to change or eliminate any restrictions on the payment of principal of or 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26" w:name="page27"/>
    <w:bookmarkEnd w:id="26"/>
    <w:p>
      <w:pPr>
        <w:ind w:left="800"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premium or interest on bearer securities, to permit bearer securities to be issued in exchange for registered securities or bearer of securities of other authorized denominations, or to permit or facilitate the issuance of securities in uncertificated form;</w:t>
      </w:r>
    </w:p>
    <w:p>
      <w:pPr>
        <w:spacing w:after="0" w:line="64" w:lineRule="exact"/>
        <w:rPr>
          <w:sz w:val="20"/>
          <w:szCs w:val="20"/>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90"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50" w:lineRule="exact"/>
        <w:rPr>
          <w:rFonts w:ascii="Arial" w:cs="Arial" w:eastAsia="Arial" w:hAnsi="Arial"/>
          <w:sz w:val="18"/>
          <w:szCs w:val="18"/>
          <w:color w:val="auto"/>
        </w:rPr>
      </w:pPr>
    </w:p>
    <w:p>
      <w:pPr>
        <w:ind w:left="780" w:right="400" w:hanging="326"/>
        <w:spacing w:after="0" w:line="256"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62" w:lineRule="exact"/>
        <w:rPr>
          <w:rFonts w:ascii="Arial" w:cs="Arial" w:eastAsia="Arial" w:hAnsi="Arial"/>
          <w:sz w:val="18"/>
          <w:szCs w:val="18"/>
          <w:color w:val="auto"/>
        </w:rPr>
      </w:pPr>
    </w:p>
    <w:p>
      <w:pPr>
        <w:ind w:left="780" w:hanging="326"/>
        <w:spacing w:after="0" w:line="259"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4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35" w:lineRule="exact"/>
        <w:rPr>
          <w:sz w:val="20"/>
          <w:szCs w:val="20"/>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90"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DESCRIPTION OF SHARES OF BENEFICIAL INTEREST</w:t>
      </w:r>
    </w:p>
    <w:p>
      <w:pPr>
        <w:spacing w:after="0" w:line="1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are a Maryland real estate investment trust. Your rights as a shareholder are governed by the Code of Maryland, including Title 8 of the Corporations and Associations Article, our declaration of trust and our bylaws. The following summary of the material terms, rights and preferences of the shares of beneficial interest is not complete. You should read our declaration of trust, bylaws and shareholder rights plan for more complete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96" w:lineRule="exact"/>
        <w:rPr>
          <w:sz w:val="20"/>
          <w:szCs w:val="20"/>
          <w:color w:val="auto"/>
        </w:rPr>
      </w:pPr>
    </w:p>
    <w:p>
      <w:pPr>
        <w:ind w:right="320" w:firstLine="456"/>
        <w:spacing w:after="0" w:line="317" w:lineRule="auto"/>
        <w:rPr>
          <w:sz w:val="20"/>
          <w:szCs w:val="20"/>
          <w:color w:val="auto"/>
        </w:rPr>
      </w:pPr>
      <w:r>
        <w:rPr>
          <w:rFonts w:ascii="Arial" w:cs="Arial" w:eastAsia="Arial" w:hAnsi="Arial"/>
          <w:sz w:val="16"/>
          <w:szCs w:val="16"/>
          <w:color w:val="auto"/>
        </w:rPr>
        <w:t xml:space="preserve">Our declaration of trust allows us to issue up to 100,000,000 common shares of beneficial interest, par value $.01 per share, and 15,000,000 preferred shares of beneficial interest, par value $.01 per share. As of May 1, 2006, we had issued and outstanding 53,047,258 common shares, and 5,400,000 preferred shares which were designated as 8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2</w:t>
      </w:r>
      <w:r>
        <w:rPr>
          <w:rFonts w:ascii="Arial" w:cs="Arial" w:eastAsia="Arial" w:hAnsi="Arial"/>
          <w:sz w:val="16"/>
          <w:szCs w:val="16"/>
          <w:color w:val="auto"/>
        </w:rPr>
        <w:t>% Series B Cumulative Redeemable Preferred Shares, which we refer to as the Series B preferred shares.</w:t>
      </w:r>
    </w:p>
    <w:p>
      <w:pPr>
        <w:spacing w:after="0" w:line="2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Each Series B preferred share is entitled to receive, when, as and if authorized by our Board of Trustees out of funds legally available for that purpose, cumulative dividends at the rate of $2.125 per annum.</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Series B preferred shares rank prior to the common shares with respect to the payment of dividends and the distribution of assets upon liquidation, dissolution or winding up of the Trust. Our declaration of trust provides that, unless full cumulative dividends on all outstanding Series B preferred shares and any other class or series of our shares of beneficial interest ranking, as to the payment of dividends and the distribution of assets upon liquidation, dissolution or winding up, on a parity with the Series B preferred shares (“Parity Shares”) shall have been declared and paid or declared and set apart for payment for all past dividend periods, then no dividends, other than dividends paid solely in shares of our, or options, warrants or rights to subscribe for or purchase shares of our, beneficial interest which rank junior to the Series B preferred shares with respect to the payment of dividends and the distribution of assets upon our liquidation, dissolution or winding up (“Fully Junior Shares”), shall be declared or paid or set apart for payment on the common shares nor shall any common shares be redeemed, purchased or otherwise acquired (other than for purposes of our employee incentive or benefit plans or by conversion into or exchange for Fully Junior Shares).</w:t>
      </w:r>
    </w:p>
    <w:p>
      <w:pPr>
        <w:spacing w:after="0" w:line="12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the event of our liquidation, dissolution or winding up, the holders of Series B preferred shares shall be entitled to receive $25 per share, plus all accrued and unpaid dividends, before any distribution shall be made with respect to the common shares.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 to take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actions without approval by you or any shareholder:</w:t>
      </w:r>
    </w:p>
    <w:p>
      <w:pPr>
        <w:spacing w:after="0" w:line="51" w:lineRule="exact"/>
        <w:rPr>
          <w:sz w:val="20"/>
          <w:szCs w:val="20"/>
          <w:color w:val="auto"/>
        </w:rPr>
      </w:pPr>
    </w:p>
    <w:p>
      <w:pPr>
        <w:ind w:left="780" w:hanging="326"/>
        <w:spacing w:after="0"/>
        <w:tabs>
          <w:tab w:leader="none" w:pos="7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classify or reclassify any authorized but unissued common shares or preferred shares into one or more classes or series of shares of beneficial interest;</w:t>
      </w:r>
    </w:p>
    <w:p>
      <w:pPr>
        <w:spacing w:after="0" w:line="124" w:lineRule="exact"/>
        <w:rPr>
          <w:rFonts w:ascii="Arial" w:cs="Arial" w:eastAsia="Arial" w:hAnsi="Arial"/>
          <w:sz w:val="15"/>
          <w:szCs w:val="15"/>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amend the declaration of trust to change the authorized number of shares of any class or series of shares of beneficial interest.</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8" w:name="page29"/>
    <w:bookmarkEnd w:id="28"/>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series of beneficial shares that could have the effect of delaying or preventing a change of our control that might involve a premium price for holders of our common shares or otherwise be favorable to them.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Liability</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Under Maryland law, you will not be personally liable for any obligation of ours solely because you are a 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96"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B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B preferred shares and any other shares of beneficial interest having a priority over our common shares in the event of our liquidation, dissolution or winding up. As noted above under “— Authorized Shares,” our outstanding Series B preferred shares rank prior to our common shares with respect to the payment of dividends and as to the distribution of assets in the event of our liquidation, dissolution or winding up.</w:t>
      </w:r>
    </w:p>
    <w:p>
      <w:pPr>
        <w:spacing w:after="0" w:line="12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the election of trustees (other than trustees elected by the holders of our preferred shares under the circumstances described below under “— Preferred Shares — Voting Rights”).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at a meeting where the number of nominees exceeds the number of trustees to be elected, and the holders of a majority of all of the votes cast at a meeting of shareholders duly called and at which a quorum is present can elect a trustee at a meeting where the number of nominees is the same as the number of trustees to be elected, and in both cases the holders of the remaining shares will not be able to elect any trustees.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90" w:lineRule="exact"/>
        <w:rPr>
          <w:sz w:val="20"/>
          <w:szCs w:val="20"/>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29" w:name="page30"/>
    <w:bookmarkEnd w:id="29"/>
    <w:p>
      <w:pPr>
        <w:ind w:right="5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Subject to the terms of our declaration of trust regarding the restrictions on transfer of shares of beneficial interest, each common share has the same dividend, distribution, liquidation and other rights as each other common share.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59" w:lineRule="exact"/>
        <w:rPr>
          <w:sz w:val="20"/>
          <w:szCs w:val="20"/>
          <w:color w:val="auto"/>
        </w:rPr>
      </w:pPr>
    </w:p>
    <w:p>
      <w:pPr>
        <w:ind w:left="780" w:right="80" w:hanging="326"/>
        <w:spacing w:after="0" w:line="268"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election of trustees where the number of nominees exceeds the number of trustees to be elected (which requires a plurality of all the votes cast at a meeting of our shareholders at which a quorum is present);</w:t>
      </w:r>
    </w:p>
    <w:p>
      <w:pPr>
        <w:spacing w:after="0" w:line="50" w:lineRule="exact"/>
        <w:rPr>
          <w:rFonts w:ascii="Arial" w:cs="Arial" w:eastAsia="Arial" w:hAnsi="Arial"/>
          <w:sz w:val="18"/>
          <w:szCs w:val="18"/>
          <w:color w:val="auto"/>
        </w:rPr>
      </w:pPr>
    </w:p>
    <w:p>
      <w:pPr>
        <w:ind w:left="780" w:right="20" w:hanging="326"/>
        <w:spacing w:after="0" w:line="256"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62" w:lineRule="exact"/>
        <w:rPr>
          <w:rFonts w:ascii="Arial" w:cs="Arial" w:eastAsia="Arial" w:hAnsi="Arial"/>
          <w:sz w:val="18"/>
          <w:szCs w:val="18"/>
          <w:color w:val="auto"/>
        </w:rPr>
      </w:pPr>
    </w:p>
    <w:p>
      <w:pPr>
        <w:ind w:left="780" w:right="180" w:hanging="326"/>
        <w:spacing w:after="0" w:line="306" w:lineRule="auto"/>
        <w:tabs>
          <w:tab w:leader="none" w:pos="7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25" w:lineRule="exact"/>
        <w:rPr>
          <w:rFonts w:ascii="Arial" w:cs="Arial" w:eastAsia="Arial" w:hAnsi="Arial"/>
          <w:sz w:val="16"/>
          <w:szCs w:val="16"/>
          <w:color w:val="auto"/>
        </w:rPr>
      </w:pPr>
    </w:p>
    <w:p>
      <w:pPr>
        <w:ind w:left="780" w:right="520" w:hanging="326"/>
        <w:spacing w:after="0" w:line="268"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the affirmative vote of two-thirds of all the votes entitled to be cast on the matter); and</w:t>
      </w:r>
    </w:p>
    <w:p>
      <w:pPr>
        <w:spacing w:after="0" w:line="50"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declaration of trust permits the trustees to revoke our election to be taxed as a real estate investment trust, or REIT, or to determine that compliance with any restriction or limitations on ownership and transfers of shares set forth in the declaration of trust is no longer required in order for us to qualify as a REIT. Our declaration of trust also permits the trustees to amend the declaration of trust from time to time, without approval by you or the other shareholders, to:</w:t>
      </w:r>
    </w:p>
    <w:p>
      <w:pPr>
        <w:spacing w:after="0" w:line="26" w:lineRule="exact"/>
        <w:rPr>
          <w:sz w:val="20"/>
          <w:szCs w:val="20"/>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law or the Internal Revenue Code;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addition, any provision of our bylaws may be adopted, altered or repealed by the shareholders, at any meeting of shareholders called for that purpose, by the affirmative vote of holders of not less than a majority of the shares then outstanding and entitled to vote.</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Preemptive Rights. </w:t>
      </w:r>
      <w:r>
        <w:rPr>
          <w:rFonts w:ascii="Arial" w:cs="Arial" w:eastAsia="Arial" w:hAnsi="Arial"/>
          <w:sz w:val="16"/>
          <w:szCs w:val="16"/>
          <w:color w:val="auto"/>
        </w:rPr>
        <w:t>Under the declaration of trust, no holder of shares of beneficial interest has any preemptive rights to subscribe to any issuance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Stock Exchange Listing. </w:t>
      </w:r>
      <w:r>
        <w:rPr>
          <w:rFonts w:ascii="Arial" w:cs="Arial" w:eastAsia="Arial" w:hAnsi="Arial"/>
          <w:sz w:val="18"/>
          <w:szCs w:val="18"/>
          <w:color w:val="auto"/>
        </w:rPr>
        <w:t>The common shares are traded on the New York Stock Exchange under the trading symbol “FRT.”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Transfer Agent and Registrar. </w:t>
      </w:r>
      <w:r>
        <w:rPr>
          <w:rFonts w:ascii="Arial" w:cs="Arial" w:eastAsia="Arial" w:hAnsi="Arial"/>
          <w:sz w:val="16"/>
          <w:szCs w:val="16"/>
          <w:color w:val="auto"/>
        </w:rPr>
        <w:t>The transfer agent and registrar for the common shares is American Stock Transfer &amp; Trust Company, New York, New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Preferred Shares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Preferred shares may be offered and sold from time to time, in one or more series, as authorized by the Board of Trustees. The Board of Trustees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Terms. </w:t>
      </w:r>
      <w:r>
        <w:rPr>
          <w:rFonts w:ascii="Arial" w:cs="Arial" w:eastAsia="Arial" w:hAnsi="Arial"/>
          <w:sz w:val="16"/>
          <w:szCs w:val="16"/>
          <w:color w:val="auto"/>
        </w:rPr>
        <w:t>You should refer to the prospectus supplement relating to the offering of any preferred shares for specific terms, including the following terms:</w:t>
      </w:r>
    </w:p>
    <w:p>
      <w:pPr>
        <w:spacing w:after="0" w:line="113" w:lineRule="exact"/>
        <w:rPr>
          <w:sz w:val="20"/>
          <w:szCs w:val="20"/>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dividend rate(s), period(s), amounts and/or payment date(s) or method(s) of calculation of any of those terms that apply to those preferred shares;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90" w:lineRule="exact"/>
        <w:rPr>
          <w:rFonts w:ascii="Arial" w:cs="Arial" w:eastAsia="Arial" w:hAnsi="Arial"/>
          <w:sz w:val="18"/>
          <w:szCs w:val="18"/>
          <w:color w:val="auto"/>
        </w:rPr>
      </w:pPr>
    </w:p>
    <w:p>
      <w:pPr>
        <w:ind w:left="780" w:right="520" w:hanging="326"/>
        <w:spacing w:after="0" w:line="268"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50" w:lineRule="exact"/>
        <w:rPr>
          <w:rFonts w:ascii="Arial" w:cs="Arial" w:eastAsia="Arial" w:hAnsi="Arial"/>
          <w:sz w:val="18"/>
          <w:szCs w:val="18"/>
          <w:color w:val="auto"/>
        </w:rPr>
      </w:pPr>
    </w:p>
    <w:p>
      <w:pPr>
        <w:ind w:left="780" w:right="380" w:hanging="326"/>
        <w:spacing w:after="0" w:line="268"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50"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discussion of federal income tax consequences applicable to those preferred shares; and</w:t>
      </w:r>
    </w:p>
    <w:p>
      <w:pPr>
        <w:spacing w:after="0" w:line="90"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real estate investment trust.</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31" w:name="page32"/>
    <w:bookmarkEnd w:id="31"/>
    <w:p>
      <w:pPr>
        <w:ind w:right="160" w:firstLine="456"/>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Rank. </w:t>
      </w:r>
      <w:r>
        <w:rPr>
          <w:rFonts w:ascii="Arial" w:cs="Arial" w:eastAsia="Arial" w:hAnsi="Arial"/>
          <w:sz w:val="18"/>
          <w:szCs w:val="18"/>
          <w:color w:val="auto"/>
        </w:rPr>
        <w:t>Unless we say otherwise in a prospectus supplement, the preferred shares offered through that supplement will, with respect to dividend rights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rights upon our liquidation, dissolution or winding up, rank:</w:t>
      </w:r>
    </w:p>
    <w:p>
      <w:pPr>
        <w:spacing w:after="0" w:line="51" w:lineRule="exact"/>
        <w:rPr>
          <w:sz w:val="20"/>
          <w:szCs w:val="20"/>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term “equity securities” does not include convertible debt securities.</w:t>
      </w:r>
    </w:p>
    <w:p>
      <w:pPr>
        <w:spacing w:after="0" w:line="171"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Subject to any preferential rights of any outstanding shares or series of shares and to the provisions of our declaration of trust regarding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107"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mandatory redemption or redemption at our option, in whole or in part, in each case upon the terms, at the times and at the redemption prices set forth in that supplement.</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As to any liquidation preference applicable to preferred shares offered through this prospectus, the applicable supplement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stockholders,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340"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8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Unless otherwise indicated in the applicable supplement, holders of preferred shares we issue in the future will not have any voting rights,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may be required by applicable law or any applicable rules and regulations of the New York Stock Exchange.</w:t>
      </w:r>
    </w:p>
    <w:p>
      <w:pPr>
        <w:spacing w:after="0" w:line="8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Declaration of Trust provides that the holders of Series B preferred shares, together with the holders of any series or class of shares ranking on a parity with the Series B preferred shares, voting as a single class regardless of series, will be entitled to elect two additional trustees to serve on the Board of Trustees when six consecutive quarterly dividends payable to the holders of Series B preferred shares or any series or class of parity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32" w:name="page33"/>
    <w:bookmarkEnd w:id="32"/>
    <w:p>
      <w:pPr>
        <w:jc w:val="both"/>
        <w:ind w:right="3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 are in arrears. Whenever all dividends in arrears on the Series B preferred shares and any series or class of parity shares have been paid or set aside for payment, then these special voting rights immediately cease (subject to reinstatement under similar circumstances in the future), and the term of office of the trustees so elected automatically expires.</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addition, the holders of the Series B preferred shares have such voting rights as are required by applicable law or any applicable rules and regulations of the New York Stock Exchange.</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supplement relating to the offering of those preferred shares. These terms typically will include:</w:t>
      </w:r>
    </w:p>
    <w:p>
      <w:pPr>
        <w:spacing w:after="0" w:line="51" w:lineRule="exact"/>
        <w:rPr>
          <w:sz w:val="20"/>
          <w:szCs w:val="20"/>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171"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b w:val="1"/>
          <w:bCs w:val="1"/>
          <w:i w:val="1"/>
          <w:iCs w:val="1"/>
          <w:color w:val="auto"/>
        </w:rPr>
        <w:t xml:space="preserve">Transfer Agent and Registrar. </w:t>
      </w:r>
      <w:r>
        <w:rPr>
          <w:rFonts w:ascii="Arial" w:cs="Arial" w:eastAsia="Arial" w:hAnsi="Arial"/>
          <w:sz w:val="15"/>
          <w:szCs w:val="15"/>
          <w:color w:val="auto"/>
        </w:rPr>
        <w:t>The transfer agent and registrar for the Series B preferred shares is American Stock Transfer &amp; Trust Company, New York,</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New York. We will identify the transfer agent and registrar for any additional series of preferred shares issued through this prospectus in a prospectus supplement.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We may issue receipts for depositary shares, each of which will represent a fractional interest of a share of a particular series of preferred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w:t>
      </w:r>
    </w:p>
    <w:p>
      <w:pPr>
        <w:spacing w:after="0" w:line="11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33" w:name="page34"/>
    <w:bookmarkEnd w:id="33"/>
    <w:p>
      <w:pPr>
        <w:ind w:right="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43"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b w:val="1"/>
          <w:bCs w:val="1"/>
          <w:i w:val="1"/>
          <w:i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4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Voting the Preferred Shares. </w:t>
      </w:r>
      <w:r>
        <w:rPr>
          <w:rFonts w:ascii="Arial" w:cs="Arial" w:eastAsia="Arial" w:hAnsi="Arial"/>
          <w:sz w:val="16"/>
          <w:szCs w:val="16"/>
          <w:color w:val="auto"/>
        </w:rPr>
        <w:t>When the depositary receives notice of any meeting at which the holders of preferred shares are entitled to vote,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2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whether voluntary or involuntary, you will be entitled, as a record holder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depositary shares, to the fraction of the liquidation preference accorded each applicable preferred share, as has been set forth in a prospectus supplement.</w:t>
      </w:r>
    </w:p>
    <w:p>
      <w:pPr>
        <w:spacing w:after="0" w:line="85"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Amendment and Termination of the Deposit Agreement. </w:t>
      </w:r>
      <w:r>
        <w:rPr>
          <w:rFonts w:ascii="Arial" w:cs="Arial" w:eastAsia="Arial" w:hAnsi="Arial"/>
          <w:sz w:val="16"/>
          <w:szCs w:val="16"/>
          <w:color w:val="auto"/>
        </w:rPr>
        <w:t>We and the depositary may amend the form of depositary receipt and any provision of the deposit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26" w:lineRule="exact"/>
        <w:rPr>
          <w:sz w:val="20"/>
          <w:szCs w:val="20"/>
          <w:color w:val="auto"/>
        </w:rPr>
      </w:pP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34" w:name="page35"/>
    <w:bookmarkEnd w:id="34"/>
    <w:p>
      <w:pPr>
        <w:ind w:left="780" w:right="260" w:hanging="326"/>
        <w:spacing w:after="0" w:line="332" w:lineRule="auto"/>
        <w:tabs>
          <w:tab w:leader="none" w:pos="780" w:val="left"/>
        </w:tabs>
        <w:numPr>
          <w:ilvl w:val="0"/>
          <w:numId w:val="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4" w:lineRule="exact"/>
        <w:rPr>
          <w:rFonts w:ascii="Arial" w:cs="Arial" w:eastAsia="Arial" w:hAnsi="Arial"/>
          <w:sz w:val="16"/>
          <w:szCs w:val="16"/>
          <w:color w:val="auto"/>
        </w:rPr>
      </w:pPr>
    </w:p>
    <w:p>
      <w:pPr>
        <w:ind w:left="780" w:right="60" w:hanging="326"/>
        <w:spacing w:after="0" w:line="268"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 we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Charges of Depositary. </w:t>
      </w:r>
      <w:r>
        <w:rPr>
          <w:rFonts w:ascii="Arial" w:cs="Arial" w:eastAsia="Arial" w:hAnsi="Arial"/>
          <w:sz w:val="18"/>
          <w:szCs w:val="18"/>
          <w:color w:val="auto"/>
        </w:rPr>
        <w:t>We will pay all transfer and other taxes and governmental charges arising solely from the existence of the depositary arrangements.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Miscellaneous. </w:t>
      </w:r>
      <w:r>
        <w:rPr>
          <w:rFonts w:ascii="Arial" w:cs="Arial" w:eastAsia="Arial" w:hAnsi="Arial"/>
          <w:sz w:val="18"/>
          <w:szCs w:val="18"/>
          <w:color w:val="auto"/>
        </w:rPr>
        <w:t>The depositary will forward to you all reports and communications from us that we are required, or otherwise determine, to furnish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the preferred shares.</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96"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Restrictions on ownership and transfer of shares are important to ensure that we meet certain conditions under the Internal Revenue Code of 1986, as amended, which we refer to as the Code, to qualify as a REIT. For example, the Code contains the following requirements.</w:t>
      </w:r>
    </w:p>
    <w:p>
      <w:pPr>
        <w:spacing w:after="0" w:line="4" w:lineRule="exact"/>
        <w:rPr>
          <w:sz w:val="20"/>
          <w:szCs w:val="20"/>
          <w:color w:val="auto"/>
        </w:rPr>
      </w:pPr>
    </w:p>
    <w:p>
      <w:pPr>
        <w:ind w:left="780" w:right="200" w:hanging="326"/>
        <w:spacing w:after="0" w:line="306" w:lineRule="auto"/>
        <w:tabs>
          <w:tab w:leader="none" w:pos="7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25" w:lineRule="exact"/>
        <w:rPr>
          <w:rFonts w:ascii="Arial" w:cs="Arial" w:eastAsia="Arial" w:hAnsi="Arial"/>
          <w:sz w:val="16"/>
          <w:szCs w:val="16"/>
          <w:color w:val="auto"/>
        </w:rPr>
      </w:pPr>
    </w:p>
    <w:p>
      <w:pPr>
        <w:ind w:left="780" w:right="140" w:hanging="326"/>
        <w:spacing w:after="0" w:line="268" w:lineRule="auto"/>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50"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35" w:name="page36"/>
    <w:bookmarkEnd w:id="3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transfer of shares will be null and void, and the intended transferee will acquire no rights in such shares if the transfer:</w:t>
      </w:r>
    </w:p>
    <w:p>
      <w:pPr>
        <w:spacing w:after="0" w:line="90" w:lineRule="exact"/>
        <w:rPr>
          <w:sz w:val="20"/>
          <w:szCs w:val="20"/>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90" w:lineRule="exact"/>
        <w:rPr>
          <w:rFonts w:ascii="Arial" w:cs="Arial" w:eastAsia="Arial" w:hAnsi="Arial"/>
          <w:sz w:val="18"/>
          <w:szCs w:val="18"/>
          <w:color w:val="auto"/>
        </w:rPr>
      </w:pPr>
    </w:p>
    <w:p>
      <w:pPr>
        <w:ind w:left="780" w:right="880" w:hanging="326"/>
        <w:spacing w:after="0" w:line="268" w:lineRule="auto"/>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color w:val="auto"/>
        </w:rPr>
        <w:t>. With certain exceptions described below, if any purported transfer of shares would violate any of the restrictions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26" w:lineRule="exact"/>
        <w:rPr>
          <w:sz w:val="20"/>
          <w:szCs w:val="20"/>
          <w:color w:val="auto"/>
        </w:rPr>
      </w:pPr>
    </w:p>
    <w:p>
      <w:pPr>
        <w:ind w:left="780" w:hanging="326"/>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54"/>
        </w:numPr>
        <w:rPr>
          <w:rFonts w:ascii="Arial" w:cs="Arial" w:eastAsia="Arial" w:hAnsi="Arial"/>
          <w:sz w:val="15"/>
          <w:szCs w:val="15"/>
          <w:color w:val="auto"/>
        </w:rPr>
      </w:pPr>
      <w:r>
        <w:rPr>
          <w:rFonts w:ascii="Arial" w:cs="Arial" w:eastAsia="Arial" w:hAnsi="Arial"/>
          <w:sz w:val="15"/>
          <w:szCs w:val="15"/>
          <w:color w:val="auto"/>
        </w:rPr>
        <w:t>the price per share equal to the market price (which is calculated as defined in our declaration of trust) on the date the shares were received, or</w:t>
      </w:r>
    </w:p>
    <w:p>
      <w:pPr>
        <w:spacing w:after="0" w:line="124" w:lineRule="exact"/>
        <w:rPr>
          <w:rFonts w:ascii="Arial" w:cs="Arial" w:eastAsia="Arial" w:hAnsi="Arial"/>
          <w:sz w:val="15"/>
          <w:szCs w:val="15"/>
          <w:color w:val="auto"/>
        </w:rPr>
      </w:pPr>
    </w:p>
    <w:p>
      <w:pPr>
        <w:ind w:left="1260" w:hanging="455"/>
        <w:spacing w:after="0"/>
        <w:tabs>
          <w:tab w:leader="none" w:pos="12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0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Any person who acquires or attempts to acquire shares which would be null and void under the restrictions described above, or any person who owned common shares or preferred shares that were transferred to a trust,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80" w:right="279" w:bottom="1440" w:gutter="0" w:footer="0" w:header="0"/>
        </w:sectPr>
      </w:pPr>
    </w:p>
    <w:bookmarkStart w:id="36" w:name="page37"/>
    <w:bookmarkEnd w:id="36"/>
    <w:p>
      <w:pPr>
        <w:ind w:right="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must both give us immediate written notice of such event and provide us such other information as requested in order to determine the effect, if any, of such transfer on our status as a REIT.</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32" w:lineRule="exact"/>
        <w:rPr>
          <w:sz w:val="20"/>
          <w:szCs w:val="20"/>
          <w:color w:val="auto"/>
        </w:rPr>
      </w:pPr>
    </w:p>
    <w:p>
      <w:pPr>
        <w:jc w:val="both"/>
        <w:ind w:right="260" w:firstLine="456"/>
        <w:spacing w:after="0" w:line="256"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43"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The Board of Trustees has agreed to exempt from the ownership limitation Morgan Stanley Investment Management, Inc., or MSIM, for itself and on behalf of its investment advisory clients on whose behalf MSIM owns our common shares. The Board of Trustees approved an exemption for MSIM, which expires on May 3, 2010 and which permits MSIM and its clients, as a group to own up to 12.0% of our outstanding common shares.</w:t>
      </w:r>
    </w:p>
    <w:p>
      <w:pPr>
        <w:spacing w:after="0" w:line="10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Warrants</w:t>
      </w:r>
      <w:r>
        <w:rPr>
          <w:rFonts w:ascii="Arial" w:cs="Arial" w:eastAsia="Arial" w:hAnsi="Arial"/>
          <w:sz w:val="16"/>
          <w:szCs w:val="16"/>
          <w:color w:val="auto"/>
        </w:rPr>
        <w:t>. We may issue warrants for the purchase of common or preferred shares. If we offer warrants, we will describe the terms in a prospectus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90" w:lineRule="exact"/>
        <w:rPr>
          <w:sz w:val="20"/>
          <w:szCs w:val="20"/>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shares or common shares that may be purchased on exercise of the warrant;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80" w:right="2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Provisions of Maryland Law and our Declaration of Trust and Bylaws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following provisions, together with the ability of the Board of Trustees to increase the number of authorized shares, in the aggregate or by class, and to issue preferred shares without further stockholder action, the transfer restrictions described under “ — Restrictions on Ownership and Transfer” and the supermajority voting rights described under “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2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color w:val="auto"/>
        </w:rPr>
        <w:t>. 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62" w:lineRule="exact"/>
        <w:rPr>
          <w:sz w:val="20"/>
          <w:szCs w:val="20"/>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shares; or</w:t>
      </w:r>
    </w:p>
    <w:p>
      <w:pPr>
        <w:spacing w:after="0" w:line="90"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of our affiliates that beneficially owned 10% or more of the voting power of our shares within two years prior to the applicable date relating to the transaction.</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4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51" w:lineRule="exact"/>
        <w:rPr>
          <w:sz w:val="20"/>
          <w:szCs w:val="20"/>
          <w:color w:val="auto"/>
        </w:rPr>
      </w:pPr>
    </w:p>
    <w:p>
      <w:pPr>
        <w:ind w:left="780" w:hanging="326"/>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w:t>
      </w:r>
    </w:p>
    <w:p>
      <w:pPr>
        <w:spacing w:after="0" w:line="17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i w:val="1"/>
          <w:iCs w:val="1"/>
          <w:color w:val="auto"/>
        </w:rPr>
        <w:t>Control Share Acquisitions</w:t>
      </w:r>
      <w:r>
        <w:rPr>
          <w:rFonts w:ascii="Arial" w:cs="Arial" w:eastAsia="Arial" w:hAnsi="Arial"/>
          <w:sz w:val="18"/>
          <w:szCs w:val="18"/>
          <w:color w:val="auto"/>
        </w:rPr>
        <w:t>. 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Maryland General Corporation Law provides that “control shares” of a Maryland real estate investment trust acquired in a “control share acquisition” have no voting rights unless two-thirds of the shareholders (excluding shares owned by the acquirer and by the officers and trustees who are employees of the Maryland real estate investment trust) approve their voting rights.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74" w:right="279" w:bottom="1440" w:gutter="0" w:footer="0" w:header="0"/>
        </w:sectPr>
      </w:pPr>
    </w:p>
    <w:bookmarkStart w:id="38" w:name="page39"/>
    <w:bookmarkEnd w:id="3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“Control Shares” are shares that, if added to all other shares previously acquired, would entitle that person to vote, in electing trustees:</w:t>
      </w:r>
    </w:p>
    <w:p>
      <w:pPr>
        <w:spacing w:after="0" w:line="90" w:lineRule="exact"/>
        <w:rPr>
          <w:sz w:val="20"/>
          <w:szCs w:val="20"/>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10% or more but less than one-third of such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one-third or more but less than a majority of such shares,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majority of the outstanding shares.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3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4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Rights Plan</w:t>
      </w:r>
      <w:r>
        <w:rPr>
          <w:rFonts w:ascii="Arial" w:cs="Arial" w:eastAsia="Arial" w:hAnsi="Arial"/>
          <w:sz w:val="16"/>
          <w:szCs w:val="16"/>
          <w:color w:val="auto"/>
        </w:rPr>
        <w:t>. On April 13, 1989, we adopted a shareholder rights plan and declared a dividend distribution of one right for each outstanding common share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shareholders of record at the close of business on April 24, 1989, with such rights to expire on April 24, 1999. On March 11, 1999, the expiration date of the rights plan was extended and certain other amendments to the terms of the rights plan were adopted. Except as set forth below, each right, when exercisable, entitles the registered holder to purchase from us a number of common shares equal in value to two times the purchase price, which is initially equal to $65.00 per share but is subject to adjustment upon the occurrence of specified events.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rights become exercisable upon the earlier to occur of</w:t>
      </w:r>
    </w:p>
    <w:p>
      <w:pPr>
        <w:spacing w:after="0" w:line="90" w:lineRule="exact"/>
        <w:rPr>
          <w:sz w:val="20"/>
          <w:szCs w:val="20"/>
          <w:color w:val="auto"/>
        </w:rPr>
      </w:pPr>
    </w:p>
    <w:p>
      <w:pPr>
        <w:ind w:left="780" w:right="480" w:hanging="326"/>
        <w:spacing w:after="0" w:line="268" w:lineRule="auto"/>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public announcement that, without our prior consent, a person or group of affiliated or associated persons has acquired, or obtained the right to acquire, beneficial ownership of 20% or more of our common shares; or</w:t>
      </w:r>
    </w:p>
    <w:p>
      <w:pPr>
        <w:spacing w:after="0" w:line="50"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ten days following the commencement of (or a public announcement of an intention to make) a tender offer or exchange offer that would result in the beneficial ownership by a person or group of 20% or more of our common shares.</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Initially, the rights will be attached to, and evidenced by, the common shares certificates representing shares then outstanding, and no separate right certificates will be distributed. Once the rights become exercisable, separate certificates evidencing the rights will be mailed to holders of record of our common shares, and the separate rights certificates alone will evidence the rights.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the rights will expire on the earliest of</w:t>
      </w:r>
    </w:p>
    <w:p>
      <w:pPr>
        <w:spacing w:after="0" w:line="90" w:lineRule="exact"/>
        <w:rPr>
          <w:sz w:val="20"/>
          <w:szCs w:val="20"/>
          <w:color w:val="auto"/>
        </w:rPr>
      </w:pPr>
    </w:p>
    <w:p>
      <w:pPr>
        <w:ind w:left="780" w:hanging="326"/>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April 24, 2009;</w:t>
      </w:r>
    </w:p>
    <w:p>
      <w:pPr>
        <w:spacing w:after="0" w:line="90" w:lineRule="exact"/>
        <w:rPr>
          <w:rFonts w:ascii="Arial" w:cs="Arial" w:eastAsia="Arial" w:hAnsi="Arial"/>
          <w:sz w:val="18"/>
          <w:szCs w:val="18"/>
          <w:color w:val="auto"/>
        </w:rPr>
      </w:pPr>
    </w:p>
    <w:p>
      <w:pPr>
        <w:ind w:left="780" w:right="560" w:hanging="326"/>
        <w:spacing w:after="0" w:line="268" w:lineRule="auto"/>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consummation of a merger transaction with a person or group who acquired common shares pursuant to a transaction approved by the Board of Trustees; or</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redemption by us as described below.</w:t>
      </w:r>
    </w:p>
    <w:p>
      <w:pPr>
        <w:spacing w:after="0" w:line="171"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In the event that the rights become exercisable, each holder of a right will for a 60-day period thereafter have the right to receive upon exercise and payment of the purchase price (initially set at $65.00 but subject to adjustment) that number of our common shares (or fractional shares) having a then-current market value of two times the purchase price, subject to the availability of a sufficient number of authorized but unissued common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 We are entitled (but not required) to deliver, upon exercise of the right, in lieu of common shares, shares of equivalent securities.</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the event that, after the first date that the rights become exercisable, we are involved in a merger or other business combination transaction in which our common shares are exchanged or changed, or 50% or more of our assets or earning power are sold (in one transaction or a series of transactions), each holder of a right (other than the person or group triggering the exercise of the rights) shall thereafter have the right to receive, upon the exercise thereof at the then-current purchase price, that number of common shares of the acquiring company, which at the time of such transaction would have a market value equal to two times the then-current purchase price of the right.</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At any time prior to the earlier to occur of the date the rights become exercisable or the expiration of the rights, we may redeem the rights in whole, but not in part, at a price of $0.01 per right, payable in cash or common shares. Additionally, after the date the rights become exercisable, we may redeem the then-outstanding rights in whole, but not in part, at a price of $0.01 per right income provided that the redemption is incidental to a merger or other business combination transaction or series of transactions involving us but not involving the person or group triggering the exercise of the rights, or if the redemption occurs after the expiration of a period during which our shareholders may acquire common shares through the exercise of the rights and, at that time, the person or group that triggered the exercise of the rights no longer has beneficial ownership of 15% or more of our common shares. Upon the effective date of the redemption of the rights, the right to exercise the rights will terminate and the only right of the holders of rights will be to receive the price of $0.01 per right.</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Until a right is exercised, the holder thereof, as such, will have no rights as one of our shareholders, including, without limitation, the right to vote or to receive dividends.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color w:val="auto"/>
        </w:rPr>
        <w:t>. Under Maryland law, there is a presumption that the act of a trustee satisfies the required standard of care. An act of a trustee relating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affecting an acquisition or a potential acquisition of control is not subject under Maryland law to a higher duty or greater scrutiny than is applied to any other act of a trustee.</w:t>
      </w:r>
    </w:p>
    <w:p>
      <w:pPr>
        <w:spacing w:after="0" w:line="14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b w:val="1"/>
          <w:bCs w:val="1"/>
          <w:i w:val="1"/>
          <w:iCs w:val="1"/>
          <w:color w:val="auto"/>
        </w:rPr>
        <w:t>Number of Trustees; Classified Board</w:t>
      </w:r>
      <w:r>
        <w:rPr>
          <w:rFonts w:ascii="Arial" w:cs="Arial" w:eastAsia="Arial" w:hAnsi="Arial"/>
          <w:sz w:val="18"/>
          <w:szCs w:val="18"/>
          <w:color w:val="auto"/>
        </w:rPr>
        <w:t>. The number of trustees may be increased or decreased pursuant to the bylaws, provided that the total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may not be less than five or more than 10. Under Maryland law and our declaration of trust, trustees, except for any trustees that may be elected by holders of preferred shares, are elected in three classes for staggered, three-year terms.</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color w:val="auto"/>
        </w:rPr>
        <w:t>. Under the declaration of trust, and subject to the rights of any holders of preferred shares, our shareholders may remove a trustee,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or without cause, at any meeting of shareholders called for that purpose, either by</w:t>
      </w:r>
    </w:p>
    <w:p>
      <w:pPr>
        <w:spacing w:after="0" w:line="51" w:lineRule="exact"/>
        <w:rPr>
          <w:sz w:val="20"/>
          <w:szCs w:val="20"/>
          <w:color w:val="auto"/>
        </w:rPr>
      </w:pPr>
    </w:p>
    <w:p>
      <w:pPr>
        <w:ind w:left="780" w:right="220" w:hanging="326"/>
        <w:spacing w:after="0" w:line="268" w:lineRule="auto"/>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50"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color w:val="auto"/>
        </w:rPr>
        <w:t>. 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holders of the Series B preferred shares have the right to elect two additional trustees to the Board of Trustees under the circumstances described above under “— Preferred Shares — Voting Rights.”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40" w:name="page41"/>
    <w:bookmarkEnd w:id="40"/>
    <w:p>
      <w:pPr>
        <w:jc w:val="both"/>
        <w:ind w:right="20" w:firstLine="456"/>
        <w:spacing w:after="0" w:line="256"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Meetings of Shareholders</w:t>
      </w:r>
      <w:r>
        <w:rPr>
          <w:rFonts w:ascii="Arial" w:cs="Arial" w:eastAsia="Arial" w:hAnsi="Arial"/>
          <w:sz w:val="18"/>
          <w:szCs w:val="18"/>
          <w:color w:val="auto"/>
        </w:rPr>
        <w:t>. Our bylaws provide for an annual meeting of shareholders, to be held in May after delivery of the annual report to shareholders,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elect individuals to the Board of Trustees for the class of trustees then standing for election and transact such other business as may properly be brought before the meeting. Special meetings of shareholders may be called by our President or by one-third of the Board of Trustees, and shall be called at the request in writing of the holders of 25% of all votes entitled to be cast at the meeting.</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40" w:lineRule="exact"/>
        <w:rPr>
          <w:sz w:val="20"/>
          <w:szCs w:val="20"/>
          <w:color w:val="auto"/>
        </w:rPr>
      </w:pPr>
    </w:p>
    <w:p>
      <w:pPr>
        <w:ind w:right="40" w:firstLine="456"/>
        <w:spacing w:after="0" w:line="243" w:lineRule="auto"/>
        <w:rPr>
          <w:sz w:val="20"/>
          <w:szCs w:val="20"/>
          <w:color w:val="auto"/>
        </w:rPr>
      </w:pPr>
      <w:r>
        <w:rPr>
          <w:rFonts w:ascii="Arial" w:cs="Arial" w:eastAsia="Arial" w:hAnsi="Arial"/>
          <w:sz w:val="18"/>
          <w:szCs w:val="18"/>
          <w:b w:val="1"/>
          <w:bCs w:val="1"/>
          <w:i w:val="1"/>
          <w:iCs w:val="1"/>
          <w:color w:val="auto"/>
        </w:rPr>
        <w:t>Advance Notice for Shareholder Nominations and Shareholder New Business Proposals</w:t>
      </w:r>
      <w:r>
        <w:rPr>
          <w:rFonts w:ascii="Arial" w:cs="Arial" w:eastAsia="Arial" w:hAnsi="Arial"/>
          <w:sz w:val="18"/>
          <w:szCs w:val="18"/>
          <w:color w:val="auto"/>
        </w:rPr>
        <w:t>. Our bylaws require advance written notice for shareholders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prior to the first anniversary of the date of the proxy statement relating to the preceding year’s annual meeting. If the date of the annual meeting is advanced by more than 30 days from the date of the preceding year’s meeting or if we did not hold an annual meeting the preceding year, notice must be delivered within a reasonable time before we begin to print and mail our proxy materials.</w:t>
      </w:r>
    </w:p>
    <w:p>
      <w:pPr>
        <w:spacing w:after="0" w:line="155" w:lineRule="exact"/>
        <w:rPr>
          <w:sz w:val="20"/>
          <w:szCs w:val="20"/>
          <w:color w:val="auto"/>
        </w:rPr>
      </w:pPr>
    </w:p>
    <w:p>
      <w:pPr>
        <w:ind w:right="20" w:firstLine="456"/>
        <w:spacing w:after="0" w:line="239" w:lineRule="auto"/>
        <w:rPr>
          <w:sz w:val="20"/>
          <w:szCs w:val="20"/>
          <w:color w:val="auto"/>
        </w:rPr>
      </w:pPr>
      <w:r>
        <w:rPr>
          <w:rFonts w:ascii="Arial" w:cs="Arial" w:eastAsia="Arial" w:hAnsi="Arial"/>
          <w:sz w:val="17"/>
          <w:szCs w:val="17"/>
          <w:color w:val="auto"/>
        </w:rPr>
        <w:t>For a special meeting, to nominate a trustee, a shareholder must deliver notice to our Secretary not earlier that the close of business on the 120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prior to the special meeting and not later than the close of business on the later of the 90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prior to the special meeting or the 10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following the date on which public announcement is first made of the special meeting. Nominations for elections to the Board of Trustees at a special meeting may be made by shareholders only if the Board of Trustees has determined that trustees shall be elected at the special meeting.</w:t>
      </w:r>
    </w:p>
    <w:p>
      <w:pPr>
        <w:spacing w:after="0" w:line="156"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INCOME TAX CONSEQUENCES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following sections summarize the material federal income tax issues that you may consider relevant. Because this section is a summary, it does not address all of the tax issues that may be important to you. For example, this discussion addresses only shares held as capital assets. In addition, this section does not address the tax issues that may be important to certain types of shareholders that are subject to special treatment under the federal income tax laws, such as insurance companies, tax-exempt organizations (except to the extent discussed in “— Taxation of Tax — Exempt U.S. Shareholders” below), financial institutions and dealers or brokers in securities, non-U.S. individuals and foreign corporations (except to the extent discussed in “— Taxation of Non-U.S. Shareholders” below), and shareholders that hold their shares as part of a hedge, appreciated financial position, straddle or conversion transaction.</w:t>
      </w:r>
    </w:p>
    <w:p>
      <w:pPr>
        <w:spacing w:after="0" w:line="12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8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We urge you to consult your own tax advisor regarding the specific federal, state, local, foreign and other tax consequences to you of purchasing, owning and disposing of our securities, our election to be taxed as a REIT and the effect of potential changes in applicable tax laws.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Taxation of the Company</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elected to be taxed as a REIT under the federal income tax laws when we filed our 1962 tax return. We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the opinion of our tax counsel, Pillsbury Winthrop Shaw Pittman LLP, (i) we qualified as a REIT under Sections 856 through 859 of the Code with respect to our taxable years ended through December 31, 2005;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business, properties and operations. We may not, however, have met or continue to meet such requirements. You should be aware that opinions of counsel are not binding on the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For a discussion of the tax treatment of us and our shareholders if we fail to qualify as a REIT, see “— Requirements for REIT Qualification — Failure to Qualify.”</w:t>
      </w:r>
    </w:p>
    <w:p>
      <w:pPr>
        <w:spacing w:after="0" w:line="127"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corporation. However, we will be subject to federal tax in the following circumstances:</w:t>
      </w:r>
    </w:p>
    <w:p>
      <w:pPr>
        <w:spacing w:after="0" w:line="59" w:lineRule="exact"/>
        <w:rPr>
          <w:sz w:val="20"/>
          <w:szCs w:val="20"/>
          <w:color w:val="auto"/>
        </w:rPr>
      </w:pPr>
    </w:p>
    <w:p>
      <w:pPr>
        <w:ind w:left="780" w:right="40" w:hanging="326"/>
        <w:spacing w:after="0" w:line="268"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we may be subject to the “ alternative minimum tax” on any items of tax preference that we do not distribute or allocate to our shareholders;</w:t>
      </w:r>
    </w:p>
    <w:p>
      <w:pPr>
        <w:spacing w:after="0" w:line="113" w:lineRule="exact"/>
        <w:rPr>
          <w:rFonts w:ascii="Arial" w:cs="Arial" w:eastAsia="Arial" w:hAnsi="Arial"/>
          <w:sz w:val="16"/>
          <w:szCs w:val="16"/>
          <w:color w:val="auto"/>
        </w:rPr>
      </w:pPr>
    </w:p>
    <w:p>
      <w:pPr>
        <w:ind w:left="780" w:right="180" w:hanging="326"/>
        <w:spacing w:after="0" w:line="332" w:lineRule="auto"/>
        <w:tabs>
          <w:tab w:leader="none" w:pos="7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we will pay income tax at the highest corporate rate on (i) net income from the sale or other disposition of property acquired through foreclosure that we hold primarily for sale to customers in the ordinary course of business and (ii) other non-qualifying income from foreclosure property;</w:t>
      </w:r>
    </w:p>
    <w:p>
      <w:pPr>
        <w:spacing w:after="0" w:line="4" w:lineRule="exact"/>
        <w:rPr>
          <w:rFonts w:ascii="Arial" w:cs="Arial" w:eastAsia="Arial" w:hAnsi="Arial"/>
          <w:sz w:val="16"/>
          <w:szCs w:val="16"/>
          <w:color w:val="auto"/>
        </w:rPr>
      </w:pPr>
    </w:p>
    <w:p>
      <w:pPr>
        <w:ind w:left="780" w:right="160" w:hanging="326"/>
        <w:spacing w:after="0" w:line="268"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 Requirements for REIT Qualification</w:t>
      </w:r>
    </w:p>
    <w:p>
      <w:pPr>
        <w:spacing w:after="0" w:line="38" w:lineRule="exact"/>
        <w:rPr>
          <w:rFonts w:ascii="Arial" w:cs="Arial" w:eastAsia="Arial" w:hAnsi="Arial"/>
          <w:sz w:val="16"/>
          <w:szCs w:val="16"/>
          <w:color w:val="auto"/>
        </w:rPr>
      </w:pPr>
    </w:p>
    <w:p>
      <w:pPr>
        <w:ind w:left="780" w:right="10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63" w:lineRule="exact"/>
        <w:rPr>
          <w:rFonts w:ascii="Arial" w:cs="Arial" w:eastAsia="Arial" w:hAnsi="Arial"/>
          <w:sz w:val="16"/>
          <w:szCs w:val="16"/>
          <w:color w:val="auto"/>
        </w:rPr>
      </w:pPr>
    </w:p>
    <w:p>
      <w:pPr>
        <w:ind w:left="780" w:hanging="326"/>
        <w:spacing w:after="0" w:line="256"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42" w:name="page43"/>
    <w:bookmarkEnd w:id="42"/>
    <w:p>
      <w:pPr>
        <w:jc w:val="both"/>
        <w:ind w:left="780" w:right="160" w:hanging="326"/>
        <w:spacing w:after="0" w:line="259"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59" w:lineRule="exact"/>
        <w:rPr>
          <w:rFonts w:ascii="Arial" w:cs="Arial" w:eastAsia="Arial" w:hAnsi="Arial"/>
          <w:sz w:val="18"/>
          <w:szCs w:val="18"/>
          <w:color w:val="auto"/>
        </w:rPr>
      </w:pPr>
    </w:p>
    <w:p>
      <w:pPr>
        <w:ind w:left="780" w:right="140" w:hanging="326"/>
        <w:spacing w:after="0" w:line="259"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4% excise tax on the excess of such required distribution over the amount we actually distributed;</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90" w:lineRule="exact"/>
        <w:rPr>
          <w:rFonts w:ascii="Arial" w:cs="Arial" w:eastAsia="Arial" w:hAnsi="Arial"/>
          <w:sz w:val="18"/>
          <w:szCs w:val="18"/>
          <w:color w:val="auto"/>
        </w:rPr>
      </w:pPr>
    </w:p>
    <w:p>
      <w:pPr>
        <w:ind w:left="780" w:right="160" w:hanging="326"/>
        <w:spacing w:after="0" w:line="294" w:lineRule="auto"/>
        <w:tabs>
          <w:tab w:leader="none" w:pos="7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we recognize gain on the sale or disposition of such asset during the 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90"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9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50" w:lineRule="exact"/>
        <w:rPr>
          <w:rFonts w:ascii="Arial" w:cs="Arial" w:eastAsia="Arial" w:hAnsi="Arial"/>
          <w:sz w:val="18"/>
          <w:szCs w:val="18"/>
          <w:color w:val="auto"/>
        </w:rPr>
      </w:pPr>
    </w:p>
    <w:p>
      <w:pPr>
        <w:ind w:left="460" w:right="680" w:hanging="452"/>
        <w:spacing w:after="0" w:line="268"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U.S. Department of Treasury (“Treasury”);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w:t>
      </w:r>
    </w:p>
    <w:p>
      <w:pPr>
        <w:spacing w:after="0" w:line="171"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43" w:name="page44"/>
    <w:bookmarkEnd w:id="43"/>
    <w:p>
      <w:pPr>
        <w:ind w:right="6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believe we have issued sufficient common shares with sufficient diversity of ownership to satisfy requirements 5 and 6 set forth above. In addition, our declaration of trust restricts the ownership and transfer of the common shares so that we should continue to satisfy requirements 5 and 6. The provisions of our declaration of trust restricting the ownership and transfer of the common shares are described in “Description of Shares of Beneficial Ownership–Restrictions on Ownership and Transfer.”</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our direct corporate subsidiaries are qualified REIT subsidiaries, except for those which are taxable REIT subsidiaries. Accordingly, our qualified REIT subsidiaries are not subject to federal corporate income taxation, though they may be subject to state and local taxation.</w:t>
      </w:r>
    </w:p>
    <w:p>
      <w:pPr>
        <w:spacing w:after="0" w:line="120"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A REIT is treated as owning its proportionate share of the assets of any partnership in which it is a partner and as earning its allocable share of the gross income of the partnership for purposes of the applicable REIT qualification tests. Thus, our proportionate share of the assets, liabilities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Tests</w:t>
      </w:r>
      <w:r>
        <w:rPr>
          <w:rFonts w:ascii="Arial" w:cs="Arial" w:eastAsia="Arial" w:hAnsi="Arial"/>
          <w:sz w:val="18"/>
          <w:szCs w:val="18"/>
          <w:color w:val="auto"/>
        </w:rPr>
        <w:t>. We must satisfy two gross income tests annually to maintain our qualification as a REIT:</w:t>
      </w:r>
    </w:p>
    <w:p>
      <w:pPr>
        <w:spacing w:after="0" w:line="90" w:lineRule="exact"/>
        <w:rPr>
          <w:sz w:val="20"/>
          <w:szCs w:val="20"/>
          <w:color w:val="auto"/>
        </w:rPr>
      </w:pPr>
    </w:p>
    <w:p>
      <w:pPr>
        <w:ind w:left="780" w:right="60" w:hanging="326"/>
        <w:spacing w:after="0" w:line="255"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 least 75% of our gross income (excluding gross income from prohibited transactions) for each taxable year must consist of defined types of income that we derive, directly or indirectly, from investments relating to real property or mortgages on real property or temporary investment income (the “75% gross income test”). Qualifying income for purposes of the 75% gross income test includes “rents from real property,” interest on debt secured by mortgages on real property or on interests in real property, and dividends or other distributions on and gain from the sale of shares in other REITs; and</w:t>
      </w:r>
    </w:p>
    <w:p>
      <w:pPr>
        <w:spacing w:after="0" w:line="61" w:lineRule="exact"/>
        <w:rPr>
          <w:rFonts w:ascii="Arial" w:cs="Arial" w:eastAsia="Arial" w:hAnsi="Arial"/>
          <w:sz w:val="18"/>
          <w:szCs w:val="18"/>
          <w:color w:val="auto"/>
        </w:rPr>
      </w:pPr>
    </w:p>
    <w:p>
      <w:pPr>
        <w:ind w:left="780" w:right="200" w:hanging="326"/>
        <w:spacing w:after="0" w:line="306" w:lineRule="auto"/>
        <w:tabs>
          <w:tab w:leader="none" w:pos="7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At least 95% of our gross income (excluding gross income from prohibited transactions and certain real estate liability hedges)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171"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Rent that we receive from real property that we own and lease to tenants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qualify as “rents from real property” (which is qualifying income for purposes of the 75% and 95% gross income tests) only if several conditions are met under the REIT tax rules:</w:t>
      </w:r>
    </w:p>
    <w:p>
      <w:pPr>
        <w:spacing w:after="0" w:line="59" w:lineRule="exact"/>
        <w:rPr>
          <w:sz w:val="20"/>
          <w:szCs w:val="20"/>
          <w:color w:val="auto"/>
        </w:rPr>
      </w:pPr>
    </w:p>
    <w:p>
      <w:pPr>
        <w:ind w:left="780" w:right="80" w:hanging="326"/>
        <w:spacing w:after="0" w:line="306" w:lineRule="auto"/>
        <w:tabs>
          <w:tab w:leader="none" w:pos="7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rent must not be based, in whole or in part, on the income or profits of any person although, generally, rent may be based on a fixed percentage or percentages of receipts or sales. We have not entered into any lease based in whole or part on the net income of any person and do not anticipate entering into such arrangements (except where we have determined that the rent received will not jeopardize our status as a REIT);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44" w:name="page45"/>
    <w:bookmarkEnd w:id="44"/>
    <w:p>
      <w:pPr>
        <w:ind w:left="780" w:hanging="326"/>
        <w:spacing w:after="0" w:line="287" w:lineRule="auto"/>
        <w:tabs>
          <w:tab w:leader="none" w:pos="780" w:val="left"/>
        </w:tabs>
        <w:numPr>
          <w:ilvl w:val="0"/>
          <w:numId w:val="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in certain limited circumstances involving taxable REIT subsidiaries, neither we nor someone who owns 10% or more of our shares may own 10% or more of a tenant from whom we receive rent.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will use our best efforts not to rent any property to a related party tenant (taking into account the applicable constructive ownership rules), unless we determine in our discretion that the rent received from such related party tenant is not material and will not jeopardize our status as a REIT. We believe that we have not leased property to any related party tenant, except where we have determined that the rent received from such related party tenant is not material and will not jeopardize our status as a REIT;</w:t>
      </w:r>
    </w:p>
    <w:p>
      <w:pPr>
        <w:spacing w:after="0" w:line="41" w:lineRule="exact"/>
        <w:rPr>
          <w:rFonts w:ascii="Arial" w:cs="Arial" w:eastAsia="Arial" w:hAnsi="Arial"/>
          <w:sz w:val="16"/>
          <w:szCs w:val="16"/>
          <w:color w:val="auto"/>
        </w:rPr>
      </w:pPr>
    </w:p>
    <w:p>
      <w:pPr>
        <w:ind w:left="780" w:right="40" w:hanging="326"/>
        <w:spacing w:after="0" w:line="254" w:lineRule="auto"/>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the case of certain rent from a taxable REIT subsidiary which would, but for this exception, be considered rent from a related party tenant, the space leased to the taxable REIT subsidiary must be part of a property at least 90 percent of which is rented to persons other than taxable REIT subsidiaries and related party tenants, and the amounts of rent paid to us by the taxable REIT subsidiary must be substantially comparable to the rents paid by such other persons for comparable space. All space currently leased to taxable REIT subsidiaries meets these conditions, and we intend to meet them in the future, unless we determine in our discretion that the rent received from a taxable REIT subsidiary is not material and will not jeopardize our status as a REIT;</w:t>
      </w:r>
    </w:p>
    <w:p>
      <w:pPr>
        <w:spacing w:after="0" w:line="63" w:lineRule="exact"/>
        <w:rPr>
          <w:rFonts w:ascii="Arial" w:cs="Arial" w:eastAsia="Arial" w:hAnsi="Arial"/>
          <w:sz w:val="18"/>
          <w:szCs w:val="18"/>
          <w:color w:val="auto"/>
        </w:rPr>
      </w:pPr>
    </w:p>
    <w:p>
      <w:pPr>
        <w:ind w:left="780" w:right="240" w:hanging="326"/>
        <w:spacing w:after="0" w:line="298" w:lineRule="auto"/>
        <w:tabs>
          <w:tab w:leader="none" w:pos="7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rent attributable to any personal property leased in connection with a lease of property is no more than 15% of the total rent received under the lease. In general, we have not leased a significant amount of personal property under our current leases. If any incidental personal property has been leased, we believe that rent under each lease from the personal property would be less than 15% of total rent from that lease. If we lease personal property in connection with a future lease, we intend to satisfy the 15% test described above; and</w:t>
      </w:r>
    </w:p>
    <w:p>
      <w:pPr>
        <w:spacing w:after="0" w:line="31" w:lineRule="exact"/>
        <w:rPr>
          <w:rFonts w:ascii="Arial" w:cs="Arial" w:eastAsia="Arial" w:hAnsi="Arial"/>
          <w:sz w:val="16"/>
          <w:szCs w:val="16"/>
          <w:color w:val="auto"/>
        </w:rPr>
      </w:pPr>
    </w:p>
    <w:p>
      <w:pPr>
        <w:ind w:left="780" w:right="20" w:hanging="326"/>
        <w:spacing w:after="0" w:line="290" w:lineRule="auto"/>
        <w:tabs>
          <w:tab w:leader="none" w:pos="7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We generally must not operate or manage our property or furnish or render services to our tenants, other than through an “independent contractor” who is adequately compensated and from whom we do not derive revenue, or through a taxable REIT subsidiary. We may provide services directly, if the services are “usually or customarily rendered” in connection with the rental of space for occupancy only and are not otherwise considered “rendered to the occupant.” In addition, we may render directly a de minimis amount of “non-customary” services to the tenants of a property without disqualifying the income as “rents from real property,” as long as our income from the services does not exceed 1% of our income from the related property. We have not provided services to leased properties that have caused rents to be disqualified as rents from real property, and in the future, we intend that any services provided will not cause rents to be disqualified as rents from real property.</w:t>
      </w:r>
    </w:p>
    <w:p>
      <w:pPr>
        <w:spacing w:after="0" w:line="11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Based on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On an ongoing basis, we will use our best efforts not to:</w:t>
      </w:r>
    </w:p>
    <w:p>
      <w:pPr>
        <w:spacing w:after="0" w:line="90" w:lineRule="exact"/>
        <w:rPr>
          <w:sz w:val="20"/>
          <w:szCs w:val="20"/>
          <w:color w:val="auto"/>
        </w:rPr>
      </w:pPr>
    </w:p>
    <w:p>
      <w:pPr>
        <w:ind w:left="780" w:hanging="326"/>
        <w:spacing w:after="0" w:line="268"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charge rent for any property that is based in whole or in part on the income or profits of any person (except by reason of being based on a percentage of receipts or sales, as described above);</w:t>
      </w:r>
    </w:p>
    <w:p>
      <w:pPr>
        <w:spacing w:after="0" w:line="50" w:lineRule="exact"/>
        <w:rPr>
          <w:rFonts w:ascii="Arial" w:cs="Arial" w:eastAsia="Arial" w:hAnsi="Arial"/>
          <w:sz w:val="18"/>
          <w:szCs w:val="18"/>
          <w:color w:val="auto"/>
        </w:rPr>
      </w:pPr>
    </w:p>
    <w:p>
      <w:pPr>
        <w:ind w:left="780" w:right="380" w:hanging="326"/>
        <w:spacing w:after="0" w:line="259"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rent any property to a related party tenant (taking into account the applicable constructive ownership rules and the exception for taxable REIT subsidiaries), unless we determine in our discretion that the rent received from such related party tenant is not material and will not jeopardize our status as a REIT;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45" w:name="page46"/>
    <w:bookmarkEnd w:id="45"/>
    <w:p>
      <w:pPr>
        <w:ind w:left="780" w:right="120" w:hanging="326"/>
        <w:spacing w:after="0" w:line="268" w:lineRule="auto"/>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derive rental income attributable to personal property (other than personal property leased in connection with the lease of real property, the amount of which is less than 15% of the total rent received under the lease); and</w:t>
      </w:r>
    </w:p>
    <w:p>
      <w:pPr>
        <w:spacing w:after="0" w:line="50" w:lineRule="exact"/>
        <w:rPr>
          <w:rFonts w:ascii="Arial" w:cs="Arial" w:eastAsia="Arial" w:hAnsi="Arial"/>
          <w:sz w:val="18"/>
          <w:szCs w:val="18"/>
          <w:color w:val="auto"/>
        </w:rPr>
      </w:pPr>
    </w:p>
    <w:p>
      <w:pPr>
        <w:jc w:val="both"/>
        <w:ind w:left="780" w:right="20" w:hanging="326"/>
        <w:spacing w:after="0" w:line="259" w:lineRule="auto"/>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perform services considered to be rendered to the occupant of the property that generate rents exceeding 1% of all amounts received or accrued during the taxable year with respect to such property, other than through an independent contractor from whom we derive no revenue, through a taxable REIT subsidiary, or if the provision of such services will not jeopardize our status as a REIT.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Because the Code provisions applicable to REITs are complex, however, we may fail to meet one or more of the foregoing.</w:t>
      </w:r>
    </w:p>
    <w:p>
      <w:pPr>
        <w:spacing w:after="0" w:line="171"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b w:val="1"/>
          <w:bCs w:val="1"/>
          <w:i w:val="1"/>
          <w:iCs w:val="1"/>
          <w:color w:val="auto"/>
        </w:rPr>
        <w:t>Tax on Income From Property Acquired in Foreclosure</w:t>
      </w:r>
      <w:r>
        <w:rPr>
          <w:rFonts w:ascii="Arial" w:cs="Arial" w:eastAsia="Arial" w:hAnsi="Arial"/>
          <w:sz w:val="16"/>
          <w:szCs w:val="16"/>
          <w:color w:val="auto"/>
        </w:rPr>
        <w:t>. 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“Foreclosure property” is any real property including interests in real property and any personal property incident to such real property:</w:t>
      </w:r>
    </w:p>
    <w:p>
      <w:pPr>
        <w:spacing w:after="0" w:line="26" w:lineRule="exact"/>
        <w:rPr>
          <w:sz w:val="20"/>
          <w:szCs w:val="20"/>
          <w:color w:val="auto"/>
        </w:rPr>
      </w:pPr>
    </w:p>
    <w:p>
      <w:pPr>
        <w:ind w:left="780" w:hanging="326"/>
        <w:spacing w:after="0" w:line="332" w:lineRule="auto"/>
        <w:tabs>
          <w:tab w:leader="none" w:pos="7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that is acquired by a REIT at a foreclosure sale, or having otherwise become the owner or in possession of the property by agreement or process of law, after a default (or imminent default) on a lease of such property or on an debt owed to the REIT secured by the property;</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171" w:lineRule="exact"/>
        <w:rPr>
          <w:sz w:val="20"/>
          <w:szCs w:val="20"/>
          <w:color w:val="auto"/>
        </w:rPr>
      </w:pPr>
    </w:p>
    <w:p>
      <w:pPr>
        <w:jc w:val="both"/>
        <w:ind w:right="20" w:firstLine="456"/>
        <w:spacing w:after="0" w:line="357" w:lineRule="auto"/>
        <w:rPr>
          <w:sz w:val="20"/>
          <w:szCs w:val="20"/>
          <w:color w:val="auto"/>
        </w:rPr>
      </w:pPr>
      <w:r>
        <w:rPr>
          <w:rFonts w:ascii="Arial" w:cs="Arial" w:eastAsia="Arial" w:hAnsi="Arial"/>
          <w:sz w:val="15"/>
          <w:szCs w:val="15"/>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ind w:left="780" w:right="300" w:hanging="326"/>
        <w:spacing w:after="0" w:line="268" w:lineRule="auto"/>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50" w:lineRule="exact"/>
        <w:rPr>
          <w:rFonts w:ascii="Arial" w:cs="Arial" w:eastAsia="Arial" w:hAnsi="Arial"/>
          <w:sz w:val="18"/>
          <w:szCs w:val="18"/>
          <w:color w:val="auto"/>
        </w:rPr>
      </w:pPr>
    </w:p>
    <w:p>
      <w:pPr>
        <w:ind w:left="780" w:right="200" w:hanging="326"/>
        <w:spacing w:after="0" w:line="259" w:lineRule="auto"/>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59"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50" w:lineRule="exact"/>
        <w:rPr>
          <w:rFonts w:ascii="Arial" w:cs="Arial" w:eastAsia="Arial" w:hAnsi="Arial"/>
          <w:sz w:val="18"/>
          <w:szCs w:val="18"/>
          <w:color w:val="auto"/>
        </w:rPr>
      </w:pPr>
    </w:p>
    <w:p>
      <w:pPr>
        <w:ind w:left="780" w:right="240" w:hanging="326"/>
        <w:spacing w:after="0" w:line="370" w:lineRule="auto"/>
        <w:tabs>
          <w:tab w:leader="none" w:pos="78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6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i w:val="1"/>
          <w:iCs w:val="1"/>
          <w:color w:val="auto"/>
        </w:rPr>
        <w:t>Tax on Prohibited Transactions</w:t>
      </w:r>
      <w:r>
        <w:rPr>
          <w:rFonts w:ascii="Arial" w:cs="Arial" w:eastAsia="Arial" w:hAnsi="Arial"/>
          <w:sz w:val="18"/>
          <w:szCs w:val="18"/>
          <w:color w:val="auto"/>
        </w:rPr>
        <w:t>. A REIT will incur a 100% tax on net income derived from any “prohibited transaction.” A “prohibited transaction”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is a sale or other disposition of property (other than foreclosure property) that the REIT holds primarily for sale to customers in the ordinary course of a trade or business. The prohibited transaction rules do not apply to property held by a taxable subsidiary of a REIT. Not taking into account properties held by our taxable REIT subsidiaries, we believe that none of the assets we are treated as holding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 Nevertheless, we will attempt to comply with the terms of safe-harbor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46" w:name="page47"/>
    <w:bookmarkEnd w:id="46"/>
    <w:p>
      <w:pPr>
        <w:ind w:right="5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provisions in the Code prescribing when an asset sale will not be characterized as a prohibited transaction. We may fail to comply with such safe-harbor provisions or may own property that could be characterized as property held “primarily for sale to customers in the ordinary course of a trade or business.”</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 taxable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Asset Tests</w:t>
      </w:r>
      <w:r>
        <w:rPr>
          <w:rFonts w:ascii="Arial" w:cs="Arial" w:eastAsia="Arial" w:hAnsi="Arial"/>
          <w:sz w:val="16"/>
          <w:szCs w:val="16"/>
          <w:color w:val="auto"/>
        </w:rPr>
        <w:t>. To maintain our qualification as a REIT, we also must satisfy the following asset tests at the close of each quarter of each taxable year:</w:t>
      </w:r>
    </w:p>
    <w:p>
      <w:pPr>
        <w:spacing w:after="0" w:line="113" w:lineRule="exact"/>
        <w:rPr>
          <w:sz w:val="20"/>
          <w:szCs w:val="20"/>
          <w:color w:val="auto"/>
        </w:rPr>
      </w:pPr>
    </w:p>
    <w:p>
      <w:pPr>
        <w:ind w:left="780" w:right="440" w:hanging="326"/>
        <w:spacing w:after="0" w:line="268" w:lineRule="auto"/>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government securities, “real estate assets,” or qualifying temporary investments (the “75% asset test”).</w:t>
      </w:r>
    </w:p>
    <w:p>
      <w:pPr>
        <w:spacing w:after="0" w:line="50" w:lineRule="exact"/>
        <w:rPr>
          <w:rFonts w:ascii="Arial" w:cs="Arial" w:eastAsia="Arial" w:hAnsi="Arial"/>
          <w:sz w:val="18"/>
          <w:szCs w:val="18"/>
          <w:color w:val="auto"/>
        </w:rPr>
      </w:pPr>
    </w:p>
    <w:p>
      <w:pPr>
        <w:ind w:left="1260" w:right="460" w:hanging="455"/>
        <w:spacing w:after="0" w:line="268" w:lineRule="auto"/>
        <w:tabs>
          <w:tab w:leader="none" w:pos="12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 We believe that the properties qualify as real estate assets.</w:t>
      </w:r>
    </w:p>
    <w:p>
      <w:pPr>
        <w:spacing w:after="0" w:line="50" w:lineRule="exact"/>
        <w:rPr>
          <w:rFonts w:ascii="Arial" w:cs="Arial" w:eastAsia="Arial" w:hAnsi="Arial"/>
          <w:sz w:val="18"/>
          <w:szCs w:val="18"/>
          <w:color w:val="auto"/>
        </w:rPr>
      </w:pPr>
    </w:p>
    <w:p>
      <w:pPr>
        <w:ind w:left="1260" w:right="60" w:hanging="455"/>
        <w:spacing w:after="0" w:line="259" w:lineRule="auto"/>
        <w:tabs>
          <w:tab w:leader="none" w:pos="12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59" w:lineRule="exact"/>
        <w:rPr>
          <w:rFonts w:ascii="Arial" w:cs="Arial" w:eastAsia="Arial" w:hAnsi="Arial"/>
          <w:sz w:val="18"/>
          <w:szCs w:val="18"/>
          <w:color w:val="auto"/>
        </w:rPr>
      </w:pPr>
    </w:p>
    <w:p>
      <w:pPr>
        <w:ind w:left="1260" w:right="120" w:hanging="455"/>
        <w:spacing w:after="0" w:line="268" w:lineRule="auto"/>
        <w:tabs>
          <w:tab w:leader="none" w:pos="12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50" w:lineRule="exact"/>
        <w:rPr>
          <w:rFonts w:ascii="Arial" w:cs="Arial" w:eastAsia="Arial" w:hAnsi="Arial"/>
          <w:sz w:val="18"/>
          <w:szCs w:val="18"/>
          <w:color w:val="auto"/>
        </w:rPr>
      </w:pPr>
    </w:p>
    <w:p>
      <w:pPr>
        <w:ind w:left="780" w:hanging="326"/>
        <w:spacing w:after="0" w:line="288" w:lineRule="auto"/>
        <w:tabs>
          <w:tab w:leader="none" w:pos="7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of other REITs, any qualified REIT subsidiary, or any taxable REIT subsidiary) may not exceed 5% of the value of our total assets (the “5% asset test”), (B) we generally may not own more than 10% of the voting power or value of any one issuer’s outstanding securities, which does not include our equity ownership in other REITs, any qualified REIT subsidiary, or any taxable REIT subsidiary (the “10% asset test”), and (C) the value of our securities in one or more taxable REIT subsidiaries may not exceed 20% of the value of our total assets.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If we fail to satisfy the asset tests at the end of a calendar quarter, we would not lose our REIT status if (i) we satisfied the asset tests at the close of the preceding calendar quarter and (ii) the discrepancy between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80" w:right="259" w:bottom="1440" w:gutter="0" w:footer="0" w:header="0"/>
        </w:sectPr>
      </w:pPr>
    </w:p>
    <w:bookmarkStart w:id="47" w:name="page48"/>
    <w:bookmarkEnd w:id="47"/>
    <w:p>
      <w:pPr>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07" w:lineRule="exact"/>
        <w:rPr>
          <w:sz w:val="20"/>
          <w:szCs w:val="20"/>
          <w:color w:val="auto"/>
        </w:rPr>
      </w:pPr>
    </w:p>
    <w:p>
      <w:pPr>
        <w:ind w:right="60" w:firstLine="456"/>
        <w:spacing w:after="0" w:line="303" w:lineRule="auto"/>
        <w:rPr>
          <w:sz w:val="20"/>
          <w:szCs w:val="20"/>
          <w:color w:val="auto"/>
        </w:rPr>
      </w:pPr>
      <w:r>
        <w:rPr>
          <w:rFonts w:ascii="Arial" w:cs="Arial" w:eastAsia="Arial" w:hAnsi="Arial"/>
          <w:sz w:val="15"/>
          <w:szCs w:val="15"/>
          <w:b w:val="1"/>
          <w:bCs w:val="1"/>
          <w:i w:val="1"/>
          <w:iCs w:val="1"/>
          <w:color w:val="auto"/>
        </w:rPr>
        <w:t xml:space="preserve">Relief from Consequences of Failing to Meet Asset Tests. </w:t>
      </w:r>
      <w:r>
        <w:rPr>
          <w:rFonts w:ascii="Arial" w:cs="Arial" w:eastAsia="Arial" w:hAnsi="Arial"/>
          <w:sz w:val="15"/>
          <w:szCs w:val="15"/>
          <w:color w:val="auto"/>
        </w:rPr>
        <w:t>If we fail to satisfy one or more of the asset tests for any quarter of a taxable year,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w:t>
      </w:r>
    </w:p>
    <w:p>
      <w:pPr>
        <w:spacing w:after="0" w:line="1" w:lineRule="exact"/>
        <w:rPr>
          <w:sz w:val="20"/>
          <w:szCs w:val="20"/>
          <w:color w:val="auto"/>
        </w:rPr>
      </w:pPr>
    </w:p>
    <w:p>
      <w:pPr>
        <w:ind w:firstLine="8"/>
        <w:spacing w:after="0" w:line="288" w:lineRule="auto"/>
        <w:tabs>
          <w:tab w:leader="none" w:pos="258"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it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2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following taxable year and pay the distribution on or before the first regular dividend payment date after such declaration.</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net capital gain attributable to the sale of depreciated property that exceeds our allocable share of cash attributable to that sale. As a result of the foregoing, we may have less cash than is necessary to distribute all of our taxable income and thereby avoid corporate income tax and the excise tax imposed on certain undistributed income. In such a situation, we may need to borrow funds or issue preferred shares or additional common shares.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48" w:name="page49"/>
    <w:bookmarkEnd w:id="48"/>
    <w:p>
      <w:pPr>
        <w:ind w:right="6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b w:val="1"/>
          <w:bCs w:val="1"/>
          <w:i w:val="1"/>
          <w:iCs w:val="1"/>
          <w:color w:val="auto"/>
        </w:rPr>
        <w:t>Record Keeping Requirements</w:t>
      </w:r>
      <w:r>
        <w:rPr>
          <w:rFonts w:ascii="Arial" w:cs="Arial" w:eastAsia="Arial" w:hAnsi="Arial"/>
          <w:sz w:val="18"/>
          <w:szCs w:val="18"/>
          <w:color w:val="auto"/>
        </w:rPr>
        <w:t>. We must maintain certain records to qualify as a REIT. In addition, to avoid a monetary penalty, we must request 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basis certain information from our shareholders designed to disclose the actual ownership of our outstanding shares. We have complied, and we intend to continue to comply, with such requirements.</w:t>
      </w:r>
    </w:p>
    <w:p>
      <w:pPr>
        <w:spacing w:after="0" w:line="140"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 xml:space="preserve">Failure to Qualify. </w:t>
      </w:r>
      <w:r>
        <w:rPr>
          <w:rFonts w:ascii="Arial" w:cs="Arial" w:eastAsia="Arial" w:hAnsi="Arial"/>
          <w:sz w:val="16"/>
          <w:szCs w:val="16"/>
          <w:color w:val="auto"/>
        </w:rPr>
        <w:t>If we fail to qualify as a REIT in any taxable year, and no relief provision applied, we would be subject to federal income tax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applicable alternative minimum tax) on our taxable income at regular corporate rates. In calculating our taxable income in a year in which we fail to qualify as a REIT, we would not be able to deduct amounts paid out to shareholders. In fact, we would not be required to distribute any amounts to shareholders in such year. In such event, to the extent of our earnings and profits, all distributions to shareholders would be taxable as ordinary income. Such distributions would, however, be “qualified dividend income,” which is taxable at long-term capital gain rates for individual shareholders.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used herein, the term “taxable U.S. shareholder” means a taxable holder of common or preferred shares that for U.S. federal income tax purposes is</w:t>
      </w:r>
    </w:p>
    <w:p>
      <w:pPr>
        <w:spacing w:after="0" w:line="113" w:lineRule="exact"/>
        <w:rPr>
          <w:sz w:val="20"/>
          <w:szCs w:val="20"/>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 corporation, partnership, or other entity created or organized in or under the laws of the United States, any of its states or the District of Columbia;</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90" w:lineRule="exact"/>
        <w:rPr>
          <w:rFonts w:ascii="Arial" w:cs="Arial" w:eastAsia="Arial" w:hAnsi="Arial"/>
          <w:sz w:val="18"/>
          <w:szCs w:val="18"/>
          <w:color w:val="auto"/>
        </w:rPr>
      </w:pPr>
    </w:p>
    <w:p>
      <w:pPr>
        <w:ind w:left="780" w:right="140" w:hanging="326"/>
        <w:spacing w:after="0" w:line="298" w:lineRule="auto"/>
        <w:tabs>
          <w:tab w:leader="none" w:pos="7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any trust with respect to which (A) a U.S. court is able to exercise primary supervision over the administration of such trust and (B) one or more U.S. persons have the authority to control all substantial decisions of the trust. Notwithstanding the preceding sentence, to the extent provided in the Treasury regulations, some trusts in existence on August 20, 1996, and treated as United States persons prior to this date that elect to continue to be treated as United States persons, shall be considered taxable U.S. shareholders.</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a partnership, including an entity that is treated as a partnership for U.S. federal income tax purposes, is a beneficial owner of our shares, the treatment of a partner in the partnership will generally depend on the status of the partner and the activities of the partnership.</w:t>
      </w:r>
    </w:p>
    <w:p>
      <w:pPr>
        <w:spacing w:after="0" w:line="132"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our depositary receipts.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80" w:right="259" w:bottom="1440" w:gutter="0" w:footer="0" w:header="0"/>
        </w:sectPr>
      </w:pPr>
    </w:p>
    <w:bookmarkStart w:id="49" w:name="page50"/>
    <w:bookmarkEnd w:id="49"/>
    <w:p>
      <w:pPr>
        <w:ind w:firstLine="456"/>
        <w:spacing w:after="0" w:line="306"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Dividends and Other Taxable U.S. Shareholder Distributions. </w:t>
      </w:r>
      <w:r>
        <w:rPr>
          <w:rFonts w:ascii="Arial" w:cs="Arial" w:eastAsia="Arial" w:hAnsi="Arial"/>
          <w:sz w:val="16"/>
          <w:szCs w:val="16"/>
          <w:color w:val="auto"/>
        </w:rPr>
        <w:t>As long as we qualify as a REIT, a taxable U.S. shareholder must take into account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distributions on our common and preferred shares out of our current or accumulated earnings and profits (and that we do not designate as capital gain dividends or retained long-term capital gain) as ordinary income. Such distributions will not qualify for the dividends received deduction generally available to corporations.</w:t>
      </w:r>
    </w:p>
    <w:p>
      <w:pPr>
        <w:spacing w:after="0" w:line="10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determining the extent to which a distribution constitutes a dividend for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18"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shares.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9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4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ordinary income or capital gain dividends.</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i w:val="1"/>
          <w:iCs w:val="1"/>
          <w:color w:val="auto"/>
        </w:rPr>
        <w:t xml:space="preserve">Taxation of Taxable U.S. Shareholders on the Disposition of Our Shares. </w:t>
      </w:r>
      <w:r>
        <w:rPr>
          <w:rFonts w:ascii="Arial" w:cs="Arial" w:eastAsia="Arial" w:hAnsi="Arial"/>
          <w:sz w:val="16"/>
          <w:szCs w:val="16"/>
          <w:color w:val="auto"/>
        </w:rPr>
        <w:t>In general, a taxable U.S. shareholder who is not a dealer in securities must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 any gain or loss realized upon a taxable disposition of the common or preferred shares as long-term capital gain or loss if the taxable U.S. shareholder has held its shares for more than one year and otherwise as short-term capital gain or loss.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 All or a portion of any loss a taxable U.S. shareholder realizes upon a taxable disposition of the common or preferred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50" w:name="page51"/>
    <w:bookmarkEnd w:id="50"/>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 may be disallowed if the taxable U.S. shareholder purchases substantially identical shares within the 61-day period beginning 30 days before and ending 30 days after the disposition.</w:t>
      </w:r>
    </w:p>
    <w:p>
      <w:pPr>
        <w:spacing w:after="0" w:line="13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i w:val="1"/>
          <w:iCs w:val="1"/>
          <w:color w:val="auto"/>
        </w:rPr>
        <w:t xml:space="preserve">Capital Gains and Losses. </w:t>
      </w:r>
      <w:r>
        <w:rPr>
          <w:rFonts w:ascii="Arial" w:cs="Arial" w:eastAsia="Arial" w:hAnsi="Arial"/>
          <w:sz w:val="16"/>
          <w:szCs w:val="16"/>
          <w:color w:val="auto"/>
        </w:rPr>
        <w:t>A taxpayer generally must hold a capital asset for more than one year for gain or loss derived from its sale or exchange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treated as long-term capital gain or loss. The highest marginal individual income tax rate on ordinary income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 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The tax rate differential between capital gain and ordinary income for non-corporate taxpayers is significant.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generally may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2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 (i) 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2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other shares, under certain circumstances, such basis may be transferred to a related person, or it may be lost entirely.</w:t>
      </w:r>
    </w:p>
    <w:p>
      <w:pPr>
        <w:spacing w:after="0" w:line="171"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Proposed Treasury Regulations would, if adopted, alter the method for recovering a taxable U.S. shareholder’s adjusted tax basis in any of our shares redeemed in a dividend equivalent redemption. Under the Proposed Treasury Regulations, a holder would be treated as realizing a capital loss on the date of the dividend equivalent redemption equal to the adjusted tax basis of the shares redeemed, subject to adjustments. The recognition of such loss would generally be deferred until the occurrence of specified events, such as, for example, the holder’s ceasing to actually or constructively own any shares. There can be no assurance that the Proposed Treasury Regulations will be adopted, or that they will be adopted in their current form.</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Redemption or Conversion of Preferred Shares to Common Shares. </w:t>
      </w:r>
      <w:r>
        <w:rPr>
          <w:rFonts w:ascii="Arial" w:cs="Arial" w:eastAsia="Arial" w:hAnsi="Arial"/>
          <w:sz w:val="16"/>
          <w:szCs w:val="16"/>
          <w:color w:val="auto"/>
        </w:rPr>
        <w:t>Assuming that preferred shares will not be redeemed or converted at a time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distributions in arrears, in general, no gain or loss will be recognized for federal income tax purposes upon the redemption or conversion of our preferred shares at the option of the holder solely into common shares. The basis that a taxable U.S. shareholder will have for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8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Adjustments to Conversion Price. </w:t>
      </w:r>
      <w:r>
        <w:rPr>
          <w:rFonts w:ascii="Arial" w:cs="Arial" w:eastAsia="Arial" w:hAnsi="Arial"/>
          <w:sz w:val="16"/>
          <w:szCs w:val="16"/>
          <w:color w:val="auto"/>
        </w:rPr>
        <w:t>Under Section 305 of the Code, holders of preferred shares may be deemed to have received a constructive distribution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reasonable adjustment formula that has the effect of preventing dilution of the interest of the holders, however, will generally not be considered to result in a constructive distribution of shares. Certain of the possible adjustments provided in the preferred shares may not qualify as being pursuant to a </w:t>
      </w:r>
      <w:r>
        <w:rPr>
          <w:rFonts w:ascii="Arial" w:cs="Arial" w:eastAsia="Arial" w:hAnsi="Arial"/>
          <w:sz w:val="16"/>
          <w:szCs w:val="16"/>
          <w:i w:val="1"/>
          <w:iCs w:val="1"/>
          <w:color w:val="auto"/>
        </w:rPr>
        <w:t>bona fide</w:t>
      </w:r>
      <w:r>
        <w:rPr>
          <w:rFonts w:ascii="Arial" w:cs="Arial" w:eastAsia="Arial" w:hAnsi="Arial"/>
          <w:sz w:val="16"/>
          <w:szCs w:val="16"/>
          <w:color w:val="auto"/>
        </w:rPr>
        <w:t>, reasonable adjustment formula. If a nonqualifying adjustment were made, the holders of preferred shares might be deemed to have received a taxable stock dividend.</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Current Tax Rates. </w:t>
      </w:r>
      <w:r>
        <w:rPr>
          <w:rFonts w:ascii="Arial" w:cs="Arial" w:eastAsia="Arial" w:hAnsi="Arial"/>
          <w:sz w:val="16"/>
          <w:szCs w:val="16"/>
          <w:color w:val="auto"/>
        </w:rPr>
        <w:t>The maximum tax rate on the long-term capital gains of domestic non-corporate taxpayers is 15% for taxable years beginning 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before December 31, 2010. The tax rate on “qualified dividend income” is the same as the maximum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the 15% rate does generally apply to:</w:t>
      </w:r>
    </w:p>
    <w:p>
      <w:pPr>
        <w:spacing w:after="0" w:line="35" w:lineRule="exact"/>
        <w:rPr>
          <w:sz w:val="20"/>
          <w:szCs w:val="20"/>
          <w:color w:val="auto"/>
        </w:rPr>
      </w:pPr>
    </w:p>
    <w:p>
      <w:pPr>
        <w:ind w:left="780" w:hanging="326"/>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90"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90"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80" w:right="259" w:bottom="1440" w:gutter="0" w:footer="0" w:header="0"/>
        </w:sectPr>
      </w:pPr>
    </w:p>
    <w:bookmarkStart w:id="52" w:name="page53"/>
    <w:bookmarkEnd w:id="52"/>
    <w:p>
      <w:pPr>
        <w:ind w:right="1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Without legislation, the maximum tax rate on long-term capital gains will increase to 20% in 2011, and qualified dividend income will no longer be taxed at a preferential rate compared to ordinary income.</w:t>
      </w:r>
    </w:p>
    <w:p>
      <w:pPr>
        <w:spacing w:after="0" w:line="13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 xml:space="preserve">Information Reporting and Backup Withholding. </w:t>
      </w:r>
      <w:r>
        <w:rPr>
          <w:rFonts w:ascii="Arial" w:cs="Arial" w:eastAsia="Arial" w:hAnsi="Arial"/>
          <w:sz w:val="16"/>
          <w:szCs w:val="16"/>
          <w:color w:val="auto"/>
        </w:rPr>
        <w:t>We will report to our shareholders and to the IRS the amount of dividends we pay during each calendar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and the amount of tax we withhold, if any. Under the backup withholding rules, a shareholder may be subject to backup withholding (currently at the rate of 28%)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Any amount paid as backup withholding will be creditable against the U.S. shareholder’s income tax liability. In addition, we may be required to withhold a portion of capital gain distributions to any shareholders who fail to certify their non-foreign status to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47" w:lineRule="exact"/>
        <w:rPr>
          <w:sz w:val="20"/>
          <w:szCs w:val="20"/>
          <w:color w:val="auto"/>
        </w:rPr>
      </w:pPr>
    </w:p>
    <w:p>
      <w:pPr>
        <w:ind w:left="780" w:hanging="326"/>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50" w:lineRule="exact"/>
        <w:rPr>
          <w:rFonts w:ascii="Arial" w:cs="Arial" w:eastAsia="Arial" w:hAnsi="Arial"/>
          <w:sz w:val="18"/>
          <w:szCs w:val="18"/>
          <w:color w:val="auto"/>
        </w:rPr>
      </w:pPr>
    </w:p>
    <w:p>
      <w:pPr>
        <w:ind w:left="780" w:right="620" w:hanging="326"/>
        <w:spacing w:after="0" w:line="332" w:lineRule="auto"/>
        <w:tabs>
          <w:tab w:leader="none" w:pos="7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rules governing U.S. federal income taxation of non-U.S. shareholders are complex. This section is only a summary of such rules. We urge non-U.S. shareholders to consult their own tax advisors to determine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80" w:right="259" w:bottom="1440" w:gutter="0" w:footer="0" w:header="0"/>
        </w:sectPr>
      </w:pPr>
    </w:p>
    <w:bookmarkStart w:id="53" w:name="page54"/>
    <w:bookmarkEnd w:id="53"/>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impact of federal, state, and local income tax laws on ownership of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w:t>
      </w:r>
    </w:p>
    <w:p>
      <w:pPr>
        <w:spacing w:after="0" w:line="140"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b w:val="1"/>
          <w:bCs w:val="1"/>
          <w:i w:val="1"/>
          <w:iCs w:val="1"/>
          <w:color w:val="auto"/>
        </w:rPr>
        <w:t>Ordinary Dividends</w:t>
      </w:r>
      <w:r>
        <w:rPr>
          <w:rFonts w:ascii="Arial" w:cs="Arial" w:eastAsia="Arial" w:hAnsi="Arial"/>
          <w:sz w:val="16"/>
          <w:szCs w:val="16"/>
          <w:color w:val="auto"/>
        </w:rPr>
        <w:t>. A non-U.S. shareholder that receives a distribution that is not attributable to gain from our sale or exchange of U.S. real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interests (as defined below) and that we do not designate as a capital gain dividend or retained capital gain will recognize ordinary income to the extent that we pay such distribution out of our current or accumulated earnings and profits. A withholding tax equal to 30% of the gross amount of the distribution ordinarily will apply to such distribution unless an applicable tax treaty reduces or eliminates the tax. However, if a distribution is treated as effectively connected with the non-U.S. shareholder’s conduct of a U.S. trade or business,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We plan to withhold U.S. income tax at the rate of 30% on the gross amount of any such distribution paid to a non-U.S. shareholder unless (i) a lower treaty rate applies and the non-U.S. shareholder (or beneficial owner in the case of shares owned through a pass-through entity that is not acting as a withholding foreign partnership or trust) provides IRS Form W-8BEN to us evidencing eligibility for that reduced rate, (ii) the non-U.S. shareholder files an IRS Form W-8ECI with us claiming that the distribution is effectively connected income, or (iii) the non-U.S. shareholder holds shares through a “qualified intermediary” that has elected to perform any necessary withholding itself.</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Return of Capital</w:t>
      </w:r>
      <w:r>
        <w:rPr>
          <w:rFonts w:ascii="Arial" w:cs="Arial" w:eastAsia="Arial" w:hAnsi="Arial"/>
          <w:sz w:val="16"/>
          <w:szCs w:val="16"/>
          <w:color w:val="auto"/>
        </w:rPr>
        <w:t>. A non-U.S. shareholder will not incur tax on a distribution to the extent it exceeds our current and accumulated earnings and profits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i w:val="1"/>
          <w:iCs w:val="1"/>
          <w:color w:val="auto"/>
        </w:rPr>
        <w:t>Capital Gain Dividends</w:t>
      </w:r>
      <w:r>
        <w:rPr>
          <w:rFonts w:ascii="Arial" w:cs="Arial" w:eastAsia="Arial" w:hAnsi="Arial"/>
          <w:sz w:val="16"/>
          <w:szCs w:val="16"/>
          <w:color w:val="auto"/>
        </w:rPr>
        <w:t>. Provided that a particular class of our shares is “regularly traded” on an established securities market in the United States,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non-U.S. shareholder does not own more than 5% of the shares of such class at any time during the one-year period preceding the distribution, then amounts distributed with respect to those shares that are designated as capital gains from our sale or exchange of “U.S. real property interests” (defined below) are treated as an ordinary dividend taxable as described above under “— Ordinary Dividends.”</w:t>
      </w:r>
    </w:p>
    <w:p>
      <w:pPr>
        <w:spacing w:after="0" w:line="11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If the foregoing exceptions do not apply, for example because the non-U.S. shareholder owns more than 5% of our shares, the non-U.S. shareholder incurs tax on distributions that are attributable to gain 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not entitled to treaty relief or exemption also may be subject to the 30% branch profits tax 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54" w:name="page55"/>
    <w:bookmarkEnd w:id="54"/>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distributions subject to FIRPTA.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w:t>
      </w:r>
    </w:p>
    <w:p>
      <w:pPr>
        <w:spacing w:after="0" w:line="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35% equals the amount of the distribution designated as a capital gain dividend. A non-U.S. shareholder may receive a credit against its FIRPTA tax liability for the amount we withhold.</w:t>
      </w:r>
    </w:p>
    <w:p>
      <w:pPr>
        <w:spacing w:after="0" w:line="13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4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b w:val="1"/>
          <w:bCs w:val="1"/>
          <w:i w:val="1"/>
          <w:iCs w:val="1"/>
          <w:color w:val="auto"/>
        </w:rPr>
        <w:t>Sale of Shares</w:t>
      </w:r>
      <w:r>
        <w:rPr>
          <w:rFonts w:ascii="Arial" w:cs="Arial" w:eastAsia="Arial" w:hAnsi="Arial"/>
          <w:sz w:val="16"/>
          <w:szCs w:val="16"/>
          <w:color w:val="auto"/>
        </w:rPr>
        <w:t>. A non-U.S. shareholder generally will not incur tax under FIRPTA on gain from the sale of its common or preferred shares as long as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a “domestically controlled REIT.” A “domestically controlled REIT” is a REIT in which at all times during a specified testing period non-U.S. persons held, directly or indirectly, less than 50% in value of our shares. We anticipate that we will continue to be a “domestically controlled REIT.” In addition, a non-U.S. shareholder that owns, actually or constructively, 5% or less of a class of our of outstanding shares at all times during a specified testing period will not incur tax under FIRPTA on a sale of such shares if the shares are “regularly traded” on an established securities market. If neither of these exceptions were to apply, the gain on the sale of the common or preferred shares would be taxed under FIRPTA, in which case a non-U.S. shareholder would be taxed in the same manner as taxable U.S. shareholders with respect to such gain (subject to applicable alternative minimum tax and a special alternative minimum tax in the case of nonresident alien individuals), and the purchaser of the shares would be required to withhold and remit to the IRS 10% of the purchase price.</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Information Reporting and Backup Withholding</w:t>
      </w:r>
      <w:r>
        <w:rPr>
          <w:rFonts w:ascii="Arial" w:cs="Arial" w:eastAsia="Arial" w:hAnsi="Arial"/>
          <w:sz w:val="18"/>
          <w:szCs w:val="18"/>
          <w:color w:val="auto"/>
        </w:rPr>
        <w:t>. We must report annually to the IRS and to each non-U.S. shareholder the amount of distributions paid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Backup withholding and additional information reporting will generally not apply to distributions to a non-U.S. shareholder provided that the non-U.S. shareholder certifies under penalty of perjury that the shareholder is a non-U.S. shareholder, or otherwise establishes an exemption.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62" w:lineRule="exact"/>
        <w:rPr>
          <w:sz w:val="20"/>
          <w:szCs w:val="20"/>
          <w:color w:val="auto"/>
        </w:rPr>
      </w:pPr>
    </w:p>
    <w:p>
      <w:pPr>
        <w:ind w:left="780" w:hanging="326"/>
        <w:spacing w:after="0"/>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is a “controlled foreign corporation” (a foreign corporation controlled by certain U.S. shareholders) for U.S. tax purposes;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55" w:name="page56"/>
    <w:bookmarkEnd w:id="55"/>
    <w:p>
      <w:pPr>
        <w:ind w:left="780" w:hanging="326"/>
        <w:spacing w:after="0" w:line="268" w:lineRule="auto"/>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that is a foreign partnership, if at any time during its tax year more than 50% of its income or capital interest are held by U.S. persons or if it is engaged in the conduct of a trade or business in the U.S.,</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 non-U.S. shareholder may obtain a refund of excess amounts withheld under the backup withholding rules by filing the appropriate claim for refund with the IRS.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Consequences</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b w:val="1"/>
          <w:bCs w:val="1"/>
          <w:i w:val="1"/>
          <w:iCs w:val="1"/>
          <w:color w:val="auto"/>
        </w:rPr>
        <w:t>State and Local Taxes</w:t>
      </w:r>
      <w:r>
        <w:rPr>
          <w:rFonts w:ascii="Arial" w:cs="Arial" w:eastAsia="Arial" w:hAnsi="Arial"/>
          <w:sz w:val="16"/>
          <w:szCs w:val="16"/>
          <w:color w:val="auto"/>
        </w:rPr>
        <w:t>. We and/or you may be subject to state and local tax in various states and localities, including those states and localities in which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you transact business, own property or reside. The state and local tax treatment in such jurisdictions may differ from the federal income tax treatment described above. Consequently, you should consult your own tax advisor regarding the effect of state and local tax laws upon an investment in our securities.</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may sell securities from time to time in one or more transactions on a negotiated or competitive bid basis to or through one or more underwriters or dealers on a firm commitment or best efforts basis, in the over-the-counter market, on any national securities exchange or automated quotation system on which the securities may be listed or traded, in privately negotiated transactions, to or through a market maker, or through any other legally available means. In addition, the sales will be made at market prices prevailing at the time of sale, at prices related to such prevailing market prices, or at negotiated prices. We may also sell securities directly to institutional investors or other purchasers or through agents.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90" w:lineRule="exact"/>
        <w:rPr>
          <w:sz w:val="20"/>
          <w:szCs w:val="20"/>
          <w:color w:val="auto"/>
        </w:rPr>
      </w:pPr>
    </w:p>
    <w:p>
      <w:pPr>
        <w:ind w:left="780" w:right="460" w:hanging="326"/>
        <w:spacing w:after="0" w:line="268" w:lineRule="auto"/>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purchases by a dealer as principal and resale by such dealer for its account pursuant to this prospectus or any prospectus supplement;</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17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56" w:name="page57"/>
    <w:bookmarkEnd w:id="56"/>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1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securities may or may not be listed on a national securities exchange or traded in the over-the-counter market (other than the common shares and the Series B preferred shares, each of which are quoted on The New York Stock Exchange). No assurance can be given as to the liquidity of the trading market for any such securities.</w:t>
      </w:r>
    </w:p>
    <w:p>
      <w:pPr>
        <w:spacing w:after="0" w:line="140"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2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80" w:right="25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LEGAL MATTERS</w:t>
      </w:r>
    </w:p>
    <w:p>
      <w:pPr>
        <w:spacing w:after="0" w:line="1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validity of the offered securities and the accuracy of the discussion under “Federal Income Tax Considerations”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Pursuant to the Securities Act of 1933 and the rules promulgated thereunder, we are required to, and have incorporated into this registration statement our Annual Report on Form 10-K for the year ended December 31, 2005. Grant Thornton LLP, independent registered public accounting firm, have audited our consolidated financial statements and schedules and management’s assessment of the effectiveness of internal control over financial reporting included in our Annual Report on Form 10-K for the year ended December 31, 2005, as set forth in their reports, which are incorporated by reference in this prospectus and elsewhere in the registration statement. Our financial statements and schedules and management’s assessment of the effectiveness of internal control over financial reporting contained in the 2005 Form 10-K are incorporated by reference in reliance on Grant Thornton LLP’s report, given on their authority as experts in accounting and auditing.</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 xml:space="preserve">We file annual, quarterly and special reports, proxy statements and other information with the SEC. Our SEC filings are available to the public at the SEC’s website at </w:t>
      </w:r>
      <w:r>
        <w:rPr>
          <w:rFonts w:ascii="Arial" w:cs="Arial" w:eastAsia="Arial" w:hAnsi="Arial"/>
          <w:sz w:val="15"/>
          <w:szCs w:val="15"/>
          <w:i w:val="1"/>
          <w:iCs w:val="1"/>
          <w:color w:val="auto"/>
        </w:rPr>
        <w:t>www.sec.gov</w:t>
      </w:r>
      <w:r>
        <w:rPr>
          <w:rFonts w:ascii="Arial" w:cs="Arial" w:eastAsia="Arial" w:hAnsi="Arial"/>
          <w:sz w:val="15"/>
          <w:szCs w:val="15"/>
          <w:color w:val="auto"/>
        </w:rPr>
        <w:t>. You may also read and copy any document we file at the SEC’s Public Reference Room at 100 F Street, N.E., Washington, D.C. 20549.</w:t>
      </w:r>
    </w:p>
    <w:p>
      <w:pPr>
        <w:spacing w:after="0" w:line="6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located at 20 Broad Street, New York, NY 10005.</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SEC allows us to “incorporate by reference” the information we file with them, which means we can disclose important information to you by referring you to those documents. The information we incorporate by reference is an important part of our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filings made with the SEC under Sections 13(a), 13(c), 14, or 15(d) of the Securities Exchange Act (Exchange Act File No. 1-07533) made from the date of this prospectus until we sell all of the securities under this prospectus as supplemented.</w:t>
      </w:r>
    </w:p>
    <w:p>
      <w:pPr>
        <w:spacing w:after="0" w:line="37" w:lineRule="exact"/>
        <w:rPr>
          <w:sz w:val="20"/>
          <w:szCs w:val="20"/>
          <w:color w:val="auto"/>
        </w:rPr>
      </w:pPr>
    </w:p>
    <w:p>
      <w:pPr>
        <w:ind w:left="780" w:hanging="326"/>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2005;</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Current Report on Form 8-K filed with the SEC on February 23,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Current Report on Form 8-K filed with the SEC on February 28,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Current Report on Form 8-K filed with the SEC on March 10, 2006;</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74" w:right="259" w:bottom="1440" w:gutter="0" w:footer="0" w:header="0"/>
        </w:sectPr>
      </w:pPr>
    </w:p>
    <w:bookmarkStart w:id="58" w:name="page59"/>
    <w:bookmarkEnd w:id="58"/>
    <w:p>
      <w:pPr>
        <w:ind w:left="780" w:hanging="326"/>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Description of our common shares contained in the Registration Statement on Form 8-A/A, filed June 6, 2002; and</w:t>
      </w:r>
    </w:p>
    <w:p>
      <w:pPr>
        <w:spacing w:after="0" w:line="90" w:lineRule="exact"/>
        <w:rPr>
          <w:rFonts w:ascii="Arial" w:cs="Arial" w:eastAsia="Arial" w:hAnsi="Arial"/>
          <w:sz w:val="18"/>
          <w:szCs w:val="18"/>
          <w:color w:val="auto"/>
        </w:rPr>
      </w:pPr>
    </w:p>
    <w:p>
      <w:pPr>
        <w:ind w:left="780" w:right="140" w:hanging="326"/>
        <w:spacing w:after="0" w:line="259" w:lineRule="auto"/>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Description of our Common Share Purchase Rights included in the Registration Statement on Form 8-A/A, filed March 11, 1999, and in the First Amendment to Amended and Restated Rights Agreement, dated as of November 2003 and filed as an exhibit to the Annual Report on Form 10-K for the year ended December 31, 2003, between us and American Stock Transfer &amp; Trust Company.</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Copies of these filings are available at no cost at our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 Amendments to these filings will be posted to our website as soon as reasonably practical after filing with the SEC. In addition, you may request a copy of these filings and any amendments thereto at no cost, by writing or telephoning us. Those copies will not include exhibits to those documents unless the exhibits are specifically incorporated by reference in the documents or unless you specifically request them. You may also request copies of any exhibits to the registration statement.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direct your request 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Andrew P. Blocher</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Vice President, Capital Markets and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 or (301) 658-8980</w:t>
      </w:r>
    </w:p>
    <w:p>
      <w:pPr>
        <w:spacing w:after="0" w:line="16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Our prospectus does not contain all of the information included in the registration statement. We have omitted certain parts of the registration statement in accordance with the rules and regulations of the SEC. For further information, we refer you to the registration statement, including its exhibits and schedules. Statements contained in our prospectus and any accompanying prospectus supplement about the provisions or contents of any contract, agreement or any other document referred to are not necessarily complete. Please refer to the actual exhibit for a more complete description of the matters involved. You may get copies of the exhibits by contacting the person named above.</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where the offer is prohibited by law. You should not assume that the information in this prospectus, any prospectus supplement or any incorporated document is accurate as of any date other than the date of the document.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80" w:right="259" w:bottom="1440" w:gutter="0" w:footer="0" w:header="0"/>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2713355</wp:posOffset>
            </wp:positionH>
            <wp:positionV relativeFrom="page">
              <wp:posOffset>1143635</wp:posOffset>
            </wp:positionV>
            <wp:extent cx="2143760" cy="8147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21437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32406B"/>
        </w:rPr>
        <w:t>2,002,670 Common Shares of Beneficial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230505</wp:posOffset>
            </wp:positionV>
            <wp:extent cx="15347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32406B"/>
        </w:rPr>
        <w:t>PROSPECTUS SUPPLEMENT</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32406B"/>
        </w:rPr>
        <w:t>September 14,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212090</wp:posOffset>
            </wp:positionV>
            <wp:extent cx="153479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32406B"/>
        </w:rPr>
        <w:t>Wachovia Securities</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31"/>
          <w:szCs w:val="31"/>
          <w:b w:val="1"/>
          <w:bCs w:val="1"/>
          <w:color w:val="32406B"/>
        </w:rPr>
        <w:t>BB&amp;T Capital Markets</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32406B"/>
        </w:rPr>
        <w:t>RBC Capital Markets</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32406B"/>
        </w:rPr>
        <w:t>Stifel Nicolaus</w:t>
      </w:r>
    </w:p>
    <w:sectPr>
      <w:pgSz w:w="11900" w:h="16838" w:orient="portrait"/>
      <w:cols w:equalWidth="0" w:num="1">
        <w:col w:w="9019"/>
      </w:cols>
      <w:pgMar w:left="14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1)"/>
      <w:numFmt w:val="decimal"/>
      <w:start w:val="1"/>
    </w:lvl>
  </w:abstractNum>
  <w:abstractNum w:abstractNumId="1">
    <w:nsid w:val="3855585C"/>
    <w:multiLevelType w:val="hybridMultilevel"/>
    <w:lvl w:ilvl="0">
      <w:lvlJc w:val="left"/>
      <w:lvlText w:val="•"/>
      <w:numFmt w:val="bullet"/>
      <w:start w:val="1"/>
    </w:lvl>
    <w:lvl w:ilvl="1">
      <w:lvlJc w:val="left"/>
      <w:lvlText w:val="•"/>
      <w:numFmt w:val="bullet"/>
      <w:start w:val="1"/>
    </w:lvl>
  </w:abstractNum>
  <w:abstractNum w:abstractNumId="2">
    <w:nsid w:val="70A64E2A"/>
    <w:multiLevelType w:val="hybridMultilevel"/>
    <w:lvl w:ilvl="0">
      <w:lvlJc w:val="left"/>
      <w:lvlText w:val="(%1)"/>
      <w:numFmt w:val="decimal"/>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lvl w:ilvl="1">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lvl w:ilvl="1">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1."/>
      <w:numFmt w:val="decimal"/>
      <w:start w:val="1"/>
    </w:lvl>
  </w:abstractNum>
  <w:abstractNum w:abstractNumId="29">
    <w:nsid w:val="649BB77C"/>
    <w:multiLevelType w:val="hybridMultilevel"/>
    <w:lvl w:ilvl="0">
      <w:lvlJc w:val="left"/>
      <w:lvlText w:val="%1."/>
      <w:numFmt w:val="decimal"/>
      <w:start w:val="4"/>
    </w:lvl>
    <w:lvl w:ilvl="1">
      <w:lvlJc w:val="left"/>
      <w:lvlText w:val="(%2)"/>
      <w:numFmt w:val="lowerLetter"/>
      <w:start w:val="1"/>
    </w:lvl>
  </w:abstractNum>
  <w:abstractNum w:abstractNumId="30">
    <w:nsid w:val="275AC794"/>
    <w:multiLevelType w:val="hybridMultilevel"/>
    <w:lvl w:ilvl="0">
      <w:lvlJc w:val="left"/>
      <w:lvlText w:val="%1."/>
      <w:numFmt w:val="decimal"/>
      <w:start w:val="7"/>
    </w:lvl>
    <w:lvl w:ilvl="1">
      <w:lvlJc w:val="left"/>
      <w:lvlText w:val="(%2)"/>
      <w:numFmt w:val="lowerLetter"/>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lvl w:ilvl="1">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
      <w:numFmt w:val="bullet"/>
      <w:start w:val="1"/>
    </w:lvl>
  </w:abstractNum>
  <w:abstractNum w:abstractNumId="52">
    <w:nsid w:val="1F48EAA1"/>
    <w:multiLevelType w:val="hybridMultilevel"/>
    <w:lvl w:ilvl="0">
      <w:lvlJc w:val="left"/>
      <w:lvlText w:val="•"/>
      <w:numFmt w:val="bullet"/>
      <w:start w:val="1"/>
    </w:lvl>
  </w:abstractNum>
  <w:abstractNum w:abstractNumId="53">
    <w:nsid w:val="1381823A"/>
    <w:multiLevelType w:val="hybridMultilevel"/>
    <w:lvl w:ilvl="0">
      <w:lvlJc w:val="left"/>
      <w:lvlText w:val="•"/>
      <w:numFmt w:val="bullet"/>
      <w:start w:val="1"/>
    </w:lvl>
    <w:lvl w:ilvl="1">
      <w:lvlJc w:val="left"/>
      <w:lvlText w:val="•"/>
      <w:numFmt w:val="bullet"/>
      <w:start w:val="1"/>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
      <w:numFmt w:val="bullet"/>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
      <w:numFmt w:val="bullet"/>
      <w:start w:val="1"/>
    </w:lvl>
  </w:abstractNum>
  <w:abstractNum w:abstractNumId="61">
    <w:nsid w:val="6B94764"/>
    <w:multiLevelType w:val="hybridMultilevel"/>
    <w:lvl w:ilvl="0">
      <w:lvlJc w:val="left"/>
      <w:lvlText w:val="•"/>
      <w:numFmt w:val="bullet"/>
      <w:start w:val="1"/>
    </w:lvl>
  </w:abstractNum>
  <w:abstractNum w:abstractNumId="62">
    <w:nsid w:val="42C296BD"/>
    <w:multiLevelType w:val="hybridMultilevel"/>
    <w:lvl w:ilvl="0">
      <w:lvlJc w:val="left"/>
      <w:lvlText w:val="•"/>
      <w:numFmt w:val="bullet"/>
      <w:start w:val="1"/>
    </w:lvl>
  </w:abstractNum>
  <w:abstractNum w:abstractNumId="63">
    <w:nsid w:val="168E121F"/>
    <w:multiLevelType w:val="hybridMultilevel"/>
    <w:lvl w:ilvl="0">
      <w:lvlJc w:val="left"/>
      <w:lvlText w:val="%1."/>
      <w:numFmt w:val="decimal"/>
      <w:start w:val="1"/>
    </w:lvl>
  </w:abstractNum>
  <w:abstractNum w:abstractNumId="64">
    <w:nsid w:val="1EBA5D23"/>
    <w:multiLevelType w:val="hybridMultilevel"/>
    <w:lvl w:ilvl="0">
      <w:lvlJc w:val="left"/>
      <w:lvlText w:val="•"/>
      <w:numFmt w:val="bullet"/>
      <w:start w:val="1"/>
    </w:lvl>
  </w:abstractNum>
  <w:abstractNum w:abstractNumId="65">
    <w:nsid w:val="661E3F1E"/>
    <w:multiLevelType w:val="hybridMultilevel"/>
    <w:lvl w:ilvl="0">
      <w:lvlJc w:val="left"/>
      <w:lvlText w:val="•"/>
      <w:numFmt w:val="bullet"/>
      <w:start w:val="1"/>
    </w:lvl>
  </w:abstractNum>
  <w:abstractNum w:abstractNumId="66">
    <w:nsid w:val="5DC79EA8"/>
    <w:multiLevelType w:val="hybridMultilevel"/>
    <w:lvl w:ilvl="0">
      <w:lvlJc w:val="left"/>
      <w:lvlText w:val="•"/>
      <w:numFmt w:val="bullet"/>
      <w:start w:val="1"/>
    </w:lvl>
  </w:abstractNum>
  <w:abstractNum w:abstractNumId="67">
    <w:nsid w:val="540A471C"/>
    <w:multiLevelType w:val="hybridMultilevel"/>
    <w:lvl w:ilvl="0">
      <w:lvlJc w:val="left"/>
      <w:lvlText w:val="•"/>
      <w:numFmt w:val="bullet"/>
      <w:start w:val="1"/>
    </w:lvl>
  </w:abstractNum>
  <w:abstractNum w:abstractNumId="68">
    <w:nsid w:val="7BD3EE7B"/>
    <w:multiLevelType w:val="hybridMultilevel"/>
    <w:lvl w:ilvl="0">
      <w:lvlJc w:val="left"/>
      <w:lvlText w:val="•"/>
      <w:numFmt w:val="bullet"/>
      <w:start w:val="1"/>
    </w:lvl>
  </w:abstractNum>
  <w:abstractNum w:abstractNumId="69">
    <w:nsid w:val="51D9C564"/>
    <w:multiLevelType w:val="hybridMultilevel"/>
    <w:lvl w:ilvl="0">
      <w:lvlJc w:val="left"/>
      <w:lvlText w:val="•"/>
      <w:numFmt w:val="bullet"/>
      <w:start w:val="1"/>
    </w:lvl>
  </w:abstractNum>
  <w:abstractNum w:abstractNumId="70">
    <w:nsid w:val="613EFDC5"/>
    <w:multiLevelType w:val="hybridMultilevel"/>
    <w:lvl w:ilvl="0">
      <w:lvlJc w:val="left"/>
      <w:lvlText w:val="•"/>
      <w:numFmt w:val="bullet"/>
      <w:start w:val="1"/>
    </w:lvl>
  </w:abstractNum>
  <w:abstractNum w:abstractNumId="71">
    <w:nsid w:val="BF72B14"/>
    <w:multiLevelType w:val="hybridMultilevel"/>
    <w:lvl w:ilvl="0">
      <w:lvlJc w:val="left"/>
      <w:lvlText w:val="•"/>
      <w:numFmt w:val="bullet"/>
      <w:start w:val="1"/>
    </w:lvl>
    <w:lvl w:ilvl="1">
      <w:lvlJc w:val="left"/>
      <w:lvlText w:val="•"/>
      <w:numFmt w:val="bullet"/>
      <w:start w:val="1"/>
    </w:lvl>
  </w:abstractNum>
  <w:abstractNum w:abstractNumId="72">
    <w:nsid w:val="11447B73"/>
    <w:multiLevelType w:val="hybridMultilevel"/>
    <w:lvl w:ilvl="0">
      <w:lvlJc w:val="left"/>
      <w:lvlText w:val="(%1)"/>
      <w:numFmt w:val="lowerRoman"/>
      <w:start w:val="2"/>
    </w:lvl>
  </w:abstractNum>
  <w:abstractNum w:abstractNumId="73">
    <w:nsid w:val="42963E5A"/>
    <w:multiLevelType w:val="hybridMultilevel"/>
    <w:lvl w:ilvl="0">
      <w:lvlJc w:val="left"/>
      <w:lvlText w:val="•"/>
      <w:numFmt w:val="bullet"/>
      <w:start w:val="1"/>
    </w:lvl>
  </w:abstractNum>
  <w:abstractNum w:abstractNumId="74">
    <w:nsid w:val="A0382C5"/>
    <w:multiLevelType w:val="hybridMultilevel"/>
    <w:lvl w:ilvl="0">
      <w:lvlJc w:val="left"/>
      <w:lvlText w:val="•"/>
      <w:numFmt w:val="bullet"/>
      <w:start w:val="1"/>
    </w:lvl>
  </w:abstractNum>
  <w:abstractNum w:abstractNumId="75">
    <w:nsid w:val="8F2B15E"/>
    <w:multiLevelType w:val="hybridMultilevel"/>
    <w:lvl w:ilvl="0">
      <w:lvlJc w:val="left"/>
      <w:lvlText w:val="•"/>
      <w:numFmt w:val="bullet"/>
      <w:start w:val="1"/>
    </w:lvl>
  </w:abstractNum>
  <w:abstractNum w:abstractNumId="76">
    <w:nsid w:val="1A32234B"/>
    <w:multiLevelType w:val="hybridMultilevel"/>
    <w:lvl w:ilvl="0">
      <w:lvlJc w:val="left"/>
      <w:lvlText w:val="•"/>
      <w:numFmt w:val="bullet"/>
      <w:start w:val="1"/>
    </w:lvl>
  </w:abstractNum>
  <w:abstractNum w:abstractNumId="77">
    <w:nsid w:val="3B0FD379"/>
    <w:multiLevelType w:val="hybridMultilevel"/>
    <w:lvl w:ilvl="0">
      <w:lvlJc w:val="left"/>
      <w:lvlText w:val="•"/>
      <w:numFmt w:val="bullet"/>
      <w:start w:val="1"/>
    </w:lvl>
  </w:abstractNum>
  <w:abstractNum w:abstractNumId="78">
    <w:nsid w:val="68EB2F63"/>
    <w:multiLevelType w:val="hybridMultilevel"/>
    <w:lvl w:ilvl="0">
      <w:lvlJc w:val="left"/>
      <w:lvlText w:val="•"/>
      <w:numFmt w:val="bullet"/>
      <w:start w:val="1"/>
    </w:lvl>
  </w:abstractNum>
  <w:abstractNum w:abstractNumId="79">
    <w:nsid w:val="4962813B"/>
    <w:multiLevelType w:val="hybridMultilevel"/>
    <w:lvl w:ilvl="0">
      <w:lvlJc w:val="left"/>
      <w:lvlText w:val="•"/>
      <w:numFmt w:val="bullet"/>
      <w:start w:val="1"/>
    </w:lvl>
  </w:abstractNum>
  <w:abstractNum w:abstractNumId="80">
    <w:nsid w:val="60B6DF7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2019-12-12T09:28:12Z</dcterms:created>
  <dcterms:modified xsi:type="dcterms:W3CDTF">2019-12-12T09:28:12Z</dcterms:modified>
</cp:coreProperties>
</file>