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28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5160" w:type="dxa"/>
            <w:vAlign w:val="bottom"/>
          </w:tcPr>
          <w:p>
            <w:pPr>
              <w:jc w:val="right"/>
              <w:ind w:right="44"/>
              <w:spacing w:after="0"/>
              <w:rPr>
                <w:sz w:val="20"/>
                <w:szCs w:val="20"/>
                <w:color w:val="auto"/>
              </w:rPr>
            </w:pPr>
            <w:r>
              <w:rPr>
                <w:rFonts w:ascii="Arial" w:cs="Arial" w:eastAsia="Arial" w:hAnsi="Arial"/>
                <w:sz w:val="18"/>
                <w:szCs w:val="18"/>
                <w:b w:val="1"/>
                <w:bCs w:val="1"/>
                <w:color w:val="auto"/>
              </w:rPr>
              <w:t>52-0782497</w:t>
            </w:r>
          </w:p>
        </w:tc>
      </w:tr>
      <w:tr>
        <w:trPr>
          <w:trHeight w:val="149"/>
        </w:trPr>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of Organization)</w:t>
            </w:r>
          </w:p>
        </w:tc>
        <w:tc>
          <w:tcPr>
            <w:tcW w:w="5160" w:type="dxa"/>
            <w:vAlign w:val="bottom"/>
          </w:tcPr>
          <w:p>
            <w:pPr>
              <w:jc w:val="center"/>
              <w:ind w:left="40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40" w:type="dxa"/>
            <w:vAlign w:val="bottom"/>
          </w:tcPr>
          <w:p>
            <w:pPr>
              <w:spacing w:after="0"/>
              <w:rPr>
                <w:sz w:val="15"/>
                <w:szCs w:val="15"/>
                <w:color w:val="auto"/>
              </w:rPr>
            </w:pPr>
          </w:p>
        </w:tc>
        <w:tc>
          <w:tcPr>
            <w:tcW w:w="5160" w:type="dxa"/>
            <w:vAlign w:val="bottom"/>
          </w:tcPr>
          <w:p>
            <w:pPr>
              <w:jc w:val="center"/>
              <w:ind w:left="402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6"/>
              </w:rPr>
              <w:t>1626 East Jefferson Street,</w:t>
            </w:r>
          </w:p>
        </w:tc>
        <w:tc>
          <w:tcPr>
            <w:tcW w:w="5160" w:type="dxa"/>
            <w:vAlign w:val="bottom"/>
          </w:tcPr>
          <w:p>
            <w:pPr>
              <w:spacing w:after="0"/>
              <w:rPr>
                <w:sz w:val="24"/>
                <w:szCs w:val="24"/>
                <w:color w:val="auto"/>
              </w:rPr>
            </w:pPr>
          </w:p>
        </w:tc>
      </w:tr>
      <w:tr>
        <w:trPr>
          <w:trHeight w:val="231"/>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1"/>
              </w:rPr>
              <w:t>Rockville, Maryland</w:t>
            </w:r>
          </w:p>
        </w:tc>
        <w:tc>
          <w:tcPr>
            <w:tcW w:w="5160" w:type="dxa"/>
            <w:vAlign w:val="bottom"/>
          </w:tcPr>
          <w:p>
            <w:pPr>
              <w:jc w:val="right"/>
              <w:ind w:right="244"/>
              <w:spacing w:after="0"/>
              <w:rPr>
                <w:sz w:val="20"/>
                <w:szCs w:val="20"/>
                <w:color w:val="auto"/>
              </w:rPr>
            </w:pPr>
            <w:r>
              <w:rPr>
                <w:rFonts w:ascii="Arial" w:cs="Arial" w:eastAsia="Arial" w:hAnsi="Arial"/>
                <w:sz w:val="18"/>
                <w:szCs w:val="18"/>
                <w:b w:val="1"/>
                <w:bCs w:val="1"/>
                <w:color w:val="auto"/>
              </w:rPr>
              <w:t>20852</w:t>
            </w:r>
          </w:p>
        </w:tc>
      </w:tr>
      <w:tr>
        <w:trPr>
          <w:trHeight w:val="174"/>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160" w:type="dxa"/>
            <w:vAlign w:val="bottom"/>
          </w:tcPr>
          <w:p>
            <w:pPr>
              <w:jc w:val="center"/>
              <w:ind w:left="40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40" w:type="dxa"/>
            <w:vAlign w:val="bottom"/>
          </w:tcPr>
          <w:p>
            <w:pPr>
              <w:spacing w:after="0"/>
              <w:rPr>
                <w:sz w:val="24"/>
                <w:szCs w:val="24"/>
                <w:color w:val="auto"/>
              </w:rPr>
            </w:pPr>
          </w:p>
        </w:tc>
        <w:tc>
          <w:tcPr>
            <w:tcW w:w="5160" w:type="dxa"/>
            <w:vAlign w:val="bottom"/>
          </w:tcPr>
          <w:p>
            <w:pPr>
              <w:jc w:val="right"/>
              <w:ind w:right="2884"/>
              <w:spacing w:after="0"/>
              <w:rPr>
                <w:sz w:val="20"/>
                <w:szCs w:val="20"/>
                <w:color w:val="auto"/>
              </w:rPr>
            </w:pPr>
            <w:r>
              <w:rPr>
                <w:rFonts w:ascii="Arial" w:cs="Arial" w:eastAsia="Arial" w:hAnsi="Arial"/>
                <w:sz w:val="18"/>
                <w:szCs w:val="18"/>
                <w:b w:val="1"/>
                <w:bCs w:val="1"/>
                <w:color w:val="auto"/>
              </w:rPr>
              <w:t>(301) 998-8100</w:t>
            </w:r>
          </w:p>
        </w:tc>
      </w:tr>
      <w:tr>
        <w:trPr>
          <w:trHeight w:val="174"/>
        </w:trPr>
        <w:tc>
          <w:tcPr>
            <w:tcW w:w="2340" w:type="dxa"/>
            <w:vAlign w:val="bottom"/>
          </w:tcPr>
          <w:p>
            <w:pPr>
              <w:spacing w:after="0"/>
              <w:rPr>
                <w:sz w:val="15"/>
                <w:szCs w:val="15"/>
                <w:color w:val="auto"/>
              </w:rPr>
            </w:pPr>
          </w:p>
        </w:tc>
        <w:tc>
          <w:tcPr>
            <w:tcW w:w="5160" w:type="dxa"/>
            <w:vAlign w:val="bottom"/>
          </w:tcPr>
          <w:p>
            <w:pPr>
              <w:jc w:val="center"/>
              <w:ind w:right="1784"/>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30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880" w:type="dxa"/>
            <w:vAlign w:val="bottom"/>
          </w:tcPr>
          <w:p>
            <w:pPr>
              <w:ind w:left="7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140" w:type="dxa"/>
            <w:vAlign w:val="bottom"/>
            <w:gridSpan w:val="2"/>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88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400" w:type="dxa"/>
            <w:vAlign w:val="bottom"/>
          </w:tcPr>
          <w:p>
            <w:pPr>
              <w:spacing w:after="0"/>
              <w:rPr>
                <w:sz w:val="24"/>
                <w:szCs w:val="24"/>
                <w:color w:val="auto"/>
              </w:rPr>
            </w:pPr>
          </w:p>
        </w:tc>
      </w:tr>
      <w:tr>
        <w:trPr>
          <w:trHeight w:val="358"/>
        </w:trPr>
        <w:tc>
          <w:tcPr>
            <w:tcW w:w="8140" w:type="dxa"/>
            <w:vAlign w:val="bottom"/>
            <w:gridSpan w:val="2"/>
          </w:tcPr>
          <w:p>
            <w:pPr>
              <w:spacing w:after="0"/>
              <w:rPr>
                <w:sz w:val="20"/>
                <w:szCs w:val="20"/>
                <w:color w:val="auto"/>
              </w:rPr>
            </w:pPr>
            <w:r>
              <w:rPr>
                <w:rFonts w:ascii="Arial" w:cs="Arial" w:eastAsia="Arial" w:hAnsi="Arial"/>
                <w:sz w:val="18"/>
                <w:szCs w:val="18"/>
                <w:color w:val="auto"/>
              </w:rPr>
              <w:t>The number of Registrant’s common shares outstanding on July 29, 2011 was 62,805,852.</w:t>
            </w:r>
          </w:p>
        </w:tc>
        <w:tc>
          <w:tcPr>
            <w:tcW w:w="28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0"/>
        </w:trPr>
        <w:tc>
          <w:tcPr>
            <w:tcW w:w="184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52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9"/>
              </w:rPr>
              <w:t>FEDERAL REALTY INVESTMENT TRUST</w:t>
            </w:r>
          </w:p>
        </w:tc>
        <w:tc>
          <w:tcPr>
            <w:tcW w:w="2640" w:type="dxa"/>
            <w:vAlign w:val="bottom"/>
          </w:tcPr>
          <w:p>
            <w:pPr>
              <w:spacing w:after="0"/>
              <w:rPr>
                <w:sz w:val="19"/>
                <w:szCs w:val="19"/>
                <w:color w:val="auto"/>
              </w:rPr>
            </w:pPr>
          </w:p>
        </w:tc>
      </w:tr>
      <w:tr>
        <w:trPr>
          <w:trHeight w:val="366"/>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2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7"/>
              </w:rPr>
              <w:t>QUARTERLY REPORT ON FORM 10-Q</w:t>
            </w:r>
          </w:p>
        </w:tc>
        <w:tc>
          <w:tcPr>
            <w:tcW w:w="2640" w:type="dxa"/>
            <w:vAlign w:val="bottom"/>
          </w:tcPr>
          <w:p>
            <w:pPr>
              <w:spacing w:after="0"/>
              <w:rPr>
                <w:sz w:val="24"/>
                <w:szCs w:val="24"/>
                <w:color w:val="auto"/>
              </w:rPr>
            </w:pPr>
          </w:p>
        </w:tc>
      </w:tr>
      <w:tr>
        <w:trPr>
          <w:trHeight w:val="228"/>
        </w:trPr>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5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3"/>
              </w:rPr>
              <w:t>QUARTER ENDED JUNE 30, 2011</w:t>
            </w:r>
          </w:p>
        </w:tc>
        <w:tc>
          <w:tcPr>
            <w:tcW w:w="2640" w:type="dxa"/>
            <w:vAlign w:val="bottom"/>
          </w:tcPr>
          <w:p>
            <w:pPr>
              <w:spacing w:after="0"/>
              <w:rPr>
                <w:sz w:val="19"/>
                <w:szCs w:val="19"/>
                <w:color w:val="auto"/>
              </w:rPr>
            </w:pPr>
          </w:p>
        </w:tc>
      </w:tr>
      <w:tr>
        <w:trPr>
          <w:trHeight w:val="378"/>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6"/>
              </w:rPr>
              <w:t>TABLE OF CONTENTS</w:t>
            </w:r>
          </w:p>
        </w:tc>
        <w:tc>
          <w:tcPr>
            <w:tcW w:w="2640" w:type="dxa"/>
            <w:vAlign w:val="bottom"/>
          </w:tcPr>
          <w:p>
            <w:pPr>
              <w:spacing w:after="0"/>
              <w:rPr>
                <w:sz w:val="24"/>
                <w:szCs w:val="24"/>
                <w:color w:val="auto"/>
              </w:rPr>
            </w:pPr>
          </w:p>
        </w:tc>
      </w:tr>
      <w:tr>
        <w:trPr>
          <w:trHeight w:val="380"/>
        </w:trPr>
        <w:tc>
          <w:tcPr>
            <w:tcW w:w="282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5860" w:type="dxa"/>
            <w:vAlign w:val="bottom"/>
            <w:gridSpan w:val="9"/>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778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778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June 30, 2011 (unaudited) and December 31, 2010</w:t>
              </w:r>
            </w:hyperlink>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7780" w:type="dxa"/>
            <w:vAlign w:val="bottom"/>
            <w:tcBorders>
              <w:bottom w:val="single" w:sz="8" w:color="0000EE"/>
            </w:tcBorders>
            <w:gridSpan w:val="19"/>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Statements of Operations (unaudited) for the three and six months ended June 30, 2011 and 2010</w:t>
              </w:r>
            </w:hyperlink>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Pr>
          <w:p>
            <w:pPr>
              <w:spacing w:after="0"/>
              <w:rPr>
                <w:sz w:val="17"/>
                <w:szCs w:val="17"/>
                <w:color w:val="auto"/>
              </w:rPr>
            </w:pPr>
          </w:p>
        </w:tc>
        <w:tc>
          <w:tcPr>
            <w:tcW w:w="7780" w:type="dxa"/>
            <w:vAlign w:val="bottom"/>
            <w:gridSpan w:val="19"/>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Consolidated Statement of Shareholders’ Equity (unaudited) for the six months ended June 30, 2011</w:t>
              </w:r>
            </w:hyperlink>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7780" w:type="dxa"/>
            <w:vAlign w:val="bottom"/>
            <w:gridSpan w:val="19"/>
          </w:tcPr>
          <w:p>
            <w:pPr>
              <w:spacing w:after="0" w:line="19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Consolidated Statements of Cash Flows (unaudited) for the six months ended June 30, 2011 and 2010</w:t>
              </w:r>
            </w:hyperlink>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900" w:type="dxa"/>
            <w:vAlign w:val="bottom"/>
          </w:tcPr>
          <w:p>
            <w:pPr>
              <w:spacing w:after="0"/>
              <w:rPr>
                <w:sz w:val="17"/>
                <w:szCs w:val="17"/>
                <w:color w:val="auto"/>
              </w:rPr>
            </w:pPr>
          </w:p>
        </w:tc>
        <w:tc>
          <w:tcPr>
            <w:tcW w:w="71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640" w:type="dxa"/>
            <w:vAlign w:val="bottom"/>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Management’s Discussion and Analysis of Financial Condition and Results of Operations</w:t>
              </w:r>
            </w:hyperlink>
          </w:p>
        </w:tc>
        <w:tc>
          <w:tcPr>
            <w:tcW w:w="1480" w:type="dxa"/>
            <w:vAlign w:val="bottom"/>
            <w:gridSpan w:val="3"/>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7780" w:type="dxa"/>
            <w:vAlign w:val="bottom"/>
            <w:gridSpan w:val="1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3580" w:type="dxa"/>
            <w:vAlign w:val="bottom"/>
            <w:gridSpan w:val="6"/>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PART II. OTHER INFORMATION</w:t>
              </w:r>
            </w:hyperlink>
          </w:p>
        </w:tc>
        <w:tc>
          <w:tcPr>
            <w:tcW w:w="6160" w:type="dxa"/>
            <w:vAlign w:val="bottom"/>
            <w:gridSpan w:val="12"/>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778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6480" w:type="dxa"/>
            <w:vAlign w:val="bottom"/>
            <w:gridSpan w:val="14"/>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78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3540" w:type="dxa"/>
            <w:vAlign w:val="bottom"/>
            <w:gridSpan w:val="5"/>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[Removed and Reserved]</w:t>
              </w:r>
            </w:hyperlink>
          </w:p>
        </w:tc>
        <w:tc>
          <w:tcPr>
            <w:tcW w:w="5520" w:type="dxa"/>
            <w:vAlign w:val="bottom"/>
            <w:gridSpan w:val="8"/>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6000" w:type="dxa"/>
            <w:vAlign w:val="bottom"/>
            <w:gridSpan w:val="10"/>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6500" w:type="dxa"/>
            <w:vAlign w:val="bottom"/>
            <w:gridSpan w:val="15"/>
          </w:tcPr>
          <w:p>
            <w:pPr>
              <w:spacing w:after="0"/>
              <w:rPr>
                <w:sz w:val="17"/>
                <w:szCs w:val="17"/>
                <w:color w:val="auto"/>
              </w:rPr>
            </w:pPr>
          </w:p>
        </w:tc>
        <w:tc>
          <w:tcPr>
            <w:tcW w:w="26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0" w:type="dxa"/>
            <w:vAlign w:val="bottom"/>
            <w:gridSpan w:val="17"/>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04"/>
        </w:trPr>
        <w:tc>
          <w:tcPr>
            <w:tcW w:w="868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83"/>
        </w:trPr>
        <w:tc>
          <w:tcPr>
            <w:tcW w:w="9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820" w:type="dxa"/>
            <w:vAlign w:val="bottom"/>
            <w:gridSpan w:val="14"/>
          </w:tcPr>
          <w:p>
            <w:pPr>
              <w:jc w:val="center"/>
              <w:ind w:left="3372"/>
              <w:spacing w:after="0"/>
              <w:rPr>
                <w:sz w:val="20"/>
                <w:szCs w:val="20"/>
                <w:color w:val="auto"/>
              </w:rPr>
            </w:pPr>
            <w:r>
              <w:rPr>
                <w:rFonts w:ascii="Arial" w:cs="Arial" w:eastAsia="Arial" w:hAnsi="Arial"/>
                <w:sz w:val="18"/>
                <w:szCs w:val="18"/>
                <w:color w:val="auto"/>
                <w:w w:val="79"/>
              </w:rPr>
              <w:t>2</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following balance sheet as of December 31, 2010,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and six months ended June 30, 2011 are not necessarily indicative of the results that may be expected for the full year.</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10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20" w:type="dxa"/>
            <w:vAlign w:val="bottom"/>
            <w:gridSpan w:val="4"/>
          </w:tcPr>
          <w:p>
            <w:pPr>
              <w:jc w:val="right"/>
              <w:ind w:right="73"/>
              <w:spacing w:after="0" w:line="129" w:lineRule="exact"/>
              <w:rPr>
                <w:sz w:val="20"/>
                <w:szCs w:val="20"/>
                <w:color w:val="auto"/>
              </w:rPr>
            </w:pPr>
            <w:r>
              <w:rPr>
                <w:rFonts w:ascii="Arial" w:cs="Arial" w:eastAsia="Arial" w:hAnsi="Arial"/>
                <w:sz w:val="14"/>
                <w:szCs w:val="14"/>
                <w:b w:val="1"/>
                <w:bCs w:val="1"/>
                <w:color w:val="auto"/>
                <w:w w:val="87"/>
              </w:rPr>
              <w:t>(In thousands, except share data)</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Real estate, at cost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(including $139,785 and $78,846 of consolidated variable interest entities,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3,795,754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3,695,848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Construction-in-progress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180,740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163,200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Assets held for sale/disposal (discontinued operations) (including $0 and $18,311 of consolidated variable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 entities, respectively)</w:t>
            </w: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16,503</w:t>
            </w:r>
          </w:p>
        </w:tc>
        <w:tc>
          <w:tcPr>
            <w:tcW w:w="4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3,992,997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3,895,942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Less accumulated depreciation and amortization (including $5,329 and $4,431 of consolidated variable interest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entities, respectively)</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(1,084,806)</w:t>
            </w: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(1,035,204)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Net real estate</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2,908,191</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2,860,738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Accounts and notes receivable,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73,917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68,997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 notes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Investment in real estate partnerships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57,864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51,606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110,686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Debt issuance costs, net of accumulated amortization of $9,467 and $9,075, respectively</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3,220,668</w:t>
            </w: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3,159,553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1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w w:val="97"/>
              </w:rPr>
              <w:t>Mortgages payable (including $22,455 and $22,785 of consolidated variable interest entities, respectively)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487,001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529,501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Notes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209,302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97,881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notes and debentures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1,004,737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1,079,827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86,552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102,574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Security deposits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11,751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 and deferred credits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1,956,772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1,978,423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Commitments and contingencies (Note 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Preferred shares, authorized 15,000,000 shares, $.01 par: 5.417% Series 1 Cumulative Convertible Preferred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w w:val="95"/>
              </w:rPr>
              <w:t>Common shares of beneficial interest, $.01 par, 100,000,000 shares authorized, 62,798,348 and 61,526,418</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1060"/>
              <w:spacing w:after="0"/>
              <w:rPr>
                <w:sz w:val="20"/>
                <w:szCs w:val="20"/>
                <w:color w:val="auto"/>
              </w:rPr>
            </w:pPr>
            <w:r>
              <w:rPr>
                <w:rFonts w:ascii="Arial" w:cs="Arial" w:eastAsia="Arial" w:hAnsi="Arial"/>
                <w:sz w:val="18"/>
                <w:szCs w:val="18"/>
                <w:color w:val="auto"/>
              </w:rPr>
              <w:t>shares issued and outstanding, respectively</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1,767,529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1,666,803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Accumulated dividends in excess of net income</w:t>
            </w:r>
          </w:p>
        </w:tc>
        <w:tc>
          <w:tcPr>
            <w:tcW w:w="8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(545,589)</w:t>
            </w:r>
          </w:p>
        </w:tc>
        <w:tc>
          <w:tcPr>
            <w:tcW w:w="1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(527,582)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 of the Trust</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1,232,565</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1,149,833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1,263,896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1,181,130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3,220,668</w:t>
            </w: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3,159,553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8"/>
          </w:tcPr>
          <w:p>
            <w:pPr>
              <w:jc w:val="right"/>
              <w:ind w:right="100"/>
              <w:spacing w:after="0" w:line="142" w:lineRule="exact"/>
              <w:rPr>
                <w:sz w:val="20"/>
                <w:szCs w:val="20"/>
                <w:color w:val="auto"/>
              </w:rPr>
            </w:pPr>
            <w:r>
              <w:rPr>
                <w:rFonts w:ascii="Arial" w:cs="Arial" w:eastAsia="Arial" w:hAnsi="Arial"/>
                <w:sz w:val="14"/>
                <w:szCs w:val="14"/>
                <w:b w:val="1"/>
                <w:bCs w:val="1"/>
                <w:color w:val="auto"/>
                <w:w w:val="85"/>
              </w:rPr>
              <w:t>(In thousands, except per share data)</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132,999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129,636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267,438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260,461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136,279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133,216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273,929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271,017</w:t>
            </w:r>
          </w:p>
        </w:tc>
        <w:tc>
          <w:tcPr>
            <w:tcW w:w="0" w:type="dxa"/>
            <w:vAlign w:val="bottom"/>
          </w:tcPr>
          <w:p>
            <w:pPr>
              <w:spacing w:after="0"/>
              <w:rPr>
                <w:sz w:val="1"/>
                <w:szCs w:val="1"/>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54,535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15,547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14,828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30,954</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12,446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62,287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160,222</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156,457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2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57,334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55,841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113,707</w:t>
            </w: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114,560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(23,905)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(25,418)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(48,949)</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Early extinguishment of debt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Income from real estate partnerships</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65,856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 -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Discontinued operations - gain on deconsolidation of VIE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 - gain on sale of real estate</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860"/>
              <w:spacing w:after="0"/>
              <w:rPr>
                <w:sz w:val="20"/>
                <w:szCs w:val="20"/>
                <w:color w:val="auto"/>
              </w:rPr>
            </w:pPr>
            <w:r>
              <w:rPr>
                <w:rFonts w:ascii="Arial" w:cs="Arial" w:eastAsia="Arial" w:hAnsi="Arial"/>
                <w:sz w:val="18"/>
                <w:szCs w:val="18"/>
                <w:color w:val="auto"/>
              </w:rPr>
              <w:t>Results from discontinued operations</w:t>
            </w:r>
          </w:p>
        </w:tc>
        <w:tc>
          <w:tcPr>
            <w:tcW w:w="1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GAIN ON SALE OF REAL ESTATE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68,855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68,855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(1,714)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(2,912)</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1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65,943</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Dividends on preferred shares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34,622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30,979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65,672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0.55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0.50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0.51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0.47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Shareholders’ Equity of the Trust</w:t>
            </w: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Dividends in</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1480" w:type="dxa"/>
            <w:vAlign w:val="bottom"/>
            <w:gridSpan w:val="4"/>
          </w:tcPr>
          <w:p>
            <w:pPr>
              <w:ind w:left="160"/>
              <w:spacing w:after="0"/>
              <w:rPr>
                <w:sz w:val="20"/>
                <w:szCs w:val="20"/>
                <w:color w:val="auto"/>
              </w:rPr>
            </w:pPr>
            <w:r>
              <w:rPr>
                <w:rFonts w:ascii="Arial" w:cs="Arial" w:eastAsia="Arial" w:hAnsi="Arial"/>
                <w:sz w:val="14"/>
                <w:szCs w:val="14"/>
                <w:b w:val="1"/>
                <w:bCs w:val="1"/>
                <w:color w:val="auto"/>
              </w:rPr>
              <w:t>Preferred Shares</w:t>
            </w:r>
          </w:p>
        </w:tc>
        <w:tc>
          <w:tcPr>
            <w:tcW w:w="1240" w:type="dxa"/>
            <w:vAlign w:val="bottom"/>
            <w:gridSpan w:val="4"/>
          </w:tcPr>
          <w:p>
            <w:pPr>
              <w:ind w:left="280"/>
              <w:spacing w:after="0"/>
              <w:rPr>
                <w:sz w:val="20"/>
                <w:szCs w:val="20"/>
                <w:color w:val="auto"/>
              </w:rPr>
            </w:pPr>
            <w:r>
              <w:rPr>
                <w:rFonts w:ascii="Arial" w:cs="Arial" w:eastAsia="Arial" w:hAnsi="Arial"/>
                <w:sz w:val="14"/>
                <w:szCs w:val="14"/>
                <w:b w:val="1"/>
                <w:bCs w:val="1"/>
                <w:color w:val="auto"/>
                <w:w w:val="84"/>
              </w:rPr>
              <w:t>Common Shares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Paid-in</w:t>
            </w:r>
          </w:p>
        </w:tc>
        <w:tc>
          <w:tcPr>
            <w:tcW w:w="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Excess of Net</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Noncontrolling</w:t>
            </w:r>
          </w:p>
        </w:tc>
        <w:tc>
          <w:tcPr>
            <w:tcW w:w="6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6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2"/>
                <w:szCs w:val="12"/>
                <w:color w:val="auto"/>
              </w:rPr>
            </w:pPr>
          </w:p>
        </w:tc>
        <w:tc>
          <w:tcPr>
            <w:tcW w:w="94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Capital</w:t>
            </w:r>
          </w:p>
        </w:tc>
        <w:tc>
          <w:tcPr>
            <w:tcW w:w="60" w:type="dxa"/>
            <w:vAlign w:val="bottom"/>
          </w:tcPr>
          <w:p>
            <w:pPr>
              <w:spacing w:after="0"/>
              <w:rPr>
                <w:sz w:val="12"/>
                <w:szCs w:val="12"/>
                <w:color w:val="auto"/>
              </w:rPr>
            </w:pPr>
          </w:p>
        </w:tc>
        <w:tc>
          <w:tcPr>
            <w:tcW w:w="9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5"/>
              </w:rPr>
              <w:t>Income</w:t>
            </w: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12"/>
                <w:szCs w:val="12"/>
                <w:color w:val="auto"/>
              </w:rPr>
            </w:pPr>
          </w:p>
        </w:tc>
        <w:tc>
          <w:tcPr>
            <w:tcW w:w="9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9"/>
          </w:tcPr>
          <w:p>
            <w:pPr>
              <w:ind w:left="2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399,896</w:t>
            </w:r>
          </w:p>
        </w:tc>
        <w:tc>
          <w:tcPr>
            <w:tcW w:w="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$9,997</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61,526,418</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615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$1,666,803</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 (527,582)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31,297</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$ 1,181,130</w:t>
            </w:r>
          </w:p>
        </w:tc>
        <w:tc>
          <w:tcPr>
            <w:tcW w:w="0" w:type="dxa"/>
            <w:vAlign w:val="bottom"/>
          </w:tcPr>
          <w:p>
            <w:pPr>
              <w:spacing w:after="0"/>
              <w:rPr>
                <w:sz w:val="1"/>
                <w:szCs w:val="1"/>
                <w:color w:val="auto"/>
              </w:rPr>
            </w:pPr>
          </w:p>
        </w:tc>
      </w:tr>
      <w:tr>
        <w:trPr>
          <w:trHeight w:val="322"/>
        </w:trPr>
        <w:tc>
          <w:tcPr>
            <w:tcW w:w="4360" w:type="dxa"/>
            <w:vAlign w:val="bottom"/>
          </w:tcPr>
          <w:p>
            <w:pPr>
              <w:spacing w:after="0"/>
              <w:rPr>
                <w:sz w:val="20"/>
                <w:szCs w:val="20"/>
                <w:color w:val="auto"/>
              </w:rPr>
            </w:pPr>
            <w:r>
              <w:rPr>
                <w:rFonts w:ascii="Arial" w:cs="Arial" w:eastAsia="Arial" w:hAnsi="Arial"/>
                <w:sz w:val="18"/>
                <w:szCs w:val="18"/>
                <w:color w:val="auto"/>
              </w:rPr>
              <w:t>Net income/comprehensive income</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65,943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2,912</w:t>
            </w:r>
          </w:p>
        </w:tc>
        <w:tc>
          <w:tcPr>
            <w:tcW w:w="120" w:type="dxa"/>
            <w:vAlign w:val="bottom"/>
          </w:tcPr>
          <w:p>
            <w:pPr>
              <w:spacing w:after="0"/>
              <w:rPr>
                <w:sz w:val="24"/>
                <w:szCs w:val="2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68,855</w:t>
            </w: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to common shareholders</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(83,679)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(83,679)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Dividends declared to preferred shareholders</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 to noncontrolling interests</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(2,403)</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Common shares issued</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1,085,705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90,121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90,132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5,440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Shares issued under dividend reinvestment plan</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15,289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net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88,220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Conversion and redemption of OP units</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Deconsolidation of VIE</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BALANCE AT JUNE 30, 2011</w:t>
            </w: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w w:val="86"/>
              </w:rPr>
              <w:t>399,896</w:t>
            </w:r>
          </w:p>
        </w:tc>
        <w:tc>
          <w:tcPr>
            <w:tcW w:w="16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9,997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62,798,348</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w w:val="79"/>
              </w:rPr>
              <w:t>628</w:t>
            </w: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1,767,529</w:t>
            </w:r>
          </w:p>
        </w:tc>
        <w:tc>
          <w:tcPr>
            <w:tcW w:w="12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 (545,589)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31,331</w:t>
            </w:r>
          </w:p>
        </w:tc>
        <w:tc>
          <w:tcPr>
            <w:tcW w:w="12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 1,263,896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9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center"/>
              <w:ind w:right="13"/>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68,855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62,922</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Depreciation and amortization, including discontinued operations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62,632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60,110</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Gain on deconsolidation of VIE</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Early extinguishment of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Income from real estate partnerships</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(767)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accounts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(2,921)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accounts payable and accrued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(16,868)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23"/>
        </w:trPr>
        <w:tc>
          <w:tcPr>
            <w:tcW w:w="9480" w:type="dxa"/>
            <w:vAlign w:val="bottom"/>
          </w:tcPr>
          <w:p>
            <w:pPr>
              <w:ind w:left="880"/>
              <w:spacing w:after="0"/>
              <w:rPr>
                <w:sz w:val="20"/>
                <w:szCs w:val="20"/>
                <w:color w:val="auto"/>
              </w:rPr>
            </w:pPr>
            <w:r>
              <w:rPr>
                <w:rFonts w:ascii="Arial" w:cs="Arial" w:eastAsia="Arial" w:hAnsi="Arial"/>
                <w:sz w:val="18"/>
                <w:szCs w:val="18"/>
                <w:color w:val="auto"/>
              </w:rPr>
              <w:t>Decrease in security deposits and other liabilities</w:t>
            </w:r>
          </w:p>
        </w:tc>
        <w:tc>
          <w:tcPr>
            <w:tcW w:w="100" w:type="dxa"/>
            <w:vAlign w:val="bottom"/>
          </w:tcPr>
          <w:p>
            <w:pPr>
              <w:spacing w:after="0"/>
              <w:rPr>
                <w:sz w:val="19"/>
                <w:szCs w:val="19"/>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(2,122)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118,698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real estate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(19,196)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Capital expenditures - development and redevelopment</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(35,971)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(19,063)</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 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(19,031)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Proceeds from sale of real estate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in real estate partnerships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(6,947)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(16,720)</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Distribution from real estate partnership in excess of earnings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Leasing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(6,335)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Repayment (issuance) of mortgage and other notes receivable,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(11,858)</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(76,760)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(61,945)</w:t>
            </w: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borrowings under revolving credit facility, net of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Issuance of senior notes, net of costs</w:t>
            </w:r>
          </w:p>
        </w:tc>
        <w:tc>
          <w:tcPr>
            <w:tcW w:w="100" w:type="dxa"/>
            <w:vAlign w:val="bottom"/>
          </w:tcPr>
          <w:p>
            <w:pPr>
              <w:spacing w:after="0"/>
              <w:rPr>
                <w:sz w:val="18"/>
                <w:szCs w:val="18"/>
                <w:color w:val="auto"/>
              </w:rPr>
            </w:pP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148,457</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and retirement of senior notes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(75,000)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Issuance of mortgages, capital leases and notes payable, net of costs</w:t>
            </w:r>
          </w:p>
        </w:tc>
        <w:tc>
          <w:tcPr>
            <w:tcW w:w="100" w:type="dxa"/>
            <w:vAlign w:val="bottom"/>
          </w:tcPr>
          <w:p>
            <w:pPr>
              <w:spacing w:after="0"/>
              <w:rPr>
                <w:sz w:val="18"/>
                <w:szCs w:val="18"/>
                <w:color w:val="auto"/>
              </w:rPr>
            </w:pP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9,950</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mortgages, capital leases and notes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(86,021)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(256,403)</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Issuance of common shares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96,787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paid to common and preferred shareholders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(83,098)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(81,165)</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(2,555)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(37,887)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(179,232)</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(111,832)</w:t>
            </w:r>
          </w:p>
        </w:tc>
        <w:tc>
          <w:tcPr>
            <w:tcW w:w="0" w:type="dxa"/>
            <w:vAlign w:val="bottom"/>
          </w:tcPr>
          <w:p>
            <w:pPr>
              <w:spacing w:after="0"/>
              <w:rPr>
                <w:sz w:val="1"/>
                <w:szCs w:val="1"/>
                <w:color w:val="auto"/>
              </w:rPr>
            </w:pPr>
          </w:p>
        </w:tc>
      </w:tr>
      <w:tr>
        <w:trPr>
          <w:trHeight w:val="218"/>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19,848</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23,557</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June 30, 2011, we owned or had a majority interest in community and neighborhood shopping centers and mixed-use properties which are operated as 86 predominantly retail real estate projects.</w:t>
      </w:r>
    </w:p>
    <w:p>
      <w:pPr>
        <w:spacing w:after="0" w:line="11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All significant intercompany transactions and balances are eliminated in consolidation. We account for our interests in joint ventures, which we do not control or manage, using the equity method of accounting. Certain 2010 amounts have been reclassified to conform to current period presentation.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Real Estate</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methodology of allocating the cost of acquisitions to assets acquired and liabilities assumed is based on estimated fair values, replacement cost and appraised values. When we acquire operating real estate properties, the purchase price is allocated to land, building, improvements, intangibles such as in-place leases, and to current assets and liabilities acquired, if any. The value allocated to in-place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May 2011, the Financial Accounting Standards Board (“FASB”) issued Accounting Standards Update (“ASU “) 2011-04, “Fair Value Measurement (Topic 820): Amendments to Achieve Common Fair Value Measurement and Disclosure Requirements in U.S. GAAP and IFRSs.” The pronouncement was issued to provide a uniform framework for fair value measurements and related disclosures between U.S. GAAP and International Financial Reporting Standards (“IFRS”). ASU 2011-04 changes certain fair value measurement principles and enhances the disclosure requirements particularly for level 3 fair value measurements. This pronouncement is effective for us in the first quarter of 2012 and is not expected to have a significant impact to our consolidated financial statements.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2011, the FASB issued ASU 2011-05, “Comprehensive Income (Topic 220): Presentation of Comprehensive Income.” ASU 2011-05 eliminates the option to present components of other comprehensive income as part of the statement of shareholders’ equity and requires the presentation of components of net income and components of other comprehensive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income either in a single continuous statement of comprehensive income or in two separate but consecutive statements. This pronouncement is effective for us in the first quarter of 2012 and will not have a significant impact to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tcPr>
          <w:p>
            <w:pPr>
              <w:jc w:val="right"/>
              <w:ind w:right="375"/>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Total interest costs incurred</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52,585</w:t>
            </w:r>
          </w:p>
        </w:tc>
        <w:tc>
          <w:tcPr>
            <w:tcW w:w="2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54,370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880"/>
              <w:spacing w:after="0"/>
              <w:rPr>
                <w:sz w:val="20"/>
                <w:szCs w:val="20"/>
                <w:color w:val="auto"/>
              </w:rPr>
            </w:pPr>
            <w:r>
              <w:rPr>
                <w:rFonts w:ascii="Arial" w:cs="Arial" w:eastAsia="Arial" w:hAnsi="Arial"/>
                <w:sz w:val="18"/>
                <w:szCs w:val="18"/>
                <w:color w:val="auto"/>
              </w:rPr>
              <w:t>Interest expense</w:t>
            </w:r>
          </w:p>
        </w:tc>
        <w:tc>
          <w:tcPr>
            <w:tcW w:w="2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48,949</w:t>
            </w:r>
          </w:p>
        </w:tc>
        <w:tc>
          <w:tcPr>
            <w:tcW w:w="20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51,380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 net of amounts capitalized</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48,830</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440"/>
              <w:spacing w:after="0"/>
              <w:rPr>
                <w:sz w:val="20"/>
                <w:szCs w:val="20"/>
                <w:color w:val="auto"/>
              </w:rPr>
            </w:pPr>
            <w:r>
              <w:rPr>
                <w:rFonts w:ascii="Arial" w:cs="Arial" w:eastAsia="Arial" w:hAnsi="Arial"/>
                <w:sz w:val="18"/>
                <w:szCs w:val="18"/>
                <w:color w:val="auto"/>
              </w:rPr>
              <w:t>Cash paid for income taxes</w:t>
            </w: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vMerge w:val="continue"/>
          </w:tcPr>
          <w:p>
            <w:pPr>
              <w:spacing w:after="0"/>
              <w:rPr>
                <w:sz w:val="18"/>
                <w:szCs w:val="18"/>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TRANSACTIONS: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Mortgage loan assumed with acquisition</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42,938</w:t>
            </w:r>
          </w:p>
        </w:tc>
        <w:tc>
          <w:tcPr>
            <w:tcW w:w="2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Deconsolidation of VIE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18,311</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January 19, 2011, we acquired the fee interest in Tower Shops located in Davie, Florida for a net purchase price of $66.1 million which includes the assumption of a mortgage loan with a face amount of $41.0 million and a fair value of approximately $42.9 million. The property contains approximately 372,000 square feet of gross leasable area on 67 acres and is shadow-anchored by Home Depot and Costco</w:t>
      </w:r>
      <w:r>
        <w:rPr>
          <w:rFonts w:ascii="Arial" w:cs="Arial" w:eastAsia="Arial" w:hAnsi="Arial"/>
          <w:sz w:val="18"/>
          <w:szCs w:val="18"/>
          <w:b w:val="1"/>
          <w:bCs w:val="1"/>
          <w:color w:val="auto"/>
        </w:rPr>
        <w:t>.</w:t>
      </w:r>
      <w:r>
        <w:rPr>
          <w:rFonts w:ascii="Arial" w:cs="Arial" w:eastAsia="Arial" w:hAnsi="Arial"/>
          <w:sz w:val="18"/>
          <w:szCs w:val="18"/>
          <w:color w:val="auto"/>
        </w:rPr>
        <w:t xml:space="preserve"> Approximately $1.2 million and $4.4 million of net assets acquired were allocated to other assets for “above market leases” and other liabilities for “below market leases”, respectively. We incurred a total of $0.4 million of acquisition costs of which $0.2 million were incurred in 2011 and are included in “general and administrative expenses” for the six months ended June 30, 2011.</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conjunction with the acquisition, we entered into a reverse Section 1031 like-kind exchange agreement with a third party intermediary which is for a maximum of 180 days and allows us, for tax purposes, to defer gains on sale of other properties identified and sold within this period. Until July 12, 2011, the third party intermediary was the legal owner of the property. However, we control the activities that most significantly impact the property and retain all of the economic benefits and risks associated with the property. Therefore, we have determined we are the primary beneficiary of this VIE and consolidated the property and its operations as of January 19, 2011.</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On July 12, 2011, we sold Feasterville Shopping Center located in Feasterville, Pennsylvania for a sales price of $20.0 million. The operations of this property are included in “discontinued operations” in the consolidated statements of operations and included in “assets held for sale/disposal” in our consolidated balance sheets for all periods presented. The sale was completed as a Section 1031 tax deferred exchange transaction with the acquisition of Tower Shops.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4—MORTGAGE NOTES RECEIVABLE</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Prior to June 30, 2011, we were the lender on a first and second mortgage loan on a shopping center and an adjacent commercial building in Norwalk, Connecticut. Our carrying amount of the loans was approximately $18.3 million. The loans were in default and foreclosure proceedings had been filed, however, we were in negotiations with the borrower to refinance the loans. On June 30, 2011, we refinanced the existing loans with a first mortgage loan which has a principal balance of $11.9 million, bears interest at 6.0%, and matures on June 30, 2014, subject to a one year extension option. The loan is secured by the shopping center in Norwalk, Connecticut. As part of the refinancing, we received approximately $8.7 million in cash.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Because the loans were in default, we had certain rights under the first mortgage loan agreement that gave us the ability to direct the activities that most significantly impacted the shopping center. Although we did not exercise those rights, the existence of those rights in the loan agreement resulted in the entity being a VIE. Additionally, given our investment in both the first and second mortgage on the property, the overall decline in fair market value since the loans were initiated, and the default status of the loans, we also had the obligation to absorb losses or rights to receive benefits that could potentially be significant to the VIE. Consequently, we were the primary beneficiary of this VIE and consolidated the shopping center and adjacent building from March 30, 2010 to June 29, 2011. Our investment in the property is included in “assets held for sale/disposal” in the consolidated balance sheet at December 31, 2010 and the operations of the entity are included in “discontinued operations” for all periods presented.</w:t>
      </w:r>
    </w:p>
    <w:p>
      <w:pPr>
        <w:spacing w:after="0" w:line="1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conjunction with the refinancing of the loans, we re-evaluated our status as the primary beneficiary of the VIE. As the loan is not in default, we no longer have certain rights that give us the ability to control the activities that most significantly impact the shopping center. Our current involvement in the property is solely as the lender on the $11.9 million mortgage loan with protective rights as the lender. Therefore, we are no longer the primary beneficiary and deconsolidated the entity as of June 30, 2011. We recognized a $2.0 million gain on deconsolidation as part of the refinancing which is included in “discontinued operations - gain on deconsolidation of VIE” for the three and six months ended June 30, 2011. The mortgage loan receivable was recorded at its estimated fair value of $11.9 million and is included in “mortgage notes receivable” on the balance sheet at June 30, 2011. The $11.9 million also reflects our maximum exposure to loss related to this investment.</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change in design of the entity including the refinancing of the loan was a VIE reconsideration event. Given that the loan is no longer in default, we, as lender, do not have the power to direct the activities that most significantly impact the entity, and the additional equity investment at risk provided by the entity’s equity holders, the entity is no longer a VIE.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5—REAL ESTATE PARTNERSHIPS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Federal/Lion Venture LP</w:t>
      </w:r>
    </w:p>
    <w:p>
      <w:pPr>
        <w:spacing w:after="0" w:line="9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June 30, 2011, the Partnership owned seven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6"/>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Revenue</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4,676</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4,523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9,644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1,380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2,984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2,568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1,696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3,366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3,474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7,248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3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2"/>
            <w:vMerge w:val="continue"/>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1,049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2,396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660" w:type="dxa"/>
            <w:vAlign w:val="bottom"/>
            <w:vMerge w:val="restart"/>
          </w:tcPr>
          <w:p>
            <w:pPr>
              <w:jc w:val="right"/>
              <w:ind w:right="2432"/>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4"/>
                <w:szCs w:val="14"/>
                <w:b w:val="1"/>
                <w:bCs w:val="1"/>
                <w:color w:val="auto"/>
                <w:w w:val="82"/>
              </w:rPr>
              <w:t>June 30,</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right"/>
              <w:ind w:right="43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Real estate,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179,481</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189,500</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191,955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vMerge w:val="restart"/>
          </w:tcPr>
          <w:p>
            <w:pPr>
              <w:spacing w:after="0"/>
              <w:rPr>
                <w:sz w:val="20"/>
                <w:szCs w:val="20"/>
                <w:color w:val="auto"/>
              </w:rPr>
            </w:pPr>
            <w:r>
              <w:rPr>
                <w:rFonts w:ascii="Arial" w:cs="Arial" w:eastAsia="Arial" w:hAnsi="Arial"/>
                <w:sz w:val="18"/>
                <w:szCs w:val="18"/>
                <w:color w:val="auto"/>
              </w:rPr>
              <w:t>Mortgages payable</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57,481</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Partners’ capital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127,190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128,932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partners’ capital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189,500</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191,955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17,244</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34,963</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Taurus Newbury Street JV II Limited Partnership</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May 2010, we formed Taurus Newbury Street JV II Limited Partnership (“Newbury Street Partnership”), a joint venture limited partnership with an affiliate of Taurus Investment Holdings, LLC (“Taurus”), which plans to acquire, operate and redevelop up to $200 million of properties located primarily in the Back Bay section of Boston, Massachusetts. We hold an 85% limited partnership interest in Newbury Street Partnership and Taurus holds a 15% limited partnership interest and serves as general partner. As general partner, Taurus is responsible for the operation and management of the properties, subject to our approval on major decisions. We have evaluated the entity and determined that it is not a VIE. Accordingly, given Taurus’ role as general partner, we account for our interest in Newbury Street Partnership using the equity method. Accounting policies for the Newbury Street Partnership are similar to accounting policies followed by the Trust. Intercompany profit generated from interest income on loans we have provided to the partnership is eliminated in consolidation. All amounts contributed and advanced to Newbury Street Partnership are included in “Investment in real estate partnerships” in the consolidated balance sheets.</w:t>
      </w:r>
    </w:p>
    <w:p>
      <w:pPr>
        <w:spacing w:after="0" w:line="11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Newbury Street Partnership is subject to a buy-sell provision which is customary for real estate joint venture agreements and the industry. The buy-sell can be exercised only in certain circumstances through May 2014 and may be initiated by either party at anytime thereafter which could result in either the sale of our interest or the use of available cash or borrowings to acquire Taurus’ interest.</w:t>
      </w:r>
    </w:p>
    <w:p>
      <w:pPr>
        <w:spacing w:after="0" w:line="14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May 26, 2011, Newbury Street Partnership acquired the fee interest in a 6,700 square foot building located on Newbury Street for a purchase price of $6.2 million. We contributed approximately $2.8 million towards the acquisition and provided a $3.1 million interest-only loan secured by the building. This loan and the $8.8 million loan secured by the other two buildings owned by the partnership bear interest at LIBOR plus 400 basis points and mature in May 2012, subject to a one-year extension option. This purchase increases Newbury Street Partnership’s portfolio to three buildings all located on Newbury Street with a total of approximately 39,000 square feet of mixed-use gross leasable area. Our investment in Newbury Street Partnership was $22.9 million and $16.1 million, respectively, at June 30, 2011 and December 31, 2010.</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Due to the timing of receiving financial information from the general partner, our share of operating earnings is recorded one quarter in arrears. Consequently, the following tables provide summarized operating results for the six months ended March 31, 2011, and the financial position of the Newbury Street Partnership as of March 31, 2011 and December 31, 2010: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OPERATING RESULTS </w:t>
            </w:r>
            <w:r>
              <w:rPr>
                <w:rFonts w:ascii="Arial" w:cs="Arial" w:eastAsia="Arial" w:hAnsi="Arial"/>
                <w:sz w:val="18"/>
                <w:szCs w:val="18"/>
                <w:i w:val="1"/>
                <w:iCs w:val="1"/>
                <w:color w:val="auto"/>
              </w:rPr>
              <w:t>(in thousands)</w:t>
            </w:r>
          </w:p>
        </w:tc>
        <w:tc>
          <w:tcPr>
            <w:tcW w:w="6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Revenue</w:t>
            </w: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6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6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6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6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6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loss from real estate partnership</w:t>
            </w:r>
          </w:p>
        </w:tc>
        <w:tc>
          <w:tcPr>
            <w:tcW w:w="6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360" w:type="dxa"/>
            <w:vAlign w:val="bottom"/>
            <w:vMerge w:val="restart"/>
          </w:tcPr>
          <w:p>
            <w:pPr>
              <w:jc w:val="right"/>
              <w:ind w:right="5012"/>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9"/>
              </w:rPr>
              <w:t>March 31,</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62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jc w:val="right"/>
              <w:ind w:right="39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Real estate, net</w:t>
            </w:r>
          </w:p>
        </w:tc>
        <w:tc>
          <w:tcPr>
            <w:tcW w:w="3360" w:type="dxa"/>
            <w:vAlign w:val="bottom"/>
            <w:gridSpan w:val="2"/>
          </w:tcPr>
          <w:p>
            <w:pPr>
              <w:ind w:left="3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17,463</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Other assets</w:t>
            </w:r>
          </w:p>
        </w:tc>
        <w:tc>
          <w:tcPr>
            <w:tcW w:w="3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18,207</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Mortgages payable</w:t>
            </w: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40" w:type="dxa"/>
            <w:vAlign w:val="bottom"/>
            <w:vMerge w:val="continue"/>
          </w:tcPr>
          <w:p>
            <w:pPr>
              <w:spacing w:after="0"/>
              <w:rPr>
                <w:sz w:val="18"/>
                <w:szCs w:val="18"/>
                <w:color w:val="auto"/>
              </w:rPr>
            </w:pPr>
          </w:p>
        </w:tc>
        <w:tc>
          <w:tcPr>
            <w:tcW w:w="3360" w:type="dxa"/>
            <w:vAlign w:val="bottom"/>
            <w:gridSpan w:val="2"/>
          </w:tcPr>
          <w:p>
            <w:pPr>
              <w:ind w:left="3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8,750</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Partners’ capital</w:t>
            </w:r>
          </w:p>
        </w:tc>
        <w:tc>
          <w:tcPr>
            <w:tcW w:w="3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8,641</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partners’ capital</w:t>
            </w:r>
          </w:p>
        </w:tc>
        <w:tc>
          <w:tcPr>
            <w:tcW w:w="3360" w:type="dxa"/>
            <w:vAlign w:val="bottom"/>
            <w:gridSpan w:val="2"/>
            <w:shd w:val="clear" w:color="auto" w:fill="CCEEFF"/>
          </w:tcPr>
          <w:p>
            <w:pPr>
              <w:ind w:left="32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18,207</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connection with the acquisition of Tower Shops on January 19, 2011, we assumed a mortgage loan with a face amount of $41.0 million and a fair value of approximately $42.9 million. The mortgage loan bore interest at 6.52%, had a scheduled maturity in July 2015 and was contractually pre-payable after June 2011 with a 3% prepayment premium. On March 24, 2011, the lender unexpectedly allowed us to repay the $41.0 million mortgage loan prior to the permitted prepayment date including the 3% prepayment premium of $1.2 million. The $0.3 million of income from early extinguishment of debt in the six months ended June 30, 2011, relates to the early payoff of this loan and includes the write-off of the unamortized debt premium of $1.7 million net of the 3% prepayment premium and unamortized debt fees. The mortgage loan was repaid with funds borrowed on our $300.0 million revolving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On February 15, 2011, we repaid our $75.0 million 4.50% senior notes on the maturity date using funds borrowed on our $300.0 million revolving credit facility.</w:t>
      </w:r>
    </w:p>
    <w:p>
      <w:pPr>
        <w:spacing w:after="0" w:line="1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On April 29, 2011, we repaid the $31.7 million mortgage loan on Federal Plaza which had an original maturity date of June 1, 2011. This loan was repaid with funds borrowed on our $300.0 million revolving credit facility.</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On June 1, 2011, we repaid the $5.6 million mortgage loan on Tysons Station which had an original maturity date of September 1, 2011. This loan was repaid with funds borrowed on our $300.0 million revolving credit facility.</w:t>
      </w:r>
    </w:p>
    <w:p>
      <w:pPr>
        <w:spacing w:after="0" w:line="13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the three and six months ended June 30, 2011, the maximum amount of borrowings outstanding under our $300.0 million revolving credit facility was $265.0 million for both periods, the weighted average amount of borrowings outstanding was $220.3 million and $186.6 million, respectively, and the weighted average interest rate, before amortization of debt fees, was 0.66% and 0.68%, respectively. At June 30, 2011, there was $189.0 million outstanding on our revolving credit facility.</w:t>
      </w:r>
    </w:p>
    <w:p>
      <w:pPr>
        <w:spacing w:after="0" w:line="14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Our revolving credit facility and certain notes require us to comply with various financial covenants, including the maintenance of minimum shareholders’ equity and debt coverage ratios and a maximum ratio of debt to net worth. As of June 30, 2011, we were in compliance with all loan covenants.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OF FINANCIAL INSTRUMENTS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ind w:left="480"/>
              <w:spacing w:after="0"/>
              <w:rPr>
                <w:sz w:val="20"/>
                <w:szCs w:val="20"/>
                <w:color w:val="auto"/>
              </w:rPr>
            </w:pPr>
            <w:r>
              <w:rPr>
                <w:rFonts w:ascii="Arial" w:cs="Arial" w:eastAsia="Arial" w:hAnsi="Arial"/>
                <w:sz w:val="14"/>
                <w:szCs w:val="14"/>
                <w:b w:val="1"/>
                <w:bCs w:val="1"/>
                <w:color w:val="auto"/>
              </w:rPr>
              <w:t>June 30, 2011</w:t>
            </w:r>
          </w:p>
        </w:tc>
        <w:tc>
          <w:tcPr>
            <w:tcW w:w="100" w:type="dxa"/>
            <w:vAlign w:val="bottom"/>
          </w:tcPr>
          <w:p>
            <w:pPr>
              <w:spacing w:after="0"/>
              <w:rPr>
                <w:sz w:val="14"/>
                <w:szCs w:val="14"/>
                <w:color w:val="auto"/>
              </w:rPr>
            </w:pPr>
          </w:p>
        </w:tc>
        <w:tc>
          <w:tcPr>
            <w:tcW w:w="190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 2010</w:t>
            </w:r>
          </w:p>
        </w:tc>
      </w:tr>
      <w:tr>
        <w:trPr>
          <w:trHeight w:val="129"/>
        </w:trPr>
        <w:tc>
          <w:tcPr>
            <w:tcW w:w="38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04"/>
              <w:spacing w:after="0" w:line="12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24"/>
              <w:spacing w:after="0" w:line="129"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8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324"/>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860" w:type="dxa"/>
            <w:vAlign w:val="bottom"/>
          </w:tcPr>
          <w:p>
            <w:pPr>
              <w:jc w:val="right"/>
              <w:ind w:right="324"/>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r>
      <w:tr>
        <w:trPr>
          <w:trHeight w:val="142"/>
        </w:trPr>
        <w:tc>
          <w:tcPr>
            <w:tcW w:w="38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4"/>
          </w:tcPr>
          <w:p>
            <w:pPr>
              <w:jc w:val="right"/>
              <w:ind w:right="624"/>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Mortgages and notes payable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696,303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760,107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627,382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685,552</w:t>
            </w:r>
          </w:p>
        </w:tc>
        <w:tc>
          <w:tcPr>
            <w:tcW w:w="100" w:type="dxa"/>
            <w:vAlign w:val="bottom"/>
            <w:shd w:val="clear" w:color="auto" w:fill="CCEEFF"/>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Senior notes and debentures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84"/>
              <w:spacing w:after="0"/>
              <w:rPr>
                <w:sz w:val="20"/>
                <w:szCs w:val="20"/>
                <w:color w:val="auto"/>
              </w:rPr>
            </w:pPr>
            <w:r>
              <w:rPr>
                <w:rFonts w:ascii="Arial" w:cs="Arial" w:eastAsia="Arial" w:hAnsi="Arial"/>
                <w:sz w:val="18"/>
                <w:szCs w:val="18"/>
                <w:color w:val="auto"/>
                <w:w w:val="84"/>
              </w:rPr>
              <w:t>1,004,737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1,105,001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84"/>
              <w:spacing w:after="0"/>
              <w:rPr>
                <w:sz w:val="20"/>
                <w:szCs w:val="20"/>
                <w:color w:val="auto"/>
              </w:rPr>
            </w:pPr>
            <w:r>
              <w:rPr>
                <w:rFonts w:ascii="Arial" w:cs="Arial" w:eastAsia="Arial" w:hAnsi="Arial"/>
                <w:sz w:val="18"/>
                <w:szCs w:val="18"/>
                <w:color w:val="auto"/>
                <w:w w:val="84"/>
              </w:rPr>
              <w:t>1,079,827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1,168,679</w:t>
            </w:r>
          </w:p>
        </w:tc>
        <w:tc>
          <w:tcPr>
            <w:tcW w:w="100" w:type="dxa"/>
            <w:vAlign w:val="bottom"/>
          </w:tcPr>
          <w:p>
            <w:pPr>
              <w:spacing w:after="0"/>
              <w:rPr>
                <w:sz w:val="19"/>
                <w:szCs w:val="19"/>
                <w:color w:val="auto"/>
              </w:rPr>
            </w:pPr>
          </w:p>
        </w:tc>
      </w:tr>
      <w:tr>
        <w:trPr>
          <w:trHeight w:val="356"/>
        </w:trPr>
        <w:tc>
          <w:tcPr>
            <w:tcW w:w="3840" w:type="dxa"/>
            <w:vAlign w:val="bottom"/>
          </w:tcPr>
          <w:p>
            <w:pPr>
              <w:spacing w:after="0"/>
              <w:rPr>
                <w:sz w:val="24"/>
                <w:szCs w:val="24"/>
                <w:color w:val="auto"/>
              </w:rPr>
            </w:pPr>
          </w:p>
        </w:tc>
        <w:tc>
          <w:tcPr>
            <w:tcW w:w="3360" w:type="dxa"/>
            <w:vAlign w:val="bottom"/>
          </w:tcPr>
          <w:p>
            <w:pPr>
              <w:jc w:val="right"/>
              <w:ind w:right="13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8—COMMITMENTS AND CONTINGENCIES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March 2011, we paid the final judgment of $16.2 million related to a previously disclosed lawsuit regarding a parcel of land located adjacent to Santana Row.</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final judgment was previously accrued and is included in “accounts payable and accrued expenses” in our consolidated balance sheet at December 31, 2010.</w:t>
      </w:r>
    </w:p>
    <w:p>
      <w:pPr>
        <w:spacing w:after="0" w:line="19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360,314 operating partnership units are outstanding which have a total fair value of $30.7 million, based on our closing stock price on June 30,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5"/>
              </w:rPr>
              <w:t>Six Months Ended 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34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834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Declared</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Declared</w:t>
            </w: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100" w:type="dxa"/>
            <w:vAlign w:val="bottom"/>
          </w:tcPr>
          <w:p>
            <w:pPr>
              <w:spacing w:after="0"/>
              <w:rPr>
                <w:sz w:val="12"/>
                <w:szCs w:val="12"/>
                <w:color w:val="auto"/>
              </w:rPr>
            </w:pPr>
          </w:p>
        </w:tc>
      </w:tr>
      <w:tr>
        <w:trPr>
          <w:trHeight w:val="210"/>
        </w:trPr>
        <w:tc>
          <w:tcPr>
            <w:tcW w:w="8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Common shares</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$ 1.340</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$1.340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$ 1.320</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340" w:type="dxa"/>
            <w:vAlign w:val="bottom"/>
          </w:tcPr>
          <w:p>
            <w:pPr>
              <w:spacing w:after="0"/>
              <w:rPr>
                <w:sz w:val="20"/>
                <w:szCs w:val="20"/>
                <w:color w:val="auto"/>
              </w:rPr>
            </w:pPr>
            <w:r>
              <w:rPr>
                <w:rFonts w:ascii="Arial" w:cs="Arial" w:eastAsia="Arial" w:hAnsi="Arial"/>
                <w:sz w:val="18"/>
                <w:szCs w:val="18"/>
                <w:color w:val="auto"/>
              </w:rPr>
              <w:t>5.417% Series 1 Cumulative Convertible Preferred</w:t>
            </w:r>
          </w:p>
        </w:tc>
        <w:tc>
          <w:tcPr>
            <w:tcW w:w="520" w:type="dxa"/>
            <w:vAlign w:val="bottom"/>
          </w:tcPr>
          <w:p>
            <w:pPr>
              <w:spacing w:after="0"/>
              <w:rPr>
                <w:sz w:val="20"/>
                <w:szCs w:val="20"/>
                <w:color w:val="auto"/>
              </w:rPr>
            </w:pPr>
            <w:r>
              <w:rPr>
                <w:rFonts w:ascii="Arial" w:cs="Arial" w:eastAsia="Arial" w:hAnsi="Arial"/>
                <w:sz w:val="18"/>
                <w:szCs w:val="18"/>
                <w:color w:val="auto"/>
                <w:w w:val="83"/>
              </w:rPr>
              <w:t>$ 0.677</w:t>
            </w:r>
          </w:p>
        </w:tc>
        <w:tc>
          <w:tcPr>
            <w:tcW w:w="300" w:type="dxa"/>
            <w:vAlign w:val="bottom"/>
          </w:tcPr>
          <w:p>
            <w:pPr>
              <w:spacing w:after="0"/>
              <w:rPr>
                <w:sz w:val="19"/>
                <w:szCs w:val="19"/>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$0.677</w:t>
            </w:r>
          </w:p>
        </w:tc>
        <w:tc>
          <w:tcPr>
            <w:tcW w:w="980" w:type="dxa"/>
            <w:vAlign w:val="bottom"/>
            <w:gridSpan w:val="3"/>
          </w:tcPr>
          <w:p>
            <w:pPr>
              <w:ind w:left="140"/>
              <w:spacing w:after="0"/>
              <w:rPr>
                <w:sz w:val="20"/>
                <w:szCs w:val="20"/>
                <w:color w:val="auto"/>
              </w:rPr>
            </w:pPr>
            <w:r>
              <w:rPr>
                <w:rFonts w:ascii="Arial" w:cs="Arial" w:eastAsia="Arial" w:hAnsi="Arial"/>
                <w:sz w:val="18"/>
                <w:szCs w:val="18"/>
                <w:color w:val="auto"/>
              </w:rPr>
              <w:t>$ 0.677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$0.677</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February 24, 2011, we entered into an at the market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June 30, 2011, we issued 493,022 common shares at a weighted average price per share of $86.93 for net cash proceeds of $42.2 million and paid $0.6 million in commissions related to the sales of these common shares. For the six months ended June 30, 2011, we issued 1,085,611 common shares at a weighted average price per share of $84.48 for net cash proceeds of $90.1 million and paid $1.4 million in commissions related to the sales of these common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10—COMPONENTS OF RENTAL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Retail and commercial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98,232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94,777</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$194,968</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$188,276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 (1)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5,687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11,212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Cost reimbursement</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25,538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26,089</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54,369</w:t>
            </w:r>
          </w:p>
        </w:tc>
        <w:tc>
          <w:tcPr>
            <w:tcW w:w="660" w:type="dxa"/>
            <w:vAlign w:val="bottom"/>
          </w:tcPr>
          <w:p>
            <w:pPr>
              <w:jc w:val="right"/>
              <w:spacing w:after="0"/>
              <w:rPr>
                <w:sz w:val="20"/>
                <w:szCs w:val="20"/>
                <w:color w:val="auto"/>
              </w:rPr>
            </w:pPr>
            <w:r>
              <w:rPr>
                <w:rFonts w:ascii="Arial" w:cs="Arial" w:eastAsia="Arial" w:hAnsi="Arial"/>
                <w:sz w:val="18"/>
                <w:szCs w:val="18"/>
                <w:color w:val="auto"/>
              </w:rPr>
              <w:t>54,839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2,419</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3,964</w:t>
            </w:r>
          </w:p>
        </w:tc>
        <w:tc>
          <w:tcPr>
            <w:tcW w:w="660" w:type="dxa"/>
            <w:vAlign w:val="bottom"/>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132,999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129,636</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267,438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260,461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8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Residential minimum rents consist of the rental amounts for residential units at Rollingwood Apartments, The Crest at Congressional Plaza Apartments, Santana Row and Bethesda Row.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Minimum rents include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8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2010</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r>
      <w:tr>
        <w:trPr>
          <w:trHeight w:val="142"/>
        </w:trPr>
        <w:tc>
          <w:tcPr>
            <w:tcW w:w="8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Straight-line rents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Amortization of above market leases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22"/>
              <w:spacing w:after="0"/>
              <w:rPr>
                <w:sz w:val="20"/>
                <w:szCs w:val="20"/>
                <w:color w:val="auto"/>
              </w:rPr>
            </w:pPr>
            <w:r>
              <w:rPr>
                <w:rFonts w:ascii="Arial" w:cs="Arial" w:eastAsia="Arial" w:hAnsi="Arial"/>
                <w:sz w:val="18"/>
                <w:szCs w:val="18"/>
                <w:color w:val="auto"/>
              </w:rPr>
              <w:t>(0.6)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0"/>
              <w:spacing w:after="0"/>
              <w:rPr>
                <w:sz w:val="20"/>
                <w:szCs w:val="20"/>
                <w:color w:val="auto"/>
              </w:rPr>
            </w:pPr>
            <w:r>
              <w:rPr>
                <w:rFonts w:ascii="Arial" w:cs="Arial" w:eastAsia="Arial" w:hAnsi="Arial"/>
                <w:sz w:val="18"/>
                <w:szCs w:val="18"/>
                <w:color w:val="auto"/>
                <w:w w:val="97"/>
              </w:rPr>
              <w:t>(1.2)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below market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11—DISCONTINUED OPERATIONS</w:t>
      </w:r>
    </w:p>
    <w:p>
      <w:pPr>
        <w:spacing w:after="0" w:line="9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Results of properties disposed or held for disposal which meet certain requirements, constitute discontinued operations and as such, the operations of these properties are classified as discontinued operations for all periods presented. A summary of the financial information for the discontinued operations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7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center"/>
              <w:ind w:left="141"/>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2011</w:t>
            </w: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46"/>
              <w:spacing w:after="0" w:line="142" w:lineRule="exact"/>
              <w:rPr>
                <w:sz w:val="20"/>
                <w:szCs w:val="20"/>
                <w:color w:val="auto"/>
              </w:rPr>
            </w:pPr>
            <w:r>
              <w:rPr>
                <w:rFonts w:ascii="Arial" w:cs="Arial" w:eastAsia="Arial" w:hAnsi="Arial"/>
                <w:sz w:val="14"/>
                <w:szCs w:val="14"/>
                <w:b w:val="1"/>
                <w:bCs w:val="1"/>
                <w:color w:val="auto"/>
                <w:w w:val="89"/>
              </w:rPr>
              <w:t>2010</w:t>
            </w: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right"/>
              <w:ind w:right="141"/>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6"/>
          </w:tcPr>
          <w:p>
            <w:pPr>
              <w:jc w:val="right"/>
              <w:ind w:right="120"/>
              <w:spacing w:after="0" w:line="142" w:lineRule="exact"/>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Revenue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jc w:val="center"/>
              <w:ind w:left="42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w w:val="95"/>
              </w:rPr>
              <w:t>2.0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620" w:type="dxa"/>
            <w:vAlign w:val="bottom"/>
            <w:gridSpan w:val="2"/>
          </w:tcPr>
          <w:p>
            <w:pPr>
              <w:jc w:val="center"/>
              <w:ind w:left="42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61"/>
              <w:spacing w:after="0"/>
              <w:rPr>
                <w:sz w:val="20"/>
                <w:szCs w:val="20"/>
                <w:color w:val="auto"/>
              </w:rPr>
            </w:pPr>
            <w:r>
              <w:rPr>
                <w:rFonts w:ascii="Arial" w:cs="Arial" w:eastAsia="Arial" w:hAnsi="Arial"/>
                <w:sz w:val="18"/>
                <w:szCs w:val="18"/>
                <w:color w:val="auto"/>
                <w:w w:val="95"/>
              </w:rPr>
              <w:t>0.9</w:t>
            </w: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920" w:type="dxa"/>
            <w:vAlign w:val="bottom"/>
          </w:tcPr>
          <w:p>
            <w:pPr>
              <w:spacing w:after="0"/>
              <w:rPr>
                <w:sz w:val="20"/>
                <w:szCs w:val="20"/>
                <w:color w:val="auto"/>
              </w:rPr>
            </w:pPr>
            <w:r>
              <w:rPr>
                <w:rFonts w:ascii="Arial" w:cs="Arial" w:eastAsia="Arial" w:hAnsi="Arial"/>
                <w:sz w:val="18"/>
                <w:szCs w:val="18"/>
                <w:b w:val="1"/>
                <w:bCs w:val="1"/>
                <w:color w:val="auto"/>
              </w:rPr>
              <w:t>NOTE 12—SHARE-BASED COMPENSATION PLANS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20" w:type="dxa"/>
            <w:vAlign w:val="bottom"/>
          </w:tcPr>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ind w:left="181"/>
              <w:spacing w:after="0"/>
              <w:rPr>
                <w:sz w:val="20"/>
                <w:szCs w:val="20"/>
                <w:color w:val="auto"/>
              </w:rPr>
            </w:pPr>
            <w:r>
              <w:rPr>
                <w:rFonts w:ascii="Arial" w:cs="Arial" w:eastAsia="Arial" w:hAnsi="Arial"/>
                <w:sz w:val="14"/>
                <w:szCs w:val="14"/>
                <w:b w:val="1"/>
                <w:bCs w:val="1"/>
                <w:color w:val="auto"/>
                <w:w w:val="85"/>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8"/>
          </w:tcPr>
          <w:p>
            <w:pPr>
              <w:jc w:val="right"/>
              <w:ind w:right="46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440"/>
              <w:spacing w:after="0"/>
              <w:rPr>
                <w:sz w:val="20"/>
                <w:szCs w:val="20"/>
                <w:color w:val="auto"/>
              </w:rPr>
            </w:pPr>
            <w:r>
              <w:rPr>
                <w:rFonts w:ascii="Arial" w:cs="Arial" w:eastAsia="Arial" w:hAnsi="Arial"/>
                <w:sz w:val="18"/>
                <w:szCs w:val="18"/>
                <w:color w:val="auto"/>
              </w:rPr>
              <w:t>Grants of common shares</w:t>
            </w: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$ 1,651</w:t>
            </w:r>
          </w:p>
        </w:tc>
        <w:tc>
          <w:tcPr>
            <w:tcW w:w="2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$ 1,198</w:t>
            </w:r>
          </w:p>
        </w:tc>
        <w:tc>
          <w:tcPr>
            <w:tcW w:w="14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3,586</w:t>
            </w: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Grants of options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1,859</w:t>
            </w:r>
          </w:p>
        </w:tc>
        <w:tc>
          <w:tcPr>
            <w:tcW w:w="2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1,488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4,048</w:t>
            </w:r>
          </w:p>
        </w:tc>
        <w:tc>
          <w:tcPr>
            <w:tcW w:w="1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(384)</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$ 1,683</w:t>
            </w:r>
          </w:p>
        </w:tc>
        <w:tc>
          <w:tcPr>
            <w:tcW w:w="2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$ 1,297</w:t>
            </w:r>
          </w:p>
        </w:tc>
        <w:tc>
          <w:tcPr>
            <w:tcW w:w="140" w:type="dxa"/>
            <w:vAlign w:val="bottom"/>
          </w:tcPr>
          <w:p>
            <w:pPr>
              <w:spacing w:after="0"/>
              <w:rPr>
                <w:sz w:val="19"/>
                <w:szCs w:val="19"/>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3,690</w:t>
            </w:r>
          </w:p>
        </w:tc>
        <w:tc>
          <w:tcPr>
            <w:tcW w:w="1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w:t>
      </w:r>
    </w:p>
    <w:p>
      <w:pPr>
        <w:spacing w:after="0" w:line="9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We had</w:t>
      </w:r>
    </w:p>
    <w:p>
      <w:pPr>
        <w:ind w:right="220"/>
        <w:spacing w:after="0" w:line="254" w:lineRule="auto"/>
        <w:rPr>
          <w:sz w:val="20"/>
          <w:szCs w:val="20"/>
          <w:color w:val="auto"/>
        </w:rPr>
      </w:pPr>
      <w:r>
        <w:rPr>
          <w:rFonts w:ascii="Arial" w:cs="Arial" w:eastAsia="Arial" w:hAnsi="Arial"/>
          <w:sz w:val="18"/>
          <w:szCs w:val="18"/>
          <w:color w:val="auto"/>
        </w:rPr>
        <w:t>0.3 million weighted average unvested shares outstanding for the three and six months ended June 30, 2011 and 0.2 million weighted average unvested shares outstanding for the three and six months ended June 30, 2010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4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stock options of 0.1 million and 0.3 million for the three months ended June 30, 2011 and 2010, respectively, and stock options of 0.1 million and 0.4 million for the six months ended June 30, 2011 and 2010, respectively, have been excluded as they were anti-dilutive.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5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gridSpan w:val="9"/>
          </w:tcPr>
          <w:p>
            <w:pPr>
              <w:jc w:val="right"/>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33,893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30,644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65,856</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60,975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Less: Preferred share dividends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(1,254)</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(2,692)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Less: Earnings allocated to unvested shares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1"/>
        </w:trPr>
        <w:tc>
          <w:tcPr>
            <w:tcW w:w="6820" w:type="dxa"/>
            <w:vAlign w:val="bottom"/>
            <w:gridSpan w:val="2"/>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32,129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29,122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62,577</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57,849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Results from discontinued operations attributable to the Trust</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basic and diluted</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34,497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30,846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65,356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59,796</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2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62,214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61,169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61,844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w:t>
            </w:r>
          </w:p>
        </w:tc>
        <w:tc>
          <w:tcPr>
            <w:tcW w:w="1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outstanding—diluted</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62,391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61,311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62,012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61,266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Continuing operations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0.51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2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0.55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the Trust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32,389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29,390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63,164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58,387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14—SUBSEQUENT EVENT</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July 7, 2011, we replaced our existing $300.0 million revolving credit facility with a new $400.0 million unsecured revolving credit facility. This new revolving credit facility matures on July 6, 2015, subject to a one-year extension at our option, and bears interest at LIBOR plus 115 basis points. The spread over LIBOR is subject to adjustment based on our credit rating.</w:t>
      </w:r>
    </w:p>
    <w:p>
      <w:pPr>
        <w:spacing w:after="0" w:line="256" w:lineRule="exact"/>
        <w:rPr>
          <w:sz w:val="20"/>
          <w:szCs w:val="20"/>
          <w:color w:val="auto"/>
        </w:rPr>
      </w:pPr>
    </w:p>
    <w:p>
      <w:pPr>
        <w:ind w:right="120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2010 filed with the Securities and Exchange Commission (the “SEC”) on February 15, 2011.</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the forward-looking statements as a result of new information, future events or otherwise. You should carefully review the risks and the risk factors included in our Annual Report on Form 10-K for the year ended December 31, 2010 and under Part II, Item 1A in this Quarterly Report on Form 10-Q, before making any investments in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June 30, 2011, we owned or had a majority interest in community and neighborhood shopping centers and mixed-use properties which are operated as 86 predominantly retail real estate projects comprising approximately 18.6 million square feet. In total, the real estate projects were 93.4% leased and 92.7% occupied at June 30, 2011. A joint venture in which we own a 30% interest owned seven retail real estate projects totaling approximately 1.0 million square feet as of June 30, 2011. In total, the joint venture properties in which we own a 30% interest were 90.8% leased and 90.2% occupied at June 30, 2011.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Significant Property Acquisition and Dispositions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19, 2011, we acquired the fee interest in Tower Shops located in Davie, Florida for a net purchase price of $66.1 million which includes the assumption of a mortgage loan with a face amount of $41.0 million and a fair value of approximately $42.9 million. The property contains approximately 372,000 square feet of gross leasable area on 67 acres and is shadow-anchored by Home Depot and Costco</w:t>
      </w:r>
      <w:r>
        <w:rPr>
          <w:rFonts w:ascii="Arial" w:cs="Arial" w:eastAsia="Arial" w:hAnsi="Arial"/>
          <w:sz w:val="18"/>
          <w:szCs w:val="18"/>
          <w:b w:val="1"/>
          <w:bCs w:val="1"/>
          <w:color w:val="auto"/>
        </w:rPr>
        <w:t>.</w:t>
      </w:r>
      <w:r>
        <w:rPr>
          <w:rFonts w:ascii="Arial" w:cs="Arial" w:eastAsia="Arial" w:hAnsi="Arial"/>
          <w:sz w:val="18"/>
          <w:szCs w:val="18"/>
          <w:color w:val="auto"/>
        </w:rPr>
        <w:t xml:space="preserve"> Approximately $1.2 million and $4.4 million of net assets acquired were allocated to other assets for “above market leases” and other liabilities for “below market leases”, respectively. We incurred a total of $0.4 million of acquisition costs of which $0.2 million were incurred in 2011 and are included in “general and administrative expenses” for the six months ended June 30, 2011.</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conjunction with the acquisition, we entered into a reverse Section 1031 like-kind exchange agreement with a third party intermediary which is for a maximum of 180 days and allows us, for tax purposes, to defer gains on sale of other properties identified and sold within this period. Until July 12, 2011, the third party intermediary was the legal owner of the property. However, we control the activities that most significantly impact the property and retain all of the economic benefits and risks associated with the property. Therefore, we have determined we are the primary beneficiary of this VIE and consolidated the property and its operations as of January 19, 2011.</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May 26, 2011, Newbury Street Partnership acquired the fee interest in a 6,700 square foot building located on Newbury Street in Boston, Massachusetts, for a purchase price of $6.2 million. We contributed approximately $2.8 million towards the acquisition and provided a $3.1 million interest-only loan secured by the building. The loan bears interest at LIBOR plus 400 basis points and matures in May 2012, subject to a one-year extension option. This purchase increases Newbury Street Partnership’s portfolio to three buildings all located on Newbury Street with a total of approximately 39,000 square feet of mixed-use gross leasable area.</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July 12, 2011, we sold Feasterville Shopping Center located in Feasterville, Pennsylvania for a sales price of $20.0 million. The operations of this property are included in “discontinued operations” in the consolidated statements of operations and included in “assets held for sale/disposal” in our consolidated balance sheets for all periods presented. The sale was completed as a Section 1031 tax deferred exchange transaction with the acquisition of Tower Shops.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Significant Debt, Equity and Other Transactions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connection with the acquisition of Tower Shops on January 19, 2011, we assumed a mortgage loan with a face amount of $41.0 million and a fair value of approximately $42.9 million. The mortgage loan bore interest at 6.52%, had a scheduled maturity in July 2015 and was contractually pre-payable after June 2011 with a 3% prepayment premium. On March 24, 2011, the lender unexpectedly allowed us to repay the $41.0 million mortgage loan prior to the permitted prepayment date including the 3% prepayment premium of $1.2 million. The $0.3 million of income from early extinguishment of debt in the six months ended June 30, 2011, relates to the early payoff of this loan and includes the write-off of the unamortized debt premium of $1.7 million net of the 3% prepayment premium and unamortized debt fees. The mortgage loan was repaid with funds borrowed on our $300.0 million revolving credit facility.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On February 15, 2011, we repaid our $75.0 million 4.50% senior notes on the maturity date using funds borrowed on our $300.0 million revolving credit facility.</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February 24, 2011, we entered into an at the market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June 30, 2011, we issued 493,022 common shares at a weighted average price per share of $86.93 for net cash proceeds of $42.2 million and paid $0.6 million in commissions related to the sales of these common shares. For the six months ended June 30, 2011, we issued 1,085,611 common shares at a weighted average price per share of $84.48 for net cash proceeds of $90.1 million and paid $1.4 million in commissions related to the sales of these common shares.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In March 2011, we paid the final judgment of $16.2 million related to a previously disclosed lawsuit regarding a parcel of land located adjacent to Santana Row.</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final judgment was previously accrued and is included in “accounts payable and accrued expenses” in our consolidated balance sheet at December 31, 2010.</w:t>
      </w:r>
    </w:p>
    <w:p>
      <w:pPr>
        <w:spacing w:after="0" w:line="1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April 29, 2011, we repaid the $31.7 million mortgage loan on Federal Plaza which had an original maturity date of June 1, 2011. This loan was repaid with funds borrowed on our $300.0 million revolving credit facility.</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June 1, 2011, we repaid the $5.6 million mortgage loan on Tysons Station which had an original maturity date of September 1, 2011. This loan was repaid with funds borrowed on our $300.0 million revolving credit facility.</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July 7, 2011, we replaced our existing $300.0 million revolving credit facility with a new $400.0 million unsecured revolving credit facility. This new revolving credit facility matures on July 6, 2015, subject to a one-year extension at our option, and bears interest at LIBOR plus 115 basis points. The spread over LIBOR is subject to adjustment based on our credit rating.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Receivable Refinancing</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Prior to June 30, 2011, we were the lender on a first and second mortgage loan on a shopping center and an adjacent commercial building in Norwalk, Connecticut. Our carrying amount of the loans was approximately $18.3 million. The loans were in default and foreclosure proceedings had been filed, however, we were in negotiations with the borrower to refinance the loans. On June 30, 2011, we refinanced the existing loans with a first mortgage loan which has a principal balance of $11.9 million, bears interest at 6.0%, and matures on June 30, 2014, subject to a one year extension option. The loan is secured by the shopping center in Norwalk, Connecticut. As part of the refinancing, we received approximately $8.7 million in cash.</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Because the loans were in default, we had certain rights under the first mortgage loan agreement that gave us the ability to direct the activities that most significantly impacted the shopping center. Although we did not exercise those rights, the existence of those rights in the loan agreement resulted in the entity being a VIE. Additionally, given our investment in both the first and second mortgage on the property, the overall decline in fair market value since the loans were initiated, and the default status of the loans, we also had the obligation to absorb losses or rights to receive benefits that could potentially be significant to the VIE. Consequently, we were the primary beneficiary of this VIE and consolidated the shopping center and adjacent building from March 30, 2010 to June 29, 2011. Our investment in the property is included in “assets held for sale/disposal” in the consolidated balance sheet at December 31, 2010 and the operations of the entity are included in “discontinued operations” for all periods presented.</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conjunction with the refinancing of the loans, we re-evaluated our status as the primary beneficiary of the VIE. As the loan is not in default, we no longer have certain rights that give us the ability to control the activities that most significantly impact the shopping center. Our current involvement in the property is solely as the lender on the $11.9 million mortgage loan with protective rights as the lender. Therefore, we are no longer the primary beneficiary and deconsolidated the entity as of June 30, 2011. We recognized a $2.0 million gain on deconsolidation as part of the refinancing which is included in “discontinued operations - gain on deconsolidation of VIE” for the three and six months ended June 30, 2011. The mortgage loan receivable was recorded at its estimated fair value of $11.9 million and is included in “mortgage notes receivable” on the balance sheet at June 30, 2011. The $11.9 million also reflects our maximum exposure to loss related to this investment.</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change in design of the entity including the refinancing of the loan was a VIE reconsideration event. Given that the loan is no longer in default, we, as lender, do not have the power to direct the activities that most significantly impact the entity, and the additional equity investment at risk provided by the entity’s equity holders, the entity is no longer a VIE.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capitalized external and internal costs related to both development and redevelopment activities of $33 million and $2 million, respectively, for the six months ended June 30, 2011 and $22 million and $2 million, respectively, for the six months ended June 30, 2010. We capitalized external and internal costs related to other property improvements of $20 million and $1 million, respectively, for the six months ended June 30, 2011 and $9 million and $1 million, respectively, for the six months ended June 30, 2010. We capitalized external and internal costs related to leasing activities of $4 million and $2 million, respectively, for the six months ended June 30, 2011 and $3 million and $2 million, respectively, for the six months ended June 30, 2010. The amount of capitalized internal costs for salaries and related benefits for development and redevelopment activities, other property improvements, and leasing activities were $1 million, less than $1 million, and $2 million, respectively, for the six months ended June 30, 2011 and $1 million, less than $1 million, and $2 million, respectively, for the six months ended June 30,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9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portfolio from property redevelopments,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properties are located in densely populated 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2011 and 2012, we expect to have redevelopment projects stabilizing with projected costs of approximately $47 million and $59 million, respectively.</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Additionally, we continue to invest in the development at Assembly Row which is a long-term development project we expect to be involved in over the coming years. The carrying value of the development portion of this project at June 30, 2011 is approximately $121 million. The project currently has zoning entitlements to build 2.3 million square feet of commercial-use buildings, 2,100 residential units, and a 200 room hotel. We expect that we will structure any future development in a manner designed to mitigate our risk which may include transfers of entitlements or co-developing with other companies. We have entered into a preliminary agreement with a residential developer for the first phase of development and continue our current predevelopment work and infrastructure work. We expect to invest between $20 million and $40 million related to the development in 2011. However, we do not intend to move forward with construction of the first phase of the project until the Massachusetts Bay Transit Authority (“MBTA”) has received qualified bids from contractors showing that a new orange line T-stop can be built at the property for no more than the public and private funding that has been committed for this T-stop and the contingencies to releasing those funds have been satisfied. If the MBTA does not receive qualified bids demonstrating that the T-stop can be built for the amount committed for construction or the contingencies to releasing those funds are not satisfied, it is unlikely we would commence construction and be able to recover our basis in the property and as a result, would be required to record an impairment.</w:t>
      </w:r>
    </w:p>
    <w:p>
      <w:pPr>
        <w:spacing w:after="0" w:line="1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continue to review acquisition opportunities in our primary markets that complement our portfolio and provide long-term opportunities. Generally, our acquisitions do not initially contribute significantly to earnings growth; however,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assumed mortgages.</w:t>
      </w:r>
    </w:p>
    <w:p>
      <w:pPr>
        <w:spacing w:after="0" w:line="14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The current economic environment may, however, impact our ability to increase rental rates in the short-term and may require us to decrease some rental rates. This will have a long-term impact over the contractual term of the lease agreement, which on average is between five and ten years. We expect to continue to see small changes in occupancy over the short term and expect increases in occupancy to be a driver of our same-center growth over the long term as we are able to re-lease vacant spaces. We seek to maintain a mix of strong national, regional, and local retailers. At June 30, 2011, no single tenant accounted for more than 2.6% of annualized base rent.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current economic environment has impacted the success of our tenants’ retail operations and therefore the amount of rent and expense reimbursements we receive from our tenants. While we believe the locations of our centers and diverse tenant base mitigates the negative impact of the economic environment, any reduction in our tenants’ abilities to pay base rent, percentage rent or other charges, will adversely affect our financial condition and results of operations. We expect our occupancy rate will decrease in the short term as we seek to re-lease approximately 103,000 square feet of space that became vacant in April 2011 due to the rejection of three leases by Borders Group and the rejection of five leases by Blockbuster in their respective bankruptcy proceedings. Additionally, Borders Group recently announced the closing of their remaining stores in late 2011 which includes our remaining Borders location totaling approximately 27,000 square feet. We are currently working to re-lease the spaces but expect the leasing and final occupancy of the spaces to take several quarters. Since the latter part of 2010, we have seen signs of improvement for some of our tenants as well as increased interest from prospective tenants for our retail spaces; however, there can be no assurance that these positive signs will continue. We continue to monitor our tenants’ operating performances as well as trends in the retail industry to evaluate any future impact.</w:t>
      </w:r>
    </w:p>
    <w:p>
      <w:pPr>
        <w:spacing w:after="0" w:line="12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At June 30, 2011, the leasable square feet in our properties was 92.7% occupied and 93.4%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Rollovers</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second quarter 2011, we signed leases for a total of 396,000 square feet of retail space including 370,000 square feet of comparable space leases (leases for which there was a prior tenant) at an average rental increase of 6% on a cash basis and 16% on a straight-line basis. New leases for comparable spaces were signed for 136,000 square feet at an average rental increase of 12% on a cash basis and 18% on a straight-line basis. Renewals for comparable spaces were signed for 234,000 square feet at an average rental increase of 3% on a cash basis and 15% on a straight-line basis.</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 the six months ended June 30, 2011, we signed leases for a total of 777,000 square feet of retail space including 709,000 square feet of comparable space leases (leases for which there was a prior tenant) at an average rental increase of 8% on a cash basis and 20% on a straight-line basis. New leases for comparable spaces were signed for 281,000 square feet at an average rental increase of 16% on a cash basis and 26% on a straight-line basis. Renewals for comparable spaces were signed for 428,000 square feet at an average rental increase of 4% on a cash basis and 16% on a straight-line basis.</w:t>
      </w:r>
    </w:p>
    <w:p>
      <w:pPr>
        <w:spacing w:after="0" w:line="11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some instances, management exercises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leases signed in second quarter 2011 generally become effective over the following two years though some may not become effective until 2014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2011, we expect a similar level of leasing activity compared to prior years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OPERATIONS—THREE MONTHS ENDED JUNE 30, 2011 AND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2"/>
              </w:rPr>
              <w:t>Dollars</w:t>
            </w:r>
          </w:p>
        </w:tc>
        <w:tc>
          <w:tcPr>
            <w:tcW w:w="6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7"/>
          </w:tcPr>
          <w:p>
            <w:pPr>
              <w:jc w:val="right"/>
              <w:ind w:right="160"/>
              <w:spacing w:after="0" w:line="142" w:lineRule="exact"/>
              <w:rPr>
                <w:sz w:val="20"/>
                <w:szCs w:val="20"/>
                <w:color w:val="auto"/>
              </w:rPr>
            </w:pPr>
            <w:r>
              <w:rPr>
                <w:rFonts w:ascii="Arial" w:cs="Arial" w:eastAsia="Arial" w:hAnsi="Arial"/>
                <w:sz w:val="14"/>
                <w:szCs w:val="14"/>
                <w:b w:val="1"/>
                <w:bCs w:val="1"/>
                <w:color w:val="auto"/>
                <w:w w:val="86"/>
              </w:rPr>
              <w:t>(Dollar amounts in thousands)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132,999</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129,636</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$3,363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2,509</w:t>
            </w:r>
          </w:p>
        </w:tc>
        <w:tc>
          <w:tcPr>
            <w:tcW w:w="1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(363)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Total property revenue</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136,279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133,216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2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Real estate taxes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1"/>
        </w:trPr>
        <w:tc>
          <w:tcPr>
            <w:tcW w:w="7920" w:type="dxa"/>
            <w:vAlign w:val="bottom"/>
            <w:gridSpan w:val="2"/>
          </w:tcPr>
          <w:p>
            <w:pPr>
              <w:spacing w:after="0"/>
              <w:rPr>
                <w:sz w:val="20"/>
                <w:szCs w:val="20"/>
                <w:color w:val="auto"/>
              </w:rPr>
            </w:pPr>
            <w:r>
              <w:rPr>
                <w:rFonts w:ascii="Arial" w:cs="Arial" w:eastAsia="Arial" w:hAnsi="Arial"/>
                <w:sz w:val="18"/>
                <w:szCs w:val="18"/>
                <w:color w:val="auto"/>
              </w:rPr>
              <w:t>Property 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95,600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92,877</w:t>
            </w:r>
          </w:p>
        </w:tc>
        <w:tc>
          <w:tcPr>
            <w:tcW w:w="18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2,723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Income from real estate partnerships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256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(23,905)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(25,418)</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1,513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(6,395)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(6,016)</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(379)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(31,871)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(31,020)</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420"/>
              <w:spacing w:after="0"/>
              <w:rPr>
                <w:sz w:val="20"/>
                <w:szCs w:val="20"/>
                <w:color w:val="auto"/>
              </w:rPr>
            </w:pPr>
            <w:r>
              <w:rPr>
                <w:rFonts w:ascii="Arial" w:cs="Arial" w:eastAsia="Arial" w:hAnsi="Arial"/>
                <w:sz w:val="18"/>
                <w:szCs w:val="18"/>
                <w:color w:val="auto"/>
              </w:rPr>
              <w:t>Total other,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(61,707)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(62,233)</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526</w:t>
            </w:r>
          </w:p>
        </w:tc>
        <w:tc>
          <w:tcPr>
            <w:tcW w:w="8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Discontinued operations -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195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 gain on deconsolidation of VIE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2,026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Discontinued operations - gain on sale of real estate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(957)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4,103</w:t>
            </w: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(1,254)</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the Trust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line="20" w:lineRule="exact"/>
              <w:rPr>
                <w:sz w:val="1"/>
                <w:szCs w:val="1"/>
                <w:color w:val="auto"/>
              </w:rPr>
            </w:pPr>
          </w:p>
        </w:tc>
      </w:tr>
      <w:tr>
        <w:trPr>
          <w:trHeight w:val="222"/>
        </w:trPr>
        <w:tc>
          <w:tcPr>
            <w:tcW w:w="79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31,114</w:t>
            </w:r>
          </w:p>
        </w:tc>
        <w:tc>
          <w:tcPr>
            <w:tcW w:w="18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3,643</w:t>
            </w: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Total property revenue increased $3.1 million, or 2.3%, to $136.3 million in the three months ended June 30, 2011 compared to $133.2 million in the three months ended June 30, 2010. The percentage occupied at our shopping centers decreased to 92.7% for June 30, 2011 compared to 93.4% for June 30, 2010.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400"/>
        <w:spacing w:after="0" w:line="357" w:lineRule="auto"/>
        <w:rPr>
          <w:sz w:val="20"/>
          <w:szCs w:val="20"/>
          <w:color w:val="auto"/>
        </w:rPr>
      </w:pPr>
      <w:r>
        <w:rPr>
          <w:rFonts w:ascii="Arial" w:cs="Arial" w:eastAsia="Arial" w:hAnsi="Arial"/>
          <w:sz w:val="15"/>
          <w:szCs w:val="15"/>
          <w:color w:val="auto"/>
        </w:rPr>
        <w:t>Rental income consists primarily of minimum rent, cost reimbursements from tenants and percentage rent. Rental income increased $3.4 million, or 2.6%, to $133.0 million in the three months ended June 30, 2011 compared to $129.6 million in the three months ended June 30, 2010 due primarily to the following:</w:t>
      </w: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$2.1 million attributable to properties acquired in 2010 and 2011,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$1.2 million at redevelopment properties due primarily to increased occupancy and rental rates on new leases.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Other property income decreased $0.4 million, or 14.5%, to $2.1 million in the three months ended June 30, 2011 compared to $2.5 million in the three months ended June 30, 2010. Included in other property income are items which, although recurring, tend to fluctuate more than rental income from period to period, such as lease termination fees. This decrease is primarily due to a decrease in lease termination fees at same-center properties.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Total property expenses increased $0.3 million, or 0.8%, to $40.7 million in the three months ended June 30, 2011 compared to $40.3 million in the three months ended June 30, 2010.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Rental expenses decreased $0.4 million, or 1.5%, to $25.1 million in the three months ended June 30, 2011 compared to $25.5 million in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2010. This decrease is primarily due to the following:</w:t>
      </w:r>
    </w:p>
    <w:p>
      <w:pPr>
        <w:spacing w:after="0" w:line="84"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$1.5 million in bad debt expense at same-center and redevelopment properties, and</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$0.6 million in ground rent due to the fourth quarter 2010 purchases of the fee interest in the land under Pentagon Row and a portion of Bethesda Row,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$0.5 million in marketing expense primarily due to our Assembly Row project and other redevelopment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increase of $0.5 million in other operating costs at same-center and redevelopment properties primarily due to higher demolition costs,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$0.4 million related to properties acquired in 2010 and 2011.</w:t>
      </w:r>
    </w:p>
    <w:p>
      <w:pPr>
        <w:spacing w:after="0" w:line="17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As a result of the changes in rental income, other property income and rental expenses as discussed above, rental expenses as a percentage of rental income plus other property income decreased to 18.6% in the three months ended June 30, 2011 from 19.3% in the three months ended June 30,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Real estate tax expense increased $0.7 million, or 4.8% to $15.5 million in the three months ended June 30, 2011 compared to $14.8 million in the three months ended June 30, 2010 due primarily to properties acquired in 2010 and 2011 and higher assessments at same-center properties.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Property operating income increased $2.7 million, or 2.9%, to $95.6 million in the three months ended June 30, 2011 compared to $92.9 million in the three months ended June 30, 2010. This increase is primarily due to properties acquired in 2010 and 2011 and growth in earnings at same-center properties.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decreased $1.5 million, or 6.0%, to $23.9 million in the three months ended June 30, 2011 compared to $25.4 million in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2010. This decrease is due primarily to the following:</w:t>
      </w:r>
    </w:p>
    <w:p>
      <w:pPr>
        <w:spacing w:after="0" w:line="84"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$2.8 million due to a lower overall weighted average borrowing rate,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$0.4 million in capitalized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$1.7 million due to higher borrowings.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Gross interest costs were $25.8 million and $26.9 million in the three months ended June 30, 2011 and 2010, respectively. Capitalized interest was $1.9 million and $1.5 million in the three months ended June 30, 2011 and 2010, respectively.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General and administrative expense increased $0.4 million, or 6.3%, to $6.4 million in the three months ended June 30, 2011 from $6.0 million in the three months ended June 30, 2010. This increase is due primarily to higher personnel related costs, higher acquisition costs as a result of expensing all transaction costs on higher acquisitions volume partially offset by lower legal fees primarily as a result of litigation regarding certain rights to acquire the land under Pentagon Row which was fully resolved in fourth quarter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Depreciation and amortization expense increased $0.9 million, or 2.7%, to $31.9 million in the three months ended June 30, 2011 from $31.0 million in the three months ended June 30, 2010. This increase is due primarily to 2010 and 2011 acquisitions, accelerated depreciation due to the change in use of certain redevelopment buildings, and capital improvements at same-center and redevelopment properties.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Income</w:t>
      </w:r>
    </w:p>
    <w:p>
      <w:pPr>
        <w:spacing w:after="0" w:line="90"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Income from discontinued operations represents the operating income of properties that have been disposed or will be disposed, which is required to be reported separately from results of ongoing operations. The reported operating income of $0.5 million and $0.3 million for the three months ended June 30, 2011 and 2010, respectively, primarily represents the operating income for the period during which we owned properties sold/disposed of or held for sale in 2011 and 2010.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Gain on Deconsolidation of VIE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$2.0 million gain on deconsolidation of VIE for the three months ended June 30, 2011, is the result of the refinancing of a mortgage note receivable on a shopping center in Norwalk, Connecticut, resulting in us no longer being the primary beneficiary of the VIE. See Note 4 to the consolidated financial statements for further discussion of this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Operations—Gain on Sale of Real Estate</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$1.0 million gain on sale of real estate from discontinued operations for the three months ended June 30, 2010 relates to the final settlement reached with the contractors responsible for performing defective work in previous years related to the work done in connection with the sale of certain condominium units at Santana Row.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$0.4 million gain on sale of real estate for the three months ended June 30, 2010 is due to condemnation proceeds, net of costs, at one of our Northern Virginia properties in order to expand a local road.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OPERATIONS—SIX MONTHS ENDED JUNE 30, 2011 AND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6"/>
              </w:rPr>
              <w:t>Dollars</w:t>
            </w:r>
          </w:p>
        </w:tc>
        <w:tc>
          <w:tcPr>
            <w:tcW w:w="4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7"/>
          </w:tcPr>
          <w:p>
            <w:pPr>
              <w:jc w:val="right"/>
              <w:ind w:right="400"/>
              <w:spacing w:after="0" w:line="142" w:lineRule="exact"/>
              <w:rPr>
                <w:sz w:val="20"/>
                <w:szCs w:val="20"/>
                <w:color w:val="auto"/>
              </w:rPr>
            </w:pPr>
            <w:r>
              <w:rPr>
                <w:rFonts w:ascii="Arial" w:cs="Arial" w:eastAsia="Arial" w:hAnsi="Arial"/>
                <w:sz w:val="14"/>
                <w:szCs w:val="14"/>
                <w:b w:val="1"/>
                <w:bCs w:val="1"/>
                <w:color w:val="auto"/>
                <w:w w:val="87"/>
              </w:rPr>
              <w:t>(Dollar amounts in thousands)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267,438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260,461</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$ 6,977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property income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8,419</w:t>
            </w:r>
          </w:p>
        </w:tc>
        <w:tc>
          <w:tcPr>
            <w:tcW w:w="200" w:type="dxa"/>
            <w:vAlign w:val="bottom"/>
          </w:tcPr>
          <w:p>
            <w:pPr>
              <w:spacing w:after="0"/>
              <w:rPr>
                <w:sz w:val="18"/>
                <w:szCs w:val="18"/>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(4,183)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ind w:left="420"/>
              <w:spacing w:after="0"/>
              <w:rPr>
                <w:sz w:val="20"/>
                <w:szCs w:val="20"/>
                <w:color w:val="auto"/>
              </w:rPr>
            </w:pPr>
            <w:r>
              <w:rPr>
                <w:rFonts w:ascii="Arial" w:cs="Arial" w:eastAsia="Arial" w:hAnsi="Arial"/>
                <w:sz w:val="18"/>
                <w:szCs w:val="18"/>
                <w:color w:val="auto"/>
              </w:rPr>
              <w:t>Total property revenue</w:t>
            </w: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273,929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271,017</w:t>
            </w:r>
          </w:p>
        </w:tc>
        <w:tc>
          <w:tcPr>
            <w:tcW w:w="200" w:type="dxa"/>
            <w:vAlign w:val="bottom"/>
          </w:tcPr>
          <w:p>
            <w:pPr>
              <w:spacing w:after="0"/>
              <w:rPr>
                <w:sz w:val="19"/>
                <w:szCs w:val="19"/>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2,912</w:t>
            </w: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55,304</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Real estate taxes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30,954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29,855</w:t>
            </w:r>
          </w:p>
        </w:tc>
        <w:tc>
          <w:tcPr>
            <w:tcW w:w="20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1,099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85,159</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Property operating income</w:t>
            </w: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221"/>
        </w:trPr>
        <w:tc>
          <w:tcPr>
            <w:tcW w:w="592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188,440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185,858</w:t>
            </w:r>
          </w:p>
        </w:tc>
        <w:tc>
          <w:tcPr>
            <w:tcW w:w="200" w:type="dxa"/>
            <w:vAlign w:val="bottom"/>
          </w:tcPr>
          <w:p>
            <w:pPr>
              <w:spacing w:after="0"/>
              <w:rPr>
                <w:sz w:val="19"/>
                <w:szCs w:val="19"/>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2,582</w:t>
            </w: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Income from real estate partnerships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386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(48,949)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(51,380)</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2,431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(2,801)</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3,097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(12,446)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(11,505)</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(941)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(62,287)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(59,793)</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(2,494)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net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(122,584)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(124,883)</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2,299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line="20" w:lineRule="exact"/>
              <w:rPr>
                <w:sz w:val="1"/>
                <w:szCs w:val="1"/>
                <w:color w:val="auto"/>
              </w:rPr>
            </w:pPr>
          </w:p>
        </w:tc>
      </w:tr>
      <w:tr>
        <w:trPr>
          <w:trHeight w:val="221"/>
        </w:trPr>
        <w:tc>
          <w:tcPr>
            <w:tcW w:w="592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65,856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60,975</w:t>
            </w:r>
          </w:p>
        </w:tc>
        <w:tc>
          <w:tcPr>
            <w:tcW w:w="200" w:type="dxa"/>
            <w:vAlign w:val="bottom"/>
          </w:tcPr>
          <w:p>
            <w:pPr>
              <w:spacing w:after="0"/>
              <w:rPr>
                <w:sz w:val="19"/>
                <w:szCs w:val="19"/>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4,881</w:t>
            </w: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 income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Discontinued operations - gain on deconsolidation of VIE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2,026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 gain on sale of real estate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(957)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(410)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62,922</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5,933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(2,588)</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(324)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65,943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60,334</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$ 5,609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Total property revenue increased $2.9 million, or 1.1%, to $273.9 million in the six months ended June 30, 2011 compared to $271.0 million in the six months ended June 30, 2010. The percentage occupied at our shopping centers decreased to 92.7% for June 30, 2011 compared to 93.4% for June 30, 2010.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$7.0 million, or 2.7%, to $267.4 million in the six months ended June 30, 2011 compared to $260.5 million in the six months ended June 30, 2010 due primarily to the following:</w:t>
      </w:r>
    </w:p>
    <w:p>
      <w:pPr>
        <w:spacing w:after="0" w:line="4"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$4.0 million attributable to properties acquired in 2010 and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$2.2 million at redevelopment properties due primarily to increased occupancy and rental rates on new leases, and</w:t>
      </w:r>
    </w:p>
    <w:p>
      <w:pPr>
        <w:spacing w:after="0" w:line="90"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$0.8 million at same-center properties due primarily to higher rental rates on new and renewal leases partially offset by lower recoveries.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Other property income decreased $4.2 million, or 49.7%, to $4.2 million in the six months ended June 30, 2011 compared to $8.4 million in the six months ended June 30, 2010. Included in other property income are items which, although recurring, tend to fluctuate more than rental income from period to period, such as lease termination fees. This decrease is primarily due to a decrease in lease termination fees at same-center and redevelopment properties.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Total property expenses increased $0.3 million, or 0.4%, to $85.5 million in the six months ended June 30, 2011 compared to $85.2 million in the six months ended June 30, 2010.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decreased $0.8 million, or 1.4%, to $54.5 million in the six months ended June 30, 2011 compared to $55.3 million in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2010. This decrease is primarily due to the following:</w:t>
      </w:r>
    </w:p>
    <w:p>
      <w:pPr>
        <w:spacing w:after="0" w:line="8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$2.1 million in bad debt expense at same-center and redevelopment properties, and</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$1.2 million in ground rent due to the fourth quarter 2010 purchases of the fee interest in the land under Pentagon Row and a portion of Bethesda Row,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$1.0 million in marketing expense primarily due to our Assembly Row project and other redevelopment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$0.9 million related to properties acquired in 2010 and 2011,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of $0.8 million in other operating costs at same-center and redevelopment properties primarily due to higher legal and demolition costs.</w:t>
      </w:r>
    </w:p>
    <w:p>
      <w:pPr>
        <w:spacing w:after="0" w:line="194"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As a result of the changes in rental income, other property income and rental expenses as discussed above, rental expenses as a percentage of rental income plus other property income decreased to 20.1% in the six months ended June 30, 2011 from 20.6% in the six months ended June 30,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Real estate tax expense increased $1.1 million, or 3.7% to $31.0 million in the six months ended June 30, 2011 compared to $29.9 million in the six months ended June 30, 2010 due primarily to properties acquired in 2010 and 2011 and higher assessments at same-center and redevelopment properties.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Property operating income increased $2.6 million, or 1.4%, to $188.4 million in the six months ended June 30, 2011 compared to $185.9 million in the six months ended June 30, 2010. This increase is primarily due to growth in earnings at same-center properties and properties acquired in 2010 and 2011 partially offset by a decrease in lease termination fees at redevelopment properties.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$2.4 million, or 4.7%, to $48.9 million in the six months ended June 30, 2011 compared to $51.4 million in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2010. This decrease is due primarily to the following:</w:t>
      </w:r>
    </w:p>
    <w:p>
      <w:pPr>
        <w:spacing w:after="0" w:line="84"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$4.7 million due to a lower overall weighted average borrowing rate,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$0.6 million in capitalized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$2.9 million due to higher borrowings.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Gross interest costs were $52.6 million and $54.4 million in the six months ended June 30, 2011 and 2010, respectively. Capitalized interest was $3.6 million and $3.0 million in the six months ended June 30, 2011 and 2010,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$0.3 million of income from early extinguishment of debt in the six months ended June 30, 2011 is due to the write-off of unamortized debt premium net of a 3% prepayment premium and unamortized debt fees related to the payoff of our mortgage loan on Tower Shops prior to its contractual prepayment date. The $2.8 million early extinguishment of debt expense in the six months ended June 30, 2010 is due to the write-off of unamortized debt fees related to the $250.0 million payoff of the term loan prior to its maturity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General and administrative expense increased $0.9 million, or 8.2%, to $12.4 million in the six months ended June 30, 2011 from $11.5 million in the six months ended June 30, 2010. This increase is due primarily to higher personnel related costs, higher acquisition costs as a result of expensing all transaction costs on higher acquisitions volume partially offset by lower legal fees primarily as a result of litigation regarding certain rights to acquire the land under Pentagon Row which was fully resolved in fourth quarter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Depreciation and amortization expense increased $2.5 million, or 4.2%, to $62.3 million in the six months ended June 30, 2011 from $59.8 million in the six months ended June 30, 2010. This increase is due primarily to 2010 and 2011 acquisitions, accelerated depreciation due to the change in use of certain redevelopment buildings, and capital improvements at same-center and redevelopment properties.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Income</w:t>
      </w:r>
    </w:p>
    <w:p>
      <w:pPr>
        <w:spacing w:after="0" w:line="90"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Income from discontinued operations represents the operating income of properties that have been disposed or will be disposed, which is required to be reported separately from results of ongoing operations. The reported operating income of $0.9 million and $0.5 million for the six months ended June 30, 2011 and 2010, respectively, primarily represents the operating income for the period during which we owned properties sold/disposed of or held for sale in 2011 and 2010.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Gain on Deconsolidation of VIE</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$2.0 million gain on deconsolidation of VIE for the six months ended June 30, 2011, is the result of the refinancing of a mortgage note receivable on a shopping center in Norwalk, Connecticut, resulting in us no longer being the primary beneficiary of the VIE. See Note 4 to the consolidated financial statements for further discussion of this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Operations—Gain on Sale of Real Estate</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$1.0 million gain on sale of real estate from discontinued operations for the six months ended June 30, 2010 relates to the final settlement reached with the contractors responsible for performing defective work in previous years related to the work done in connection with the sale of certain condominium units at Santana Row.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$0.4 million gain on sale of real estate for the six months ended June 30, 2010 is due to condemnation proceeds, net of costs, at one of our Northern Virginia properties in order to expand a local road.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May 2011, the FASB issued Accounting Standards Update (“ASU “) 2011-04, “Fair Value Measurement (Topic 820): Amendments to Achieve Common Fair Value Measurement and Disclosure Requirements in U.S. GAAP and IFRSs.” The pronouncement was issued to provide a uniform framework for fair value measurements and related disclosures between U.S. GAAP and International Financial Reporting Standards (“IFRS”). ASU 2011-04 changes certain fair value measurement principles and enhances the disclosure requirements particularly for level 3 fair value measurements. This pronouncement is effective for us in the first quarter of 2012 and is not expected to have a significant impact to our consolidated financial statements.</w:t>
      </w:r>
    </w:p>
    <w:p>
      <w:pPr>
        <w:spacing w:after="0" w:line="11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In June 2011, the FASB issued ASU 2011-05, “Comprehensive Income (Topic 220): Presentation of Comprehensive Income.” ASU 2011-05 eliminates the option to present components of other comprehensive income as part of the statement of shareholders’ equity and requires the presentation of components of net income and components of other comprehensive income either in a single continuous statement of comprehensive income or in two separate but consecutive statements. This pronouncement is effective for us in the first quarter of 2012 and will not have a significant impact to our consolidated financial statements.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4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4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On February 24, 2011, we entered into an ATM equity program in which we may from time to time offer and sell common shares having an aggregate offering price of up to $300.0 million. Through June 30, 2011, we have issued 1,085,611 common shares for net cash proceeds of $90.1 million under the program.</w:t>
      </w:r>
    </w:p>
    <w:p>
      <w:pPr>
        <w:spacing w:after="0" w:line="8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Cash and cash equivalents increased $4.1 million to $19.8 million at June 30, 2011; however, cash and cash equivalents are not the only indicator of our liquidity. We also had a $300.0 million unsecured revolving credit facility which had an outstanding balance of $189.0 million at June 30, 2011. On July 7, 2011 we replaced the $300.0 million facility with a new $400.0 million unsecured revolving credit facility. This new revolving credit facility matures on July 6, 2015, subject to a one-year extension at our option, and bears interest at LIBOR plus 115 basis points. The spread over LIBOR is subject to adjustment based on our credit rating. In addition, we have an option to increase the credit facility through an accordion feature to $800 million.</w:t>
      </w:r>
    </w:p>
    <w:p>
      <w:pPr>
        <w:spacing w:after="0" w:line="116"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For the six months ended June 30, 2011, the maximum amount of borrowings outstanding under our $300.0 million revolving credit facility was $265.0 million, the weighted average amount of borrowings outstanding was $186.6 million and the weighted average interest rate, before amortization of debt fees, was 0.68%. Also, as of June 30, 2011, we had the capacity to issue up to $208.3 million in common shares under our ATM equity program. As of June 30, 2011, we have no debt maturities related to mortgages payable or senior notes and debentures during the remainder of 2011. We currently believe that cash flows from operations, cash on hand, our ATM equity program and our revolving credit facility will be sufficient to finance our operations and fund our capital expenditures.</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overall capital requirements during the remainder of 2011 will depend upon acquisition opportunities, the level of improvements and redevelopments on existing properties and the timing and cost of development of Assembly Row and future phases of existing properties. While the amount of future expenditures will depend on numerous factors, we expect to incur at least similar levels of capital expenditures in 2011 compared to prior periods which will be funded on a short-term basis with cash flow from operations, cash on hand, our revolving credit facility and/or shares issued under our ATM equity program, and on a long-term basis, with long-term debt or equity. If necessary, we may access the debt or equity capital markets to finance significant acquisitions. Given our past success as well as the status of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51" w:lineRule="exact"/>
        <w:rPr>
          <w:sz w:val="20"/>
          <w:szCs w:val="20"/>
          <w:color w:val="auto"/>
        </w:rPr>
      </w:pPr>
    </w:p>
    <w:p>
      <w:pPr>
        <w:ind w:left="900" w:right="22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2"/>
        </w:trPr>
        <w:tc>
          <w:tcPr>
            <w:tcW w:w="95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tcPr>
          <w:p>
            <w:pPr>
              <w:jc w:val="right"/>
              <w:ind w:right="375"/>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118,698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129,345</w:t>
            </w: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(76,760)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(61,945)</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(37,887)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(179,232)</w:t>
            </w: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(111,832)</w:t>
            </w:r>
          </w:p>
        </w:tc>
        <w:tc>
          <w:tcPr>
            <w:tcW w:w="0" w:type="dxa"/>
            <w:vAlign w:val="bottom"/>
          </w:tcPr>
          <w:p>
            <w:pPr>
              <w:spacing w:after="0"/>
              <w:rPr>
                <w:sz w:val="1"/>
                <w:szCs w:val="1"/>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135,389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19,848</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23,557</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Net cash provided by operating activities decreased $10.6 million to $118.7 million during the six months ended June 30, 2011 from $129.3 million during the six months ended June 30, 2010. The decrease was primarily attributable to the $16.2 million payment of the final judgment related to a previously disclosed lawsuit offset by higher net income before certain non-cash items.</w:t>
      </w:r>
    </w:p>
    <w:p>
      <w:pPr>
        <w:spacing w:after="0" w:line="14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cash used in investing activities increased $14.8 million to $76.8 million during the six months ended June 30, 2011 from $61.9 million during the six months ended June 30, 2010. The increase was primarily attributable to:</w:t>
      </w:r>
    </w:p>
    <w:p>
      <w:pPr>
        <w:spacing w:after="0" w:line="5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$26.1 million increase in capital investments,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$18.9 million related to the acquisition of Tower Shops in January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$10.5 million acquisition of a first mortgage loan in March 2010,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$9.8 million decrease in contributions to the Newbury Street Partnership due to the $16.7 million initial investment in 2010,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$8.7 million payment received in June 2011 related to the refinancing of a mortgage loan receivable.</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Net cash used in financing activities decreased $141.3 million to $37.9 million during the six months ended June 30, 2011 from $179.2 million during the six months ended June 30, 2010. The decrease was primarily attributable to:</w:t>
      </w:r>
    </w:p>
    <w:p>
      <w:pPr>
        <w:spacing w:after="0" w:line="51" w:lineRule="exact"/>
        <w:rPr>
          <w:sz w:val="20"/>
          <w:szCs w:val="20"/>
          <w:color w:val="auto"/>
        </w:rPr>
      </w:pPr>
    </w:p>
    <w:p>
      <w:pPr>
        <w:ind w:left="900" w:right="1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$170.4 million decrease in repayment of mortgages, capital leases and notes payable due substantially to the $250.0 million payoff of our term loan in 2010 offset by the payoff of two mortgages totaling $37.4 million in 2011,</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$112.0 million increase in net borrowings on our revolving credit facility, and</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$93.3 million increase in net proceeds from the issuance of common shares due primarily to the sale of 1.1 million shares under our ATM equity program entered into in February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$148.5 million in net proceeds from the issuance of 5.90% senior notes in March 2010 and no issuances in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$75.0 million repayment of 4.50% senior notes in February 2011,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$10.0 million in public funding received for the development at Assembly Row in April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June 30, 2011, the Partnership owned seven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June 30, 2011, our investment in the Partnership was $35.0 million and the Partnership had approximately $57.5 million of mortgages payable outstanding. Our share of principal and interest payments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Joint Venture Commitments Due by Period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0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w w:val="89"/>
              </w:rPr>
              <w:t>Less Than</w:t>
            </w:r>
          </w:p>
        </w:tc>
        <w:tc>
          <w:tcPr>
            <w:tcW w:w="960" w:type="dxa"/>
            <w:vAlign w:val="bottom"/>
          </w:tcPr>
          <w:p>
            <w:pPr>
              <w:jc w:val="right"/>
              <w:ind w:right="287"/>
              <w:spacing w:after="0" w:line="129" w:lineRule="exact"/>
              <w:rPr>
                <w:sz w:val="20"/>
                <w:szCs w:val="20"/>
                <w:color w:val="auto"/>
              </w:rPr>
            </w:pPr>
            <w:r>
              <w:rPr>
                <w:rFonts w:ascii="Arial" w:cs="Arial" w:eastAsia="Arial" w:hAnsi="Arial"/>
                <w:sz w:val="14"/>
                <w:szCs w:val="14"/>
                <w:b w:val="1"/>
                <w:bCs w:val="1"/>
                <w:color w:val="auto"/>
              </w:rPr>
              <w:t>1-3</w:t>
            </w:r>
          </w:p>
        </w:tc>
        <w:tc>
          <w:tcPr>
            <w:tcW w:w="820" w:type="dxa"/>
            <w:vAlign w:val="bottom"/>
          </w:tcPr>
          <w:p>
            <w:pPr>
              <w:jc w:val="right"/>
              <w:ind w:right="326"/>
              <w:spacing w:after="0" w:line="129" w:lineRule="exact"/>
              <w:rPr>
                <w:sz w:val="20"/>
                <w:szCs w:val="20"/>
                <w:color w:val="auto"/>
              </w:rPr>
            </w:pPr>
            <w:r>
              <w:rPr>
                <w:rFonts w:ascii="Arial" w:cs="Arial" w:eastAsia="Arial" w:hAnsi="Arial"/>
                <w:sz w:val="14"/>
                <w:szCs w:val="14"/>
                <w:b w:val="1"/>
                <w:bCs w:val="1"/>
                <w:color w:val="auto"/>
              </w:rPr>
              <w:t>3-5</w:t>
            </w:r>
          </w:p>
        </w:tc>
        <w:tc>
          <w:tcPr>
            <w:tcW w:w="640" w:type="dxa"/>
            <w:vAlign w:val="bottom"/>
          </w:tcPr>
          <w:p>
            <w:pPr>
              <w:jc w:val="center"/>
              <w:ind w:left="6"/>
              <w:spacing w:after="0" w:line="129" w:lineRule="exact"/>
              <w:rPr>
                <w:sz w:val="20"/>
                <w:szCs w:val="20"/>
                <w:color w:val="auto"/>
              </w:rPr>
            </w:pPr>
            <w:r>
              <w:rPr>
                <w:rFonts w:ascii="Arial" w:cs="Arial" w:eastAsia="Arial" w:hAnsi="Arial"/>
                <w:sz w:val="14"/>
                <w:szCs w:val="14"/>
                <w:b w:val="1"/>
                <w:bCs w:val="1"/>
                <w:color w:val="auto"/>
                <w:w w:val="90"/>
              </w:rPr>
              <w:t>After 5</w:t>
            </w:r>
          </w:p>
        </w:tc>
        <w:tc>
          <w:tcPr>
            <w:tcW w:w="100" w:type="dxa"/>
            <w:vAlign w:val="bottom"/>
          </w:tcPr>
          <w:p>
            <w:pPr>
              <w:spacing w:after="0"/>
              <w:rPr>
                <w:sz w:val="11"/>
                <w:szCs w:val="11"/>
                <w:color w:val="auto"/>
              </w:rPr>
            </w:pPr>
          </w:p>
        </w:tc>
      </w:tr>
      <w:tr>
        <w:trPr>
          <w:trHeight w:val="161"/>
        </w:trPr>
        <w:tc>
          <w:tcPr>
            <w:tcW w:w="50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14"/>
                <w:szCs w:val="14"/>
                <w:color w:val="auto"/>
              </w:rPr>
            </w:pPr>
          </w:p>
        </w:tc>
        <w:tc>
          <w:tcPr>
            <w:tcW w:w="540" w:type="dxa"/>
            <w:vAlign w:val="bottom"/>
          </w:tcPr>
          <w:p>
            <w:pPr>
              <w:jc w:val="right"/>
              <w:ind w:right="82"/>
              <w:spacing w:after="0"/>
              <w:rPr>
                <w:sz w:val="20"/>
                <w:szCs w:val="20"/>
                <w:color w:val="auto"/>
              </w:rPr>
            </w:pPr>
            <w:r>
              <w:rPr>
                <w:rFonts w:ascii="Arial" w:cs="Arial" w:eastAsia="Arial" w:hAnsi="Arial"/>
                <w:sz w:val="14"/>
                <w:szCs w:val="14"/>
                <w:b w:val="1"/>
                <w:bCs w:val="1"/>
                <w:color w:val="auto"/>
                <w:w w:val="85"/>
              </w:rPr>
              <w:t>1 Year</w:t>
            </w:r>
          </w:p>
        </w:tc>
        <w:tc>
          <w:tcPr>
            <w:tcW w:w="960" w:type="dxa"/>
            <w:vAlign w:val="bottom"/>
          </w:tcPr>
          <w:p>
            <w:pPr>
              <w:ind w:left="340"/>
              <w:spacing w:after="0"/>
              <w:rPr>
                <w:sz w:val="20"/>
                <w:szCs w:val="20"/>
                <w:color w:val="auto"/>
              </w:rPr>
            </w:pPr>
            <w:r>
              <w:rPr>
                <w:rFonts w:ascii="Arial" w:cs="Arial" w:eastAsia="Arial" w:hAnsi="Arial"/>
                <w:sz w:val="14"/>
                <w:szCs w:val="14"/>
                <w:b w:val="1"/>
                <w:bCs w:val="1"/>
                <w:color w:val="auto"/>
              </w:rPr>
              <w:t>Years</w:t>
            </w:r>
          </w:p>
        </w:tc>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Years</w:t>
            </w: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Years</w:t>
            </w:r>
          </w:p>
        </w:tc>
      </w:tr>
      <w:tr>
        <w:trPr>
          <w:trHeight w:val="142"/>
        </w:trPr>
        <w:tc>
          <w:tcPr>
            <w:tcW w:w="50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 (principal and interest)</w:t>
            </w:r>
          </w:p>
        </w:tc>
        <w:tc>
          <w:tcPr>
            <w:tcW w:w="30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$21,586</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960" w:type="dxa"/>
            <w:vAlign w:val="bottom"/>
            <w:shd w:val="clear" w:color="auto" w:fill="CCEEFF"/>
          </w:tcPr>
          <w:p>
            <w:pPr>
              <w:jc w:val="right"/>
              <w:ind w:right="127"/>
              <w:spacing w:after="0"/>
              <w:rPr>
                <w:sz w:val="20"/>
                <w:szCs w:val="20"/>
                <w:color w:val="auto"/>
              </w:rPr>
            </w:pPr>
            <w:r>
              <w:rPr>
                <w:rFonts w:ascii="Arial" w:cs="Arial" w:eastAsia="Arial" w:hAnsi="Arial"/>
                <w:sz w:val="18"/>
                <w:szCs w:val="18"/>
                <w:color w:val="auto"/>
              </w:rPr>
              <w:t>$2,112</w:t>
            </w:r>
          </w:p>
        </w:tc>
        <w:tc>
          <w:tcPr>
            <w:tcW w:w="820" w:type="dxa"/>
            <w:vAlign w:val="bottom"/>
            <w:shd w:val="clear" w:color="auto" w:fill="CCEEFF"/>
          </w:tcPr>
          <w:p>
            <w:pPr>
              <w:jc w:val="right"/>
              <w:ind w:right="166"/>
              <w:spacing w:after="0"/>
              <w:rPr>
                <w:sz w:val="20"/>
                <w:szCs w:val="20"/>
                <w:color w:val="auto"/>
              </w:rPr>
            </w:pPr>
            <w:r>
              <w:rPr>
                <w:rFonts w:ascii="Arial" w:cs="Arial" w:eastAsia="Arial" w:hAnsi="Arial"/>
                <w:sz w:val="18"/>
                <w:szCs w:val="18"/>
                <w:color w:val="auto"/>
              </w:rPr>
              <w:t>$8,272</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$10,674</w:t>
            </w:r>
          </w:p>
        </w:tc>
        <w:tc>
          <w:tcPr>
            <w:tcW w:w="10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May 2010, we formed Taurus Newbury Street JV II Limited Partnership (“Newbury Street Partnership”), a joint venture limited partnership with an affiliate of Taurus Investment Holdings, LLC (“Taurus”), which plans to acquire, operate and redevelop up to $200 million in properties located primarily in the Back Bay section of Boston, Massachusetts. We hold an 85% limited partnership interest in Newbury Street Partnership and Taurus holds a 15% limited partnership interest and serves as general partner. As general partner, Taurus is responsible for the operation and management of the properties, subject to our approval on major decisions. We have evaluated the entity and determined that it is not a VIE. Accordingly, given Taurus’ role as general partner, we account for our interest in Newbury Street Partnership using the equity method. Accounting policies for the Newbury Street Partnership are similar to accounting policies followed by the Trust. The entity is subject to a buy-sell provision which is customary for real estate joint venture agreements and the industry. The buy-sell can be exercised only in certain circumstances through May 2014 and may be initiated by either party at anytime thereafter which could result in either the sale of our interest or the use of available cash or borrowings to acquire Taurus’ interest.</w:t>
      </w:r>
    </w:p>
    <w:p>
      <w:pPr>
        <w:spacing w:after="0" w:line="1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26, 2011, Newbury Street Partnership acquired the fee interest in a 6,700 square foot building located on Newbury Street for a purchase price of $6.2 million. We contributed approximately $2.8 million towards the acquisition and provided a $3.1 million interest-only loan secured by the building. This loan and the $8.8 million loan secured by the other two buildings owned by the partnership bear interest at LIBOR plus 400 basis points and mature in May 2012, subject to a one-year extension option. This purchase increases Newbury Street Partnership’s portfolio to three buildings all located on Newbury Street with a total of approximately 39,000 square feet of mixed-use gross leasable area. At June 30, 2011, we had invested approximately $23.7 million in Newbury Street Partnership including $11.8 million in mortgage loans.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June 30,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0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Original</w:t>
            </w:r>
          </w:p>
        </w:tc>
        <w:tc>
          <w:tcPr>
            <w:tcW w:w="22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Principal Balance</w:t>
            </w: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Stated Interest Rate</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 of Debt</w:t>
            </w:r>
          </w:p>
        </w:tc>
        <w:tc>
          <w:tcPr>
            <w:tcW w:w="90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83"/>
              </w:rPr>
              <w:t>Debt</w:t>
            </w:r>
          </w:p>
        </w:tc>
        <w:tc>
          <w:tcPr>
            <w:tcW w:w="22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as of</w:t>
            </w:r>
          </w:p>
        </w:tc>
        <w:tc>
          <w:tcPr>
            <w:tcW w:w="16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as of</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500" w:type="dxa"/>
            <w:vAlign w:val="bottom"/>
            <w:gridSpan w:val="3"/>
            <w:vMerge w:val="continue"/>
          </w:tcPr>
          <w:p>
            <w:pPr>
              <w:spacing w:after="0"/>
              <w:rPr>
                <w:sz w:val="13"/>
                <w:szCs w:val="13"/>
                <w:color w:val="auto"/>
              </w:rPr>
            </w:pPr>
          </w:p>
        </w:tc>
        <w:tc>
          <w:tcPr>
            <w:tcW w:w="900" w:type="dxa"/>
            <w:vAlign w:val="bottom"/>
          </w:tcPr>
          <w:p>
            <w:pPr>
              <w:jc w:val="center"/>
              <w:ind w:right="114"/>
              <w:spacing w:after="0" w:line="148" w:lineRule="exact"/>
              <w:rPr>
                <w:sz w:val="20"/>
                <w:szCs w:val="20"/>
                <w:color w:val="auto"/>
              </w:rPr>
            </w:pPr>
            <w:r>
              <w:rPr>
                <w:rFonts w:ascii="Arial" w:cs="Arial" w:eastAsia="Arial" w:hAnsi="Arial"/>
                <w:sz w:val="14"/>
                <w:szCs w:val="14"/>
                <w:b w:val="1"/>
                <w:bCs w:val="1"/>
                <w:color w:val="auto"/>
                <w:w w:val="85"/>
              </w:rPr>
              <w:t>Issued</w:t>
            </w:r>
          </w:p>
        </w:tc>
        <w:tc>
          <w:tcPr>
            <w:tcW w:w="220" w:type="dxa"/>
            <w:vAlign w:val="bottom"/>
          </w:tcPr>
          <w:p>
            <w:pPr>
              <w:spacing w:after="0"/>
              <w:rPr>
                <w:sz w:val="13"/>
                <w:szCs w:val="13"/>
                <w:color w:val="auto"/>
              </w:rPr>
            </w:pPr>
          </w:p>
        </w:tc>
        <w:tc>
          <w:tcPr>
            <w:tcW w:w="144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5"/>
              </w:rPr>
              <w:t>June 30, 2011</w:t>
            </w:r>
          </w:p>
        </w:tc>
        <w:tc>
          <w:tcPr>
            <w:tcW w:w="168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5"/>
              </w:rPr>
              <w:t>June 30, 2011</w:t>
            </w:r>
          </w:p>
        </w:tc>
        <w:tc>
          <w:tcPr>
            <w:tcW w:w="168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300" w:type="dxa"/>
            <w:vAlign w:val="bottom"/>
          </w:tcPr>
          <w:p>
            <w:pPr>
              <w:spacing w:after="0"/>
              <w:rPr>
                <w:sz w:val="12"/>
                <w:szCs w:val="12"/>
                <w:color w:val="auto"/>
              </w:rPr>
            </w:pPr>
          </w:p>
        </w:tc>
        <w:tc>
          <w:tcPr>
            <w:tcW w:w="2140" w:type="dxa"/>
            <w:vAlign w:val="bottom"/>
            <w:tcBorders>
              <w:top w:val="single" w:sz="8" w:color="auto"/>
            </w:tcBorders>
            <w:gridSpan w:val="3"/>
          </w:tcPr>
          <w:p>
            <w:pPr>
              <w:jc w:val="right"/>
              <w:ind w:right="358"/>
              <w:spacing w:after="0" w:line="149" w:lineRule="exact"/>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Mortgages payable (1)</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i w:val="1"/>
                <w:iCs w:val="1"/>
                <w:color w:val="auto"/>
              </w:rPr>
              <w:t>Secured fixed rate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Courtyard Shops</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5"/>
              </w:rPr>
              <w:t>Acquired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6.87%</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Bethesda Row</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w w:val="95"/>
              </w:rPr>
              <w:t>Acquired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19,994</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5.37%</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January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Bethesda Row</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5"/>
              </w:rPr>
              <w:t>Acquired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February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White Marsh Plaza (2)</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w w:val="95"/>
              </w:rPr>
              <w:t>Acquired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9,434</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6.04%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April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Crow Canyon</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5"/>
              </w:rPr>
              <w:t>Acquired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20,174</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August 11,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Idylwood Plaza</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16,910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16,413</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7.50%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29,423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28,558</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Loehmann’s Plaza</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38,047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36,928</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7.50%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Pentagon Row</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54,619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53,012</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Melville Mall (3)</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w w:val="95"/>
              </w:rPr>
              <w:t>Acquired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22,703</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5.25%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September 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THE AVENUE at White Marsh</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5"/>
              </w:rPr>
              <w:t>Acquired</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57,211</w:t>
            </w: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5.46%</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January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Barracks Road</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44,300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39,431</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7.95%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Hauppauge</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16,700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14,864</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Lawrence Park</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31,400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27,949</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7.95%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Wildwood</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27,600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24,566</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Wynnewood</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32,000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28,483</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7.95%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Brick Plaza</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33,000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29,099</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7.42%</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Rollingwood Apartments</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24,050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23,402</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5.54%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May 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Shoppers’ World</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5"/>
              </w:rPr>
              <w:t>Acquired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5.91%</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January 31,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Mount Vernon (4)</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13,250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10,749</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5.66%</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April 15,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Chelsea</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5"/>
              </w:rPr>
              <w:t>Acquired</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7,712</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5.36%</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January 15, 2031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Subtotal</w:t>
            </w:r>
          </w:p>
        </w:tc>
        <w:tc>
          <w:tcPr>
            <w:tcW w:w="9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487,461</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Net unamortized discount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(460)</w:t>
            </w: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Total mortgages payable</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487,001</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i w:val="1"/>
                <w:iCs w:val="1"/>
                <w:color w:val="auto"/>
              </w:rPr>
              <w:t>Unsecured fixed rate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Various (5)</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15,308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10,902</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3.37%</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Various through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i w:val="1"/>
                <w:iCs w:val="1"/>
                <w:color w:val="auto"/>
              </w:rPr>
              <w:t>Unsecured variable rate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Revolving credit facility (6)</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LIBOR + 0.425%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27, 2011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Escondido (Municipal bonds) (7)</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9,400</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42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0.21%</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notes payable</w:t>
            </w:r>
          </w:p>
        </w:tc>
        <w:tc>
          <w:tcPr>
            <w:tcW w:w="9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209,302</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Senior notes and debentures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Unsecured fixed rate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6.00% notes</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175,000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6.00%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July 15,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5.40% notes</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135,000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December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5.95% notes</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150,000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5.95%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August 15,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5.65% notes</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125,000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6.20% notes</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200,000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6.20%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January 15,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5.90% notes</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April 1,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7.48% debentures</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29,200</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7.48%</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August 15,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6.82% medium term notes</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6.82%</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August 1, 2027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Subtotal</w:t>
            </w:r>
          </w:p>
        </w:tc>
        <w:tc>
          <w:tcPr>
            <w:tcW w:w="9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1,004,200</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Net unamortized premium</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Total senior notes and debentures</w:t>
            </w:r>
          </w:p>
        </w:tc>
        <w:tc>
          <w:tcPr>
            <w:tcW w:w="9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1,004,737</w:t>
            </w: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lease obligations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ind w:left="640"/>
              <w:spacing w:after="0"/>
              <w:rPr>
                <w:sz w:val="20"/>
                <w:szCs w:val="20"/>
                <w:color w:val="auto"/>
              </w:rPr>
            </w:pPr>
            <w:r>
              <w:rPr>
                <w:rFonts w:ascii="Arial" w:cs="Arial" w:eastAsia="Arial" w:hAnsi="Arial"/>
                <w:sz w:val="18"/>
                <w:szCs w:val="18"/>
                <w:color w:val="auto"/>
              </w:rPr>
              <w:t>Various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59,252</w:t>
            </w:r>
          </w:p>
        </w:tc>
        <w:tc>
          <w:tcPr>
            <w:tcW w:w="420" w:type="dxa"/>
            <w:vAlign w:val="bottom"/>
          </w:tcPr>
          <w:p>
            <w:pPr>
              <w:spacing w:after="0"/>
              <w:rPr>
                <w:sz w:val="19"/>
                <w:szCs w:val="19"/>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Various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Various through 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9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1,760,292</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20" w:hanging="452"/>
        <w:spacing w:after="0" w:line="286"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Mortgages payable do not include our 30% share ($17.2 million) of the $57.5 million debt of the partnership with a discretionary fund created and advised by ING Clarion Partners. It also excludes $11.8 million in mortgage loans on our Newbury Street Partnership for which we are the lender.</w:t>
      </w:r>
    </w:p>
    <w:p>
      <w:pPr>
        <w:ind w:left="460" w:right="32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interest rate of 6.04% represents the weighted average interest rate for two mortgage loans secured by this property. The loan balance represents an interest only loan of $4.4 million at a stated rate of 6.18% and the remaining balance at a stated rate of 5.96%.</w:t>
      </w:r>
    </w:p>
    <w:p>
      <w:pPr>
        <w:ind w:left="460" w:right="2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 time thereafter.</w:t>
      </w:r>
    </w:p>
    <w:p>
      <w:pPr>
        <w:ind w:left="460" w:right="20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interest rate of 3.37% represents the weighted average interest rate for three unsecured fixed rate notes payable. These notes mature between April 1, 2012 and January 31, 2013.</w:t>
      </w:r>
    </w:p>
    <w:p>
      <w:pPr>
        <w:ind w:left="460" w:right="2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three and six months ended June 30, 2011 was $265.0 million. The weighted average effective interest rate on borrowings under our revolving credit facility, before amortization of debt fees, was 0.66% and 0.68% for the three and six months ended June 30, 2011, respectively. On July 7, 2011, we replaced our existing revolving credit facility with a new $400.0 million unsecured revolving credit facility. This new revolving credit facility matures on July 6, 2015, subject to a one-year extension at our option, and bears interest at LIBOR plus 115 basis points.</w:t>
      </w:r>
    </w:p>
    <w:p>
      <w:pPr>
        <w:spacing w:after="0" w:line="2"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revolving credit facility and other debt agreements include financial and other covenants that may limit our operating activities in the future. As of June 30, 2011,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June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0"/>
              </w:rPr>
              <w:t>Unsecured</w:t>
            </w:r>
          </w:p>
        </w:tc>
        <w:tc>
          <w:tcPr>
            <w:tcW w:w="8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Secured</w:t>
            </w:r>
          </w:p>
        </w:tc>
        <w:tc>
          <w:tcPr>
            <w:tcW w:w="4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6"/>
              </w:rPr>
              <w:t>Capital Lease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142"/>
        </w:trPr>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2011</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189,145(1)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194,717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2012</w:t>
            </w:r>
          </w:p>
        </w:tc>
        <w:tc>
          <w:tcPr>
            <w:tcW w:w="2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185,727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17,380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204,607</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9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135,030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208,746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2014</w:t>
            </w:r>
          </w:p>
        </w:tc>
        <w:tc>
          <w:tcPr>
            <w:tcW w:w="2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150,000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156,364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1,725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308,089</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9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203,398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205,249</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553,600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33,355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51,852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638,807</w:t>
            </w:r>
          </w:p>
        </w:tc>
      </w:tr>
      <w:tr>
        <w:trPr>
          <w:trHeight w:val="27"/>
        </w:trPr>
        <w:tc>
          <w:tcPr>
            <w:tcW w:w="1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1,213,502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487,461</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59,252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1,760,215(2)</w:t>
            </w:r>
          </w:p>
        </w:tc>
      </w:tr>
      <w:tr>
        <w:trPr>
          <w:trHeight w:val="20"/>
        </w:trPr>
        <w:tc>
          <w:tcPr>
            <w:tcW w:w="1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53"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$300.0 million revolving credit facility was scheduled to mature on July 27, 2011. As of June 30, 2011, there was $189.0 million drawn under this credit facility. On July 7, 2011, we replaced our existing revolving credit facility with a new $400.0 million unsecured revolving credit facility that matures on July 6, 2015, subject to a one-year extension at our option.</w:t>
      </w:r>
    </w:p>
    <w:p>
      <w:pPr>
        <w:ind w:left="460" w:right="56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senior notes and debentures as of June 30,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had no hedging instruments outstanding during the three and six months ended June 30, 2011. We may use derivative instruments to manage exposure to variable interest rate risk. We generally enter into interest rate swaps to manage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900" w:right="8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9"/>
              </w:rPr>
              <w:t>Three Months Ended</w:t>
            </w:r>
          </w:p>
        </w:tc>
        <w:tc>
          <w:tcPr>
            <w:tcW w:w="80" w:type="dxa"/>
            <w:vAlign w:val="bottom"/>
          </w:tcPr>
          <w:p>
            <w:pPr>
              <w:spacing w:after="0"/>
              <w:rPr>
                <w:sz w:val="14"/>
                <w:szCs w:val="14"/>
                <w:color w:val="auto"/>
              </w:rPr>
            </w:pPr>
          </w:p>
        </w:tc>
        <w:tc>
          <w:tcPr>
            <w:tcW w:w="16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7"/>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(In thousands, except per share data)</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36,471</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32,368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62,922</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(1,714)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(1,254)</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(2,912)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(1,410)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Gain on deconsolidation of VIE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(2,026)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28,463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27,797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53,884</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2,561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5,053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40" w:type="dxa"/>
            <w:vAlign w:val="bottom"/>
            <w:gridSpan w:val="2"/>
          </w:tcPr>
          <w:p>
            <w:pPr>
              <w:ind w:left="440"/>
              <w:spacing w:after="0"/>
              <w:rPr>
                <w:sz w:val="20"/>
                <w:szCs w:val="20"/>
                <w:color w:val="auto"/>
              </w:rPr>
            </w:pPr>
            <w:r>
              <w:rPr>
                <w:rFonts w:ascii="Arial" w:cs="Arial" w:eastAsia="Arial" w:hAnsi="Arial"/>
                <w:sz w:val="18"/>
                <w:szCs w:val="18"/>
                <w:color w:val="auto"/>
              </w:rPr>
              <w:t>Funds from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64,395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60,407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125,837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118,301</w:t>
            </w:r>
          </w:p>
        </w:tc>
        <w:tc>
          <w:tcPr>
            <w:tcW w:w="0" w:type="dxa"/>
            <w:vAlign w:val="bottom"/>
          </w:tcPr>
          <w:p>
            <w:pPr>
              <w:spacing w:after="0"/>
              <w:rPr>
                <w:sz w:val="1"/>
                <w:szCs w:val="1"/>
                <w:color w:val="auto"/>
              </w:rPr>
            </w:pPr>
          </w:p>
        </w:tc>
      </w:tr>
      <w:tr>
        <w:trPr>
          <w:trHeight w:val="218"/>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shares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2"/>
        </w:trPr>
        <w:tc>
          <w:tcPr>
            <w:tcW w:w="7840" w:type="dxa"/>
            <w:vAlign w:val="bottom"/>
            <w:gridSpan w:val="2"/>
          </w:tcPr>
          <w:p>
            <w:pPr>
              <w:ind w:left="440"/>
              <w:spacing w:after="0"/>
              <w:rPr>
                <w:sz w:val="20"/>
                <w:szCs w:val="20"/>
                <w:color w:val="auto"/>
              </w:rPr>
            </w:pPr>
            <w:r>
              <w:rPr>
                <w:rFonts w:ascii="Arial" w:cs="Arial" w:eastAsia="Arial" w:hAnsi="Arial"/>
                <w:sz w:val="18"/>
                <w:szCs w:val="18"/>
                <w:color w:val="auto"/>
              </w:rPr>
              <w:t>Funds from operations available for common shareholders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64,273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60,315</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125,542</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118,127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 (1)</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62,752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61,680</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62,373</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0.98</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2.01</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306"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the three and six months ended June 30, 2011 and 2010, 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June 30, 2011, we were not party to any open derivative financial instruments. 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June 30, 2011, we had $1.5 billion of fixed-rate debt outstanding and $59.3 million of capital lease obligations. If market interest rates used to calculate the fair value on our fixed-rate debt instruments at June 30, 2011 had been 1.0% higher, the fair value of those debt instruments on that date would have decreased by approximately $61.7 million. If market interest rates used to calculate the fair value on our fixed-rate debt instruments at June 30, 2011 had been 1.0% lower, the fair value of those debt instruments on that date would have increased by approximately $65.7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Generally, we believe that our primary interest rate risk is due to fluctuations in interest rates on our variable rate debt. At June 30, 2011, we had $198.4 million of variable rate debt outstanding which consisted of $189.0 million outstanding on our revolving credit facility and $9.4 million of municipal bonds. Based upon this amount of variable rate debt and the specific terms, if market interest rates increased 1.0%, our annual interest expense would increase by approximately $2.0 million, and our net income and cash flows for the year would decrease by approximately $2.0 million. Conversely, if market interest rates decreased 1.0%, our annual interest expense would decrease by approximately $1.1 million with a corresponding increase in our net income and cash flows for the year.</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June 30, 2011. Based on this evaluation, our management, including our Chief Executive Officer and Chief Financial Officer, concluded that our disclosure controls and procedures were effective as of June 30, 2011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for the year ended December 31, 2010 filed with the SEC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2011. These factors include, but are not limited to, the following:</w:t>
      </w:r>
    </w:p>
    <w:p>
      <w:pPr>
        <w:spacing w:after="0" w:line="84" w:lineRule="exact"/>
        <w:rPr>
          <w:sz w:val="20"/>
          <w:szCs w:val="20"/>
          <w:color w:val="auto"/>
        </w:rPr>
      </w:pPr>
    </w:p>
    <w:p>
      <w:pPr>
        <w:ind w:left="900" w:right="5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costs associated with the periodic maintenance and repair or renovation of space, insurance and other operations may increase;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9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34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related to our status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interests of limited partners in those limited partnerships may be redeemed, subject to certain conditions, for cash or an equivalent number of our common shares, at our option. On April 4, 2011, we redeemed 2,000 operating partnership units for cash.</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11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240" w:top="459" w:right="7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7660" w:val="left"/>
          <w:tab w:leader="none" w:pos="8020" w:val="left"/>
        </w:tabs>
        <w:rPr>
          <w:sz w:val="20"/>
          <w:szCs w:val="20"/>
          <w:color w:val="auto"/>
        </w:rPr>
      </w:pPr>
      <w:r>
        <w:rPr>
          <w:rFonts w:ascii="Arial" w:cs="Arial" w:eastAsia="Arial" w:hAnsi="Arial"/>
          <w:sz w:val="18"/>
          <w:szCs w:val="18"/>
          <w:color w:val="auto"/>
        </w:rPr>
        <w:t>August 3, 2011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219" w:lineRule="exact"/>
        <w:rPr>
          <w:sz w:val="20"/>
          <w:szCs w:val="20"/>
          <w:color w:val="auto"/>
        </w:rPr>
      </w:pPr>
    </w:p>
    <w:p>
      <w:pPr>
        <w:spacing w:after="0"/>
        <w:tabs>
          <w:tab w:leader="none" w:pos="7600" w:val="left"/>
          <w:tab w:leader="none" w:pos="7920" w:val="left"/>
        </w:tabs>
        <w:rPr>
          <w:sz w:val="20"/>
          <w:szCs w:val="20"/>
          <w:color w:val="auto"/>
        </w:rPr>
      </w:pPr>
      <w:r>
        <w:rPr>
          <w:rFonts w:ascii="Arial" w:cs="Arial" w:eastAsia="Arial" w:hAnsi="Arial"/>
          <w:sz w:val="18"/>
          <w:szCs w:val="18"/>
          <w:color w:val="auto"/>
        </w:rPr>
        <w:t>August 3, 2011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Senior Vice President -</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240" w:top="459" w:right="6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jc w:val="center"/>
              <w:ind w:right="913"/>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24"/>
                <w:szCs w:val="24"/>
                <w:color w:val="auto"/>
              </w:rPr>
            </w:pPr>
          </w:p>
        </w:tc>
        <w:tc>
          <w:tcPr>
            <w:tcW w:w="1040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040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0" w:type="dxa"/>
            <w:vAlign w:val="bottom"/>
            <w:tcBorders>
              <w:bottom w:val="single" w:sz="8" w:color="auto"/>
            </w:tcBorders>
          </w:tcPr>
          <w:p>
            <w:pPr>
              <w:spacing w:after="0" w:line="20" w:lineRule="exact"/>
              <w:rPr>
                <w:sz w:val="1"/>
                <w:szCs w:val="1"/>
                <w:color w:val="auto"/>
              </w:rPr>
            </w:pPr>
          </w:p>
        </w:tc>
      </w:tr>
      <w:tr>
        <w:trPr>
          <w:trHeight w:val="283"/>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Declaration of Trust of Federal Realty Investment Trust dated May 5, 1999 as amended by the Articles of Amendment of Declaration of Trust of</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Federal Realty Investment Trust dated May 6, 2004, as corrected by the Certificate of Correction of Articles of Amendment of Declaration of Trust</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2"/>
              </w:rPr>
              <w:t>of Federal Realty Investment Trust dated June 17, 2004, as amended by the Articles of Amendment of Declaration of Trust of Federal Realty</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Investment Trust dated May 6, 2009 (previously filed as Exhibit 3.1 to the Trust’s Registration Statement on Form S-3 (File No. 333-160009) and</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4"/>
              </w:rPr>
              <w:t>Amended and Restated Bylaws of Federal Realty Investment Trust dated February 12, 2003, as amended October 29, 2003, May 5, 2004,</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February 17, 2006 and May 6, 2009 (previously filed as Exhibit 3.2 to the Trust’s Registration Statement on Form S-3 (File No. 333-160009) and</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Specimen Common Share certificate (previously filed as Exhibit 4(i) to the Trust’s Annual Report on Form 10-K for the year ended December 31,</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1999 (File No. 1-07533)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5"/>
              </w:rPr>
              <w:t>Articles Supplementary relating to the 5.417% Series 1 Cumulative Convertible Preferred Shares of Beneficial Interest (previously filed as</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6"/>
              </w:rPr>
              <w:t>Exhibit 4.1 to the Trust’s Current Report on Form 8-K filed on March 13, 2007, (File No. 1-07533)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Amended and Restated Rights Agreement, dated March 11, 1999, between the Trust and American Stock Transfer &amp; Trust Company (previously</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3"/>
              </w:rPr>
              <w:t>filed as Exhibit 1 to the Trust’s Registration Statement on Form 8-A/A filed on March 11, 1999 (File No. 1-07533) and incorporated herein by</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First Amendment to Amended and Restated Rights Agreement, dated as of November 2003, between the Trust and American Stock Transfer &amp;</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2"/>
              </w:rPr>
              <w:t>Trust Company (previously filed as Exhibit 4.5 to the Trust’s Annual Report on Form 10-K for the year ended December 31, 2003 (File No. 1-</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07533)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Second Amendment to Amended and Restated Rights Agreement, dated as of March 11, 2009, between the Trust and American Stock Transfer &amp;</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5"/>
              </w:rPr>
              <w:t>Trust Company (previously filed as Exhibit 4.3 to the Trust’s current Report on Form 8-K (File No. 001-07533) and incorporated herein by</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Indenture dated December 1, 1993 related to the Trust’s 7.48% Debentures due August 15, 2026; and 6.82% Medium Term Notes due August 1,</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5"/>
              </w:rPr>
              <w:t>2027; (previously filed as Exhibit 4(a) to the Trust’s Registration Statement on Form S-3 (File No. 33-51029), and amended on Form S-3</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(File No. 33-63687), filed on December 13, 1993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8"/>
              </w:rPr>
              <w:t>Indenture dated September 1, 1998 related to the Trust’s 5.65% Notes due 2016; 6.00% Notes due 2012; 6.20% Notes due 2017; 5.40% Notes due</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2013; 5.95% Notes due 2014 and the 5.90% Notes due 2020 (previously filed as Exhibit 4(a) to the Trust’s Registration Statement on Form S-3</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(File No. 333-63619) filed on September 17, 1998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Pursuant to Regulation S-K Item 601(b)(4)(iii), the Trust by this filing agrees, upon request, to furnish to the Securities and Exchange Commission</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a copy of other instruments defining the rights of holders of long-term debt of the Trust</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8"/>
              </w:rPr>
              <w:t>Amended and Restated 1993 Long-Term Incentive Plan, as amended on October 6, 1997 and further amended on May 6, 1998 (previously filed as</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Exhibit 10.26 to the Trust’s Annual Report on Form 10-K for the year ended December 31, 1998 (File No. 1-07533) and incorporated herein by</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Severance Agreement between the Trust and Donald C. Wood dated February 22, 1999 (previously filed as a portion of Exhibit 10 to the Trust’s</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Quarterly Report on Form 10-Q for the quarter ended March 31, 1999 (File No. 1-07533) (the “1999 1Q Form 10-Q”) and incorporated herein by</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10.3</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Exhibit 10 to the 1999 1Q Form 10-Q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10.4</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Amendment to Executive Agreement between Federal Realty Investment Trust and Donald C. Wood dated February 16, 2005 (previously filed as</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Exhibit 10.12 to the Trust’s Annual Report on Form 10-K for the year ended December 31, 2004 (File No. 1-07533) (the “2004 Form 10-K”) and</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65"/>
        </w:trPr>
        <w:tc>
          <w:tcPr>
            <w:tcW w:w="460" w:type="dxa"/>
            <w:vAlign w:val="bottom"/>
          </w:tcPr>
          <w:p>
            <w:pPr>
              <w:spacing w:after="0"/>
              <w:rPr>
                <w:sz w:val="24"/>
                <w:szCs w:val="24"/>
                <w:color w:val="auto"/>
              </w:rPr>
            </w:pPr>
          </w:p>
        </w:tc>
        <w:tc>
          <w:tcPr>
            <w:tcW w:w="10960" w:type="dxa"/>
            <w:vAlign w:val="bottom"/>
            <w:gridSpan w:val="2"/>
          </w:tcPr>
          <w:p>
            <w:pPr>
              <w:jc w:val="right"/>
              <w:ind w:right="5533"/>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460" w:type="dxa"/>
            <w:vAlign w:val="bottom"/>
          </w:tcPr>
          <w:p>
            <w:pPr>
              <w:spacing w:after="0"/>
              <w:rPr>
                <w:sz w:val="14"/>
                <w:szCs w:val="14"/>
                <w:color w:val="auto"/>
              </w:rPr>
            </w:pPr>
          </w:p>
        </w:tc>
        <w:tc>
          <w:tcPr>
            <w:tcW w:w="10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460" w:type="dxa"/>
            <w:vAlign w:val="bottom"/>
          </w:tcPr>
          <w:p>
            <w:pPr>
              <w:spacing w:after="0"/>
              <w:rPr>
                <w:sz w:val="14"/>
                <w:szCs w:val="14"/>
                <w:color w:val="auto"/>
              </w:rPr>
            </w:pPr>
          </w:p>
        </w:tc>
        <w:tc>
          <w:tcPr>
            <w:tcW w:w="105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line="20" w:lineRule="exact"/>
              <w:rPr>
                <w:sz w:val="1"/>
                <w:szCs w:val="1"/>
                <w:color w:val="auto"/>
              </w:rPr>
            </w:pPr>
          </w:p>
        </w:tc>
        <w:tc>
          <w:tcPr>
            <w:tcW w:w="10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0500" w:type="dxa"/>
            <w:vAlign w:val="bottom"/>
          </w:tcPr>
          <w:p>
            <w:pPr>
              <w:spacing w:after="0" w:line="189" w:lineRule="exact"/>
              <w:rPr>
                <w:sz w:val="20"/>
                <w:szCs w:val="20"/>
                <w:color w:val="auto"/>
              </w:rPr>
            </w:pPr>
            <w:r>
              <w:rPr>
                <w:rFonts w:ascii="Arial" w:cs="Arial" w:eastAsia="Arial" w:hAnsi="Arial"/>
                <w:sz w:val="18"/>
                <w:szCs w:val="18"/>
                <w:color w:val="auto"/>
                <w:w w:val="90"/>
              </w:rPr>
              <w:t>Split Dollar Life Insurance Agreement dated August 12, 1998 between the Trust and Donald C. Wood (previously filed as a portion of Exhibit 10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6"/>
              </w:rPr>
              <w:t>the Trust’s Annual Report on Form 10-K for the year ended December 31, 2000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Severance Agreement between the Trust and Jeffrey S. Berkes dated March 1, 2000 (previously filed as a portion of Exhibit 10 to the Trust’s Annual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Report on Form 10-K for the year ended December 31, 2001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Amendment to Severance Agreement between Federal Realty Investment Trust and Jeffrey S. Berkes dated February 16, 2005 (previously filed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Exhibit 10.17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Health Coverage Continuation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as Exhibit 10.26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10.10</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Severance Agreement between the Trust and Dawn M. Becker dated April 19, 2000 (previously filed as Exhibit 10.26 to the Trust’s 2005 2Q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10-Q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Amendment to Severance Agreement between the Trust and Dawn M. Becker dated February 16, 2005 (previously filed as Exhibit 10.27 to the 2004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Form of Restricted Share Award Agreement for awards made under the Trust’s 2003 Long-Term Incentive Award Program for shares issued out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10.13</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Form of Restricted Share Award Agreement for awards made under the Trust’s Annual Incentive Bonus Program for shares issued out of 2001 Long-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Term Incentive Plan (previously filed as Exhibit 10.29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10.14</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Form of Option Award Agreement for options awarded under 2001 Long-Term Incentive Plan (previously filed as Exhibit 10.30 to the 2004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10.15</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Form of Option Award Agreement for awards made under the Trust’s 2003 Long-Term Incentive Award Program for shares issued out of the 2001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Long-Term Incentive Plan (previously filed as Exhibit 10.32 to the 2005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Credit Agreement dated as of July 28, 2006, by and between the Trust, Wachovia Capital Markets LLC, Wachovia Bank, National Association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various other financial institutions (previously filed as Exhibit 10.20 to the Trust’s Quarterly Report on Form 10-Q for the quarter ended March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2010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10.17</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Amended and Restated 2001 Long-Term Incentive Plan (previously filed as Exhibit 10.34 to the Trust’s Quarterly Report on Form 10-Q for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quarter ended June 30, 2008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10.18</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Change in Control Agreement between the Trust and Andrew P. Blocher dated February 12, 2007 (previously filed as Exhibit 10.27 to the Trust’s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Quarterly Report on Form 10-Q for the quarter ended September 30, 2008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10.19</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Amendment to Severance Agreement between the Trust and Donald C. Wood dated January 1, 2009 (previously filed as Exhibit 10.26 to the Trust’s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Annual Report on Form 10-K for the year ended December 31, 2008 (File No. 1-07533) (“the 2008 Form 10-K”) and incorporated herein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10.20</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Second Amendment to Executive Agreement between the Trust and Donald C. Wood dated January 1, 2009 (previously filed as Exhibit 10.27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Amendment to Health Coverage Continuation Agreement between the Trust and Donald C. Wood dated January 1, 2009 (previously filed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10.28 to the 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Second Amendment to Severance Agreement between the Trust and Jeffrey S. Berkes dated January 1, 2009 (previously filed as Exhibit 10.29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960" w:type="dxa"/>
            <w:vAlign w:val="bottom"/>
            <w:gridSpan w:val="2"/>
          </w:tcPr>
          <w:p>
            <w:pPr>
              <w:jc w:val="right"/>
              <w:ind w:right="553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-8255</wp:posOffset>
            </wp:positionV>
            <wp:extent cx="2832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ind w:left="920" w:right="40" w:hanging="917"/>
        <w:spacing w:after="0" w:line="268" w:lineRule="auto"/>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Second Amendment to Severance Agreement between the Trust and Dawn M. Becker dated January 1, 2009 (previously filed as Exhibit 10.30 to the Trust’s 2008 Form 10-K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-292735</wp:posOffset>
            </wp:positionV>
            <wp:extent cx="66636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64" w:lineRule="exact"/>
        <w:rPr>
          <w:sz w:val="20"/>
          <w:szCs w:val="20"/>
          <w:color w:val="auto"/>
        </w:rPr>
      </w:pPr>
    </w:p>
    <w:p>
      <w:pPr>
        <w:ind w:left="920" w:right="140" w:hanging="917"/>
        <w:spacing w:after="0" w:line="268" w:lineRule="auto"/>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Amendment to Change in Control Agreement between the Trust and Andrew P. Blocher dated January 1, 2009 (previously filed as Exhibit 10.31 to the Trust’s 2008 Form 10-K and incorporated herein by reference)</w:t>
      </w:r>
    </w:p>
    <w:p>
      <w:pPr>
        <w:spacing w:after="0" w:line="78" w:lineRule="exact"/>
        <w:rPr>
          <w:sz w:val="20"/>
          <w:szCs w:val="20"/>
          <w:color w:val="auto"/>
        </w:rPr>
      </w:pPr>
    </w:p>
    <w:p>
      <w:pPr>
        <w:ind w:left="920" w:right="20" w:hanging="917"/>
        <w:spacing w:after="0" w:line="268" w:lineRule="auto"/>
        <w:tabs>
          <w:tab w:leader="none" w:pos="9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Amendment to Stock Option Agreements between the Trust and Andrew P. Blocher dated February 17, 2009 (previously filed as Exhibit 10.32 to the Trust’s 2008 Form 10-K and incorporated herein by reference)</w:t>
      </w:r>
    </w:p>
    <w:p>
      <w:pPr>
        <w:spacing w:after="0" w:line="78" w:lineRule="exact"/>
        <w:rPr>
          <w:sz w:val="20"/>
          <w:szCs w:val="20"/>
          <w:color w:val="auto"/>
        </w:rPr>
      </w:pPr>
    </w:p>
    <w:p>
      <w:pPr>
        <w:ind w:left="920" w:right="440" w:hanging="917"/>
        <w:spacing w:after="0" w:line="268" w:lineRule="auto"/>
        <w:tabs>
          <w:tab w:leader="none" w:pos="9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Restricted Share Award Agreement between the Trust and Andrew P. Blocher dated February 17, 2009 (previously filed as Exhibit 10.33 to the Trust’s 2008 Form 10-K and incorporated herein by reference)</w:t>
      </w:r>
    </w:p>
    <w:p>
      <w:pPr>
        <w:spacing w:after="0" w:line="78" w:lineRule="exact"/>
        <w:rPr>
          <w:sz w:val="20"/>
          <w:szCs w:val="20"/>
          <w:color w:val="auto"/>
        </w:rPr>
      </w:pPr>
    </w:p>
    <w:p>
      <w:pPr>
        <w:ind w:left="920" w:right="320" w:hanging="917"/>
        <w:spacing w:after="0" w:line="268" w:lineRule="auto"/>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Combined Incentive and Non-Qualified Stock Option Agreement between the Trust and Andrew P. Blocher dated February 17, 2009 (previously filed as Exhibit 10.34 to the Trust’s 2008 Form 10-K and incorporated herein by reference)</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5"/>
          <w:szCs w:val="15"/>
          <w:color w:val="auto"/>
        </w:rPr>
        <w:t>Severance Agreement between the Trust and Andrew P. Blocher dated February 17, 2009 (previously filed as Exhibit 10.35 to the Trust’s 2008 Form</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10-K and incorporated herein by reference)</w:t>
      </w:r>
    </w:p>
    <w:p>
      <w:pPr>
        <w:spacing w:after="0" w:line="111" w:lineRule="exact"/>
        <w:rPr>
          <w:sz w:val="20"/>
          <w:szCs w:val="20"/>
          <w:color w:val="auto"/>
        </w:rPr>
      </w:pPr>
    </w:p>
    <w:p>
      <w:pPr>
        <w:ind w:left="920" w:right="640" w:hanging="917"/>
        <w:spacing w:after="0" w:line="268" w:lineRule="auto"/>
        <w:tabs>
          <w:tab w:leader="none" w:pos="9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2010 Performance Incentive Plan (previously filed as Appendix A to the Trust’s Definitive Proxy Statement for the 2010 Annual Meeting of Shareholders (File No. 01-07533) and incorporated herein by reference)</w:t>
      </w:r>
    </w:p>
    <w:p>
      <w:pPr>
        <w:spacing w:after="0" w:line="78" w:lineRule="exact"/>
        <w:rPr>
          <w:sz w:val="20"/>
          <w:szCs w:val="20"/>
          <w:color w:val="auto"/>
        </w:rPr>
      </w:pPr>
    </w:p>
    <w:p>
      <w:pPr>
        <w:ind w:left="920" w:right="260" w:hanging="917"/>
        <w:spacing w:after="0" w:line="268" w:lineRule="auto"/>
        <w:tabs>
          <w:tab w:leader="none" w:pos="9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Amendment to 2010 Performance Incentive Plan (“the 2010 Plan”) (previously filed as Appendix A to the Trust’s Proxy Supplement for the 2010 Annual Meeting of Shareholders (File No. 01-07533) and incorporated herein by reference)</w:t>
      </w:r>
    </w:p>
    <w:p>
      <w:pPr>
        <w:spacing w:after="0" w:line="78" w:lineRule="exact"/>
        <w:rPr>
          <w:sz w:val="20"/>
          <w:szCs w:val="20"/>
          <w:color w:val="auto"/>
        </w:rPr>
      </w:pPr>
    </w:p>
    <w:p>
      <w:pPr>
        <w:jc w:val="center"/>
        <w:ind w:right="140"/>
        <w:spacing w:after="0" w:line="332" w:lineRule="auto"/>
        <w:rPr>
          <w:sz w:val="20"/>
          <w:szCs w:val="20"/>
          <w:color w:val="auto"/>
        </w:rPr>
      </w:pPr>
      <w:r>
        <w:rPr>
          <w:rFonts w:ascii="Arial" w:cs="Arial" w:eastAsia="Arial" w:hAnsi="Arial"/>
          <w:sz w:val="16"/>
          <w:szCs w:val="16"/>
          <w:color w:val="auto"/>
        </w:rPr>
        <w:t>10.31      Restricted Share Award Agreement between the Trust and Donald C. Wood dated October 12, 2010 (previously filed as Exhibit 10.36 to the Trust’s Quarterly Report on Form 10-Q for the quarter ended September 30, 2010 (File No. 01-07533) and incorporated herein by reference)</w:t>
      </w:r>
    </w:p>
    <w:p>
      <w:pPr>
        <w:spacing w:after="0" w:line="31" w:lineRule="exact"/>
        <w:rPr>
          <w:sz w:val="20"/>
          <w:szCs w:val="20"/>
          <w:color w:val="auto"/>
        </w:rPr>
      </w:pPr>
    </w:p>
    <w:p>
      <w:pPr>
        <w:ind w:left="920" w:right="80" w:hanging="917"/>
        <w:spacing w:after="0" w:line="256" w:lineRule="auto"/>
        <w:tabs>
          <w:tab w:leader="none" w:pos="9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Form of Restricted Share Award Agreement for awards made under the Trust’s Long-Term Incentive Award Program and the Trust’s Annual Incentive Bonus Program and basic awards with annual vesting for shares issued out of the 2010 Plan (previously filed as Exhibit 10.34 to the Trust’s Annual Report on Form 10-K for the year ended December 31, 2010 (File No. 1-07533) (the “2010 Form 10-K”) and incorporated herein by reference)</w:t>
      </w:r>
    </w:p>
    <w:p>
      <w:pPr>
        <w:spacing w:after="0" w:line="89" w:lineRule="exact"/>
        <w:rPr>
          <w:sz w:val="20"/>
          <w:szCs w:val="20"/>
          <w:color w:val="auto"/>
        </w:rPr>
      </w:pPr>
    </w:p>
    <w:p>
      <w:pPr>
        <w:ind w:left="920" w:hanging="917"/>
        <w:spacing w:after="0" w:line="259" w:lineRule="auto"/>
        <w:tabs>
          <w:tab w:leader="none" w:pos="9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Form of Restricted Share Award Agreement for long-term vesting and retention awards made under the Trust’s Long-Term Incentive Award Program for shares issued out of the 2010 Plan (previously filed as Exhibit 10.35 to the Trust’s 2010 Form 10-K (File No. 1-07533) and incorporated herein by reference)</w:t>
      </w:r>
    </w:p>
    <w:p>
      <w:pPr>
        <w:spacing w:after="0" w:line="86" w:lineRule="exact"/>
        <w:rPr>
          <w:sz w:val="20"/>
          <w:szCs w:val="20"/>
          <w:color w:val="auto"/>
        </w:rPr>
      </w:pPr>
    </w:p>
    <w:p>
      <w:pPr>
        <w:ind w:left="920" w:right="140" w:hanging="917"/>
        <w:spacing w:after="0" w:line="370" w:lineRule="auto"/>
        <w:tabs>
          <w:tab w:leader="none" w:pos="90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5"/>
          <w:szCs w:val="15"/>
          <w:color w:val="auto"/>
        </w:rPr>
        <w:t>Form of Restricted Share Award Agreement for front loaded awards made under the Trust’s Long-Term Incentive Award Program for shares issued out of the 2010 Plan (previously filed as Exhibit 10.36 to the Trust’s 2010 Form 10-K (File No. 1-07533) and incorporated herein by reference)</w:t>
      </w:r>
    </w:p>
    <w:p>
      <w:pPr>
        <w:spacing w:after="0" w:line="8" w:lineRule="exact"/>
        <w:rPr>
          <w:sz w:val="20"/>
          <w:szCs w:val="20"/>
          <w:color w:val="auto"/>
        </w:rPr>
      </w:pPr>
    </w:p>
    <w:p>
      <w:pPr>
        <w:jc w:val="center"/>
        <w:ind w:right="140"/>
        <w:spacing w:after="0"/>
        <w:tabs>
          <w:tab w:leader="none" w:pos="50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Form of Performance Share Award Agreement for awards made under the Trust’s Long-Term Incentive Award Program for shares issued out of the</w:t>
      </w:r>
    </w:p>
    <w:p>
      <w:pPr>
        <w:spacing w:after="0" w:line="1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2010 Plan (previously filed as Exhibit 10.37 to the Trust’s 2010 Form 10-K (File No. 1-07533) and incorporated herein by reference)</w:t>
      </w:r>
    </w:p>
    <w:p>
      <w:pPr>
        <w:spacing w:after="0" w:line="111" w:lineRule="exact"/>
        <w:rPr>
          <w:sz w:val="20"/>
          <w:szCs w:val="20"/>
          <w:color w:val="auto"/>
        </w:rPr>
      </w:pPr>
    </w:p>
    <w:p>
      <w:pPr>
        <w:ind w:left="920" w:right="240" w:hanging="917"/>
        <w:spacing w:after="0" w:line="332" w:lineRule="auto"/>
        <w:tabs>
          <w:tab w:leader="none" w:pos="90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Form of Option Award Agreement for awards made under the Trust’s Long-Term Incentive Award Program for shares issued out of the 2010 Plan (previously filed as Exhibit 10.38 to the Trust’s 2010 Form 10-K (File No. 1-07533) and incorporated herein by reference)</w:t>
      </w:r>
    </w:p>
    <w:p>
      <w:pPr>
        <w:spacing w:after="0" w:line="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5"/>
          <w:szCs w:val="15"/>
          <w:color w:val="auto"/>
        </w:rPr>
        <w:t>Form of Option Award Agreement for front loaded awards made under the Trust’s Long-Term Incentive Award Program for shares issued out of the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2010 Plan (previously filed as Exhibit 10.39 to the Trust’s 2010 Form 10-K (File No. 1-07533) and incorporated herein by reference)</w:t>
      </w:r>
    </w:p>
    <w:p>
      <w:pPr>
        <w:spacing w:after="0" w:line="111" w:lineRule="exact"/>
        <w:rPr>
          <w:sz w:val="20"/>
          <w:szCs w:val="20"/>
          <w:color w:val="auto"/>
        </w:rPr>
      </w:pPr>
    </w:p>
    <w:p>
      <w:pPr>
        <w:ind w:left="920" w:right="160" w:hanging="917"/>
        <w:spacing w:after="0" w:line="268" w:lineRule="auto"/>
        <w:tabs>
          <w:tab w:leader="none" w:pos="90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Form of Option Award Agreement for basic options awarded out of the 2010 Plan (previously filed as Exhibit 10.40 to the Trust’s 2010 Form 10-K (File No. 1-07533) and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-8255</wp:posOffset>
            </wp:positionV>
            <wp:extent cx="2832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ind w:left="920" w:right="180" w:hanging="830"/>
        <w:spacing w:after="0" w:line="332" w:lineRule="auto"/>
        <w:tabs>
          <w:tab w:leader="none" w:pos="90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Form of Restricted Share Award Agreement, dated as of February 10, 2011, between the Trust and each of Dawn M. Becker, Jeffrey S. Berkes and Andrew P. Blocher (previously filed as Exhibit 10.41 to the Trust’s 2010 Form 10-K (File No. 1-07533)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-322580</wp:posOffset>
            </wp:positionV>
            <wp:extent cx="66636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7" w:lineRule="exact"/>
        <w:rPr>
          <w:sz w:val="20"/>
          <w:szCs w:val="20"/>
          <w:color w:val="auto"/>
        </w:rPr>
      </w:pPr>
    </w:p>
    <w:p>
      <w:pPr>
        <w:ind w:left="920" w:hanging="830"/>
        <w:spacing w:after="0" w:line="255" w:lineRule="auto"/>
        <w:tabs>
          <w:tab w:leader="none" w:pos="90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Credit Agreement dated as of July 7, 2011, by and among the Trust, as Borrower, the financial institutions party thereto and their permitted assignees under Section 12.6., as Lenders, Wells Fargo Bank, National Association, as Administrative Agent, PNC Bank, National Association, as Syndication Agent, Wells Fargo Securities, LLC, as a Lead Arranger and Book Manager, and PNC Capital Markets LLC, as a Lead Arranger and Book Manager (previously filed as Exhibit 10.1 to the Trust’s Current Report on Form 8-K (File No. 1-07533), filed on July 11, 2011 and incorporated herein by reference)</w:t>
      </w:r>
    </w:p>
    <w:p>
      <w:pPr>
        <w:spacing w:after="0" w:line="89"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 of Chief Executive Officer (filed herewith)</w:t>
      </w:r>
    </w:p>
    <w:p>
      <w:pPr>
        <w:spacing w:after="0" w:line="117"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 of Chief Financial Officer (filed herewith)</w:t>
      </w:r>
    </w:p>
    <w:p>
      <w:pPr>
        <w:spacing w:after="0" w:line="117"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Chief Executive Officer (filed herewith)</w:t>
      </w:r>
    </w:p>
    <w:p>
      <w:pPr>
        <w:spacing w:after="0" w:line="117"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Chief Financial Officer (filed herewith)</w:t>
      </w:r>
    </w:p>
    <w:p>
      <w:pPr>
        <w:spacing w:after="0" w:line="117" w:lineRule="exact"/>
        <w:rPr>
          <w:sz w:val="20"/>
          <w:szCs w:val="20"/>
          <w:color w:val="auto"/>
        </w:rPr>
      </w:pPr>
    </w:p>
    <w:p>
      <w:pPr>
        <w:ind w:left="920" w:hanging="736"/>
        <w:spacing w:after="0" w:line="256"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June 30, 2011, formatted in XBRL (Extensible Business Reporting Language): (1) the Consolidated Balance Sheets, (2) the Consolidated Statements of Operations, (3) the Consolidated Statement of Shareholders’ Equity, (4) the Consolidated Statements of Cash Flows, and (5) Notes to Consolidated Financial Statements that have been detail tagged.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40" w:hanging="440"/>
        <w:spacing w:after="0" w:line="306" w:lineRule="auto"/>
        <w:tabs>
          <w:tab w:leader="none" w:pos="19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right="40" w:hanging="440"/>
        <w:spacing w:after="0" w:line="306" w:lineRule="auto"/>
        <w:tabs>
          <w:tab w:leader="none" w:pos="19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920" w:right="280" w:hanging="440"/>
        <w:spacing w:after="0" w:line="332" w:lineRule="auto"/>
        <w:tabs>
          <w:tab w:leader="none" w:pos="19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60" w:hanging="440"/>
        <w:spacing w:after="0" w:line="268" w:lineRule="auto"/>
        <w:tabs>
          <w:tab w:leader="none" w:pos="1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August 3, 2011</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Andrew P. Blocher</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40" w:hanging="440"/>
        <w:spacing w:after="0" w:line="306" w:lineRule="auto"/>
        <w:tabs>
          <w:tab w:leader="none" w:pos="19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right="40" w:hanging="440"/>
        <w:spacing w:after="0" w:line="306" w:lineRule="auto"/>
        <w:tabs>
          <w:tab w:leader="none" w:pos="19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920" w:right="280" w:hanging="440"/>
        <w:spacing w:after="0" w:line="332" w:lineRule="auto"/>
        <w:tabs>
          <w:tab w:leader="none" w:pos="19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60" w:hanging="440"/>
        <w:spacing w:after="0" w:line="268" w:lineRule="auto"/>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auto"/>
        </w:rPr>
        <w:t>August 3, 2011</w:t>
      </w:r>
      <w:r>
        <w:rPr>
          <w:sz w:val="20"/>
          <w:szCs w:val="20"/>
          <w:color w:val="auto"/>
        </w:rPr>
        <w:tab/>
      </w:r>
      <w:r>
        <w:rPr>
          <w:rFonts w:ascii="Arial" w:cs="Arial" w:eastAsia="Arial" w:hAnsi="Arial"/>
          <w:sz w:val="16"/>
          <w:szCs w:val="16"/>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 -</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2011 (the “Report”). The undersigned hereby certifies, to the best of his knowledge, that:</w:t>
      </w:r>
    </w:p>
    <w:p>
      <w:pPr>
        <w:spacing w:after="0" w:line="59"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August 3, 2011</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The undersigned, Andrew P. Blocher, the Senior Vice President and Chief Financial Officer and Treasurer of Federal Realty Investment Trust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has executed this certification in connection with the filing with the Securities and Exchange Commission of the Company’s Quarterly Report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10-Q for the period ended June 30, 2011 (the “Report”). The undersigned hereby certifies, to the best of his knowledge, that:</w:t>
      </w:r>
    </w:p>
    <w:p>
      <w:pPr>
        <w:spacing w:after="0" w:line="84"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auto"/>
        </w:rPr>
        <w:t>August 3, 2011</w:t>
      </w:r>
      <w:r>
        <w:rPr>
          <w:sz w:val="20"/>
          <w:szCs w:val="20"/>
          <w:color w:val="auto"/>
        </w:rPr>
        <w:tab/>
      </w:r>
      <w:r>
        <w:rPr>
          <w:rFonts w:ascii="Arial" w:cs="Arial" w:eastAsia="Arial" w:hAnsi="Arial"/>
          <w:sz w:val="16"/>
          <w:szCs w:val="16"/>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 -</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0"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lvl w:ilvl="1">
      <w:lvlJc w:val="left"/>
      <w:lvlText w:val="•"/>
      <w:numFmt w:val="bullet"/>
      <w:start w:val="1"/>
    </w:lvl>
  </w:abstractNum>
  <w:abstractNum w:abstractNumId="24">
    <w:nsid w:val="54E49EB4"/>
    <w:multiLevelType w:val="hybridMultilevel"/>
    <w:lvl w:ilvl="0">
      <w:lvlJc w:val="left"/>
      <w:lvlText w:val="%1"/>
      <w:numFmt w:val="decimal"/>
      <w:start w:val="10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2019-12-10T01:03:22Z</dcterms:created>
  <dcterms:modified xsi:type="dcterms:W3CDTF">2019-12-10T01:03:22Z</dcterms:modified>
</cp:coreProperties>
</file>