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13D-1(b) 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FILED THERETO FILED PURSUANT TO RULE 13D-2(b)</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_</w:t>
      </w:r>
      <w:r>
        <w:rPr>
          <w:rFonts w:ascii="Arial" w:cs="Arial" w:eastAsia="Arial" w:hAnsi="Arial"/>
          <w:sz w:val="18"/>
          <w:szCs w:val="18"/>
          <w:b w:val="1"/>
          <w:bCs w:val="1"/>
          <w:color w:val="auto"/>
        </w:rPr>
        <w:t>)*</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Classes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313747206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13d-1(b)</w:t>
      </w:r>
    </w:p>
    <w:p>
      <w:pPr>
        <w:spacing w:after="0" w:line="23"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313747206</w:t>
      </w:r>
    </w:p>
    <w:p>
      <w:pPr>
        <w:spacing w:after="0" w:line="23" w:lineRule="exact"/>
        <w:rPr>
          <w:sz w:val="20"/>
          <w:szCs w:val="20"/>
          <w:color w:val="auto"/>
        </w:rPr>
      </w:pPr>
    </w:p>
    <w:p>
      <w:pPr>
        <w:ind w:left="1260" w:hanging="750"/>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IRS # 980557567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60" w:right="6480" w:hanging="750"/>
        <w:spacing w:after="0" w:line="514"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Invesco Ltd. –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740" w:type="dxa"/>
        <w:tblCellMar>
          <w:top w:w="0" w:type="dxa"/>
          <w:left w:w="0" w:type="dxa"/>
          <w:bottom w:w="0" w:type="dxa"/>
          <w:right w:w="0" w:type="dxa"/>
        </w:tblCellMar>
      </w:tblPr>
      <w:tr>
        <w:trPr>
          <w:trHeight w:val="234"/>
        </w:trPr>
        <w:tc>
          <w:tcPr>
            <w:tcW w:w="2020" w:type="dxa"/>
            <w:vAlign w:val="bottom"/>
            <w:vMerge w:val="restart"/>
          </w:tcPr>
          <w:p>
            <w:pPr>
              <w:jc w:val="center"/>
              <w:ind w:right="650"/>
              <w:spacing w:after="0"/>
              <w:rPr>
                <w:sz w:val="20"/>
                <w:szCs w:val="20"/>
                <w:color w:val="auto"/>
              </w:rPr>
            </w:pPr>
            <w:r>
              <w:rPr>
                <w:rFonts w:ascii="Arial" w:cs="Arial" w:eastAsia="Arial" w:hAnsi="Arial"/>
                <w:sz w:val="18"/>
                <w:szCs w:val="18"/>
                <w:color w:val="auto"/>
                <w:w w:val="96"/>
              </w:rPr>
              <w:t>NUMBER OF</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5</w:t>
            </w:r>
          </w:p>
        </w:tc>
        <w:tc>
          <w:tcPr>
            <w:tcW w:w="7720" w:type="dxa"/>
            <w:vAlign w:val="bottom"/>
          </w:tcPr>
          <w:p>
            <w:pPr>
              <w:ind w:left="340"/>
              <w:spacing w:after="0"/>
              <w:rPr>
                <w:sz w:val="20"/>
                <w:szCs w:val="20"/>
                <w:color w:val="auto"/>
              </w:rPr>
            </w:pPr>
            <w:r>
              <w:rPr>
                <w:rFonts w:ascii="Arial" w:cs="Arial" w:eastAsia="Arial" w:hAnsi="Arial"/>
                <w:sz w:val="18"/>
                <w:szCs w:val="18"/>
                <w:color w:val="auto"/>
              </w:rPr>
              <w:t>SOLE VOTING POWER – 1,888,825</w:t>
            </w: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tcPr>
          <w:p>
            <w:pPr>
              <w:jc w:val="center"/>
              <w:ind w:right="630"/>
              <w:spacing w:after="0" w:line="175" w:lineRule="exact"/>
              <w:rPr>
                <w:sz w:val="20"/>
                <w:szCs w:val="20"/>
                <w:color w:val="auto"/>
              </w:rPr>
            </w:pPr>
            <w:r>
              <w:rPr>
                <w:rFonts w:ascii="Arial" w:cs="Arial" w:eastAsia="Arial" w:hAnsi="Arial"/>
                <w:sz w:val="18"/>
                <w:szCs w:val="18"/>
                <w:color w:val="auto"/>
                <w:w w:val="94"/>
              </w:rPr>
              <w:t>SHARES</w:t>
            </w:r>
          </w:p>
        </w:tc>
        <w:tc>
          <w:tcPr>
            <w:tcW w:w="9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rPr>
              <w:t>BENEFICIALLY</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7720" w:type="dxa"/>
            <w:vAlign w:val="bottom"/>
          </w:tcPr>
          <w:p>
            <w:pPr>
              <w:ind w:left="340"/>
              <w:spacing w:after="0"/>
              <w:rPr>
                <w:sz w:val="20"/>
                <w:szCs w:val="20"/>
                <w:color w:val="auto"/>
              </w:rPr>
            </w:pPr>
            <w:r>
              <w:rPr>
                <w:rFonts w:ascii="Arial" w:cs="Arial" w:eastAsia="Arial" w:hAnsi="Arial"/>
                <w:sz w:val="18"/>
                <w:szCs w:val="18"/>
                <w:color w:val="auto"/>
              </w:rPr>
              <w:t>SHARED VOTING POWER – 0</w:t>
            </w:r>
          </w:p>
        </w:tc>
        <w:tc>
          <w:tcPr>
            <w:tcW w:w="0" w:type="dxa"/>
            <w:vAlign w:val="bottom"/>
          </w:tcPr>
          <w:p>
            <w:pPr>
              <w:spacing w:after="0"/>
              <w:rPr>
                <w:sz w:val="1"/>
                <w:szCs w:val="1"/>
                <w:color w:val="auto"/>
              </w:rPr>
            </w:pP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7"/>
              </w:rPr>
              <w:t>OWNED BY</w:t>
            </w:r>
          </w:p>
        </w:tc>
        <w:tc>
          <w:tcPr>
            <w:tcW w:w="9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20" w:type="dxa"/>
            <w:vAlign w:val="bottom"/>
            <w:vMerge w:val="restart"/>
          </w:tcPr>
          <w:p>
            <w:pPr>
              <w:jc w:val="center"/>
              <w:ind w:right="630"/>
              <w:spacing w:after="0"/>
              <w:rPr>
                <w:sz w:val="20"/>
                <w:szCs w:val="20"/>
                <w:color w:val="auto"/>
              </w:rPr>
            </w:pPr>
            <w:r>
              <w:rPr>
                <w:rFonts w:ascii="Arial" w:cs="Arial" w:eastAsia="Arial" w:hAnsi="Arial"/>
                <w:sz w:val="18"/>
                <w:szCs w:val="18"/>
                <w:color w:val="auto"/>
                <w:w w:val="99"/>
              </w:rPr>
              <w:t>EACH</w:t>
            </w:r>
          </w:p>
        </w:tc>
        <w:tc>
          <w:tcPr>
            <w:tcW w:w="940" w:type="dxa"/>
            <w:vAlign w:val="bottom"/>
            <w:tcBorders>
              <w:bottom w:val="single" w:sz="8" w:color="auto"/>
            </w:tcBorders>
          </w:tcPr>
          <w:p>
            <w:pPr>
              <w:spacing w:after="0"/>
              <w:rPr>
                <w:sz w:val="4"/>
                <w:szCs w:val="4"/>
                <w:color w:val="auto"/>
              </w:rPr>
            </w:pPr>
          </w:p>
        </w:tc>
        <w:tc>
          <w:tcPr>
            <w:tcW w:w="7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3"/>
              </w:rPr>
              <w:t>REPORTING</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7720" w:type="dxa"/>
            <w:vAlign w:val="bottom"/>
          </w:tcPr>
          <w:p>
            <w:pPr>
              <w:ind w:left="340"/>
              <w:spacing w:after="0"/>
              <w:rPr>
                <w:sz w:val="20"/>
                <w:szCs w:val="20"/>
                <w:color w:val="auto"/>
              </w:rPr>
            </w:pPr>
            <w:r>
              <w:rPr>
                <w:rFonts w:ascii="Arial" w:cs="Arial" w:eastAsia="Arial" w:hAnsi="Arial"/>
                <w:sz w:val="18"/>
                <w:szCs w:val="18"/>
                <w:color w:val="auto"/>
              </w:rPr>
              <w:t>SOLE DISPOSITIVE POWER – 3,803,940</w:t>
            </w:r>
          </w:p>
        </w:tc>
        <w:tc>
          <w:tcPr>
            <w:tcW w:w="0" w:type="dxa"/>
            <w:vAlign w:val="bottom"/>
          </w:tcPr>
          <w:p>
            <w:pPr>
              <w:spacing w:after="0"/>
              <w:rPr>
                <w:sz w:val="1"/>
                <w:szCs w:val="1"/>
                <w:color w:val="auto"/>
              </w:rPr>
            </w:pPr>
          </w:p>
        </w:tc>
      </w:tr>
      <w:tr>
        <w:trPr>
          <w:trHeight w:val="202"/>
        </w:trPr>
        <w:tc>
          <w:tcPr>
            <w:tcW w:w="2020" w:type="dxa"/>
            <w:vAlign w:val="bottom"/>
          </w:tcPr>
          <w:p>
            <w:pPr>
              <w:jc w:val="center"/>
              <w:ind w:right="630"/>
              <w:spacing w:after="0" w:line="201" w:lineRule="exact"/>
              <w:rPr>
                <w:sz w:val="20"/>
                <w:szCs w:val="20"/>
                <w:color w:val="auto"/>
              </w:rPr>
            </w:pPr>
            <w:r>
              <w:rPr>
                <w:rFonts w:ascii="Arial" w:cs="Arial" w:eastAsia="Arial" w:hAnsi="Arial"/>
                <w:sz w:val="18"/>
                <w:szCs w:val="18"/>
                <w:color w:val="auto"/>
                <w:w w:val="92"/>
              </w:rPr>
              <w:t>PERSON</w:t>
            </w:r>
          </w:p>
        </w:tc>
        <w:tc>
          <w:tcPr>
            <w:tcW w:w="9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20" w:type="dxa"/>
            <w:vAlign w:val="bottom"/>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940" w:type="dxa"/>
            <w:vAlign w:val="bottom"/>
            <w:tcBorders>
              <w:bottom w:val="single" w:sz="8" w:color="auto"/>
            </w:tcBorders>
          </w:tcPr>
          <w:p>
            <w:pPr>
              <w:spacing w:after="0"/>
              <w:rPr>
                <w:sz w:val="6"/>
                <w:szCs w:val="6"/>
                <w:color w:val="auto"/>
              </w:rPr>
            </w:pPr>
          </w:p>
        </w:tc>
        <w:tc>
          <w:tcPr>
            <w:tcW w:w="7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20" w:type="dxa"/>
            <w:vAlign w:val="bottom"/>
            <w:vMerge w:val="continue"/>
          </w:tcPr>
          <w:p>
            <w:pPr>
              <w:spacing w:after="0"/>
              <w:rPr>
                <w:sz w:val="11"/>
                <w:szCs w:val="11"/>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772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 – 0</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1140" w:hanging="691"/>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3,803,940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140" w:right="3120" w:hanging="736"/>
        <w:spacing w:after="0" w:line="389" w:lineRule="auto"/>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160" w:right="5340" w:hanging="751"/>
        <w:spacing w:after="0" w:line="389" w:lineRule="auto"/>
        <w:tabs>
          <w:tab w:leader="none" w:pos="114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5.6%</w:t>
      </w:r>
    </w:p>
    <w:p>
      <w:pPr>
        <w:spacing w:after="0" w:line="4" w:lineRule="exact"/>
        <w:rPr>
          <w:rFonts w:ascii="Arial" w:cs="Arial" w:eastAsia="Arial" w:hAnsi="Arial"/>
          <w:sz w:val="18"/>
          <w:szCs w:val="18"/>
          <w:b w:val="1"/>
          <w:bCs w:val="1"/>
          <w:color w:val="auto"/>
        </w:rPr>
      </w:pPr>
    </w:p>
    <w:p>
      <w:pPr>
        <w:ind w:left="1160" w:right="7680" w:hanging="756"/>
        <w:spacing w:after="0" w:line="624" w:lineRule="auto"/>
        <w:tabs>
          <w:tab w:leader="none" w:pos="1142"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 Rockville, MD 20852;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Principal Business Office or, if none, residence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313747206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[x] An investment adviser in accordance with section 240.13d-1(b)(1)(ii)(E)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[x] A parent holding company or control person in accordance with section 240.13d-1(b)(1)(ii)(G)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 statement,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Invesco Ltd. are investment advisers which hold shares of the security being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(Japan)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Advisers,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Investment Advisers,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02/02/2015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Lisa Brinkley</w:t>
            </w:r>
          </w:p>
        </w:tc>
        <w:tc>
          <w:tcPr>
            <w:tcW w:w="58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Lisa Brinkley</w:t>
            </w:r>
          </w:p>
        </w:tc>
      </w:tr>
      <w:tr>
        <w:trPr>
          <w:trHeight w:val="230"/>
        </w:trPr>
        <w:tc>
          <w:tcPr>
            <w:tcW w:w="460" w:type="dxa"/>
            <w:vAlign w:val="bottom"/>
          </w:tcPr>
          <w:p>
            <w:pPr>
              <w:spacing w:after="0"/>
              <w:rPr>
                <w:sz w:val="20"/>
                <w:szCs w:val="20"/>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w w:val="90"/>
              </w:rPr>
              <w:t>Global Assurance Officer</w:t>
            </w:r>
          </w:p>
        </w:tc>
      </w:tr>
    </w:tbl>
    <w:p>
      <w:pPr>
        <w:sectPr>
          <w:pgSz w:w="11900" w:h="16838" w:orient="portrait"/>
          <w:cols w:equalWidth="0" w:num="1">
            <w:col w:w="11260"/>
          </w:cols>
          <w:pgMar w:left="240" w:top="607"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12/31/2014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Lisa Brinkley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Lisa Brinkley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Global Assurance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Advisers,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Todd L. Spillane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Todd L. Spillane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Canada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Daniela Nalli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Daniela Nalli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Trust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Kevin Lyman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Lyman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Hong Kong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Deutschland GmbH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Stephanie Ehrenfried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Ehrenfried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Legal Continental Europe &amp; Cross-Border Funds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Ross Maclean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Ross Maclean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of UK Compliance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Matthieu Grosclaude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Matthieu Grosclaude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Deputy-CEO, Invesco Asset Management S.A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Bemard Aybran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Bernard Aybran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Deputy-CEO</w:t>
      </w:r>
    </w:p>
    <w:p>
      <w:pPr>
        <w:sectPr>
          <w:pgSz w:w="11900" w:h="16838" w:orient="portrait"/>
          <w:cols w:equalWidth="0" w:num="1">
            <w:col w:w="11420"/>
          </w:cols>
          <w:pgMar w:left="240" w:top="121" w:right="239" w:bottom="234"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Invesco Asset Management Osterreich GmbH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Thomas Kraus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Thomas Kraus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Head of Institutional Business D-A-CH</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Invesco Management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Marie-Hélène Boulanger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Marie-Hélène Boulanger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Risk Governance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Taiwan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Invesco Asset Management (Japan) Limited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Invesco Asset Management Singapore Limited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Asha Balachandra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Asha Balachandra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Reg. Head of Legal, AP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Invesco Global Asset Management Limited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Cormac O’Sullivan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Cormac O'Sullivan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PMO, EU</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Invesco PowerShares Capital Management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Deanna Marotz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Deanna Marotz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Investment Advisers,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Jesse Frazier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Jesse Frazier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Invesco Australia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Jane Stewart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Jane Stewart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Compliance Manager</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2019-12-05T10:21:10Z</dcterms:created>
  <dcterms:modified xsi:type="dcterms:W3CDTF">2019-12-05T10:21:10Z</dcterms:modified>
</cp:coreProperties>
</file>