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200" w:lineRule="exact"/>
        <w:rPr>
          <w:sz w:val="24"/>
          <w:szCs w:val="24"/>
          <w:color w:val="auto"/>
        </w:rPr>
      </w:pPr>
    </w:p>
    <w:p>
      <w:pPr>
        <w:spacing w:after="0" w:line="304"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7" w:lineRule="exact"/>
        <w:rPr>
          <w:sz w:val="24"/>
          <w:szCs w:val="24"/>
          <w:color w:val="auto"/>
        </w:rPr>
      </w:pPr>
    </w:p>
    <w:p>
      <w:pPr>
        <w:jc w:val="center"/>
        <w:ind w:right="3499"/>
        <w:spacing w:after="0"/>
        <w:tabs>
          <w:tab w:leader="none" w:pos="140" w:val="left"/>
        </w:tabs>
        <w:rPr>
          <w:sz w:val="20"/>
          <w:szCs w:val="20"/>
          <w:color w:val="auto"/>
        </w:rPr>
      </w:pPr>
      <w:r>
        <w:rPr>
          <w:rFonts w:ascii="Courier New" w:cs="Courier New" w:eastAsia="Courier New" w:hAnsi="Courier New"/>
          <w:sz w:val="14"/>
          <w:szCs w:val="14"/>
          <w:color w:val="auto"/>
        </w:rPr>
        <w:t>Date of Report (Date of earliest event reported)</w:t>
        <w:tab/>
        <w:t>September 30, 1997</w:t>
      </w:r>
    </w:p>
    <w:p>
      <w:pPr>
        <w:spacing w:after="0" w:line="200" w:lineRule="exact"/>
        <w:rPr>
          <w:sz w:val="24"/>
          <w:szCs w:val="24"/>
          <w:color w:val="auto"/>
        </w:rPr>
      </w:pPr>
    </w:p>
    <w:p>
      <w:pPr>
        <w:spacing w:after="0" w:line="304"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District of Columbia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1-7533</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600" w:space="340"/>
            <w:col w:w="1200" w:space="440"/>
            <w:col w:w="5659"/>
          </w:cols>
          <w:pgMar w:left="220" w:top="561" w:right="1440" w:bottom="1440" w:gutter="0" w:footer="0" w:header="0"/>
          <w:type w:val="continuous"/>
        </w:sectPr>
      </w:pPr>
    </w:p>
    <w:p>
      <w:pPr>
        <w:spacing w:after="0" w:line="138"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1626 East Jefferson Street, Rockville, Maryland</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20852-4041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840" w:space="340"/>
            <w:col w:w="5059"/>
          </w:cols>
          <w:pgMar w:left="220" w:top="561" w:right="1440" w:bottom="1440" w:gutter="0" w:footer="0" w:header="0"/>
          <w:type w:val="continuous"/>
        </w:sectPr>
      </w:pPr>
    </w:p>
    <w:p>
      <w:pPr>
        <w:spacing w:after="0" w:line="138"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301/998-8100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920" w:space="180"/>
            <w:col w:w="5139"/>
          </w:cols>
          <w:pgMar w:left="220" w:top="561" w:right="1440" w:bottom="1440" w:gutter="0" w:footer="0" w:header="0"/>
          <w:type w:val="continuous"/>
        </w:sect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1" w:right="1440" w:bottom="1440" w:gutter="0" w:footer="0" w:header="0"/>
          <w:type w:val="continuous"/>
        </w:sectPr>
      </w:pPr>
    </w:p>
    <w:bookmarkStart w:id="1" w:name="page2"/>
    <w:bookmarkEnd w:id="1"/>
    <w:p>
      <w:pPr>
        <w:spacing w:after="0"/>
        <w:tabs>
          <w:tab w:leader="none" w:pos="840" w:val="left"/>
        </w:tabs>
        <w:rPr>
          <w:sz w:val="20"/>
          <w:szCs w:val="20"/>
          <w:color w:val="auto"/>
        </w:rPr>
      </w:pPr>
      <w:r>
        <w:rPr>
          <w:rFonts w:ascii="Courier New" w:cs="Courier New" w:eastAsia="Courier New" w:hAnsi="Courier New"/>
          <w:sz w:val="14"/>
          <w:szCs w:val="14"/>
          <w:color w:val="auto"/>
        </w:rPr>
        <w:t>Item 5.</w:t>
        <w:tab/>
        <w:t>Other Events</w:t>
      </w:r>
    </w:p>
    <w:p>
      <w:pPr>
        <w:spacing w:after="0" w:line="173" w:lineRule="exact"/>
        <w:rPr>
          <w:sz w:val="20"/>
          <w:szCs w:val="20"/>
          <w:color w:val="auto"/>
        </w:rPr>
      </w:pPr>
    </w:p>
    <w:p>
      <w:pPr>
        <w:jc w:val="both"/>
        <w:ind w:right="4019" w:firstLine="861"/>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September 30, 1997.</w:t>
      </w:r>
    </w:p>
    <w:p>
      <w:pPr>
        <w:spacing w:after="0" w:line="32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w:t>
        <w:tab/>
        <w:t>Financial Statements and Exhibits</w:t>
      </w:r>
    </w:p>
    <w:p>
      <w:pPr>
        <w:spacing w:after="0" w:line="173" w:lineRule="exact"/>
        <w:rPr>
          <w:sz w:val="20"/>
          <w:szCs w:val="20"/>
          <w:color w:val="auto"/>
        </w:rPr>
      </w:pPr>
    </w:p>
    <w:p>
      <w:pPr>
        <w:ind w:left="860" w:hanging="507"/>
        <w:spacing w:after="0"/>
        <w:tabs>
          <w:tab w:leader="none" w:pos="8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September 30, 1997</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30,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w:t>
      </w:r>
    </w:p>
    <w:p>
      <w:pPr>
        <w:spacing w:after="0" w:line="200" w:lineRule="exact"/>
        <w:rPr>
          <w:sz w:val="20"/>
          <w:szCs w:val="20"/>
          <w:color w:val="auto"/>
        </w:rPr>
      </w:pPr>
    </w:p>
    <w:p>
      <w:pPr>
        <w:sectPr>
          <w:pgSz w:w="11900" w:h="16838" w:orient="portrait"/>
          <w:cols w:equalWidth="0" w:num="3">
            <w:col w:w="440" w:space="180"/>
            <w:col w:w="1940" w:space="720"/>
            <w:col w:w="6959"/>
          </w:cols>
          <w:pgMar w:left="220" w:top="616" w:right="1440"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2" w:name="page3"/>
    <w:bookmarkEnd w:id="2"/>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780" w:space="80"/>
            <w:col w:w="4540" w:space="720"/>
            <w:col w:w="4119"/>
          </w:cols>
          <w:pgMar w:left="220" w:top="616" w:right="1440" w:bottom="1440" w:gutter="0" w:footer="0" w:header="0"/>
          <w:type w:val="continuous"/>
        </w:sectPr>
      </w:pPr>
    </w:p>
    <w:p>
      <w:pPr>
        <w:spacing w:after="0" w:line="304" w:lineRule="exact"/>
        <w:rPr>
          <w:sz w:val="20"/>
          <w:szCs w:val="20"/>
          <w:color w:val="auto"/>
        </w:rPr>
      </w:pPr>
    </w:p>
    <w:p>
      <w:pPr>
        <w:ind w:left="100"/>
        <w:spacing w:after="0"/>
        <w:tabs>
          <w:tab w:leader="none" w:pos="84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September 30, 1997</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4</w:t>
      </w:r>
    </w:p>
    <w:p>
      <w:pPr>
        <w:spacing w:after="0" w:line="211" w:lineRule="exact"/>
        <w:rPr>
          <w:sz w:val="20"/>
          <w:szCs w:val="20"/>
          <w:color w:val="auto"/>
        </w:rPr>
      </w:pPr>
    </w:p>
    <w:p>
      <w:pPr>
        <w:sectPr>
          <w:pgSz w:w="11900" w:h="16838" w:orient="portrait"/>
          <w:cols w:equalWidth="0" w:num="2">
            <w:col w:w="5700" w:space="680"/>
            <w:col w:w="3859"/>
          </w:cols>
          <w:pgMar w:left="220" w:top="616" w:right="1440" w:bottom="1440" w:gutter="0" w:footer="0" w:header="0"/>
          <w:type w:val="continuous"/>
        </w:sect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September 30, 1997</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w:t>
            </w:r>
          </w:p>
        </w:tc>
        <w:tc>
          <w:tcPr>
            <w:tcW w:w="6340" w:type="dxa"/>
            <w:vAlign w:val="bottom"/>
          </w:tcPr>
          <w:p>
            <w:pPr>
              <w:jc w:val="right"/>
              <w:spacing w:after="0"/>
              <w:rPr>
                <w:sz w:val="20"/>
                <w:szCs w:val="20"/>
                <w:color w:val="auto"/>
              </w:rPr>
            </w:pPr>
            <w:r>
              <w:rPr>
                <w:rFonts w:ascii="Courier New" w:cs="Courier New" w:eastAsia="Courier New" w:hAnsi="Courier New"/>
                <w:sz w:val="14"/>
                <w:szCs w:val="14"/>
                <w:color w:val="auto"/>
              </w:rPr>
              <w:t>Debt  Summary...........................................................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E-2</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w:t>
            </w:r>
          </w:p>
        </w:tc>
        <w:tc>
          <w:tcPr>
            <w:tcW w:w="6340" w:type="dxa"/>
            <w:vAlign w:val="bottom"/>
          </w:tcPr>
          <w:p>
            <w:pPr>
              <w:jc w:val="right"/>
              <w:ind w:right="5348"/>
              <w:spacing w:after="0"/>
              <w:rPr>
                <w:sz w:val="20"/>
                <w:szCs w:val="20"/>
                <w:color w:val="auto"/>
              </w:rPr>
            </w:pPr>
            <w:r>
              <w:rPr>
                <w:rFonts w:ascii="Courier New" w:cs="Courier New" w:eastAsia="Courier New" w:hAnsi="Courier New"/>
                <w:sz w:val="14"/>
                <w:szCs w:val="14"/>
                <w:color w:val="auto"/>
              </w:rPr>
              <w:t>Occupancy</w:t>
            </w:r>
          </w:p>
        </w:tc>
        <w:tc>
          <w:tcPr>
            <w:tcW w:w="26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6340" w:type="dxa"/>
            <w:vAlign w:val="bottom"/>
          </w:tcPr>
          <w:p>
            <w:pPr>
              <w:jc w:val="right"/>
              <w:spacing w:after="0"/>
              <w:rPr>
                <w:sz w:val="20"/>
                <w:szCs w:val="20"/>
                <w:color w:val="auto"/>
              </w:rPr>
            </w:pPr>
            <w:r>
              <w:rPr>
                <w:rFonts w:ascii="Courier New" w:cs="Courier New" w:eastAsia="Courier New" w:hAnsi="Courier New"/>
                <w:sz w:val="14"/>
                <w:szCs w:val="14"/>
                <w:color w:val="auto"/>
              </w:rPr>
              <w:t>Percentage Leased.................................................</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E-3</w:t>
            </w:r>
          </w:p>
        </w:tc>
      </w:tr>
      <w:tr>
        <w:trPr>
          <w:trHeight w:val="166"/>
        </w:trPr>
        <w:tc>
          <w:tcPr>
            <w:tcW w:w="300" w:type="dxa"/>
            <w:vAlign w:val="bottom"/>
          </w:tcPr>
          <w:p>
            <w:pPr>
              <w:spacing w:after="0"/>
              <w:rPr>
                <w:sz w:val="14"/>
                <w:szCs w:val="14"/>
                <w:color w:val="auto"/>
              </w:rPr>
            </w:pPr>
          </w:p>
        </w:tc>
        <w:tc>
          <w:tcPr>
            <w:tcW w:w="6340" w:type="dxa"/>
            <w:vAlign w:val="bottom"/>
          </w:tcPr>
          <w:p>
            <w:pPr>
              <w:jc w:val="right"/>
              <w:spacing w:after="0"/>
              <w:rPr>
                <w:sz w:val="20"/>
                <w:szCs w:val="20"/>
                <w:color w:val="auto"/>
              </w:rPr>
            </w:pPr>
            <w:r>
              <w:rPr>
                <w:rFonts w:ascii="Courier New" w:cs="Courier New" w:eastAsia="Courier New" w:hAnsi="Courier New"/>
                <w:sz w:val="14"/>
                <w:szCs w:val="14"/>
                <w:color w:val="auto"/>
              </w:rPr>
              <w:t>Economic Occupancy................................................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E-4</w:t>
            </w:r>
          </w:p>
        </w:tc>
      </w:tr>
      <w:tr>
        <w:trPr>
          <w:trHeight w:val="166"/>
        </w:trPr>
        <w:tc>
          <w:tcPr>
            <w:tcW w:w="300" w:type="dxa"/>
            <w:vAlign w:val="bottom"/>
          </w:tcPr>
          <w:p>
            <w:pPr>
              <w:spacing w:after="0"/>
              <w:rPr>
                <w:sz w:val="14"/>
                <w:szCs w:val="14"/>
                <w:color w:val="auto"/>
              </w:rPr>
            </w:pPr>
          </w:p>
        </w:tc>
        <w:tc>
          <w:tcPr>
            <w:tcW w:w="6340" w:type="dxa"/>
            <w:vAlign w:val="bottom"/>
          </w:tcPr>
          <w:p>
            <w:pPr>
              <w:jc w:val="right"/>
              <w:spacing w:after="0"/>
              <w:rPr>
                <w:sz w:val="20"/>
                <w:szCs w:val="20"/>
                <w:color w:val="auto"/>
              </w:rPr>
            </w:pPr>
            <w:r>
              <w:rPr>
                <w:rFonts w:ascii="Courier New" w:cs="Courier New" w:eastAsia="Courier New" w:hAnsi="Courier New"/>
                <w:sz w:val="14"/>
                <w:szCs w:val="14"/>
                <w:color w:val="auto"/>
              </w:rPr>
              <w:t>Regional Breakdown................................................</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E-5</w:t>
            </w:r>
          </w:p>
        </w:tc>
      </w:tr>
    </w:tbl>
    <w:p>
      <w:pPr>
        <w:spacing w:after="0" w:line="170"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Signed Analysis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14"/>
                <w:szCs w:val="14"/>
                <w:color w:val="auto"/>
              </w:rPr>
              <w:t>Comparable and Non-Comparable</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.....................................E-6</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4.</w:t>
            </w:r>
          </w:p>
        </w:tc>
        <w:tc>
          <w:tcPr>
            <w:tcW w:w="3160" w:type="dxa"/>
            <w:vAlign w:val="bottom"/>
          </w:tcPr>
          <w:p>
            <w:pPr>
              <w:jc w:val="right"/>
              <w:spacing w:after="0"/>
              <w:rPr>
                <w:sz w:val="20"/>
                <w:szCs w:val="20"/>
                <w:color w:val="auto"/>
              </w:rPr>
            </w:pPr>
            <w:r>
              <w:rPr>
                <w:rFonts w:ascii="Courier New" w:cs="Courier New" w:eastAsia="Courier New" w:hAnsi="Courier New"/>
                <w:sz w:val="10"/>
                <w:szCs w:val="10"/>
                <w:color w:val="auto"/>
                <w:w w:val="72"/>
              </w:rPr>
              <w:t>Press Release...........................................................</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E-7</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5.</w:t>
            </w:r>
          </w:p>
        </w:tc>
        <w:tc>
          <w:tcPr>
            <w:tcW w:w="3160" w:type="dxa"/>
            <w:vAlign w:val="bottom"/>
          </w:tcPr>
          <w:p>
            <w:pPr>
              <w:jc w:val="right"/>
              <w:spacing w:after="0"/>
              <w:rPr>
                <w:sz w:val="20"/>
                <w:szCs w:val="20"/>
                <w:color w:val="auto"/>
              </w:rPr>
            </w:pPr>
            <w:r>
              <w:rPr>
                <w:rFonts w:ascii="Courier New" w:cs="Courier New" w:eastAsia="Courier New" w:hAnsi="Courier New"/>
                <w:sz w:val="10"/>
                <w:szCs w:val="10"/>
                <w:color w:val="auto"/>
                <w:w w:val="73"/>
              </w:rPr>
              <w:t>Glossary of Terms......................................................</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E-10</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ind w:left="2080"/>
        <w:spacing w:after="0"/>
        <w:tabs>
          <w:tab w:leader="none" w:pos="3860" w:val="left"/>
        </w:tabs>
        <w:rPr>
          <w:sz w:val="20"/>
          <w:szCs w:val="20"/>
          <w:color w:val="auto"/>
        </w:rPr>
      </w:pPr>
      <w:r>
        <w:rPr>
          <w:rFonts w:ascii="Courier New" w:cs="Courier New" w:eastAsia="Courier New" w:hAnsi="Courier New"/>
          <w:sz w:val="14"/>
          <w:szCs w:val="14"/>
          <w:color w:val="auto"/>
        </w:rPr>
        <w:t>Rockville, Maryland</w:t>
        <w:tab/>
        <w:t>20852-4041</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47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ANALYSIS (EXCLUDING CAPITAL LEASES AND INTEREST RATE SWAPS)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Balance</w:t>
            </w:r>
          </w:p>
        </w:tc>
        <w:tc>
          <w:tcPr>
            <w:tcW w:w="960" w:type="dxa"/>
            <w:vAlign w:val="bottom"/>
          </w:tcPr>
          <w:p>
            <w:pPr>
              <w:spacing w:after="0"/>
              <w:rPr>
                <w:sz w:val="14"/>
                <w:szCs w:val="14"/>
                <w:color w:val="auto"/>
              </w:rPr>
            </w:pPr>
          </w:p>
        </w:tc>
      </w:tr>
      <w:tr>
        <w:trPr>
          <w:trHeight w:val="166"/>
        </w:trPr>
        <w:tc>
          <w:tcPr>
            <w:tcW w:w="6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Maturity</w:t>
            </w:r>
          </w:p>
        </w:tc>
        <w:tc>
          <w:tcPr>
            <w:tcW w:w="1200" w:type="dxa"/>
            <w:vAlign w:val="bottom"/>
          </w:tcPr>
          <w:p>
            <w:pPr>
              <w:ind w:left="440"/>
              <w:spacing w:after="0"/>
              <w:rPr>
                <w:sz w:val="20"/>
                <w:szCs w:val="20"/>
                <w:color w:val="auto"/>
              </w:rPr>
            </w:pPr>
            <w:r>
              <w:rPr>
                <w:rFonts w:ascii="Courier New" w:cs="Courier New" w:eastAsia="Courier New" w:hAnsi="Courier New"/>
                <w:sz w:val="14"/>
                <w:szCs w:val="14"/>
                <w:color w:val="auto"/>
              </w:rPr>
              <w:t>Rate</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(in thousands)</w:t>
            </w:r>
          </w:p>
        </w:tc>
        <w:tc>
          <w:tcPr>
            <w:tcW w:w="960" w:type="dxa"/>
            <w:vAlign w:val="bottom"/>
          </w:tcPr>
          <w:p>
            <w:pPr>
              <w:spacing w:after="0"/>
              <w:rPr>
                <w:sz w:val="14"/>
                <w:szCs w:val="14"/>
                <w:color w:val="auto"/>
              </w:rPr>
            </w:pPr>
          </w:p>
        </w:tc>
      </w:tr>
      <w:tr>
        <w:trPr>
          <w:trHeight w:val="166"/>
        </w:trPr>
        <w:tc>
          <w:tcPr>
            <w:tcW w:w="6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Barracks Road</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06/01/98</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9.77%</w:t>
            </w: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21,123</w:t>
            </w: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Falls Plaza</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06/01/98</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9.77%</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4,200</w:t>
            </w: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Old Keene Mill</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06/01/98</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9.77%</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6,885</w:t>
            </w: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West Falls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06/01/98</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9.77%</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4,819</w:t>
            </w: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Loehmanns Plaza</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07/21/98</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9.75%</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6,348</w:t>
            </w: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Federal Plaza</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03/10/01</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8.95%</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28,159</w:t>
            </w: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Tysons Station</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09/01/01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9.875%</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4,221</w:t>
            </w: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Bristol</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08/01/98</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9.65%</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10,852</w:t>
            </w: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Escondido (Municipal bonds) purchased 12/31/96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10/01/16</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Variable ##</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9,400</w:t>
            </w:r>
          </w:p>
        </w:tc>
        <w:tc>
          <w:tcPr>
            <w:tcW w:w="960" w:type="dxa"/>
            <w:vAlign w:val="bottom"/>
          </w:tcPr>
          <w:p>
            <w:pPr>
              <w:spacing w:after="0"/>
              <w:rPr>
                <w:sz w:val="14"/>
                <w:szCs w:val="14"/>
                <w:color w:val="auto"/>
              </w:rPr>
            </w:pPr>
          </w:p>
        </w:tc>
      </w:tr>
      <w:tr>
        <w:trPr>
          <w:trHeight w:val="331"/>
        </w:trPr>
        <w:tc>
          <w:tcPr>
            <w:tcW w:w="6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96,007</w:t>
            </w:r>
          </w:p>
        </w:tc>
        <w:tc>
          <w:tcPr>
            <w:tcW w:w="960" w:type="dxa"/>
            <w:vAlign w:val="bottom"/>
          </w:tcPr>
          <w:p>
            <w:pPr>
              <w:spacing w:after="0"/>
              <w:rPr>
                <w:sz w:val="24"/>
                <w:szCs w:val="24"/>
                <w:color w:val="auto"/>
              </w:rPr>
            </w:pPr>
          </w:p>
        </w:tc>
      </w:tr>
      <w:tr>
        <w:trPr>
          <w:trHeight w:val="166"/>
        </w:trPr>
        <w:tc>
          <w:tcPr>
            <w:tcW w:w="6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Revolving credit facilities</w:t>
            </w:r>
          </w:p>
        </w:tc>
        <w:tc>
          <w:tcPr>
            <w:tcW w:w="218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libor +.75%</w:t>
            </w: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65,286</w:t>
            </w: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Note issued in connection with</w:t>
            </w: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260" w:type="dxa"/>
            <w:vAlign w:val="bottom"/>
          </w:tcPr>
          <w:p>
            <w:pPr>
              <w:ind w:left="1480"/>
              <w:spacing w:after="0"/>
              <w:rPr>
                <w:sz w:val="20"/>
                <w:szCs w:val="20"/>
                <w:color w:val="auto"/>
              </w:rPr>
            </w:pPr>
            <w:r>
              <w:rPr>
                <w:rFonts w:ascii="Courier New" w:cs="Courier New" w:eastAsia="Courier New" w:hAnsi="Courier New"/>
                <w:sz w:val="14"/>
                <w:szCs w:val="14"/>
                <w:color w:val="auto"/>
              </w:rPr>
              <w:t>tenant buyout at Queen Anne Plaza</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01/15/06</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8.875%</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1,205</w:t>
            </w: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Note issued in connection with</w:t>
            </w: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260" w:type="dxa"/>
            <w:vAlign w:val="bottom"/>
          </w:tcPr>
          <w:p>
            <w:pPr>
              <w:ind w:left="1480"/>
              <w:spacing w:after="0"/>
              <w:rPr>
                <w:sz w:val="20"/>
                <w:szCs w:val="20"/>
                <w:color w:val="auto"/>
              </w:rPr>
            </w:pPr>
            <w:r>
              <w:rPr>
                <w:rFonts w:ascii="Courier New" w:cs="Courier New" w:eastAsia="Courier New" w:hAnsi="Courier New"/>
                <w:sz w:val="14"/>
                <w:szCs w:val="14"/>
                <w:color w:val="auto"/>
              </w:rPr>
              <w:t>renovation of Perring Plaza</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01/31/13</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10.00%</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2,798</w:t>
            </w: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Other</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various</w:t>
            </w:r>
          </w:p>
        </w:tc>
        <w:tc>
          <w:tcPr>
            <w:tcW w:w="1200" w:type="dxa"/>
            <w:vAlign w:val="bottom"/>
          </w:tcPr>
          <w:p>
            <w:pPr>
              <w:ind w:left="520"/>
              <w:spacing w:after="0"/>
              <w:rPr>
                <w:sz w:val="20"/>
                <w:szCs w:val="20"/>
                <w:color w:val="auto"/>
              </w:rPr>
            </w:pPr>
            <w:r>
              <w:rPr>
                <w:rFonts w:ascii="Courier New" w:cs="Courier New" w:eastAsia="Courier New" w:hAnsi="Courier New"/>
                <w:sz w:val="14"/>
                <w:szCs w:val="14"/>
                <w:color w:val="auto"/>
              </w:rPr>
              <w:t>various</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w:t>
            </w:r>
          </w:p>
        </w:tc>
        <w:tc>
          <w:tcPr>
            <w:tcW w:w="960" w:type="dxa"/>
            <w:vAlign w:val="bottom"/>
          </w:tcPr>
          <w:p>
            <w:pPr>
              <w:spacing w:after="0"/>
              <w:rPr>
                <w:sz w:val="14"/>
                <w:szCs w:val="14"/>
                <w:color w:val="auto"/>
              </w:rPr>
            </w:pPr>
          </w:p>
        </w:tc>
      </w:tr>
      <w:tr>
        <w:trPr>
          <w:trHeight w:val="166"/>
        </w:trPr>
        <w:tc>
          <w:tcPr>
            <w:tcW w:w="6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6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69,555</w:t>
            </w:r>
          </w:p>
        </w:tc>
        <w:tc>
          <w:tcPr>
            <w:tcW w:w="960" w:type="dxa"/>
            <w:vAlign w:val="bottom"/>
          </w:tcPr>
          <w:p>
            <w:pPr>
              <w:spacing w:after="0"/>
              <w:rPr>
                <w:sz w:val="14"/>
                <w:szCs w:val="14"/>
                <w:color w:val="auto"/>
              </w:rPr>
            </w:pPr>
          </w:p>
        </w:tc>
      </w:tr>
      <w:tr>
        <w:trPr>
          <w:trHeight w:val="166"/>
        </w:trPr>
        <w:tc>
          <w:tcPr>
            <w:tcW w:w="6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5 1/4% Convertible subordinated</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04/30/02</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5.250%</w:t>
            </w: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w:t>
            </w:r>
          </w:p>
        </w:tc>
        <w:tc>
          <w:tcPr>
            <w:tcW w:w="960" w:type="dxa"/>
            <w:vAlign w:val="bottom"/>
          </w:tcPr>
          <w:p>
            <w:pPr>
              <w:spacing w:after="0"/>
              <w:rPr>
                <w:sz w:val="14"/>
                <w:szCs w:val="14"/>
                <w:color w:val="auto"/>
              </w:rPr>
            </w:pPr>
          </w:p>
        </w:tc>
      </w:tr>
      <w:tr>
        <w:trPr>
          <w:trHeight w:val="166"/>
        </w:trPr>
        <w:tc>
          <w:tcPr>
            <w:tcW w:w="6260" w:type="dxa"/>
            <w:vAlign w:val="bottom"/>
          </w:tcPr>
          <w:p>
            <w:pPr>
              <w:ind w:left="1640"/>
              <w:spacing w:after="0"/>
              <w:rPr>
                <w:sz w:val="20"/>
                <w:szCs w:val="20"/>
                <w:color w:val="auto"/>
              </w:rPr>
            </w:pPr>
            <w:r>
              <w:rPr>
                <w:rFonts w:ascii="Courier New" w:cs="Courier New" w:eastAsia="Courier New" w:hAnsi="Courier New"/>
                <w:sz w:val="14"/>
                <w:szCs w:val="14"/>
                <w:color w:val="auto"/>
              </w:rPr>
              <w:t>debentures</w:t>
            </w: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5 1/4% Convertible subordinated</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10/28/03</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5.250%</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960" w:type="dxa"/>
            <w:vAlign w:val="bottom"/>
          </w:tcPr>
          <w:p>
            <w:pPr>
              <w:spacing w:after="0"/>
              <w:rPr>
                <w:sz w:val="14"/>
                <w:szCs w:val="14"/>
                <w:color w:val="auto"/>
              </w:rPr>
            </w:pPr>
          </w:p>
        </w:tc>
      </w:tr>
      <w:tr>
        <w:trPr>
          <w:trHeight w:val="166"/>
        </w:trPr>
        <w:tc>
          <w:tcPr>
            <w:tcW w:w="6260" w:type="dxa"/>
            <w:vAlign w:val="bottom"/>
          </w:tcPr>
          <w:p>
            <w:pPr>
              <w:ind w:left="1640"/>
              <w:spacing w:after="0"/>
              <w:rPr>
                <w:sz w:val="20"/>
                <w:szCs w:val="20"/>
                <w:color w:val="auto"/>
              </w:rPr>
            </w:pPr>
            <w:r>
              <w:rPr>
                <w:rFonts w:ascii="Courier New" w:cs="Courier New" w:eastAsia="Courier New" w:hAnsi="Courier New"/>
                <w:sz w:val="14"/>
                <w:szCs w:val="14"/>
                <w:color w:val="auto"/>
              </w:rPr>
              <w:t>debentures</w:t>
            </w: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8 7/8% Notes (fixed)</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01/15/00</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8.875%</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8 7/8% Notes (fixed) *</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01/15/00</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7.530%</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25,000</w:t>
            </w: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8% Notes (fixed)</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04/21/02</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8.000%</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25,000</w:t>
            </w: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6 5/8% Notes (fixed)</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12/01/05</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6.625%</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w:t>
            </w: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7.48% Debentures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08/15/26</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7.480%</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50,000</w:t>
            </w:r>
          </w:p>
        </w:tc>
        <w:tc>
          <w:tcPr>
            <w:tcW w:w="960" w:type="dxa"/>
            <w:vAlign w:val="bottom"/>
          </w:tcPr>
          <w:p>
            <w:pPr>
              <w:spacing w:after="0"/>
              <w:rPr>
                <w:sz w:val="14"/>
                <w:szCs w:val="14"/>
                <w:color w:val="auto"/>
              </w:rPr>
            </w:pPr>
          </w:p>
        </w:tc>
      </w:tr>
      <w:tr>
        <w:trPr>
          <w:trHeight w:val="166"/>
        </w:trPr>
        <w:tc>
          <w:tcPr>
            <w:tcW w:w="6260" w:type="dxa"/>
            <w:vAlign w:val="bottom"/>
          </w:tcPr>
          <w:p>
            <w:pPr>
              <w:ind w:left="1380"/>
              <w:spacing w:after="0"/>
              <w:rPr>
                <w:sz w:val="20"/>
                <w:szCs w:val="20"/>
                <w:color w:val="auto"/>
              </w:rPr>
            </w:pPr>
            <w:r>
              <w:rPr>
                <w:rFonts w:ascii="Courier New" w:cs="Courier New" w:eastAsia="Courier New" w:hAnsi="Courier New"/>
                <w:sz w:val="14"/>
                <w:szCs w:val="14"/>
                <w:color w:val="auto"/>
              </w:rPr>
              <w:t>6.82% Medium Term Notes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08/01/27</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6.820%</w:t>
            </w: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w:t>
            </w:r>
          </w:p>
        </w:tc>
        <w:tc>
          <w:tcPr>
            <w:tcW w:w="960" w:type="dxa"/>
            <w:vAlign w:val="bottom"/>
          </w:tcPr>
          <w:p>
            <w:pPr>
              <w:spacing w:after="0"/>
              <w:rPr>
                <w:sz w:val="14"/>
                <w:szCs w:val="14"/>
                <w:color w:val="auto"/>
              </w:rPr>
            </w:pPr>
          </w:p>
        </w:tc>
      </w:tr>
      <w:tr>
        <w:trPr>
          <w:trHeight w:val="166"/>
        </w:trPr>
        <w:tc>
          <w:tcPr>
            <w:tcW w:w="6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1"/>
        </w:trPr>
        <w:tc>
          <w:tcPr>
            <w:tcW w:w="6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330,289</w:t>
            </w:r>
          </w:p>
        </w:tc>
        <w:tc>
          <w:tcPr>
            <w:tcW w:w="960" w:type="dxa"/>
            <w:vAlign w:val="bottom"/>
          </w:tcPr>
          <w:p>
            <w:pPr>
              <w:spacing w:after="0"/>
              <w:rPr>
                <w:sz w:val="24"/>
                <w:szCs w:val="24"/>
                <w:color w:val="auto"/>
              </w:rPr>
            </w:pPr>
          </w:p>
        </w:tc>
      </w:tr>
      <w:tr>
        <w:trPr>
          <w:trHeight w:val="166"/>
        </w:trPr>
        <w:tc>
          <w:tcPr>
            <w:tcW w:w="6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1"/>
        </w:trPr>
        <w:tc>
          <w:tcPr>
            <w:tcW w:w="6260" w:type="dxa"/>
            <w:vAlign w:val="bottom"/>
          </w:tcPr>
          <w:p>
            <w:pPr>
              <w:ind w:left="4140"/>
              <w:spacing w:after="0"/>
              <w:rPr>
                <w:sz w:val="20"/>
                <w:szCs w:val="20"/>
                <w:color w:val="auto"/>
              </w:rPr>
            </w:pPr>
            <w:r>
              <w:rPr>
                <w:rFonts w:ascii="Courier New" w:cs="Courier New" w:eastAsia="Courier New" w:hAnsi="Courier New"/>
                <w:sz w:val="14"/>
                <w:szCs w:val="14"/>
                <w:color w:val="auto"/>
              </w:rPr>
              <w:t>Total fixed rate debt</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421,165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84.94%</w:t>
            </w:r>
          </w:p>
        </w:tc>
      </w:tr>
      <w:tr>
        <w:trPr>
          <w:trHeight w:val="331"/>
        </w:trPr>
        <w:tc>
          <w:tcPr>
            <w:tcW w:w="6260" w:type="dxa"/>
            <w:vAlign w:val="bottom"/>
          </w:tcPr>
          <w:p>
            <w:pPr>
              <w:ind w:left="4140"/>
              <w:spacing w:after="0"/>
              <w:rPr>
                <w:sz w:val="20"/>
                <w:szCs w:val="20"/>
                <w:color w:val="auto"/>
              </w:rPr>
            </w:pPr>
            <w:r>
              <w:rPr>
                <w:rFonts w:ascii="Courier New" w:cs="Courier New" w:eastAsia="Courier New" w:hAnsi="Courier New"/>
                <w:sz w:val="14"/>
                <w:szCs w:val="14"/>
                <w:color w:val="auto"/>
              </w:rPr>
              <w:t>Total variable rate debt</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74,686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15.06%</w:t>
            </w:r>
          </w:p>
        </w:tc>
      </w:tr>
      <w:tr>
        <w:trPr>
          <w:trHeight w:val="166"/>
        </w:trPr>
        <w:tc>
          <w:tcPr>
            <w:tcW w:w="6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60" w:type="dxa"/>
            <w:vAlign w:val="bottom"/>
          </w:tcPr>
          <w:p>
            <w:pPr>
              <w:ind w:left="4140"/>
              <w:spacing w:after="0"/>
              <w:rPr>
                <w:sz w:val="20"/>
                <w:szCs w:val="20"/>
                <w:color w:val="auto"/>
              </w:rPr>
            </w:pPr>
            <w:r>
              <w:rPr>
                <w:rFonts w:ascii="Courier New" w:cs="Courier New" w:eastAsia="Courier New" w:hAnsi="Courier New"/>
                <w:sz w:val="14"/>
                <w:szCs w:val="14"/>
                <w:color w:val="auto"/>
              </w:rPr>
              <w:t>Total debt</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495,851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6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240" w:type="dxa"/>
            <w:vAlign w:val="bottom"/>
            <w:gridSpan w:val="2"/>
          </w:tcPr>
          <w:p>
            <w:pPr>
              <w:ind w:left="4140"/>
              <w:spacing w:after="0"/>
              <w:rPr>
                <w:sz w:val="20"/>
                <w:szCs w:val="20"/>
                <w:color w:val="auto"/>
              </w:rPr>
            </w:pPr>
            <w:r>
              <w:rPr>
                <w:rFonts w:ascii="Courier New" w:cs="Courier New" w:eastAsia="Courier New" w:hAnsi="Courier New"/>
                <w:sz w:val="14"/>
                <w:szCs w:val="14"/>
                <w:color w:val="auto"/>
              </w:rPr>
              <w:t>Weighted average interest rate:</w:t>
            </w: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6260" w:type="dxa"/>
            <w:vAlign w:val="bottom"/>
          </w:tcPr>
          <w:p>
            <w:pPr>
              <w:ind w:left="4320"/>
              <w:spacing w:after="0"/>
              <w:rPr>
                <w:sz w:val="20"/>
                <w:szCs w:val="20"/>
                <w:color w:val="auto"/>
              </w:rPr>
            </w:pPr>
            <w:r>
              <w:rPr>
                <w:rFonts w:ascii="Courier New" w:cs="Courier New" w:eastAsia="Courier New" w:hAnsi="Courier New"/>
                <w:sz w:val="14"/>
                <w:szCs w:val="14"/>
                <w:color w:val="auto"/>
              </w:rPr>
              <w:t>Fixed rate debt</w:t>
            </w: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7.65%</w:t>
            </w:r>
          </w:p>
        </w:tc>
        <w:tc>
          <w:tcPr>
            <w:tcW w:w="960" w:type="dxa"/>
            <w:vAlign w:val="bottom"/>
          </w:tcPr>
          <w:p>
            <w:pPr>
              <w:spacing w:after="0"/>
              <w:rPr>
                <w:sz w:val="14"/>
                <w:szCs w:val="14"/>
                <w:color w:val="auto"/>
              </w:rPr>
            </w:pPr>
          </w:p>
        </w:tc>
      </w:tr>
      <w:tr>
        <w:trPr>
          <w:trHeight w:val="166"/>
        </w:trPr>
        <w:tc>
          <w:tcPr>
            <w:tcW w:w="7240" w:type="dxa"/>
            <w:vAlign w:val="bottom"/>
            <w:gridSpan w:val="2"/>
          </w:tcPr>
          <w:p>
            <w:pPr>
              <w:ind w:left="4320"/>
              <w:spacing w:after="0"/>
              <w:rPr>
                <w:sz w:val="20"/>
                <w:szCs w:val="20"/>
                <w:color w:val="auto"/>
              </w:rPr>
            </w:pPr>
            <w:r>
              <w:rPr>
                <w:rFonts w:ascii="Courier New" w:cs="Courier New" w:eastAsia="Courier New" w:hAnsi="Courier New"/>
                <w:sz w:val="14"/>
                <w:szCs w:val="14"/>
                <w:color w:val="auto"/>
              </w:rPr>
              <w:t>Variable on revolving facilities</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6.40% **</w:t>
            </w:r>
          </w:p>
        </w:tc>
        <w:tc>
          <w:tcPr>
            <w:tcW w:w="960" w:type="dxa"/>
            <w:vAlign w:val="bottom"/>
          </w:tcPr>
          <w:p>
            <w:pPr>
              <w:spacing w:after="0"/>
              <w:rPr>
                <w:sz w:val="14"/>
                <w:szCs w:val="14"/>
                <w:color w:val="auto"/>
              </w:rPr>
            </w:pPr>
          </w:p>
        </w:tc>
      </w:tr>
      <w:tr>
        <w:trPr>
          <w:trHeight w:val="166"/>
        </w:trPr>
        <w:tc>
          <w:tcPr>
            <w:tcW w:w="7240" w:type="dxa"/>
            <w:vAlign w:val="bottom"/>
            <w:gridSpan w:val="2"/>
          </w:tcPr>
          <w:p>
            <w:pPr>
              <w:ind w:left="4320"/>
              <w:spacing w:after="0"/>
              <w:rPr>
                <w:sz w:val="20"/>
                <w:szCs w:val="20"/>
                <w:color w:val="auto"/>
              </w:rPr>
            </w:pPr>
            <w:r>
              <w:rPr>
                <w:rFonts w:ascii="Courier New" w:cs="Courier New" w:eastAsia="Courier New" w:hAnsi="Courier New"/>
                <w:sz w:val="14"/>
                <w:szCs w:val="14"/>
                <w:color w:val="auto"/>
              </w:rPr>
              <w:t>Variable on muncipal bonds</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left="260" w:right="4640" w:hanging="259"/>
        <w:spacing w:after="0" w:line="250" w:lineRule="auto"/>
        <w:tabs>
          <w:tab w:leader="none" w:pos="240" w:val="left"/>
        </w:tabs>
        <w:rPr>
          <w:sz w:val="20"/>
          <w:szCs w:val="20"/>
          <w:color w:val="auto"/>
        </w:rPr>
      </w:pPr>
      <w:r>
        <w:rPr>
          <w:rFonts w:ascii="Courier New" w:cs="Courier New" w:eastAsia="Courier New" w:hAnsi="Courier New"/>
          <w:sz w:val="14"/>
          <w:szCs w:val="14"/>
          <w:color w:val="auto"/>
        </w:rPr>
        <w:t>*</w:t>
        <w:tab/>
        <w:t>The Trust purchased an interest rate swap on $25 million which sold for $1.5 million, thereby decreasing the effective interest rate.</w:t>
      </w:r>
    </w:p>
    <w:p>
      <w:pPr>
        <w:spacing w:after="0" w:line="1" w:lineRule="exact"/>
        <w:rPr>
          <w:sz w:val="20"/>
          <w:szCs w:val="20"/>
          <w:color w:val="auto"/>
        </w:rPr>
      </w:pPr>
    </w:p>
    <w:p>
      <w:pPr>
        <w:ind w:left="260" w:right="4560" w:hanging="259"/>
        <w:spacing w:after="0" w:line="250" w:lineRule="auto"/>
        <w:tabs>
          <w:tab w:leader="none" w:pos="240" w:val="left"/>
        </w:tabs>
        <w:rPr>
          <w:sz w:val="20"/>
          <w:szCs w:val="20"/>
          <w:color w:val="auto"/>
        </w:rPr>
      </w:pPr>
      <w:r>
        <w:rPr>
          <w:rFonts w:ascii="Courier New" w:cs="Courier New" w:eastAsia="Courier New" w:hAnsi="Courier New"/>
          <w:sz w:val="14"/>
          <w:szCs w:val="14"/>
          <w:color w:val="auto"/>
        </w:rPr>
        <w:t>**</w:t>
        <w:tab/>
        <w:t>Weighted average interest rate on revolving credit facilities for nine months ended September 30, 1997</w:t>
      </w:r>
    </w:p>
    <w:p>
      <w:pPr>
        <w:spacing w:after="0" w:line="1" w:lineRule="exact"/>
        <w:rPr>
          <w:sz w:val="20"/>
          <w:szCs w:val="20"/>
          <w:color w:val="auto"/>
        </w:rPr>
      </w:pPr>
    </w:p>
    <w:p>
      <w:pPr>
        <w:ind w:left="260" w:right="4640" w:hanging="252"/>
        <w:spacing w:after="0" w:line="252" w:lineRule="auto"/>
        <w:tabs>
          <w:tab w:leader="none" w:pos="2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1460"/>
          </w:cols>
          <w:pgMar w:left="220" w:top="616" w:right="21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jc w:val="center"/>
              <w:ind w:left="388"/>
              <w:spacing w:after="0"/>
              <w:rPr>
                <w:sz w:val="20"/>
                <w:szCs w:val="20"/>
                <w:color w:val="auto"/>
              </w:rPr>
            </w:pPr>
            <w:r>
              <w:rPr>
                <w:rFonts w:ascii="Courier New" w:cs="Courier New" w:eastAsia="Courier New" w:hAnsi="Courier New"/>
                <w:sz w:val="14"/>
                <w:szCs w:val="14"/>
                <w:color w:val="auto"/>
              </w:rPr>
              <w:t>OVERALL OCCUPANCY</w:t>
            </w:r>
          </w:p>
        </w:tc>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540" w:type="dxa"/>
            <w:vAlign w:val="bottom"/>
            <w:gridSpan w:val="2"/>
          </w:tcPr>
          <w:p>
            <w:pPr>
              <w:jc w:val="center"/>
              <w:ind w:right="768"/>
              <w:spacing w:after="0"/>
              <w:rPr>
                <w:sz w:val="20"/>
                <w:szCs w:val="20"/>
                <w:color w:val="auto"/>
              </w:rPr>
            </w:pPr>
            <w:r>
              <w:rPr>
                <w:rFonts w:ascii="Courier New" w:cs="Courier New" w:eastAsia="Courier New" w:hAnsi="Courier New"/>
                <w:sz w:val="14"/>
                <w:szCs w:val="14"/>
                <w:color w:val="auto"/>
              </w:rPr>
              <w:t>(Quarter to Quarter Analysis)</w:t>
            </w:r>
          </w:p>
        </w:tc>
        <w:tc>
          <w:tcPr>
            <w:tcW w:w="3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 1997</w:t>
            </w:r>
          </w:p>
        </w:tc>
        <w:tc>
          <w:tcPr>
            <w:tcW w:w="1120" w:type="dxa"/>
            <w:vAlign w:val="bottom"/>
          </w:tcPr>
          <w:p>
            <w:pPr>
              <w:spacing w:after="0"/>
              <w:rPr>
                <w:sz w:val="14"/>
                <w:szCs w:val="14"/>
                <w:color w:val="auto"/>
              </w:rPr>
            </w:pPr>
          </w:p>
        </w:tc>
        <w:tc>
          <w:tcPr>
            <w:tcW w:w="254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September 30, 1996</w:t>
            </w:r>
          </w:p>
        </w:tc>
        <w:tc>
          <w:tcPr>
            <w:tcW w:w="10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1"/>
              </w:rPr>
              <w:t>---------------------------------------</w:t>
            </w:r>
          </w:p>
        </w:tc>
        <w:tc>
          <w:tcPr>
            <w:tcW w:w="1120" w:type="dxa"/>
            <w:vAlign w:val="bottom"/>
          </w:tcPr>
          <w:p>
            <w:pPr>
              <w:spacing w:after="0"/>
              <w:rPr>
                <w:sz w:val="14"/>
                <w:szCs w:val="14"/>
                <w:color w:val="auto"/>
              </w:rPr>
            </w:pPr>
          </w:p>
        </w:tc>
        <w:tc>
          <w:tcPr>
            <w:tcW w:w="36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300" w:type="dxa"/>
            <w:vAlign w:val="bottom"/>
          </w:tcPr>
          <w:p>
            <w:pPr>
              <w:spacing w:after="0"/>
              <w:rPr>
                <w:sz w:val="24"/>
                <w:szCs w:val="2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Leased</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7"/>
              </w:rPr>
              <w:t>Occupancy</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Leased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Retail Properties (square</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12,856,798</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12,202,952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12,324,469</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11,509,125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Rollingwood Apartments (#</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280" w:type="dxa"/>
            <w:vAlign w:val="bottom"/>
          </w:tcPr>
          <w:p>
            <w:pPr>
              <w:ind w:left="860"/>
              <w:spacing w:after="0"/>
              <w:rPr>
                <w:sz w:val="20"/>
                <w:szCs w:val="20"/>
                <w:color w:val="auto"/>
              </w:rPr>
            </w:pPr>
            <w:r>
              <w:rPr>
                <w:rFonts w:ascii="Courier New" w:cs="Courier New" w:eastAsia="Courier New" w:hAnsi="Courier New"/>
                <w:sz w:val="14"/>
                <w:szCs w:val="14"/>
                <w:color w:val="auto"/>
              </w:rPr>
              <w:t>282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w:t>
            </w:r>
          </w:p>
        </w:tc>
      </w:tr>
      <w:tr>
        <w:trPr>
          <w:trHeight w:val="663"/>
        </w:trPr>
        <w:tc>
          <w:tcPr>
            <w:tcW w:w="2240" w:type="dxa"/>
            <w:vAlign w:val="bottom"/>
          </w:tcPr>
          <w:p>
            <w:pPr>
              <w:jc w:val="center"/>
              <w:ind w:left="388"/>
              <w:spacing w:after="0"/>
              <w:rPr>
                <w:sz w:val="20"/>
                <w:szCs w:val="20"/>
                <w:color w:val="auto"/>
              </w:rPr>
            </w:pPr>
            <w:r>
              <w:rPr>
                <w:rFonts w:ascii="Courier New" w:cs="Courier New" w:eastAsia="Courier New" w:hAnsi="Courier New"/>
                <w:sz w:val="14"/>
                <w:szCs w:val="14"/>
                <w:color w:val="auto"/>
              </w:rPr>
              <w:t>OVERALL OCCUPANCY</w:t>
            </w: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2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(Rolling 12 Months)</w:t>
            </w:r>
          </w:p>
        </w:tc>
        <w:tc>
          <w:tcPr>
            <w:tcW w:w="130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 1997</w:t>
            </w:r>
          </w:p>
        </w:tc>
        <w:tc>
          <w:tcPr>
            <w:tcW w:w="1120" w:type="dxa"/>
            <w:vAlign w:val="bottom"/>
          </w:tcPr>
          <w:p>
            <w:pPr>
              <w:spacing w:after="0"/>
              <w:rPr>
                <w:sz w:val="14"/>
                <w:szCs w:val="14"/>
                <w:color w:val="auto"/>
              </w:rPr>
            </w:pPr>
          </w:p>
        </w:tc>
        <w:tc>
          <w:tcPr>
            <w:tcW w:w="2540" w:type="dxa"/>
            <w:vAlign w:val="bottom"/>
            <w:gridSpan w:val="2"/>
          </w:tcPr>
          <w:p>
            <w:pPr>
              <w:ind w:left="1020"/>
              <w:spacing w:after="0"/>
              <w:rPr>
                <w:sz w:val="20"/>
                <w:szCs w:val="20"/>
                <w:color w:val="auto"/>
              </w:rPr>
            </w:pPr>
            <w:r>
              <w:rPr>
                <w:rFonts w:ascii="Courier New" w:cs="Courier New" w:eastAsia="Courier New" w:hAnsi="Courier New"/>
                <w:sz w:val="14"/>
                <w:szCs w:val="14"/>
                <w:color w:val="auto"/>
              </w:rPr>
              <w:t>June 30, 1997</w:t>
            </w:r>
          </w:p>
        </w:tc>
        <w:tc>
          <w:tcPr>
            <w:tcW w:w="10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1"/>
              </w:rPr>
              <w:t>---------------------------------------</w:t>
            </w:r>
          </w:p>
        </w:tc>
        <w:tc>
          <w:tcPr>
            <w:tcW w:w="1120" w:type="dxa"/>
            <w:vAlign w:val="bottom"/>
          </w:tcPr>
          <w:p>
            <w:pPr>
              <w:spacing w:after="0"/>
              <w:rPr>
                <w:sz w:val="14"/>
                <w:szCs w:val="14"/>
                <w:color w:val="auto"/>
              </w:rPr>
            </w:pPr>
          </w:p>
        </w:tc>
        <w:tc>
          <w:tcPr>
            <w:tcW w:w="36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300" w:type="dxa"/>
            <w:vAlign w:val="bottom"/>
          </w:tcPr>
          <w:p>
            <w:pPr>
              <w:spacing w:after="0"/>
              <w:rPr>
                <w:sz w:val="14"/>
                <w:szCs w:val="14"/>
                <w:color w:val="auto"/>
              </w:rPr>
            </w:pP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Leased</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7"/>
              </w:rPr>
              <w:t>Occupancy</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Leased</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497"/>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Retail Properties (square</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12,856,798</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12,202,952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12,770,492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11,986,868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Rollingwood Apartments (#</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w:t>
            </w:r>
          </w:p>
        </w:tc>
      </w:tr>
      <w:tr>
        <w:trPr>
          <w:trHeight w:val="663"/>
        </w:trPr>
        <w:tc>
          <w:tcPr>
            <w:tcW w:w="2240" w:type="dxa"/>
            <w:vAlign w:val="bottom"/>
          </w:tcPr>
          <w:p>
            <w:pPr>
              <w:jc w:val="center"/>
              <w:ind w:left="388"/>
              <w:spacing w:after="0"/>
              <w:rPr>
                <w:sz w:val="20"/>
                <w:szCs w:val="20"/>
                <w:color w:val="auto"/>
              </w:rPr>
            </w:pPr>
            <w:r>
              <w:rPr>
                <w:rFonts w:ascii="Courier New" w:cs="Courier New" w:eastAsia="Courier New" w:hAnsi="Courier New"/>
                <w:sz w:val="14"/>
                <w:szCs w:val="14"/>
                <w:color w:val="auto"/>
              </w:rPr>
              <w:t>OVERALL OCCUPANCY</w:t>
            </w: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2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(Rolling 12 Months)</w:t>
            </w:r>
          </w:p>
        </w:tc>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31, 1997</w:t>
            </w:r>
          </w:p>
        </w:tc>
        <w:tc>
          <w:tcPr>
            <w:tcW w:w="1120" w:type="dxa"/>
            <w:vAlign w:val="bottom"/>
          </w:tcPr>
          <w:p>
            <w:pPr>
              <w:spacing w:after="0"/>
              <w:rPr>
                <w:sz w:val="14"/>
                <w:szCs w:val="14"/>
                <w:color w:val="auto"/>
              </w:rPr>
            </w:pPr>
          </w:p>
        </w:tc>
        <w:tc>
          <w:tcPr>
            <w:tcW w:w="25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December 31, 1996</w:t>
            </w:r>
          </w:p>
        </w:tc>
        <w:tc>
          <w:tcPr>
            <w:tcW w:w="10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1"/>
              </w:rPr>
              <w:t>---------------------------------------</w:t>
            </w:r>
          </w:p>
        </w:tc>
        <w:tc>
          <w:tcPr>
            <w:tcW w:w="1120" w:type="dxa"/>
            <w:vAlign w:val="bottom"/>
          </w:tcPr>
          <w:p>
            <w:pPr>
              <w:spacing w:after="0"/>
              <w:rPr>
                <w:sz w:val="14"/>
                <w:szCs w:val="14"/>
                <w:color w:val="auto"/>
              </w:rPr>
            </w:pPr>
          </w:p>
        </w:tc>
        <w:tc>
          <w:tcPr>
            <w:tcW w:w="36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300" w:type="dxa"/>
            <w:vAlign w:val="bottom"/>
          </w:tcPr>
          <w:p>
            <w:pPr>
              <w:spacing w:after="0"/>
              <w:rPr>
                <w:sz w:val="14"/>
                <w:szCs w:val="14"/>
                <w:color w:val="auto"/>
              </w:rPr>
            </w:pP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Leased</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7"/>
              </w:rPr>
              <w:t>Occupancy</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Leased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Retail Properties (square</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13,046,013</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12,228,746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12,733,461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11,935,107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Rollingwood Apartments (#</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1540"/>
          </w:cols>
          <w:pgMar w:left="220" w:top="616" w:right="139" w:bottom="1440" w:gutter="0" w:footer="0" w:header="0"/>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(Quarter to Quarter Comparison)</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Courier New" w:cs="Courier New" w:eastAsia="Courier New" w:hAnsi="Courier New"/>
          <w:sz w:val="14"/>
          <w:szCs w:val="14"/>
          <w:color w:val="auto"/>
        </w:rPr>
        <w:t>September 30,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tabs>
          <w:tab w:leader="none" w:pos="1360" w:val="left"/>
          <w:tab w:leader="none" w:pos="248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60"/>
        <w:spacing w:after="0"/>
        <w:tabs>
          <w:tab w:leader="none" w:pos="1360" w:val="left"/>
          <w:tab w:leader="none" w:pos="2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4"/>
          <w:szCs w:val="14"/>
          <w:color w:val="auto"/>
        </w:rPr>
        <w:t>September 30,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tabs>
          <w:tab w:leader="none" w:pos="1440" w:val="left"/>
          <w:tab w:leader="none" w:pos="248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1360" w:val="left"/>
          <w:tab w:leader="none" w:pos="2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340" w:space="720"/>
            <w:col w:w="3520" w:space="180"/>
            <w:col w:w="378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11,096,212</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ind w:right="140"/>
        <w:spacing w:after="0"/>
        <w:rPr>
          <w:sz w:val="20"/>
          <w:szCs w:val="20"/>
          <w:color w:val="auto"/>
        </w:rPr>
      </w:pPr>
      <w:r>
        <w:rPr>
          <w:rFonts w:ascii="Courier New" w:cs="Courier New" w:eastAsia="Courier New" w:hAnsi="Courier New"/>
          <w:sz w:val="14"/>
          <w:szCs w:val="14"/>
          <w:color w:val="auto"/>
        </w:rPr>
        <w:t>10,577,015</w:t>
      </w:r>
    </w:p>
    <w:p>
      <w:pPr>
        <w:spacing w:after="0" w:line="7" w:lineRule="exact"/>
        <w:rPr>
          <w:sz w:val="20"/>
          <w:szCs w:val="20"/>
          <w:color w:val="auto"/>
        </w:rPr>
      </w:pPr>
    </w:p>
    <w:p>
      <w:pPr>
        <w:jc w:val="right"/>
        <w:ind w:right="1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10,916,125</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ind w:right="220"/>
        <w:spacing w:after="0"/>
        <w:rPr>
          <w:sz w:val="20"/>
          <w:szCs w:val="20"/>
          <w:color w:val="auto"/>
        </w:rPr>
      </w:pPr>
      <w:r>
        <w:rPr>
          <w:rFonts w:ascii="Courier New" w:cs="Courier New" w:eastAsia="Courier New" w:hAnsi="Courier New"/>
          <w:sz w:val="14"/>
          <w:szCs w:val="14"/>
          <w:color w:val="auto"/>
        </w:rPr>
        <w:t>10,324,076</w:t>
      </w:r>
    </w:p>
    <w:p>
      <w:pPr>
        <w:spacing w:after="0" w:line="7"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7">
            <w:col w:w="3420" w:space="720"/>
            <w:col w:w="860" w:space="340"/>
            <w:col w:w="1020" w:space="720"/>
            <w:col w:w="340" w:space="420"/>
            <w:col w:w="860" w:space="360"/>
            <w:col w:w="1080" w:space="720"/>
            <w:col w:w="680"/>
          </w:cols>
          <w:pgMar w:left="220" w:top="616" w:right="139" w:bottom="1440" w:gutter="0" w:footer="0" w:header="0"/>
          <w:type w:val="continuous"/>
        </w:sect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1540"/>
          </w:cols>
          <w:pgMar w:left="220" w:top="616" w:right="139" w:bottom="1440" w:gutter="0" w:footer="0" w:header="0"/>
          <w:type w:val="continuous"/>
        </w:sectPr>
      </w:pP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4"/>
          <w:szCs w:val="14"/>
          <w:color w:val="auto"/>
        </w:rPr>
        <w:t>At September 30,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At June 30, 1997</w:t>
      </w:r>
    </w:p>
    <w:p>
      <w:pPr>
        <w:spacing w:after="0" w:line="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420" w:space="720"/>
            <w:col w:w="3360" w:space="340"/>
            <w:col w:w="3700"/>
          </w:cols>
          <w:pgMar w:left="220" w:top="616" w:right="139" w:bottom="1440" w:gutter="0" w:footer="0" w:header="0"/>
          <w:type w:val="continuous"/>
        </w:sectPr>
      </w:pPr>
    </w:p>
    <w:p>
      <w:pPr>
        <w:ind w:left="1220"/>
        <w:spacing w:after="0"/>
        <w:rPr>
          <w:sz w:val="20"/>
          <w:szCs w:val="20"/>
          <w:color w:val="auto"/>
        </w:rPr>
      </w:pPr>
      <w:r>
        <w:rPr>
          <w:rFonts w:ascii="Courier New" w:cs="Courier New" w:eastAsia="Courier New" w:hAnsi="Courier New"/>
          <w:sz w:val="14"/>
          <w:szCs w:val="14"/>
          <w:color w:val="auto"/>
        </w:rPr>
        <w:t>Type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173" w:lineRule="exact"/>
        <w:rPr>
          <w:sz w:val="20"/>
          <w:szCs w:val="20"/>
          <w:color w:val="auto"/>
        </w:rPr>
      </w:pPr>
    </w:p>
    <w:p>
      <w:pPr>
        <w:sectPr>
          <w:pgSz w:w="11900" w:h="16838" w:orient="portrait"/>
          <w:cols w:equalWidth="0" w:num="7">
            <w:col w:w="3680" w:space="720"/>
            <w:col w:w="480" w:space="720"/>
            <w:col w:w="520" w:space="520"/>
            <w:col w:w="840" w:space="720"/>
            <w:col w:w="340" w:space="680"/>
            <w:col w:w="520" w:space="600"/>
            <w:col w:w="120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tabs>
          <w:tab w:leader="none" w:pos="1180" w:val="left"/>
          <w:tab w:leader="none" w:pos="2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1180" w:val="left"/>
          <w:tab w:leader="none" w:pos="2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600" w:space="720"/>
            <w:col w:w="3360" w:space="340"/>
            <w:col w:w="352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11,096,212</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ind w:right="140"/>
        <w:spacing w:after="0"/>
        <w:rPr>
          <w:sz w:val="20"/>
          <w:szCs w:val="20"/>
          <w:color w:val="auto"/>
        </w:rPr>
      </w:pPr>
      <w:r>
        <w:rPr>
          <w:rFonts w:ascii="Courier New" w:cs="Courier New" w:eastAsia="Courier New" w:hAnsi="Courier New"/>
          <w:sz w:val="14"/>
          <w:szCs w:val="14"/>
          <w:color w:val="auto"/>
        </w:rPr>
        <w:t>10,577,015</w:t>
      </w:r>
    </w:p>
    <w:p>
      <w:pPr>
        <w:spacing w:after="0" w:line="7" w:lineRule="exact"/>
        <w:rPr>
          <w:sz w:val="20"/>
          <w:szCs w:val="20"/>
          <w:color w:val="auto"/>
        </w:rPr>
      </w:pPr>
    </w:p>
    <w:p>
      <w:pPr>
        <w:jc w:val="right"/>
        <w:ind w:right="1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11,150,587</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ind w:right="220"/>
        <w:spacing w:after="0"/>
        <w:rPr>
          <w:sz w:val="20"/>
          <w:szCs w:val="20"/>
          <w:color w:val="auto"/>
        </w:rPr>
      </w:pPr>
      <w:r>
        <w:rPr>
          <w:rFonts w:ascii="Courier New" w:cs="Courier New" w:eastAsia="Courier New" w:hAnsi="Courier New"/>
          <w:sz w:val="14"/>
          <w:szCs w:val="14"/>
          <w:color w:val="auto"/>
        </w:rPr>
        <w:t>10,531,352</w:t>
      </w:r>
    </w:p>
    <w:p>
      <w:pPr>
        <w:spacing w:after="0" w:line="7"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4"/>
          <w:szCs w:val="14"/>
          <w:color w:val="auto"/>
        </w:rPr>
        <w:t>280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7">
            <w:col w:w="3500" w:space="720"/>
            <w:col w:w="880" w:space="340"/>
            <w:col w:w="1000" w:space="720"/>
            <w:col w:w="340" w:space="440"/>
            <w:col w:w="860" w:space="340"/>
            <w:col w:w="1080" w:space="720"/>
            <w:col w:w="600"/>
          </w:cols>
          <w:pgMar w:left="220" w:top="616"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1540"/>
          </w:cols>
          <w:pgMar w:left="220" w:top="616" w:right="139" w:bottom="1440" w:gutter="0" w:footer="0" w:header="0"/>
          <w:type w:val="continuous"/>
        </w:sectPr>
      </w:pP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4"/>
          <w:szCs w:val="14"/>
          <w:color w:val="auto"/>
        </w:rPr>
        <w:t>At March 31,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960"/>
        <w:spacing w:after="0"/>
        <w:rPr>
          <w:sz w:val="20"/>
          <w:szCs w:val="20"/>
          <w:color w:val="auto"/>
        </w:rPr>
      </w:pPr>
      <w:r>
        <w:rPr>
          <w:rFonts w:ascii="Courier New" w:cs="Courier New" w:eastAsia="Courier New" w:hAnsi="Courier New"/>
          <w:sz w:val="14"/>
          <w:szCs w:val="14"/>
          <w:color w:val="auto"/>
        </w:rPr>
        <w:t>At December 31,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420" w:space="720"/>
            <w:col w:w="3360" w:space="340"/>
            <w:col w:w="3700"/>
          </w:cols>
          <w:pgMar w:left="220" w:top="616" w:right="139" w:bottom="1440" w:gutter="0" w:footer="0" w:header="0"/>
          <w:type w:val="continuous"/>
        </w:sectPr>
      </w:pPr>
    </w:p>
    <w:p>
      <w:pPr>
        <w:ind w:left="12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60"/>
        <w:spacing w:after="0"/>
        <w:tabs>
          <w:tab w:leader="none" w:pos="1260" w:val="left"/>
          <w:tab w:leader="none" w:pos="230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spacing w:after="0"/>
        <w:tabs>
          <w:tab w:leader="none" w:pos="1180" w:val="left"/>
          <w:tab w:leader="none" w:pos="2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tabs>
          <w:tab w:leader="none" w:pos="1180" w:val="left"/>
          <w:tab w:leader="none" w:pos="230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spacing w:after="0"/>
        <w:tabs>
          <w:tab w:leader="none" w:pos="1180" w:val="left"/>
          <w:tab w:leader="none" w:pos="2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600" w:space="720"/>
            <w:col w:w="3360" w:space="340"/>
            <w:col w:w="352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11,425,601</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ind w:right="220"/>
        <w:spacing w:after="0"/>
        <w:rPr>
          <w:sz w:val="20"/>
          <w:szCs w:val="20"/>
          <w:color w:val="auto"/>
        </w:rPr>
      </w:pPr>
      <w:r>
        <w:rPr>
          <w:rFonts w:ascii="Courier New" w:cs="Courier New" w:eastAsia="Courier New" w:hAnsi="Courier New"/>
          <w:sz w:val="14"/>
          <w:szCs w:val="14"/>
          <w:color w:val="auto"/>
        </w:rPr>
        <w:t>10,762,859</w:t>
      </w:r>
    </w:p>
    <w:p>
      <w:pPr>
        <w:spacing w:after="0" w:line="7"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11,247,168</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ind w:right="220"/>
        <w:spacing w:after="0"/>
        <w:rPr>
          <w:sz w:val="20"/>
          <w:szCs w:val="20"/>
          <w:color w:val="auto"/>
        </w:rPr>
      </w:pPr>
      <w:r>
        <w:rPr>
          <w:rFonts w:ascii="Courier New" w:cs="Courier New" w:eastAsia="Courier New" w:hAnsi="Courier New"/>
          <w:sz w:val="14"/>
          <w:szCs w:val="14"/>
          <w:color w:val="auto"/>
        </w:rPr>
        <w:t>10,625,745</w:t>
      </w:r>
    </w:p>
    <w:p>
      <w:pPr>
        <w:spacing w:after="0" w:line="7"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w:t>
      </w:r>
    </w:p>
    <w:p>
      <w:pPr>
        <w:sectPr>
          <w:pgSz w:w="11900" w:h="16838" w:orient="portrait"/>
          <w:cols w:equalWidth="0" w:num="7">
            <w:col w:w="3500" w:space="720"/>
            <w:col w:w="880" w:space="340"/>
            <w:col w:w="1080" w:space="720"/>
            <w:col w:w="260" w:space="440"/>
            <w:col w:w="860" w:space="340"/>
            <w:col w:w="1080" w:space="720"/>
            <w:col w:w="600"/>
          </w:cols>
          <w:pgMar w:left="220" w:top="616" w:right="139"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OVERALL ECONOMIC OCCUPANCY</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(Quarter to Quarter Analysis)</w:t>
            </w:r>
          </w:p>
        </w:tc>
        <w:tc>
          <w:tcPr>
            <w:tcW w:w="2980" w:type="dxa"/>
            <w:vAlign w:val="bottom"/>
            <w:gridSpan w:val="2"/>
          </w:tcPr>
          <w:p>
            <w:pPr>
              <w:jc w:val="center"/>
              <w:ind w:left="1368"/>
              <w:spacing w:after="0"/>
              <w:rPr>
                <w:sz w:val="20"/>
                <w:szCs w:val="20"/>
                <w:color w:val="auto"/>
              </w:rPr>
            </w:pPr>
            <w:r>
              <w:rPr>
                <w:rFonts w:ascii="Courier New" w:cs="Courier New" w:eastAsia="Courier New" w:hAnsi="Courier New"/>
                <w:sz w:val="14"/>
                <w:szCs w:val="14"/>
                <w:color w:val="auto"/>
              </w:rPr>
              <w:t>September 30, 1997</w:t>
            </w:r>
          </w:p>
        </w:tc>
        <w:tc>
          <w:tcPr>
            <w:tcW w:w="1120" w:type="dxa"/>
            <w:vAlign w:val="bottom"/>
          </w:tcPr>
          <w:p>
            <w:pPr>
              <w:spacing w:after="0"/>
              <w:rPr>
                <w:sz w:val="14"/>
                <w:szCs w:val="14"/>
                <w:color w:val="auto"/>
              </w:rPr>
            </w:pPr>
          </w:p>
        </w:tc>
        <w:tc>
          <w:tcPr>
            <w:tcW w:w="2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September 30, 1996</w:t>
            </w:r>
          </w:p>
        </w:tc>
        <w:tc>
          <w:tcPr>
            <w:tcW w:w="112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0"/>
              </w:rPr>
              <w:t>---------------------------------------</w:t>
            </w:r>
          </w:p>
        </w:tc>
        <w:tc>
          <w:tcPr>
            <w:tcW w:w="1120" w:type="dxa"/>
            <w:vAlign w:val="bottom"/>
          </w:tcPr>
          <w:p>
            <w:pPr>
              <w:spacing w:after="0"/>
              <w:rPr>
                <w:sz w:val="14"/>
                <w:szCs w:val="14"/>
                <w:color w:val="auto"/>
              </w:rPr>
            </w:pPr>
          </w:p>
        </w:tc>
        <w:tc>
          <w:tcPr>
            <w:tcW w:w="36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Leases</w:t>
            </w:r>
          </w:p>
        </w:tc>
        <w:tc>
          <w:tcPr>
            <w:tcW w:w="112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200" w:type="dxa"/>
            <w:vAlign w:val="bottom"/>
          </w:tcPr>
          <w:p>
            <w:pPr>
              <w:spacing w:after="0"/>
              <w:rPr>
                <w:sz w:val="14"/>
                <w:szCs w:val="14"/>
                <w:color w:val="auto"/>
              </w:rPr>
            </w:pP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60" w:type="dxa"/>
            <w:vAlign w:val="bottom"/>
          </w:tcPr>
          <w:p>
            <w:pPr>
              <w:ind w:left="1380"/>
              <w:spacing w:after="0"/>
              <w:rPr>
                <w:sz w:val="20"/>
                <w:szCs w:val="20"/>
                <w:color w:val="auto"/>
              </w:rPr>
            </w:pPr>
            <w:r>
              <w:rPr>
                <w:rFonts w:ascii="Courier New" w:cs="Courier New" w:eastAsia="Courier New" w:hAnsi="Courier New"/>
                <w:sz w:val="14"/>
                <w:szCs w:val="14"/>
                <w:color w:val="auto"/>
              </w:rPr>
              <w:t>Type</w:t>
            </w:r>
          </w:p>
        </w:tc>
        <w:tc>
          <w:tcPr>
            <w:tcW w:w="1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Size</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Income</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12,856,798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12,056,781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12,324,469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11,277,086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w:t>
            </w:r>
          </w:p>
        </w:tc>
      </w:tr>
      <w:tr>
        <w:trPr>
          <w:trHeight w:val="663"/>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OVERALL ECONOMIC OCCUPANCY</w:t>
            </w: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(Rolling 12 Months)</w:t>
            </w:r>
          </w:p>
        </w:tc>
        <w:tc>
          <w:tcPr>
            <w:tcW w:w="2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September 30, 1997</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June 30, 1997</w:t>
            </w:r>
          </w:p>
        </w:tc>
        <w:tc>
          <w:tcPr>
            <w:tcW w:w="112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0"/>
              </w:rPr>
              <w:t>---------------------------------------</w:t>
            </w:r>
          </w:p>
        </w:tc>
        <w:tc>
          <w:tcPr>
            <w:tcW w:w="1120" w:type="dxa"/>
            <w:vAlign w:val="bottom"/>
          </w:tcPr>
          <w:p>
            <w:pPr>
              <w:spacing w:after="0"/>
              <w:rPr>
                <w:sz w:val="14"/>
                <w:szCs w:val="14"/>
                <w:color w:val="auto"/>
              </w:rPr>
            </w:pPr>
          </w:p>
        </w:tc>
        <w:tc>
          <w:tcPr>
            <w:tcW w:w="36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Leases</w:t>
            </w:r>
          </w:p>
        </w:tc>
        <w:tc>
          <w:tcPr>
            <w:tcW w:w="112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200" w:type="dxa"/>
            <w:vAlign w:val="bottom"/>
          </w:tcPr>
          <w:p>
            <w:pPr>
              <w:spacing w:after="0"/>
              <w:rPr>
                <w:sz w:val="14"/>
                <w:szCs w:val="14"/>
                <w:color w:val="auto"/>
              </w:rPr>
            </w:pP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60" w:type="dxa"/>
            <w:vAlign w:val="bottom"/>
          </w:tcPr>
          <w:p>
            <w:pPr>
              <w:ind w:left="1380"/>
              <w:spacing w:after="0"/>
              <w:rPr>
                <w:sz w:val="20"/>
                <w:szCs w:val="20"/>
                <w:color w:val="auto"/>
              </w:rPr>
            </w:pPr>
            <w:r>
              <w:rPr>
                <w:rFonts w:ascii="Courier New" w:cs="Courier New" w:eastAsia="Courier New" w:hAnsi="Courier New"/>
                <w:sz w:val="14"/>
                <w:szCs w:val="14"/>
                <w:color w:val="auto"/>
              </w:rPr>
              <w:t>Type</w:t>
            </w:r>
          </w:p>
        </w:tc>
        <w:tc>
          <w:tcPr>
            <w:tcW w:w="1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Size</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Income</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12,856,798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12,056,781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12,770,492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11,724,538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w:t>
            </w:r>
          </w:p>
        </w:tc>
      </w:tr>
      <w:tr>
        <w:trPr>
          <w:trHeight w:val="663"/>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OVERALL ECONOMIC OCCUPANCY</w:t>
            </w: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(Rolling 12 Months)</w:t>
            </w:r>
          </w:p>
        </w:tc>
        <w:tc>
          <w:tcPr>
            <w:tcW w:w="29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March 31, 1997</w:t>
            </w:r>
          </w:p>
        </w:tc>
        <w:tc>
          <w:tcPr>
            <w:tcW w:w="1120" w:type="dxa"/>
            <w:vAlign w:val="bottom"/>
          </w:tcPr>
          <w:p>
            <w:pPr>
              <w:spacing w:after="0"/>
              <w:rPr>
                <w:sz w:val="14"/>
                <w:szCs w:val="14"/>
                <w:color w:val="auto"/>
              </w:rPr>
            </w:pPr>
          </w:p>
        </w:tc>
        <w:tc>
          <w:tcPr>
            <w:tcW w:w="2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December 31, 1996</w:t>
            </w:r>
          </w:p>
        </w:tc>
        <w:tc>
          <w:tcPr>
            <w:tcW w:w="112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0"/>
              </w:rPr>
              <w:t>---------------------------------------</w:t>
            </w:r>
          </w:p>
        </w:tc>
        <w:tc>
          <w:tcPr>
            <w:tcW w:w="1120" w:type="dxa"/>
            <w:vAlign w:val="bottom"/>
          </w:tcPr>
          <w:p>
            <w:pPr>
              <w:spacing w:after="0"/>
              <w:rPr>
                <w:sz w:val="14"/>
                <w:szCs w:val="14"/>
                <w:color w:val="auto"/>
              </w:rPr>
            </w:pPr>
          </w:p>
        </w:tc>
        <w:tc>
          <w:tcPr>
            <w:tcW w:w="36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Leases</w:t>
            </w:r>
          </w:p>
        </w:tc>
        <w:tc>
          <w:tcPr>
            <w:tcW w:w="112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200" w:type="dxa"/>
            <w:vAlign w:val="bottom"/>
          </w:tcPr>
          <w:p>
            <w:pPr>
              <w:spacing w:after="0"/>
              <w:rPr>
                <w:sz w:val="14"/>
                <w:szCs w:val="14"/>
                <w:color w:val="auto"/>
              </w:rPr>
            </w:pP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60" w:type="dxa"/>
            <w:vAlign w:val="bottom"/>
          </w:tcPr>
          <w:p>
            <w:pPr>
              <w:ind w:left="1380"/>
              <w:spacing w:after="0"/>
              <w:rPr>
                <w:sz w:val="20"/>
                <w:szCs w:val="20"/>
                <w:color w:val="auto"/>
              </w:rPr>
            </w:pPr>
            <w:r>
              <w:rPr>
                <w:rFonts w:ascii="Courier New" w:cs="Courier New" w:eastAsia="Courier New" w:hAnsi="Courier New"/>
                <w:sz w:val="14"/>
                <w:szCs w:val="14"/>
                <w:color w:val="auto"/>
              </w:rPr>
              <w:t>Type</w:t>
            </w:r>
          </w:p>
        </w:tc>
        <w:tc>
          <w:tcPr>
            <w:tcW w:w="1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Size</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Income</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13,046,013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11,982,214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12,733,461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11,680,876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SAME CENTER ECONOMIC OCCUPANCY</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(Quarter to Quarter Comparison)</w:t>
            </w:r>
          </w:p>
        </w:tc>
        <w:tc>
          <w:tcPr>
            <w:tcW w:w="4100" w:type="dxa"/>
            <w:vAlign w:val="bottom"/>
            <w:gridSpan w:val="3"/>
          </w:tcPr>
          <w:p>
            <w:pPr>
              <w:jc w:val="right"/>
              <w:ind w:right="968"/>
              <w:spacing w:after="0"/>
              <w:rPr>
                <w:sz w:val="20"/>
                <w:szCs w:val="20"/>
                <w:color w:val="auto"/>
              </w:rPr>
            </w:pPr>
            <w:r>
              <w:rPr>
                <w:rFonts w:ascii="Courier New" w:cs="Courier New" w:eastAsia="Courier New" w:hAnsi="Courier New"/>
                <w:sz w:val="14"/>
                <w:szCs w:val="14"/>
                <w:color w:val="auto"/>
              </w:rPr>
              <w:t>September 30, 1997</w:t>
            </w:r>
          </w:p>
        </w:tc>
        <w:tc>
          <w:tcPr>
            <w:tcW w:w="25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September 30, 1996</w:t>
            </w:r>
          </w:p>
        </w:tc>
        <w:tc>
          <w:tcPr>
            <w:tcW w:w="104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0"/>
              </w:rPr>
              <w:t>---------------------------------------</w:t>
            </w:r>
          </w:p>
        </w:tc>
        <w:tc>
          <w:tcPr>
            <w:tcW w:w="1120" w:type="dxa"/>
            <w:vAlign w:val="bottom"/>
          </w:tcPr>
          <w:p>
            <w:pPr>
              <w:spacing w:after="0"/>
              <w:rPr>
                <w:sz w:val="14"/>
                <w:szCs w:val="14"/>
                <w:color w:val="auto"/>
              </w:rPr>
            </w:pPr>
          </w:p>
        </w:tc>
        <w:tc>
          <w:tcPr>
            <w:tcW w:w="36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9"/>
              </w:rPr>
              <w:t>Leases</w:t>
            </w:r>
          </w:p>
        </w:tc>
        <w:tc>
          <w:tcPr>
            <w:tcW w:w="104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300" w:type="dxa"/>
            <w:vAlign w:val="bottom"/>
          </w:tcPr>
          <w:p>
            <w:pPr>
              <w:spacing w:after="0"/>
              <w:rPr>
                <w:sz w:val="14"/>
                <w:szCs w:val="14"/>
                <w:color w:val="auto"/>
              </w:rPr>
            </w:pPr>
          </w:p>
        </w:tc>
        <w:tc>
          <w:tcPr>
            <w:tcW w:w="12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Generating</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60" w:type="dxa"/>
            <w:vAlign w:val="bottom"/>
          </w:tcPr>
          <w:p>
            <w:pPr>
              <w:ind w:left="1380"/>
              <w:spacing w:after="0"/>
              <w:rPr>
                <w:sz w:val="20"/>
                <w:szCs w:val="20"/>
                <w:color w:val="auto"/>
              </w:rPr>
            </w:pPr>
            <w:r>
              <w:rPr>
                <w:rFonts w:ascii="Courier New" w:cs="Courier New" w:eastAsia="Courier New" w:hAnsi="Courier New"/>
                <w:sz w:val="14"/>
                <w:szCs w:val="14"/>
                <w:color w:val="auto"/>
              </w:rPr>
              <w:t>Type</w:t>
            </w:r>
          </w:p>
        </w:tc>
        <w:tc>
          <w:tcPr>
            <w:tcW w:w="1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28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9"/>
              </w:rPr>
              <w:t>Income</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11,096,212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10,433,345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10,916,125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10,140,923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w:t>
            </w:r>
          </w:p>
        </w:tc>
      </w:tr>
      <w:tr>
        <w:trPr>
          <w:trHeight w:val="663"/>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SAME CENTER ECONOMIC OCCUPANCY</w:t>
            </w: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(Rolling 12 Months)</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September 30, 1997</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At June 30, 1997</w:t>
            </w:r>
          </w:p>
        </w:tc>
      </w:tr>
      <w:tr>
        <w:trPr>
          <w:trHeight w:val="166"/>
        </w:trPr>
        <w:tc>
          <w:tcPr>
            <w:tcW w:w="366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0"/>
              </w:rPr>
              <w:t>---------------------------------------</w:t>
            </w:r>
          </w:p>
        </w:tc>
        <w:tc>
          <w:tcPr>
            <w:tcW w:w="1120" w:type="dxa"/>
            <w:vAlign w:val="bottom"/>
          </w:tcPr>
          <w:p>
            <w:pPr>
              <w:spacing w:after="0"/>
              <w:rPr>
                <w:sz w:val="14"/>
                <w:szCs w:val="14"/>
                <w:color w:val="auto"/>
              </w:rPr>
            </w:pPr>
          </w:p>
        </w:tc>
        <w:tc>
          <w:tcPr>
            <w:tcW w:w="36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9"/>
              </w:rPr>
              <w:t>Leases</w:t>
            </w:r>
          </w:p>
        </w:tc>
        <w:tc>
          <w:tcPr>
            <w:tcW w:w="104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300" w:type="dxa"/>
            <w:vAlign w:val="bottom"/>
          </w:tcPr>
          <w:p>
            <w:pPr>
              <w:spacing w:after="0"/>
              <w:rPr>
                <w:sz w:val="14"/>
                <w:szCs w:val="14"/>
                <w:color w:val="auto"/>
              </w:rPr>
            </w:pPr>
          </w:p>
        </w:tc>
        <w:tc>
          <w:tcPr>
            <w:tcW w:w="12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Generating</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60" w:type="dxa"/>
            <w:vAlign w:val="bottom"/>
          </w:tcPr>
          <w:p>
            <w:pPr>
              <w:ind w:left="1380"/>
              <w:spacing w:after="0"/>
              <w:rPr>
                <w:sz w:val="20"/>
                <w:szCs w:val="20"/>
                <w:color w:val="auto"/>
              </w:rPr>
            </w:pPr>
            <w:r>
              <w:rPr>
                <w:rFonts w:ascii="Courier New" w:cs="Courier New" w:eastAsia="Courier New" w:hAnsi="Courier New"/>
                <w:sz w:val="14"/>
                <w:szCs w:val="14"/>
                <w:color w:val="auto"/>
              </w:rPr>
              <w:t>Type</w:t>
            </w:r>
          </w:p>
        </w:tc>
        <w:tc>
          <w:tcPr>
            <w:tcW w:w="1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28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9"/>
              </w:rPr>
              <w:t>Income</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11,096,212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10,433,345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11,150,587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10,269,022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w:t>
            </w:r>
          </w:p>
        </w:tc>
      </w:tr>
      <w:tr>
        <w:trPr>
          <w:trHeight w:val="828"/>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SAME CENTER ECONOMIC OCCUPANCY</w:t>
            </w: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(Rolling 12 Months)</w:t>
            </w:r>
          </w:p>
        </w:tc>
        <w:tc>
          <w:tcPr>
            <w:tcW w:w="2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At March 31, 1997</w:t>
            </w:r>
          </w:p>
        </w:tc>
        <w:tc>
          <w:tcPr>
            <w:tcW w:w="112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December 31, 1996</w:t>
            </w:r>
          </w:p>
        </w:tc>
        <w:tc>
          <w:tcPr>
            <w:tcW w:w="104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0"/>
              </w:rPr>
              <w:t>---------------------------------------</w:t>
            </w:r>
          </w:p>
        </w:tc>
        <w:tc>
          <w:tcPr>
            <w:tcW w:w="1120" w:type="dxa"/>
            <w:vAlign w:val="bottom"/>
          </w:tcPr>
          <w:p>
            <w:pPr>
              <w:spacing w:after="0"/>
              <w:rPr>
                <w:sz w:val="14"/>
                <w:szCs w:val="14"/>
                <w:color w:val="auto"/>
              </w:rPr>
            </w:pPr>
          </w:p>
        </w:tc>
        <w:tc>
          <w:tcPr>
            <w:tcW w:w="36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9"/>
              </w:rPr>
              <w:t>Leases</w:t>
            </w:r>
          </w:p>
        </w:tc>
        <w:tc>
          <w:tcPr>
            <w:tcW w:w="104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300" w:type="dxa"/>
            <w:vAlign w:val="bottom"/>
          </w:tcPr>
          <w:p>
            <w:pPr>
              <w:spacing w:after="0"/>
              <w:rPr>
                <w:sz w:val="14"/>
                <w:szCs w:val="14"/>
                <w:color w:val="auto"/>
              </w:rPr>
            </w:pPr>
          </w:p>
        </w:tc>
        <w:tc>
          <w:tcPr>
            <w:tcW w:w="12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Generating</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660" w:type="dxa"/>
            <w:vAlign w:val="bottom"/>
          </w:tcPr>
          <w:p>
            <w:pPr>
              <w:ind w:left="1380"/>
              <w:spacing w:after="0"/>
              <w:rPr>
                <w:sz w:val="20"/>
                <w:szCs w:val="20"/>
                <w:color w:val="auto"/>
              </w:rPr>
            </w:pPr>
            <w:r>
              <w:rPr>
                <w:rFonts w:ascii="Courier New" w:cs="Courier New" w:eastAsia="Courier New" w:hAnsi="Courier New"/>
                <w:sz w:val="14"/>
                <w:szCs w:val="14"/>
                <w:color w:val="auto"/>
              </w:rPr>
              <w:t>Type</w:t>
            </w:r>
          </w:p>
        </w:tc>
        <w:tc>
          <w:tcPr>
            <w:tcW w:w="1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28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9"/>
              </w:rPr>
              <w:t>Income</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11,425,601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10,518,375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11,247,168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10,378,343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w:t>
            </w:r>
          </w:p>
        </w:tc>
      </w:tr>
    </w:tbl>
    <w:p>
      <w:pPr>
        <w:sectPr>
          <w:pgSz w:w="11900" w:h="16838" w:orient="portrait"/>
          <w:cols w:equalWidth="0" w:num="1">
            <w:col w:w="11380"/>
          </w:cols>
          <w:pgMar w:left="220" w:top="616" w:right="29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Square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Region</w:t>
            </w:r>
          </w:p>
        </w:tc>
        <w:tc>
          <w:tcPr>
            <w:tcW w:w="23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Footage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09/30/97</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5,584,038</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5,167,187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770,484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634,076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701,013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Square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Region</w:t>
            </w:r>
          </w:p>
        </w:tc>
        <w:tc>
          <w:tcPr>
            <w:tcW w:w="2360" w:type="dxa"/>
            <w:vAlign w:val="bottom"/>
          </w:tcPr>
          <w:p>
            <w:pPr>
              <w:ind w:left="1240"/>
              <w:spacing w:after="0"/>
              <w:rPr>
                <w:sz w:val="20"/>
                <w:szCs w:val="20"/>
                <w:color w:val="auto"/>
              </w:rPr>
            </w:pPr>
            <w:r>
              <w:rPr>
                <w:rFonts w:ascii="Courier New" w:cs="Courier New" w:eastAsia="Courier New" w:hAnsi="Courier New"/>
                <w:sz w:val="14"/>
                <w:szCs w:val="14"/>
                <w:color w:val="auto"/>
              </w:rPr>
              <w:t>Footage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09/30/97</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360" w:type="dxa"/>
            <w:vAlign w:val="bottom"/>
          </w:tcPr>
          <w:p>
            <w:pPr>
              <w:ind w:left="12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5,584,038</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Anchor</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3,421,593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Small Shops</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2,162,445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5,167,187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Anchor</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2,559,418</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Small Shops</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2,607,769</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770,484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Anchor</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434,157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Small Shops</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336,327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634,076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Anchor</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302,275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Small Shops</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331,801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701,013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85%</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Anchor</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152,944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Small Shops</w:t>
            </w:r>
          </w:p>
        </w:tc>
        <w:tc>
          <w:tcPr>
            <w:tcW w:w="2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548,069</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w:t>
            </w:r>
          </w:p>
        </w:tc>
      </w:tr>
    </w:tbl>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Leasing Activity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COMPARABLE</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Weighted</w:t>
            </w:r>
          </w:p>
        </w:tc>
        <w:tc>
          <w:tcPr>
            <w:tcW w:w="1860" w:type="dxa"/>
            <w:vAlign w:val="bottom"/>
            <w:gridSpan w:val="3"/>
          </w:tcPr>
          <w:p>
            <w:pPr>
              <w:jc w:val="right"/>
              <w:ind w:right="588"/>
              <w:spacing w:after="0"/>
              <w:rPr>
                <w:sz w:val="20"/>
                <w:szCs w:val="20"/>
                <w:color w:val="auto"/>
              </w:rPr>
            </w:pPr>
            <w:r>
              <w:rPr>
                <w:rFonts w:ascii="Courier New" w:cs="Courier New" w:eastAsia="Courier New" w:hAnsi="Courier New"/>
                <w:sz w:val="14"/>
                <w:szCs w:val="14"/>
                <w:color w:val="auto"/>
              </w:rPr>
              <w:t>Average Prior</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Number of</w:t>
            </w:r>
          </w:p>
        </w:tc>
        <w:tc>
          <w:tcPr>
            <w:tcW w:w="180" w:type="dxa"/>
            <w:vAlign w:val="bottom"/>
          </w:tcPr>
          <w:p>
            <w:pPr>
              <w:spacing w:after="0"/>
              <w:rPr>
                <w:sz w:val="14"/>
                <w:szCs w:val="14"/>
                <w:color w:val="auto"/>
              </w:rPr>
            </w:pPr>
          </w:p>
        </w:tc>
        <w:tc>
          <w:tcPr>
            <w:tcW w:w="15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Square</w:t>
            </w:r>
          </w:p>
        </w:tc>
        <w:tc>
          <w:tcPr>
            <w:tcW w:w="16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Average Lease</w:t>
            </w:r>
          </w:p>
        </w:tc>
        <w:tc>
          <w:tcPr>
            <w:tcW w:w="18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Rent Per</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Rolling 12 Months</w:t>
            </w:r>
          </w:p>
        </w:tc>
        <w:tc>
          <w:tcPr>
            <w:tcW w:w="1320" w:type="dxa"/>
            <w:vAlign w:val="bottom"/>
          </w:tcPr>
          <w:p>
            <w:pPr>
              <w:spacing w:after="0"/>
              <w:rPr>
                <w:sz w:val="14"/>
                <w:szCs w:val="14"/>
                <w:color w:val="auto"/>
              </w:rPr>
            </w:pPr>
          </w:p>
        </w:tc>
        <w:tc>
          <w:tcPr>
            <w:tcW w:w="16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Leases Signed</w:t>
            </w:r>
          </w:p>
        </w:tc>
        <w:tc>
          <w:tcPr>
            <w:tcW w:w="180" w:type="dxa"/>
            <w:vAlign w:val="bottom"/>
          </w:tcPr>
          <w:p>
            <w:pPr>
              <w:spacing w:after="0"/>
              <w:rPr>
                <w:sz w:val="14"/>
                <w:szCs w:val="14"/>
                <w:color w:val="auto"/>
              </w:rPr>
            </w:pPr>
          </w:p>
        </w:tc>
        <w:tc>
          <w:tcPr>
            <w:tcW w:w="15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Feet</w:t>
            </w:r>
          </w:p>
        </w:tc>
        <w:tc>
          <w:tcPr>
            <w:tcW w:w="16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Term (Years)</w:t>
            </w:r>
          </w:p>
        </w:tc>
        <w:tc>
          <w:tcPr>
            <w:tcW w:w="180" w:type="dxa"/>
            <w:vAlign w:val="bottom"/>
          </w:tcPr>
          <w:p>
            <w:pPr>
              <w:spacing w:after="0"/>
              <w:rPr>
                <w:sz w:val="14"/>
                <w:szCs w:val="14"/>
                <w:color w:val="auto"/>
              </w:rPr>
            </w:pPr>
          </w:p>
        </w:tc>
        <w:tc>
          <w:tcPr>
            <w:tcW w:w="168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w w:val="99"/>
              </w:rPr>
              <w:t>Square Foot</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9"/>
              </w:rPr>
              <w:t>---------------</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3rd Quarter 1997</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w:t>
            </w:r>
          </w:p>
        </w:tc>
        <w:tc>
          <w:tcPr>
            <w:tcW w:w="180" w:type="dxa"/>
            <w:vAlign w:val="bottom"/>
          </w:tcPr>
          <w:p>
            <w:pPr>
              <w:spacing w:after="0"/>
              <w:rPr>
                <w:sz w:val="24"/>
                <w:szCs w:val="24"/>
                <w:color w:val="auto"/>
              </w:rPr>
            </w:pP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270,550</w:t>
            </w:r>
          </w:p>
        </w:tc>
        <w:tc>
          <w:tcPr>
            <w:tcW w:w="440" w:type="dxa"/>
            <w:vAlign w:val="bottom"/>
          </w:tcPr>
          <w:p>
            <w:pPr>
              <w:spacing w:after="0"/>
              <w:rPr>
                <w:sz w:val="24"/>
                <w:szCs w:val="2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240" w:type="dxa"/>
            <w:vAlign w:val="bottom"/>
          </w:tcPr>
          <w:p>
            <w:pPr>
              <w:spacing w:after="0"/>
              <w:rPr>
                <w:sz w:val="24"/>
                <w:szCs w:val="24"/>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14.21</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2nd Quarter 1997</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w:t>
            </w:r>
          </w:p>
        </w:tc>
        <w:tc>
          <w:tcPr>
            <w:tcW w:w="180" w:type="dxa"/>
            <w:vAlign w:val="bottom"/>
          </w:tcPr>
          <w:p>
            <w:pPr>
              <w:spacing w:after="0"/>
              <w:rPr>
                <w:sz w:val="14"/>
                <w:szCs w:val="14"/>
                <w:color w:val="auto"/>
              </w:rPr>
            </w:pP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357,162</w:t>
            </w:r>
          </w:p>
        </w:tc>
        <w:tc>
          <w:tcPr>
            <w:tcW w:w="44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24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13.32</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1st Quarter 1997</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w:t>
            </w:r>
          </w:p>
        </w:tc>
        <w:tc>
          <w:tcPr>
            <w:tcW w:w="180" w:type="dxa"/>
            <w:vAlign w:val="bottom"/>
          </w:tcPr>
          <w:p>
            <w:pPr>
              <w:spacing w:after="0"/>
              <w:rPr>
                <w:sz w:val="14"/>
                <w:szCs w:val="14"/>
                <w:color w:val="auto"/>
              </w:rPr>
            </w:pP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220,452</w:t>
            </w:r>
          </w:p>
        </w:tc>
        <w:tc>
          <w:tcPr>
            <w:tcW w:w="44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24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11.09</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4th Quarter 1996</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w:t>
            </w:r>
          </w:p>
        </w:tc>
        <w:tc>
          <w:tcPr>
            <w:tcW w:w="180" w:type="dxa"/>
            <w:vAlign w:val="bottom"/>
          </w:tcPr>
          <w:p>
            <w:pPr>
              <w:spacing w:after="0"/>
              <w:rPr>
                <w:sz w:val="14"/>
                <w:szCs w:val="14"/>
                <w:color w:val="auto"/>
              </w:rPr>
            </w:pP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469,455</w:t>
            </w:r>
          </w:p>
        </w:tc>
        <w:tc>
          <w:tcPr>
            <w:tcW w:w="44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24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10.88</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7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TOTAL</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285</w:t>
            </w:r>
          </w:p>
        </w:tc>
        <w:tc>
          <w:tcPr>
            <w:tcW w:w="180" w:type="dxa"/>
            <w:vAlign w:val="bottom"/>
          </w:tcPr>
          <w:p>
            <w:pPr>
              <w:spacing w:after="0"/>
              <w:rPr>
                <w:sz w:val="14"/>
                <w:szCs w:val="14"/>
                <w:color w:val="auto"/>
              </w:rPr>
            </w:pPr>
          </w:p>
        </w:tc>
        <w:tc>
          <w:tcPr>
            <w:tcW w:w="1500" w:type="dxa"/>
            <w:vAlign w:val="bottom"/>
          </w:tcPr>
          <w:p>
            <w:pPr>
              <w:ind w:left="340"/>
              <w:spacing w:after="0"/>
              <w:rPr>
                <w:sz w:val="20"/>
                <w:szCs w:val="20"/>
                <w:color w:val="auto"/>
              </w:rPr>
            </w:pPr>
            <w:r>
              <w:rPr>
                <w:rFonts w:ascii="Courier New" w:cs="Courier New" w:eastAsia="Courier New" w:hAnsi="Courier New"/>
                <w:sz w:val="14"/>
                <w:szCs w:val="14"/>
                <w:color w:val="auto"/>
              </w:rPr>
              <w:t>1,317,619</w:t>
            </w:r>
          </w:p>
        </w:tc>
        <w:tc>
          <w:tcPr>
            <w:tcW w:w="44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24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12.26</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63"/>
        </w:trPr>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Estimated</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1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Average Current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Percentage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848"/>
              <w:spacing w:after="0"/>
              <w:rPr>
                <w:sz w:val="20"/>
                <w:szCs w:val="20"/>
                <w:color w:val="auto"/>
              </w:rPr>
            </w:pPr>
            <w:r>
              <w:rPr>
                <w:rFonts w:ascii="Courier New" w:cs="Courier New" w:eastAsia="Courier New" w:hAnsi="Courier New"/>
                <w:sz w:val="14"/>
                <w:szCs w:val="14"/>
                <w:color w:val="auto"/>
                <w:w w:val="99"/>
              </w:rPr>
              <w:t>Tenant</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Rent Per</w:t>
            </w:r>
          </w:p>
        </w:tc>
        <w:tc>
          <w:tcPr>
            <w:tcW w:w="18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Annualized</w:t>
            </w:r>
          </w:p>
        </w:tc>
        <w:tc>
          <w:tcPr>
            <w:tcW w:w="16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Increase</w:t>
            </w:r>
          </w:p>
        </w:tc>
        <w:tc>
          <w:tcPr>
            <w:tcW w:w="180" w:type="dxa"/>
            <w:vAlign w:val="bottom"/>
          </w:tcPr>
          <w:p>
            <w:pPr>
              <w:spacing w:after="0"/>
              <w:rPr>
                <w:sz w:val="14"/>
                <w:szCs w:val="14"/>
                <w:color w:val="auto"/>
              </w:rPr>
            </w:pPr>
          </w:p>
        </w:tc>
        <w:tc>
          <w:tcPr>
            <w:tcW w:w="168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Improvement</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Rolling 12 Months</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Square Foot</w:t>
            </w:r>
          </w:p>
        </w:tc>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Increase in Rent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over Prior Rent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ind w:left="100"/>
              <w:spacing w:after="0"/>
              <w:rPr>
                <w:sz w:val="20"/>
                <w:szCs w:val="20"/>
                <w:color w:val="auto"/>
              </w:rPr>
            </w:pPr>
            <w:r>
              <w:rPr>
                <w:rFonts w:ascii="Courier New" w:cs="Courier New" w:eastAsia="Courier New" w:hAnsi="Courier New"/>
                <w:sz w:val="14"/>
                <w:szCs w:val="14"/>
                <w:color w:val="auto"/>
              </w:rPr>
              <w:t>Costs</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3rd Quarter 1997</w:t>
            </w:r>
          </w:p>
        </w:tc>
        <w:tc>
          <w:tcPr>
            <w:tcW w:w="13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16.12</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518,342</w:t>
            </w:r>
          </w:p>
        </w:tc>
        <w:tc>
          <w:tcPr>
            <w:tcW w:w="440" w:type="dxa"/>
            <w:vAlign w:val="bottom"/>
          </w:tcPr>
          <w:p>
            <w:pPr>
              <w:spacing w:after="0"/>
              <w:rPr>
                <w:sz w:val="24"/>
                <w:szCs w:val="2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24"/>
                <w:szCs w:val="2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1,269,000</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2nd Quarter 1997</w:t>
            </w:r>
          </w:p>
        </w:tc>
        <w:tc>
          <w:tcPr>
            <w:tcW w:w="132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15.11</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637,973</w:t>
            </w:r>
          </w:p>
        </w:tc>
        <w:tc>
          <w:tcPr>
            <w:tcW w:w="44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2,847,000</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1st Quarter 1997</w:t>
            </w:r>
          </w:p>
        </w:tc>
        <w:tc>
          <w:tcPr>
            <w:tcW w:w="132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14.88</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836,236</w:t>
            </w:r>
          </w:p>
        </w:tc>
        <w:tc>
          <w:tcPr>
            <w:tcW w:w="44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3,162,000</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4th Quarter 1996</w:t>
            </w:r>
          </w:p>
        </w:tc>
        <w:tc>
          <w:tcPr>
            <w:tcW w:w="132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15.94</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2,376,264</w:t>
            </w:r>
          </w:p>
        </w:tc>
        <w:tc>
          <w:tcPr>
            <w:tcW w:w="44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6,988,000</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7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TOTAL</w:t>
            </w:r>
          </w:p>
        </w:tc>
        <w:tc>
          <w:tcPr>
            <w:tcW w:w="132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15.58</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4,368,815</w:t>
            </w:r>
          </w:p>
        </w:tc>
        <w:tc>
          <w:tcPr>
            <w:tcW w:w="44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14,266,000</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828"/>
        </w:trPr>
        <w:tc>
          <w:tcPr>
            <w:tcW w:w="178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Weighted</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1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Average</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ind w:left="100"/>
              <w:spacing w:after="0"/>
              <w:rPr>
                <w:sz w:val="20"/>
                <w:szCs w:val="20"/>
                <w:color w:val="auto"/>
              </w:rPr>
            </w:pPr>
            <w:r>
              <w:rPr>
                <w:rFonts w:ascii="Courier New" w:cs="Courier New" w:eastAsia="Courier New" w:hAnsi="Courier New"/>
                <w:sz w:val="14"/>
                <w:szCs w:val="14"/>
                <w:color w:val="auto"/>
              </w:rPr>
              <w:t>Annualized</w:t>
            </w:r>
          </w:p>
        </w:tc>
        <w:tc>
          <w:tcPr>
            <w:tcW w:w="120" w:type="dxa"/>
            <w:vAlign w:val="bottom"/>
          </w:tcPr>
          <w:p>
            <w:pPr>
              <w:spacing w:after="0"/>
              <w:rPr>
                <w:sz w:val="14"/>
                <w:szCs w:val="14"/>
                <w:color w:val="auto"/>
              </w:rPr>
            </w:pP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780" w:type="dxa"/>
            <w:vAlign w:val="bottom"/>
          </w:tcPr>
          <w:p>
            <w:pPr>
              <w:spacing w:after="0"/>
              <w:rPr>
                <w:sz w:val="14"/>
                <w:szCs w:val="14"/>
                <w:color w:val="auto"/>
              </w:rPr>
            </w:pP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Number of</w:t>
            </w:r>
          </w:p>
        </w:tc>
        <w:tc>
          <w:tcPr>
            <w:tcW w:w="18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Square</w:t>
            </w:r>
          </w:p>
        </w:tc>
        <w:tc>
          <w:tcPr>
            <w:tcW w:w="18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Lease</w:t>
            </w:r>
          </w:p>
        </w:tc>
        <w:tc>
          <w:tcPr>
            <w:tcW w:w="178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Average Rent Per</w:t>
            </w:r>
          </w:p>
        </w:tc>
        <w:tc>
          <w:tcPr>
            <w:tcW w:w="240" w:type="dxa"/>
            <w:vAlign w:val="bottom"/>
          </w:tcPr>
          <w:p>
            <w:pPr>
              <w:spacing w:after="0"/>
              <w:rPr>
                <w:sz w:val="14"/>
                <w:szCs w:val="14"/>
                <w:color w:val="auto"/>
              </w:rPr>
            </w:pPr>
          </w:p>
        </w:tc>
        <w:tc>
          <w:tcPr>
            <w:tcW w:w="14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Current</w:t>
            </w:r>
          </w:p>
        </w:tc>
        <w:tc>
          <w:tcPr>
            <w:tcW w:w="120" w:type="dxa"/>
            <w:vAlign w:val="bottom"/>
          </w:tcPr>
          <w:p>
            <w:pPr>
              <w:spacing w:after="0"/>
              <w:rPr>
                <w:sz w:val="14"/>
                <w:szCs w:val="14"/>
                <w:color w:val="auto"/>
              </w:rPr>
            </w:pPr>
          </w:p>
        </w:tc>
        <w:tc>
          <w:tcPr>
            <w:tcW w:w="13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Improvement</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Rolling 12 Months</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Leases Signed</w:t>
            </w:r>
          </w:p>
        </w:tc>
        <w:tc>
          <w:tcPr>
            <w:tcW w:w="18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Feet</w:t>
            </w:r>
          </w:p>
        </w:tc>
        <w:tc>
          <w:tcPr>
            <w:tcW w:w="180" w:type="dxa"/>
            <w:vAlign w:val="bottom"/>
          </w:tcPr>
          <w:p>
            <w:pPr>
              <w:spacing w:after="0"/>
              <w:rPr>
                <w:sz w:val="14"/>
                <w:szCs w:val="14"/>
                <w:color w:val="auto"/>
              </w:rPr>
            </w:pP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Term (Years)</w:t>
            </w:r>
          </w:p>
        </w:tc>
        <w:tc>
          <w:tcPr>
            <w:tcW w:w="44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Square Foot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Rent</w:t>
            </w:r>
          </w:p>
        </w:tc>
        <w:tc>
          <w:tcPr>
            <w:tcW w:w="120" w:type="dxa"/>
            <w:vAlign w:val="bottom"/>
          </w:tcPr>
          <w:p>
            <w:pPr>
              <w:spacing w:after="0"/>
              <w:rPr>
                <w:sz w:val="14"/>
                <w:szCs w:val="14"/>
                <w:color w:val="auto"/>
              </w:rPr>
            </w:pPr>
          </w:p>
        </w:tc>
        <w:tc>
          <w:tcPr>
            <w:tcW w:w="138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9"/>
              </w:rPr>
              <w:t>Costs</w:t>
            </w:r>
          </w:p>
        </w:tc>
      </w:tr>
      <w:tr>
        <w:trPr>
          <w:trHeight w:val="166"/>
        </w:trPr>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4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3rd Quarter 1997</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99,537</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18.60</w:t>
            </w:r>
          </w:p>
        </w:tc>
        <w:tc>
          <w:tcPr>
            <w:tcW w:w="180" w:type="dxa"/>
            <w:vAlign w:val="bottom"/>
          </w:tcPr>
          <w:p>
            <w:pPr>
              <w:spacing w:after="0"/>
              <w:rPr>
                <w:sz w:val="24"/>
                <w:szCs w:val="24"/>
                <w:color w:val="auto"/>
              </w:rPr>
            </w:pP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1,851,254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133,000</w:t>
            </w:r>
          </w:p>
        </w:tc>
      </w:tr>
      <w:tr>
        <w:trPr>
          <w:trHeight w:val="166"/>
        </w:trPr>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2nd Quarter 1997</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81,229</w:t>
            </w:r>
          </w:p>
        </w:tc>
        <w:tc>
          <w:tcPr>
            <w:tcW w:w="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11.75</w:t>
            </w:r>
          </w:p>
        </w:tc>
        <w:tc>
          <w:tcPr>
            <w:tcW w:w="18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954,526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348,000</w:t>
            </w:r>
          </w:p>
        </w:tc>
      </w:tr>
      <w:tr>
        <w:trPr>
          <w:trHeight w:val="166"/>
        </w:trPr>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1st Quarter 1997</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29,178</w:t>
            </w:r>
          </w:p>
        </w:tc>
        <w:tc>
          <w:tcPr>
            <w:tcW w:w="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19.86</w:t>
            </w:r>
          </w:p>
        </w:tc>
        <w:tc>
          <w:tcPr>
            <w:tcW w:w="18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579,585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70,000</w:t>
            </w:r>
          </w:p>
        </w:tc>
      </w:tr>
      <w:tr>
        <w:trPr>
          <w:trHeight w:val="166"/>
        </w:trPr>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4th Quarter 1996</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170,449</w:t>
            </w:r>
          </w:p>
        </w:tc>
        <w:tc>
          <w:tcPr>
            <w:tcW w:w="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18.3</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12.85</w:t>
            </w:r>
          </w:p>
        </w:tc>
        <w:tc>
          <w:tcPr>
            <w:tcW w:w="18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2,189,679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995,000</w:t>
            </w:r>
          </w:p>
        </w:tc>
      </w:tr>
      <w:tr>
        <w:trPr>
          <w:trHeight w:val="166"/>
        </w:trPr>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TOTAL</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380,393</w:t>
            </w:r>
          </w:p>
        </w:tc>
        <w:tc>
          <w:tcPr>
            <w:tcW w:w="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14.66</w:t>
            </w:r>
          </w:p>
        </w:tc>
        <w:tc>
          <w:tcPr>
            <w:tcW w:w="18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5,575,044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1,546,000</w:t>
            </w:r>
          </w:p>
        </w:tc>
      </w:tr>
    </w:tbl>
    <w:p>
      <w:pPr>
        <w:sectPr>
          <w:pgSz w:w="11900" w:h="16838" w:orient="portrait"/>
          <w:cols w:equalWidth="0" w:num="1">
            <w:col w:w="11460"/>
          </w:cols>
          <w:pgMar w:left="220" w:top="616" w:right="219" w:bottom="1440" w:gutter="0" w:footer="0" w:header="0"/>
        </w:sectPr>
      </w:pPr>
    </w:p>
    <w:bookmarkStart w:id="9" w:name="page10"/>
    <w:bookmarkEnd w:id="9"/>
    <w:p>
      <w:pPr>
        <w:ind w:left="4840"/>
        <w:spacing w:after="0"/>
        <w:rPr>
          <w:sz w:val="20"/>
          <w:szCs w:val="20"/>
          <w:color w:val="auto"/>
        </w:rPr>
      </w:pPr>
      <w:r>
        <w:rPr>
          <w:rFonts w:ascii="Courier New" w:cs="Courier New" w:eastAsia="Courier New" w:hAnsi="Courier New"/>
          <w:sz w:val="14"/>
          <w:szCs w:val="14"/>
          <w:color w:val="auto"/>
        </w:rPr>
        <w:t>Kathy Klein</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Corporate Communications</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(301) 998-8211</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THIRD QUARTER OPERATING RESULTS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Rockville, Maryland</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Federal Realty Investment Trust (NYSE:FRT) today reported funds from operations (FFO) of $20.0 million or $.51 per share, for the quarter ended September 30, 1997, compared to $17.2 million or $.50 per share for the same period last year. On a year-to-date basis, the company reported FFO of $58.9 million or $1.52 per share for the nine months ended September 30, 1997, a per share increase of 5% over FFO of $48.0 million or $1.45 per share for the same period in the prior year.</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 comparison of property operations for the third quarter of 1997 versus the third quarter of 1996 shows the following:</w:t>
      </w:r>
    </w:p>
    <w:p>
      <w:pPr>
        <w:spacing w:after="0" w:line="160" w:lineRule="exact"/>
        <w:rPr>
          <w:sz w:val="20"/>
          <w:szCs w:val="20"/>
          <w:color w:val="auto"/>
        </w:rPr>
      </w:pPr>
    </w:p>
    <w:p>
      <w:pPr>
        <w:ind w:left="440" w:right="3339" w:hanging="346"/>
        <w:spacing w:after="0" w:line="252" w:lineRule="auto"/>
        <w:tabs>
          <w:tab w:leader="none" w:pos="526"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13% to $46.1 million in 1997 from $40.9 million in 1996. When adjusted to exclude properties acquired and sold during 1996 and 1997, rental income increased 3% to $40.9 million in 1997 from $39.7 million in 1996.</w:t>
      </w:r>
    </w:p>
    <w:p>
      <w:pPr>
        <w:spacing w:after="0" w:line="162" w:lineRule="exact"/>
        <w:rPr>
          <w:sz w:val="20"/>
          <w:szCs w:val="20"/>
          <w:color w:val="auto"/>
        </w:rPr>
      </w:pPr>
    </w:p>
    <w:p>
      <w:pPr>
        <w:ind w:left="440" w:right="3339" w:hanging="346"/>
        <w:spacing w:after="0" w:line="251" w:lineRule="auto"/>
        <w:tabs>
          <w:tab w:leader="none" w:pos="52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third quarter of 1997, the Trust signed leases for a total 370,000 square feet. On a same space basis, the Trust re-leased 271,000 square feet at an average increase in rent per square foot of 13%. The weighted average rent on these leases was $16.12 per square foot compared to the previous average rent of $14.21 per square foot for the same spaces.</w:t>
      </w:r>
    </w:p>
    <w:p>
      <w:pPr>
        <w:sectPr>
          <w:pgSz w:w="11900" w:h="16838" w:orient="portrait"/>
          <w:cols w:equalWidth="0" w:num="1">
            <w:col w:w="10239"/>
          </w:cols>
          <w:pgMar w:left="220" w:top="616" w:right="1440" w:bottom="1440" w:gutter="0" w:footer="0" w:header="0"/>
        </w:sectPr>
      </w:pPr>
    </w:p>
    <w:bookmarkStart w:id="10" w:name="page11"/>
    <w:bookmarkEnd w:id="10"/>
    <w:p>
      <w:pPr>
        <w:ind w:left="440" w:right="3339" w:hanging="346"/>
        <w:spacing w:after="0" w:line="252" w:lineRule="auto"/>
        <w:tabs>
          <w:tab w:leader="none" w:pos="526"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Same property occupancy stood at 95% at both September 30, 1997 and 1996. At September 30, 1997, the Trust's overall portfolio was 95% leased compared to 93% a year ago.</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Commenting on the quarter, Steven J. Guttman, President and Chief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stated, "We are pleased with our strong results year-to-date. Federal's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FFO performance through the first nine months of 1997 reflects the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strength of the retail fundamentals at work in our core markets. Demand for our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space remains strong and is fueling rental income growth and improved</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occupancies.</w:t>
        <w:tab/>
        <w:t>In addition, we are pleased with our aggressive pace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Year-to-date our acquisition activity now totals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$146 million and is on pace for roughly $200 million in total closings by year</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end.</w:t>
        <w:tab/>
        <w:t>We are also taking advantage of the strong real estate markets to dispose</w:t>
      </w:r>
    </w:p>
    <w:p>
      <w:pPr>
        <w:spacing w:after="0" w:line="7"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4"/>
          <w:szCs w:val="14"/>
          <w:color w:val="auto"/>
        </w:rPr>
        <w:t>of non-core properties.</w:t>
      </w:r>
      <w:r>
        <w:rPr>
          <w:sz w:val="20"/>
          <w:szCs w:val="20"/>
          <w:color w:val="auto"/>
        </w:rPr>
        <w:tab/>
      </w:r>
      <w:r>
        <w:rPr>
          <w:rFonts w:ascii="Courier New" w:cs="Courier New" w:eastAsia="Courier New" w:hAnsi="Courier New"/>
          <w:sz w:val="14"/>
          <w:szCs w:val="14"/>
          <w:color w:val="auto"/>
        </w:rPr>
        <w:t>So far in 1997, the Trust has sold three properties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generating proceeds of approximately $22 million."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retail properties. The Trust's real estate portfolio contains 96 retail properties, consisting of neighborhood and community shopping centers and main street retail properties, located in strategic metropolitan markets across the United States. These markets include Boston, New York, Philadelphia, Washington, D.C., Chicago, Portland, San Francisco, Los Angeles, San Jose and San Diego.</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30 consecutive years. Shares of the Trust are traded on the New York Stock Exchange under the symbol: FRT.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1" w:name="page12"/>
    <w:bookmarkEnd w:id="11"/>
    <w:p>
      <w:pPr>
        <w:ind w:left="25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gridSpan w:val="5"/>
          </w:tcPr>
          <w:p>
            <w:pPr>
              <w:jc w:val="right"/>
              <w:ind w:right="588"/>
              <w:spacing w:after="0"/>
              <w:rPr>
                <w:sz w:val="20"/>
                <w:szCs w:val="20"/>
                <w:color w:val="auto"/>
              </w:rPr>
            </w:pPr>
            <w:r>
              <w:rPr>
                <w:rFonts w:ascii="Courier New" w:cs="Courier New" w:eastAsia="Courier New" w:hAnsi="Courier New"/>
                <w:sz w:val="14"/>
                <w:szCs w:val="14"/>
                <w:color w:val="auto"/>
              </w:rPr>
              <w:t>(in thousands, except per share data)</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497"/>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3"/>
          </w:tcPr>
          <w:p>
            <w:pPr>
              <w:jc w:val="right"/>
              <w:ind w:right="408"/>
              <w:spacing w:after="0"/>
              <w:rPr>
                <w:sz w:val="20"/>
                <w:szCs w:val="20"/>
                <w:color w:val="auto"/>
              </w:rPr>
            </w:pPr>
            <w:r>
              <w:rPr>
                <w:rFonts w:ascii="Courier New" w:cs="Courier New" w:eastAsia="Courier New" w:hAnsi="Courier New"/>
                <w:sz w:val="14"/>
                <w:szCs w:val="14"/>
                <w:color w:val="auto"/>
              </w:rPr>
              <w:t>Three Months Ended</w:t>
            </w:r>
          </w:p>
        </w:tc>
        <w:tc>
          <w:tcPr>
            <w:tcW w:w="340" w:type="dxa"/>
            <w:vAlign w:val="bottom"/>
          </w:tcPr>
          <w:p>
            <w:pPr>
              <w:spacing w:after="0"/>
              <w:rPr>
                <w:sz w:val="24"/>
                <w:szCs w:val="24"/>
                <w:color w:val="auto"/>
              </w:rPr>
            </w:pPr>
          </w:p>
        </w:tc>
        <w:tc>
          <w:tcPr>
            <w:tcW w:w="210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September 30,</w:t>
            </w:r>
          </w:p>
        </w:tc>
        <w:tc>
          <w:tcPr>
            <w:tcW w:w="340" w:type="dxa"/>
            <w:vAlign w:val="bottom"/>
          </w:tcPr>
          <w:p>
            <w:pPr>
              <w:spacing w:after="0"/>
              <w:rPr>
                <w:sz w:val="14"/>
                <w:szCs w:val="14"/>
                <w:color w:val="auto"/>
              </w:rPr>
            </w:pPr>
          </w:p>
        </w:tc>
        <w:tc>
          <w:tcPr>
            <w:tcW w:w="210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20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14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34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46,109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40,895</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$ 137,090</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$ 121,555</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1,712</w:t>
            </w:r>
          </w:p>
        </w:tc>
        <w:tc>
          <w:tcPr>
            <w:tcW w:w="1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1,229</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4,660</w:t>
            </w:r>
          </w:p>
        </w:tc>
        <w:tc>
          <w:tcPr>
            <w:tcW w:w="3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3,148</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Other income</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1,992</w:t>
            </w:r>
          </w:p>
        </w:tc>
        <w:tc>
          <w:tcPr>
            <w:tcW w:w="1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2,213</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7,512</w:t>
            </w:r>
          </w:p>
        </w:tc>
        <w:tc>
          <w:tcPr>
            <w:tcW w:w="3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6,976</w:t>
            </w:r>
          </w:p>
        </w:tc>
      </w:tr>
      <w:tr>
        <w:trPr>
          <w:trHeight w:val="166"/>
        </w:trPr>
        <w:tc>
          <w:tcPr>
            <w:tcW w:w="3420" w:type="dxa"/>
            <w:vAlign w:val="bottom"/>
          </w:tcPr>
          <w:p>
            <w:pPr>
              <w:spacing w:after="0"/>
              <w:rPr>
                <w:sz w:val="14"/>
                <w:szCs w:val="14"/>
                <w:color w:val="auto"/>
              </w:rPr>
            </w:pP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49,813</w:t>
            </w:r>
          </w:p>
        </w:tc>
        <w:tc>
          <w:tcPr>
            <w:tcW w:w="1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44,337</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149,262</w:t>
            </w:r>
          </w:p>
        </w:tc>
        <w:tc>
          <w:tcPr>
            <w:tcW w:w="3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131,679</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Rental</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10,191</w:t>
            </w:r>
          </w:p>
        </w:tc>
        <w:tc>
          <w:tcPr>
            <w:tcW w:w="1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8,793</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31,196</w:t>
            </w:r>
          </w:p>
        </w:tc>
        <w:tc>
          <w:tcPr>
            <w:tcW w:w="3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30,510</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Real estate taxes</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4,936</w:t>
            </w:r>
          </w:p>
        </w:tc>
        <w:tc>
          <w:tcPr>
            <w:tcW w:w="1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4,142</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14,402</w:t>
            </w:r>
          </w:p>
        </w:tc>
        <w:tc>
          <w:tcPr>
            <w:tcW w:w="3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12,111</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11,964</w:t>
            </w:r>
          </w:p>
        </w:tc>
        <w:tc>
          <w:tcPr>
            <w:tcW w:w="1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11,271</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35,952</w:t>
            </w:r>
          </w:p>
        </w:tc>
        <w:tc>
          <w:tcPr>
            <w:tcW w:w="3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33,559</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1,968</w:t>
            </w:r>
          </w:p>
        </w:tc>
        <w:tc>
          <w:tcPr>
            <w:tcW w:w="1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2,252</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6,562</w:t>
            </w:r>
          </w:p>
        </w:tc>
        <w:tc>
          <w:tcPr>
            <w:tcW w:w="3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6,074</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10,325</w:t>
            </w:r>
          </w:p>
        </w:tc>
        <w:tc>
          <w:tcPr>
            <w:tcW w:w="1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9,449</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30,853</w:t>
            </w:r>
          </w:p>
        </w:tc>
        <w:tc>
          <w:tcPr>
            <w:tcW w:w="3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28,125</w:t>
            </w:r>
          </w:p>
        </w:tc>
      </w:tr>
      <w:tr>
        <w:trPr>
          <w:trHeight w:val="166"/>
        </w:trPr>
        <w:tc>
          <w:tcPr>
            <w:tcW w:w="3420" w:type="dxa"/>
            <w:vAlign w:val="bottom"/>
          </w:tcPr>
          <w:p>
            <w:pPr>
              <w:spacing w:after="0"/>
              <w:rPr>
                <w:sz w:val="14"/>
                <w:szCs w:val="14"/>
                <w:color w:val="auto"/>
              </w:rPr>
            </w:pP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39,384</w:t>
            </w:r>
          </w:p>
        </w:tc>
        <w:tc>
          <w:tcPr>
            <w:tcW w:w="1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35,907</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118,965</w:t>
            </w:r>
          </w:p>
        </w:tc>
        <w:tc>
          <w:tcPr>
            <w:tcW w:w="3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110,379</w:t>
            </w:r>
          </w:p>
        </w:tc>
      </w:tr>
      <w:tr>
        <w:trPr>
          <w:trHeight w:val="166"/>
        </w:trPr>
        <w:tc>
          <w:tcPr>
            <w:tcW w:w="3420" w:type="dxa"/>
            <w:vAlign w:val="bottom"/>
          </w:tcPr>
          <w:p>
            <w:pPr>
              <w:spacing w:after="0"/>
              <w:rPr>
                <w:sz w:val="14"/>
                <w:szCs w:val="14"/>
                <w:color w:val="auto"/>
              </w:rPr>
            </w:pP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INCOME BEFORE INVESTORS'</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420" w:type="dxa"/>
            <w:vAlign w:val="bottom"/>
          </w:tcPr>
          <w:p>
            <w:pPr>
              <w:ind w:left="100"/>
              <w:spacing w:after="0"/>
              <w:rPr>
                <w:sz w:val="20"/>
                <w:szCs w:val="20"/>
                <w:color w:val="auto"/>
              </w:rPr>
            </w:pPr>
            <w:r>
              <w:rPr>
                <w:rFonts w:ascii="Courier New" w:cs="Courier New" w:eastAsia="Courier New" w:hAnsi="Courier New"/>
                <w:sz w:val="14"/>
                <w:szCs w:val="14"/>
                <w:color w:val="auto"/>
              </w:rPr>
              <w:t>SHARE OF OPERATIONS AND (LOSS)/GAIN</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420" w:type="dxa"/>
            <w:vAlign w:val="bottom"/>
          </w:tcPr>
          <w:p>
            <w:pPr>
              <w:ind w:left="100"/>
              <w:spacing w:after="0"/>
              <w:rPr>
                <w:sz w:val="20"/>
                <w:szCs w:val="20"/>
                <w:color w:val="auto"/>
              </w:rPr>
            </w:pPr>
            <w:r>
              <w:rPr>
                <w:rFonts w:ascii="Courier New" w:cs="Courier New" w:eastAsia="Courier New" w:hAnsi="Courier New"/>
                <w:sz w:val="14"/>
                <w:szCs w:val="14"/>
                <w:color w:val="auto"/>
              </w:rPr>
              <w:t>ON SALE OF REAL ESTATE</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10,429</w:t>
            </w:r>
          </w:p>
        </w:tc>
        <w:tc>
          <w:tcPr>
            <w:tcW w:w="1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8,430</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30,297</w:t>
            </w:r>
          </w:p>
        </w:tc>
        <w:tc>
          <w:tcPr>
            <w:tcW w:w="3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21,300</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Investor's share of operations</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w:t>
            </w:r>
          </w:p>
        </w:tc>
        <w:tc>
          <w:tcPr>
            <w:tcW w:w="14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(307)</w:t>
            </w: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(862)</w:t>
            </w:r>
          </w:p>
        </w:tc>
        <w:tc>
          <w:tcPr>
            <w:tcW w:w="3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w:t>
            </w:r>
          </w:p>
        </w:tc>
      </w:tr>
      <w:tr>
        <w:trPr>
          <w:trHeight w:val="166"/>
        </w:trPr>
        <w:tc>
          <w:tcPr>
            <w:tcW w:w="3420" w:type="dxa"/>
            <w:vAlign w:val="bottom"/>
          </w:tcPr>
          <w:p>
            <w:pPr>
              <w:spacing w:after="0"/>
              <w:rPr>
                <w:sz w:val="14"/>
                <w:szCs w:val="14"/>
                <w:color w:val="auto"/>
              </w:rPr>
            </w:pP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INCOME BEFORE (LOSS)/GAIN ON SALE OF</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420" w:type="dxa"/>
            <w:vAlign w:val="bottom"/>
          </w:tcPr>
          <w:p>
            <w:pPr>
              <w:ind w:left="100"/>
              <w:spacing w:after="0"/>
              <w:rPr>
                <w:sz w:val="20"/>
                <w:szCs w:val="20"/>
                <w:color w:val="auto"/>
              </w:rPr>
            </w:pPr>
            <w:r>
              <w:rPr>
                <w:rFonts w:ascii="Courier New" w:cs="Courier New" w:eastAsia="Courier New" w:hAnsi="Courier New"/>
                <w:sz w:val="14"/>
                <w:szCs w:val="14"/>
                <w:color w:val="auto"/>
              </w:rPr>
              <w:t>REAL ESTATE</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10,148</w:t>
            </w:r>
          </w:p>
        </w:tc>
        <w:tc>
          <w:tcPr>
            <w:tcW w:w="1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8,123</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29,435</w:t>
            </w:r>
          </w:p>
        </w:tc>
        <w:tc>
          <w:tcPr>
            <w:tcW w:w="3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21,046</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(Loss)/gain on sale of real estate</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(659)</w:t>
            </w:r>
          </w:p>
        </w:tc>
        <w:tc>
          <w:tcPr>
            <w:tcW w:w="1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6,375</w:t>
            </w:r>
          </w:p>
        </w:tc>
        <w:tc>
          <w:tcPr>
            <w:tcW w:w="3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14"/>
                <w:szCs w:val="14"/>
                <w:color w:val="auto"/>
              </w:rPr>
            </w:pP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9,489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8,123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35,810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21,046</w:t>
            </w:r>
          </w:p>
        </w:tc>
      </w:tr>
      <w:tr>
        <w:trPr>
          <w:trHeight w:val="166"/>
        </w:trPr>
        <w:tc>
          <w:tcPr>
            <w:tcW w:w="3420" w:type="dxa"/>
            <w:vAlign w:val="bottom"/>
          </w:tcPr>
          <w:p>
            <w:pPr>
              <w:spacing w:after="0"/>
              <w:rPr>
                <w:sz w:val="14"/>
                <w:szCs w:val="14"/>
                <w:color w:val="auto"/>
              </w:rPr>
            </w:pP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0.63</w:t>
            </w:r>
          </w:p>
        </w:tc>
      </w:tr>
      <w:tr>
        <w:trPr>
          <w:trHeight w:val="166"/>
        </w:trPr>
        <w:tc>
          <w:tcPr>
            <w:tcW w:w="3420" w:type="dxa"/>
            <w:vAlign w:val="bottom"/>
          </w:tcPr>
          <w:p>
            <w:pPr>
              <w:spacing w:after="0"/>
              <w:rPr>
                <w:sz w:val="14"/>
                <w:szCs w:val="14"/>
                <w:color w:val="auto"/>
              </w:rPr>
            </w:pP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9,489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8,123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35,810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21,046</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Add:  depreciation and amortization</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420" w:type="dxa"/>
            <w:vAlign w:val="bottom"/>
          </w:tcPr>
          <w:p>
            <w:pPr>
              <w:ind w:left="700"/>
              <w:spacing w:after="0"/>
              <w:rPr>
                <w:sz w:val="20"/>
                <w:szCs w:val="20"/>
                <w:color w:val="auto"/>
              </w:rPr>
            </w:pPr>
            <w:r>
              <w:rPr>
                <w:rFonts w:ascii="Courier New" w:cs="Courier New" w:eastAsia="Courier New" w:hAnsi="Courier New"/>
                <w:sz w:val="14"/>
                <w:szCs w:val="14"/>
                <w:color w:val="auto"/>
              </w:rPr>
              <w:t>of real estate assets</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9,316</w:t>
            </w:r>
          </w:p>
        </w:tc>
        <w:tc>
          <w:tcPr>
            <w:tcW w:w="1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8,459</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27,734</w:t>
            </w:r>
          </w:p>
        </w:tc>
        <w:tc>
          <w:tcPr>
            <w:tcW w:w="3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25,156</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Add:  amortization of initial direct</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420" w:type="dxa"/>
            <w:vAlign w:val="bottom"/>
          </w:tcPr>
          <w:p>
            <w:pPr>
              <w:ind w:left="700"/>
              <w:spacing w:after="0"/>
              <w:rPr>
                <w:sz w:val="20"/>
                <w:szCs w:val="20"/>
                <w:color w:val="auto"/>
              </w:rPr>
            </w:pPr>
            <w:r>
              <w:rPr>
                <w:rFonts w:ascii="Courier New" w:cs="Courier New" w:eastAsia="Courier New" w:hAnsi="Courier New"/>
                <w:sz w:val="14"/>
                <w:szCs w:val="14"/>
                <w:color w:val="auto"/>
              </w:rPr>
              <w:t>costs of leases</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545</w:t>
            </w:r>
          </w:p>
        </w:tc>
        <w:tc>
          <w:tcPr>
            <w:tcW w:w="1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592</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1,693</w:t>
            </w:r>
          </w:p>
        </w:tc>
        <w:tc>
          <w:tcPr>
            <w:tcW w:w="3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1,777</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Less: loss/(gain) on sale of real</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420" w:type="dxa"/>
            <w:vAlign w:val="bottom"/>
          </w:tcPr>
          <w:p>
            <w:pPr>
              <w:ind w:left="700"/>
              <w:spacing w:after="0"/>
              <w:rPr>
                <w:sz w:val="20"/>
                <w:szCs w:val="20"/>
                <w:color w:val="auto"/>
              </w:rPr>
            </w:pPr>
            <w:r>
              <w:rPr>
                <w:rFonts w:ascii="Courier New" w:cs="Courier New" w:eastAsia="Courier New" w:hAnsi="Courier New"/>
                <w:sz w:val="14"/>
                <w:szCs w:val="14"/>
                <w:color w:val="auto"/>
              </w:rPr>
              <w:t>estate</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659</w:t>
            </w:r>
          </w:p>
        </w:tc>
        <w:tc>
          <w:tcPr>
            <w:tcW w:w="1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(6,375)</w:t>
            </w:r>
          </w:p>
        </w:tc>
        <w:tc>
          <w:tcPr>
            <w:tcW w:w="3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14"/>
                <w:szCs w:val="14"/>
                <w:color w:val="auto"/>
              </w:rPr>
            </w:pP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Funds from operations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17,174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58,862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47,979</w:t>
            </w:r>
          </w:p>
        </w:tc>
      </w:tr>
      <w:tr>
        <w:trPr>
          <w:trHeight w:val="166"/>
        </w:trPr>
        <w:tc>
          <w:tcPr>
            <w:tcW w:w="3420" w:type="dxa"/>
            <w:vAlign w:val="bottom"/>
          </w:tcPr>
          <w:p>
            <w:pPr>
              <w:spacing w:after="0"/>
              <w:rPr>
                <w:sz w:val="14"/>
                <w:szCs w:val="14"/>
                <w:color w:val="auto"/>
              </w:rPr>
            </w:pP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Funds from operations per share</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w:t>
            </w:r>
          </w:p>
        </w:tc>
      </w:tr>
      <w:tr>
        <w:trPr>
          <w:trHeight w:val="166"/>
        </w:trPr>
        <w:tc>
          <w:tcPr>
            <w:tcW w:w="3420" w:type="dxa"/>
            <w:vAlign w:val="bottom"/>
          </w:tcPr>
          <w:p>
            <w:pPr>
              <w:spacing w:after="0"/>
              <w:rPr>
                <w:sz w:val="14"/>
                <w:szCs w:val="14"/>
                <w:color w:val="auto"/>
              </w:rPr>
            </w:pP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 outstanding</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39,242</w:t>
            </w:r>
          </w:p>
        </w:tc>
        <w:tc>
          <w:tcPr>
            <w:tcW w:w="14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34,236</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38,838</w:t>
            </w:r>
          </w:p>
        </w:tc>
        <w:tc>
          <w:tcPr>
            <w:tcW w:w="3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33,193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7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September 30,</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56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1997</w:t>
            </w:r>
          </w:p>
        </w:tc>
        <w:tc>
          <w:tcPr>
            <w:tcW w:w="16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Real estate, at cost</w:t>
            </w:r>
          </w:p>
        </w:tc>
        <w:tc>
          <w:tcPr>
            <w:tcW w:w="5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1,299,321</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1,147,865</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56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(238,815)</w:t>
            </w:r>
          </w:p>
        </w:tc>
        <w:tc>
          <w:tcPr>
            <w:tcW w:w="1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(223,553)</w:t>
            </w:r>
          </w:p>
        </w:tc>
      </w:tr>
      <w:tr>
        <w:trPr>
          <w:trHeight w:val="166"/>
        </w:trPr>
        <w:tc>
          <w:tcPr>
            <w:tcW w:w="5100" w:type="dxa"/>
            <w:vAlign w:val="bottom"/>
          </w:tcPr>
          <w:p>
            <w:pPr>
              <w:spacing w:after="0"/>
              <w:rPr>
                <w:sz w:val="14"/>
                <w:szCs w:val="14"/>
                <w:color w:val="auto"/>
              </w:rPr>
            </w:pPr>
          </w:p>
        </w:tc>
        <w:tc>
          <w:tcPr>
            <w:tcW w:w="17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1,060,506</w:t>
            </w:r>
          </w:p>
        </w:tc>
        <w:tc>
          <w:tcPr>
            <w:tcW w:w="1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924,312</w:t>
            </w:r>
          </w:p>
        </w:tc>
      </w:tr>
      <w:tr>
        <w:trPr>
          <w:trHeight w:val="331"/>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560" w:type="dxa"/>
            <w:vAlign w:val="bottom"/>
          </w:tcPr>
          <w:p>
            <w:pPr>
              <w:spacing w:after="0"/>
              <w:rPr>
                <w:sz w:val="24"/>
                <w:szCs w:val="2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38,256</w:t>
            </w:r>
          </w:p>
        </w:tc>
        <w:tc>
          <w:tcPr>
            <w:tcW w:w="16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27,913</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Cash and investments</w:t>
            </w:r>
          </w:p>
        </w:tc>
        <w:tc>
          <w:tcPr>
            <w:tcW w:w="5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4,687</w:t>
            </w:r>
          </w:p>
        </w:tc>
        <w:tc>
          <w:tcPr>
            <w:tcW w:w="1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11,041</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Receivables</w:t>
            </w:r>
          </w:p>
        </w:tc>
        <w:tc>
          <w:tcPr>
            <w:tcW w:w="5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17,113</w:t>
            </w:r>
          </w:p>
        </w:tc>
        <w:tc>
          <w:tcPr>
            <w:tcW w:w="1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17,294</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5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35,742</w:t>
            </w:r>
          </w:p>
        </w:tc>
        <w:tc>
          <w:tcPr>
            <w:tcW w:w="1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54,746</w:t>
            </w:r>
          </w:p>
        </w:tc>
      </w:tr>
      <w:tr>
        <w:trPr>
          <w:trHeight w:val="166"/>
        </w:trPr>
        <w:tc>
          <w:tcPr>
            <w:tcW w:w="5100" w:type="dxa"/>
            <w:vAlign w:val="bottom"/>
          </w:tcPr>
          <w:p>
            <w:pPr>
              <w:spacing w:after="0"/>
              <w:rPr>
                <w:sz w:val="14"/>
                <w:szCs w:val="14"/>
                <w:color w:val="auto"/>
              </w:rPr>
            </w:pPr>
          </w:p>
        </w:tc>
        <w:tc>
          <w:tcPr>
            <w:tcW w:w="17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5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1,156,304</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1,035,306</w:t>
            </w:r>
          </w:p>
        </w:tc>
      </w:tr>
      <w:tr>
        <w:trPr>
          <w:trHeight w:val="166"/>
        </w:trPr>
        <w:tc>
          <w:tcPr>
            <w:tcW w:w="5100" w:type="dxa"/>
            <w:vAlign w:val="bottom"/>
          </w:tcPr>
          <w:p>
            <w:pPr>
              <w:spacing w:after="0"/>
              <w:rPr>
                <w:sz w:val="14"/>
                <w:szCs w:val="14"/>
                <w:color w:val="auto"/>
              </w:rPr>
            </w:pPr>
          </w:p>
        </w:tc>
        <w:tc>
          <w:tcPr>
            <w:tcW w:w="17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capital leases &amp; mortgages payable</w:t>
            </w:r>
          </w:p>
        </w:tc>
        <w:tc>
          <w:tcPr>
            <w:tcW w:w="5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222,160</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229,189</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5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69,555</w:t>
            </w:r>
          </w:p>
        </w:tc>
        <w:tc>
          <w:tcPr>
            <w:tcW w:w="1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66,106</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Senior Notes</w:t>
            </w:r>
          </w:p>
        </w:tc>
        <w:tc>
          <w:tcPr>
            <w:tcW w:w="5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255,000</w:t>
            </w:r>
          </w:p>
        </w:tc>
        <w:tc>
          <w:tcPr>
            <w:tcW w:w="1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215,000</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5 1/4% Convertible subordinated debentures</w:t>
            </w:r>
          </w:p>
        </w:tc>
        <w:tc>
          <w:tcPr>
            <w:tcW w:w="5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75,289</w:t>
            </w:r>
          </w:p>
        </w:tc>
        <w:tc>
          <w:tcPr>
            <w:tcW w:w="1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Other liabilities</w:t>
            </w:r>
          </w:p>
        </w:tc>
        <w:tc>
          <w:tcPr>
            <w:tcW w:w="5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69,995</w:t>
            </w:r>
          </w:p>
        </w:tc>
        <w:tc>
          <w:tcPr>
            <w:tcW w:w="1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60,837</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560" w:type="dxa"/>
            <w:vAlign w:val="bottom"/>
          </w:tcPr>
          <w:p>
            <w:pPr>
              <w:spacing w:after="0"/>
              <w:rPr>
                <w:sz w:val="24"/>
                <w:szCs w:val="2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464,305</w:t>
            </w:r>
          </w:p>
        </w:tc>
        <w:tc>
          <w:tcPr>
            <w:tcW w:w="16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388,885</w:t>
            </w:r>
          </w:p>
        </w:tc>
      </w:tr>
      <w:tr>
        <w:trPr>
          <w:trHeight w:val="166"/>
        </w:trPr>
        <w:tc>
          <w:tcPr>
            <w:tcW w:w="5100" w:type="dxa"/>
            <w:vAlign w:val="bottom"/>
          </w:tcPr>
          <w:p>
            <w:pPr>
              <w:spacing w:after="0"/>
              <w:rPr>
                <w:sz w:val="14"/>
                <w:szCs w:val="14"/>
                <w:color w:val="auto"/>
              </w:rPr>
            </w:pPr>
          </w:p>
        </w:tc>
        <w:tc>
          <w:tcPr>
            <w:tcW w:w="17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1,156,304</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1,035,306</w:t>
            </w:r>
          </w:p>
        </w:tc>
      </w:tr>
      <w:tr>
        <w:trPr>
          <w:trHeight w:val="166"/>
        </w:trPr>
        <w:tc>
          <w:tcPr>
            <w:tcW w:w="5100" w:type="dxa"/>
            <w:vAlign w:val="bottom"/>
          </w:tcPr>
          <w:p>
            <w:pPr>
              <w:spacing w:after="0"/>
              <w:rPr>
                <w:sz w:val="14"/>
                <w:szCs w:val="14"/>
                <w:color w:val="auto"/>
              </w:rPr>
            </w:pPr>
          </w:p>
        </w:tc>
        <w:tc>
          <w:tcPr>
            <w:tcW w:w="17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782" w:right="1440" w:bottom="1440" w:gutter="0" w:footer="0" w:header="0"/>
        </w:sectPr>
      </w:pPr>
    </w:p>
    <w:bookmarkStart w:id="12" w:name="page13"/>
    <w:bookmarkEnd w:id="12"/>
    <w:p>
      <w:pPr>
        <w:ind w:left="2680"/>
        <w:spacing w:after="0"/>
        <w:rPr>
          <w:sz w:val="20"/>
          <w:szCs w:val="20"/>
          <w:color w:val="auto"/>
        </w:rPr>
      </w:pPr>
      <w:r>
        <w:rPr>
          <w:rFonts w:ascii="Courier New" w:cs="Courier New" w:eastAsia="Courier New" w:hAnsi="Courier New"/>
          <w:sz w:val="14"/>
          <w:szCs w:val="14"/>
          <w:color w:val="auto"/>
        </w:rPr>
        <w:t>GLOSSARY OF TERMS</w:t>
      </w:r>
    </w:p>
    <w:p>
      <w:pPr>
        <w:spacing w:after="0" w:line="200" w:lineRule="exact"/>
        <w:rPr>
          <w:sz w:val="20"/>
          <w:szCs w:val="20"/>
          <w:color w:val="auto"/>
        </w:rPr>
      </w:pPr>
    </w:p>
    <w:p>
      <w:pPr>
        <w:spacing w:after="0" w:line="30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centers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centers owned and operating in the periods being compared. Excludes centers purchased or sold as well as properties under redevelopment.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3"/>
    </w:lvl>
  </w:abstractNum>
  <w:abstractNum w:abstractNumId="1">
    <w:nsid w:val="625558EC"/>
    <w:multiLevelType w:val="hybridMultilevel"/>
    <w:lvl w:ilvl="0">
      <w:lvlJc w:val="left"/>
      <w:lvlText w:val="%1."/>
      <w:numFmt w:val="decimal"/>
      <w:start w:val="3"/>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2019-12-13T01:02:08Z</dcterms:created>
  <dcterms:modified xsi:type="dcterms:W3CDTF">2019-12-13T01:02:08Z</dcterms:modified>
</cp:coreProperties>
</file>