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Registration No. 333-224701</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54"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9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79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796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Fee(1)</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Shares of Beneficial Interest, $0.01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$500,000,000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$54,550</w:t>
            </w:r>
          </w:p>
        </w:tc>
        <w:tc>
          <w:tcPr>
            <w:tcW w:w="0" w:type="dxa"/>
            <w:vAlign w:val="bottom"/>
          </w:tcPr>
          <w:p>
            <w:pPr>
              <w:spacing w:after="0"/>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4"/>
          <w:szCs w:val="24"/>
          <w:color w:val="auto"/>
        </w:rPr>
      </w:pPr>
    </w:p>
    <w:p>
      <w:pPr>
        <w:ind w:left="540" w:right="300" w:hanging="424"/>
        <w:spacing w:after="0" w:line="28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fee is calculated in accordance with Rule 457(o) under the Securities Act, based on the proposed maximum aggregate offering price, and Rule 457(r) under the Securities Act.</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MAY 7, 2018)</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182245</wp:posOffset>
            </wp:positionV>
            <wp:extent cx="2237105"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710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entered into an equity distribution agreement with Wells Fargo Securities, LLC, BofA Securities, Inc., Citigroup Global Markets Inc., J.P. Morgan Securities LLC and Jefferies LLC, or the Agents, and the forward purchasers (as defined below) relating to our common shares of beneficial interest, $0.01 par value per share, offered by this prospectus supplement and the accompanying prospectus pursuant to a continuous offering program. In accordance with the terms of the equity distribution agreement, an aggregate offering price of up to $500,000,000 of our common shares may from time to time be offered and sold to or through the Agents as our sales agents or, if applicable, as forward sellers. Upon entering into this equity distribution agreement, we simultaneously terminated the equity distribution agreements we entered into with Wells Fargo Securities, LLC, BofA Securities, Inc and Citigroup Global Markets Inc. in connection with a prior “at the market” offering program established in May 2018.</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common shares are listed on the New York Stock Exchange, or the NYSE, under the symbol “FRT.” On February 23, 2021, the last reported sale price of our common shares on the NYSE was $103.29 per share.</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Sales of our common shares, if any, under this prospectus supplement and the accompanying prospectus may be made in transactions that are deemed to be “at the market” offerings, including sales made directly on the NYSE or sales made to or through a market maker other than on an exchange, or in negotiated transactions, which may include block trades. The Agents are not required to sell any specific number or dollar amount of common shares, but as instructed by us will make all sales using commercially reasonable efforts, as our sales agents or as forward sellers and subject to the terms of the equity distribution agreement. Our common shares to which this prospectus supplement relates will be sold through only one Agent on any given day. The offering of common shares pursuant to the equity distribution agreement will terminate upon the earlier of (1) the sale of common shares having an aggregate offering price of $500,000,000 and (2) the termination of the equity distribution agreement.</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equity distribution agreement contemplates that, in addition to the issuance and sale by us of common shares to or through the Agents as our sales agents, we may enter into separate forward sale agreements with any one of the Agents, or one of their respective affiliates, whom we refer to as a forward purchaser. 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We refer to an Agent when acting as sales agent for the relevant forward purchaser as a forward seller. Unless otherwise expressly stated or the context otherwise requires, references herein to the “related” or “relevant” forward purchaser mean, with respect to any Agent, the affiliate of such Agent that is acting as forward purchaser or, if applicable, such Agent acting in its capacity as forward purchaser. We will not initially receive any proceeds from any sale of common shares borrowed by a forward purchaser (or its affiliate) and sold through a forward seller.</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currently expect to fully physically settle each forward sale agreement, if any, with the relevant forward purchaser on one or more dates specified by us on or prior to the maturity date of such forward sale agreement, in which case we expect to receive aggregate net cash proceeds at settlement equal to the number of common shares specified in such forward sale agreement multiplied by the relevant forward price per share. However, subject to certain exceptions, we may also elect, in our sole discretion, to cash settle or net share settle all or any portion of our</w:t>
      </w:r>
    </w:p>
    <w:p>
      <w:pPr>
        <w:sectPr>
          <w:pgSz w:w="11900" w:h="16838" w:orient="portrait"/>
          <w:cols w:equalWidth="0" w:num="1">
            <w:col w:w="11120"/>
          </w:cols>
          <w:pgMar w:left="320" w:top="455" w:right="4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obligations under any forward sale agreement, in which case we may not (in the case of cash settlement) or will not (in the case of net share settlement) receive any proceeds, and we may owe cash (in the case of cash settlement) or common shares (in the case of net share settlement) to the relevant forward purchaser. See “Plan of Distribution” in this prospectus supplement.</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pay each of the Agents a commission that will not exceed, but may be lower than, 2.0% of the gross sales price per common share sold through it under the equity distribution agreement. In connection with each forward sale agreement, we will pay the applicable Agent, acting as forward seller in connection with such forward sale agreement, a commission in the form of a reduction to the initial forward price under the related forward sale agreement, at a mutually agreed rate that will not exceed, but may be lower than, 2.0% of the gross sales price per share of the borrowed common shares sold through such Agent, as forward seller, during the applicable forward selling period for such shares (subject to certain possible adjustments to such gross sales price for daily accruals and any quarterly dividends having an “ex-dividend” date during such forward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224790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20" w:right="120" w:firstLine="440"/>
        <w:spacing w:after="0" w:line="263"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Investing in our common shares involves risks. See the information under the caption “</w:t>
      </w:r>
      <w:hyperlink w:anchor="page9">
        <w:r>
          <w:rPr>
            <w:rFonts w:ascii="Times New Roman" w:cs="Times New Roman" w:eastAsia="Times New Roman" w:hAnsi="Times New Roman"/>
            <w:sz w:val="21"/>
            <w:szCs w:val="21"/>
            <w:b w:val="1"/>
            <w:bCs w:val="1"/>
            <w:u w:val="single" w:color="auto"/>
            <w:color w:val="0000EE"/>
          </w:rPr>
          <w:t>Risk Factors</w:t>
        </w:r>
      </w:hyperlink>
      <w:r>
        <w:rPr>
          <w:rFonts w:ascii="Times New Roman" w:cs="Times New Roman" w:eastAsia="Times New Roman" w:hAnsi="Times New Roman"/>
          <w:sz w:val="21"/>
          <w:szCs w:val="21"/>
          <w:b w:val="1"/>
          <w:bCs w:val="1"/>
          <w:color w:val="auto"/>
        </w:rPr>
        <w:t>” in this prospectus supplement, our most recent Annual Report on Form 10-K filed with the Securities and Exchange Commission, or the SEC, and subsequent filings that we make with the SEC that are incorporated by reference herein.</w:t>
      </w:r>
    </w:p>
    <w:p>
      <w:pPr>
        <w:spacing w:after="0" w:line="160"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Wells Fargo Securities</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BofA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398145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Citigroup</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200" w:lineRule="exact"/>
        <w:rPr>
          <w:sz w:val="20"/>
          <w:szCs w:val="20"/>
          <w:color w:val="auto"/>
        </w:rPr>
      </w:pPr>
    </w:p>
    <w:p>
      <w:pPr>
        <w:sectPr>
          <w:pgSz w:w="11900" w:h="16838" w:orient="portrait"/>
          <w:cols w:equalWidth="0" w:num="3">
            <w:col w:w="4140" w:space="720"/>
            <w:col w:w="4660" w:space="720"/>
            <w:col w:w="900"/>
          </w:cols>
          <w:pgMar w:left="320" w:top="455" w:right="439" w:bottom="1440" w:gutter="0" w:footer="0" w:header="0"/>
          <w:type w:val="continuous"/>
        </w:sectPr>
      </w:pP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February 24, 2021.</w:t>
      </w:r>
    </w:p>
    <w:p>
      <w:pPr>
        <w:sectPr>
          <w:pgSz w:w="11900" w:h="16838" w:orient="portrait"/>
          <w:cols w:equalWidth="0" w:num="1">
            <w:col w:w="11140"/>
          </w:cols>
          <w:pgMar w:left="320" w:top="455" w:right="4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About this Prospectus Supplement</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Cautionary Statement Concerning Forward-Looking Statements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Prospectus Supplement Summary</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Risk Factors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S-5</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Use of Proceeds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S-8</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Plan of Distribution (Conflicts of Interest)</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S-9</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Experts</w:t>
              </w:r>
            </w:hyperlink>
          </w:p>
        </w:tc>
        <w:tc>
          <w:tcPr>
            <w:tcW w:w="57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S-13</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Legal Matters</w:t>
              </w:r>
            </w:hyperlink>
          </w:p>
        </w:tc>
        <w:tc>
          <w:tcPr>
            <w:tcW w:w="57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S-13</w:t>
            </w:r>
          </w:p>
        </w:tc>
      </w:tr>
      <w:tr>
        <w:trPr>
          <w:trHeight w:val="648"/>
        </w:trPr>
        <w:tc>
          <w:tcPr>
            <w:tcW w:w="4840" w:type="dxa"/>
            <w:vAlign w:val="bottom"/>
          </w:tcPr>
          <w:p>
            <w:pPr>
              <w:spacing w:after="0"/>
              <w:rPr>
                <w:sz w:val="24"/>
                <w:szCs w:val="24"/>
                <w:color w:val="auto"/>
              </w:rPr>
            </w:pPr>
          </w:p>
        </w:tc>
        <w:tc>
          <w:tcPr>
            <w:tcW w:w="6120" w:type="dxa"/>
            <w:vAlign w:val="bottom"/>
            <w:gridSpan w:val="3"/>
          </w:tcPr>
          <w:p>
            <w:pPr>
              <w:jc w:val="right"/>
              <w:ind w:right="4953"/>
              <w:spacing w:after="0"/>
              <w:rPr>
                <w:sz w:val="20"/>
                <w:szCs w:val="20"/>
                <w:color w:val="auto"/>
              </w:rPr>
            </w:pPr>
            <w:r>
              <w:rPr>
                <w:rFonts w:ascii="Times New Roman" w:cs="Times New Roman" w:eastAsia="Times New Roman" w:hAnsi="Times New Roman"/>
                <w:sz w:val="18"/>
                <w:szCs w:val="18"/>
                <w:b w:val="1"/>
                <w:bCs w:val="1"/>
                <w:color w:val="auto"/>
              </w:rPr>
              <w:t>Prospectus</w:t>
            </w:r>
          </w:p>
        </w:tc>
      </w:tr>
      <w:tr>
        <w:trPr>
          <w:trHeight w:val="392"/>
        </w:trPr>
        <w:tc>
          <w:tcPr>
            <w:tcW w:w="48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About this Prospectus</w:t>
              </w:r>
            </w:hyperlink>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Forward-Looking Statements</w:t>
              </w:r>
            </w:hyperlink>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Prospectus Summary</w:t>
              </w:r>
            </w:hyperlink>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Risk Factors</w:t>
              </w:r>
            </w:hyperlink>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Use of Proceeds</w:t>
              </w:r>
            </w:hyperlink>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Description of Debt Securities</w:t>
              </w:r>
            </w:hyperlink>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Description of Shares of Beneficial Interest</w:t>
              </w:r>
            </w:hyperlink>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Material Federal Income Tax Considerations</w:t>
              </w:r>
            </w:hyperlink>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Plan of Distribution</w:t>
              </w:r>
            </w:hyperlink>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Legal Matters</w:t>
              </w:r>
            </w:hyperlink>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Experts</w:t>
              </w:r>
            </w:hyperlink>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Where You Can Find More Information</w:t>
              </w:r>
            </w:hyperlink>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65"/>
        </w:trPr>
        <w:tc>
          <w:tcPr>
            <w:tcW w:w="4840" w:type="dxa"/>
            <w:vAlign w:val="bottom"/>
          </w:tcPr>
          <w:p>
            <w:pPr>
              <w:spacing w:after="0"/>
              <w:rPr>
                <w:sz w:val="24"/>
                <w:szCs w:val="24"/>
                <w:color w:val="auto"/>
              </w:rPr>
            </w:pPr>
          </w:p>
        </w:tc>
        <w:tc>
          <w:tcPr>
            <w:tcW w:w="6120" w:type="dxa"/>
            <w:vAlign w:val="bottom"/>
            <w:gridSpan w:val="3"/>
          </w:tcPr>
          <w:p>
            <w:pPr>
              <w:jc w:val="right"/>
              <w:ind w:right="5353"/>
              <w:spacing w:after="0"/>
              <w:rPr>
                <w:sz w:val="20"/>
                <w:szCs w:val="20"/>
                <w:color w:val="auto"/>
              </w:rPr>
            </w:pPr>
            <w:r>
              <w:rPr>
                <w:rFonts w:ascii="Times New Roman" w:cs="Times New Roman" w:eastAsia="Times New Roman" w:hAnsi="Times New Roman"/>
                <w:sz w:val="18"/>
                <w:szCs w:val="18"/>
                <w:color w:val="auto"/>
              </w:rPr>
              <w:t>i</w:t>
            </w: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You should read this prospectus supplement along with the accompanying prospectus, as well as the information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our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prior information incorporated by reference into the accompanying prospectus, the information in this prospectus supplement shall apply and shall supersede the inconsistent information contained in or incorporated by reference into the accompanying prospectus.</w:t>
      </w:r>
    </w:p>
    <w:p>
      <w:pPr>
        <w:spacing w:after="0" w:line="19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It is important for you to read and consider all of the information contained in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References to “we,” “us,” “our” or “ours” refer to Federal Realty Investment Trust and its directly and indirectly owned subsidiaries, unless the context otherwise requires. The term “you” refers to a prospective investor.</w:t>
      </w:r>
    </w:p>
    <w:p>
      <w:pPr>
        <w:spacing w:after="0" w:line="15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into this prospectus supplement, the accompanying prospectus and any related free writing prospectus required to be filed with the SEC. We have not, nor have the Agents or the forward purchasers, authorized any other person to provide you with additional or different information. If anyone provides you with additional or different information, you should not rely on it. We are not, nor are the Agents or the forward purchasers, making an offer to sell the common shares in any jurisdiction where the offer or sale is not permitted by law.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or incorporated by reference into this prospectus supplement and the accompanying prospectus describe forward-looking information. The risk factors contained herein, in our most recent Annual Report on Form 10-K filed with the Securities and Exchange Commission, or the SEC, and in subsequent filings that we make with the SEC that are incorporated by reference herein,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100" w:lineRule="exact"/>
        <w:rPr>
          <w:sz w:val="20"/>
          <w:szCs w:val="20"/>
          <w:color w:val="auto"/>
        </w:rPr>
      </w:pPr>
    </w:p>
    <w:p>
      <w:pPr>
        <w:ind w:left="1080" w:right="150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1"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local economic conditions in our geographic markets;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67"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81"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20"/>
          </w:cols>
          <w:pgMar w:left="320" w:top="455"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50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2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 See “Where You Can Find More Information” in the accompanying prospectus.</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229" w:lineRule="exact"/>
        <w:rPr>
          <w:sz w:val="20"/>
          <w:szCs w:val="20"/>
          <w:color w:val="auto"/>
        </w:rPr>
      </w:pPr>
    </w:p>
    <w:p>
      <w:pPr>
        <w:ind w:left="300" w:right="200" w:firstLine="426"/>
        <w:spacing w:after="0" w:line="255" w:lineRule="auto"/>
        <w:rPr>
          <w:sz w:val="20"/>
          <w:szCs w:val="20"/>
          <w:color w:val="auto"/>
        </w:rPr>
      </w:pPr>
      <w:r>
        <w:rPr>
          <w:rFonts w:ascii="Times New Roman" w:cs="Times New Roman" w:eastAsia="Times New Roman" w:hAnsi="Times New Roman"/>
          <w:sz w:val="18"/>
          <w:szCs w:val="18"/>
          <w:color w:val="auto"/>
        </w:rPr>
        <w:t>We are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and South Florida. As of December 31, 2020, we owned or had a majority interest in community and neighborhood shopping centers and mixed- use properties which are operated as 101 predominantly retail real estate projects comprising approximately 23.4 million square feet. In total, the real estate projects were 92.2% leased and 90.2% occupied at December 31, 2020. Our revenue is primarily generated from lease agreements with tenants. We have paid quarterly dividends to our shareholders continuously since our founding in 1962 and have increased our dividends per common share for 53 consecutive years.</w:t>
      </w:r>
    </w:p>
    <w:p>
      <w:pPr>
        <w:spacing w:after="0" w:line="189"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909 Rose Avenue, Suite 200, North Bethesda, Maryland 20852. Our telephone number is (301) 998-8100. Our website address is www.federalrealty.com. The information contained on our website is not a part of this prospectus supplement or the accompanying prospectus and is not incorporated herein or therein by reference.</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00" w:right="660" w:firstLine="426"/>
        <w:spacing w:after="0" w:line="282" w:lineRule="auto"/>
        <w:rPr>
          <w:sz w:val="20"/>
          <w:szCs w:val="20"/>
          <w:color w:val="auto"/>
        </w:rPr>
      </w:pPr>
      <w:r>
        <w:rPr>
          <w:rFonts w:ascii="Times New Roman" w:cs="Times New Roman" w:eastAsia="Times New Roman" w:hAnsi="Times New Roman"/>
          <w:sz w:val="18"/>
          <w:szCs w:val="18"/>
          <w:color w:val="auto"/>
        </w:rPr>
        <w:t>For a more complete description of the terms of the common shares being offered by this prospectus supplement and the accompanying prospectus, see “Description of Shares of Beneficial Interest” in the accompanying prospectus.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 offered</w:t>
            </w: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shares with an aggregate offering price of up to $500,000,000.</w:t>
            </w:r>
          </w:p>
        </w:tc>
      </w:tr>
      <w:tr>
        <w:trPr>
          <w:trHeight w:val="432"/>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 Stock Exchange symbol</w:t>
            </w: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FRT</w:t>
            </w:r>
          </w:p>
        </w:tc>
      </w:tr>
      <w:tr>
        <w:trPr>
          <w:trHeight w:val="41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 intend to use the net proceeds from this offering and any forward sale agreement to</w:t>
            </w:r>
          </w:p>
        </w:tc>
      </w:tr>
      <w:tr>
        <w:trPr>
          <w:trHeight w:val="216"/>
        </w:trPr>
        <w:tc>
          <w:tcPr>
            <w:tcW w:w="404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fund potential acquisition opportunities, to fund our development or redevelopment</w:t>
            </w:r>
          </w:p>
        </w:tc>
      </w:tr>
      <w:tr>
        <w:trPr>
          <w:trHeight w:val="216"/>
        </w:trPr>
        <w:tc>
          <w:tcPr>
            <w:tcW w:w="404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pipeline, to repay indebtedness and/or for general corporate purposes. See “Use of</w:t>
            </w:r>
          </w:p>
        </w:tc>
      </w:tr>
      <w:tr>
        <w:trPr>
          <w:trHeight w:val="234"/>
        </w:trPr>
        <w:tc>
          <w:tcPr>
            <w:tcW w:w="4040" w:type="dxa"/>
            <w:vAlign w:val="bottom"/>
          </w:tcPr>
          <w:p>
            <w:pPr>
              <w:spacing w:after="0"/>
              <w:rPr>
                <w:sz w:val="20"/>
                <w:szCs w:val="20"/>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on page S-3 for more information.</w:t>
            </w:r>
          </w:p>
        </w:tc>
      </w:tr>
      <w:tr>
        <w:trPr>
          <w:trHeight w:val="41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Material U.S. federal income tax considerations</w:t>
            </w: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 a description of material U.S. federal income tax considerations of an investment in</w:t>
            </w:r>
          </w:p>
        </w:tc>
      </w:tr>
      <w:tr>
        <w:trPr>
          <w:trHeight w:val="216"/>
        </w:trPr>
        <w:tc>
          <w:tcPr>
            <w:tcW w:w="404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our common shares, please review the disclosure in the accompanying prospectus under</w:t>
            </w:r>
          </w:p>
        </w:tc>
      </w:tr>
      <w:tr>
        <w:trPr>
          <w:trHeight w:val="216"/>
        </w:trPr>
        <w:tc>
          <w:tcPr>
            <w:tcW w:w="404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“Material Federal Income Tax Considerations,” as may be updated from time to time in</w:t>
            </w:r>
          </w:p>
        </w:tc>
      </w:tr>
      <w:tr>
        <w:trPr>
          <w:trHeight w:val="216"/>
        </w:trPr>
        <w:tc>
          <w:tcPr>
            <w:tcW w:w="404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filings we make with the SEC that are incorporated by reference in the accompanying</w:t>
            </w:r>
          </w:p>
        </w:tc>
      </w:tr>
      <w:tr>
        <w:trPr>
          <w:trHeight w:val="234"/>
        </w:trPr>
        <w:tc>
          <w:tcPr>
            <w:tcW w:w="4040" w:type="dxa"/>
            <w:vAlign w:val="bottom"/>
          </w:tcPr>
          <w:p>
            <w:pPr>
              <w:spacing w:after="0"/>
              <w:rPr>
                <w:sz w:val="20"/>
                <w:szCs w:val="20"/>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prospectus.</w:t>
            </w:r>
          </w:p>
        </w:tc>
      </w:tr>
      <w:tr>
        <w:trPr>
          <w:trHeight w:val="41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Investing in our common shares involves risks. Please review the risk factors discussed</w:t>
            </w:r>
          </w:p>
        </w:tc>
      </w:tr>
      <w:tr>
        <w:trPr>
          <w:trHeight w:val="216"/>
        </w:trPr>
        <w:tc>
          <w:tcPr>
            <w:tcW w:w="404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on page S-3 of this prospectus supplement, in our most recent Annual Report on</w:t>
            </w:r>
          </w:p>
        </w:tc>
      </w:tr>
      <w:tr>
        <w:trPr>
          <w:trHeight w:val="234"/>
        </w:trPr>
        <w:tc>
          <w:tcPr>
            <w:tcW w:w="4040" w:type="dxa"/>
            <w:vAlign w:val="bottom"/>
          </w:tcPr>
          <w:p>
            <w:pPr>
              <w:spacing w:after="0"/>
              <w:rPr>
                <w:sz w:val="20"/>
                <w:szCs w:val="20"/>
                <w:color w:val="auto"/>
              </w:rPr>
            </w:pPr>
          </w:p>
        </w:tc>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10-K filed with the SEC and in</w:t>
            </w:r>
          </w:p>
        </w:tc>
      </w:tr>
      <w:tr>
        <w:trPr>
          <w:trHeight w:val="240"/>
        </w:trPr>
        <w:tc>
          <w:tcPr>
            <w:tcW w:w="404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spacing w:after="0"/>
              <w:rPr>
                <w:sz w:val="20"/>
                <w:szCs w:val="20"/>
                <w:color w:val="auto"/>
              </w:rPr>
            </w:pPr>
          </w:p>
        </w:tc>
      </w:tr>
      <w:tr>
        <w:trPr>
          <w:trHeight w:val="604"/>
        </w:trPr>
        <w:tc>
          <w:tcPr>
            <w:tcW w:w="4040" w:type="dxa"/>
            <w:vAlign w:val="bottom"/>
          </w:tcPr>
          <w:p>
            <w:pPr>
              <w:spacing w:after="0"/>
              <w:rPr>
                <w:sz w:val="24"/>
                <w:szCs w:val="24"/>
                <w:color w:val="auto"/>
              </w:rPr>
            </w:pPr>
          </w:p>
        </w:tc>
        <w:tc>
          <w:tcPr>
            <w:tcW w:w="69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38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1384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80"/>
        <w:spacing w:after="0" w:line="254" w:lineRule="auto"/>
        <w:rPr>
          <w:sz w:val="20"/>
          <w:szCs w:val="20"/>
          <w:color w:val="auto"/>
        </w:rPr>
      </w:pPr>
      <w:r>
        <w:rPr>
          <w:rFonts w:ascii="Times New Roman" w:cs="Times New Roman" w:eastAsia="Times New Roman" w:hAnsi="Times New Roman"/>
          <w:sz w:val="18"/>
          <w:szCs w:val="18"/>
          <w:color w:val="auto"/>
        </w:rPr>
        <w:t>subsequent filings that we make with the SEC that are incorporated by reference herein, as well as the other information contained in or incorporated by reference into this prospectus supplement and the accompanying prospectus for a discussion of factors you should consider before investing in our common shares. You may obtain a copy of our Annual Report on Form 10-K and the other documents incorporated by reference into this prospectus supplement and the accompanying prospectus by following the procedures described under “Where You Can Find More Information” on page 47 of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55" w:right="6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shares involves risks. Before you decide to purchase our common shares, you should carefully consider the following risk factors, together with all of the other information contained in or incorporated by reference herein, including the additional risk factors in our most recent Annual Report on Form 10-K filed with the SEC and in subsequent filings that we make with the SEC that are incorporated by reference herein. The risks and uncertainties we have described are those we believe to be the principal risks that could affect us, our business or our industry, and which could result in a material adverse impact on our financial condition, results of operation, prospects or the market price of our common shares. However, additional risks and uncertainties not currently known to us or that we currently deem immaterial may affect our business operations and the market price of our common shares.</w:t>
      </w:r>
    </w:p>
    <w:p>
      <w:pPr>
        <w:spacing w:after="0" w:line="18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You may experience significant dilution as a result of this offering and additional issuances of our securities, including pursuant to any forward sale agreement, which could harm the market price of our common shares.</w:t>
      </w:r>
    </w:p>
    <w:p>
      <w:pPr>
        <w:spacing w:after="0" w:line="15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declaration of trust permits our board of trustees to authorize, without shareholder approval, the issuance of additional common or preferred shares or securities convertible or exchangeable into equity securities. We may, from time to time and at any time, seek to offer and sell common or preferred shares or other securities, including sales of common shares in this offering to or through the Agents or through a forward sale agreement, based on market conditions and other factors that may be beyond our control.</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offering and sales of our common shares pursuant to a forward sale agreement may have a dilutive effect on our earnings per share and funds from operations per share after giving effect to the issuance of our common shares and the receipt of the expected net proceeds. The actual amount of dilution from this offering, from sales pursuant to a forward sale agreement or from any future offering of common or preferred shares will be based on numerous factors, particularly the use of proceeds and the return generated by such investment, and cannot be determined at this time. The market price of our common shares could decline as a result of sales of a large number of our common shares in the market pursuant to this offering, a forward sale agreement, or otherwise, or as a result of the perception or expectation that such sales could occur.</w:t>
      </w:r>
    </w:p>
    <w:p>
      <w:pPr>
        <w:spacing w:after="0" w:line="18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Holders of our debt or preferred shares have liquidation and other rights that are senior to the rights of the holders of our common shares, and any future issuance of debt or preferred shares could adversely affect the market price of our common shares.</w:t>
      </w:r>
    </w:p>
    <w:p>
      <w:pPr>
        <w:spacing w:after="0" w:line="15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As of December 31, 2020, we had approximately $4.3 billion of debt outstanding, 399,896 of our 5.417% Series 1 Cumulative Convertible Preferred Shares, or the Series 1 Preferred Shares, with an aggregate liquidation preference of $10 million, were issued and outstanding, and 6,000 of our 5.000% Series C Cumulative Redeemable Preferred Shares, or Series C Preferred Shares, with an aggregate liquidation preference of $150 million, were issued and outstanding. Holders of our debt and preferred shares have liquidation rights and other rights that are senior to the rights of the holders of our common shares. Upon any voluntary or involuntary liquidation, dissolution or winding up, payment will be made to holders of our debt and preferred shares, including our Series 1 Preferred Shares and Series C Preferred Shares, before any payment is made to the holders of our common shares. This will reduce the amount of our assets, if any, available for distribution to holders of our common shares. Because our decision to issue debt and preferred shares is dependent on market conditions and other factors that may be beyond our control, we cannot predict or estimate the amount, timing or nature of our future issuances. Any such future issuance could reduce the market price of our common shares.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 provisions contained in any forward sale agreement subject us to certain risks.</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Each forward purchaser will have the right to accelerate its forward sale agreement with respect to all or any portion of the transaction under such forward sale agreement (except with respect to events specified in (1) and (3) below, where accelerated settlement is limited to the portion of shares whose settlement would address the relevant event or that is affected by the relevant event) that it enters into with us and require us to physically settle such shares on a date specified by such forward purchaser if: (1) in such forward purchaser’s commercially reasonable judgment, it or its affiliate is unable to hedge (or maintain a hedge of) its exposure in a commercially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2" w:lineRule="auto"/>
        <w:rPr>
          <w:sz w:val="20"/>
          <w:szCs w:val="20"/>
          <w:color w:val="auto"/>
        </w:rPr>
      </w:pPr>
      <w:r>
        <w:rPr>
          <w:rFonts w:ascii="Times New Roman" w:cs="Times New Roman" w:eastAsia="Times New Roman" w:hAnsi="Times New Roman"/>
          <w:sz w:val="17"/>
          <w:szCs w:val="17"/>
          <w:color w:val="auto"/>
        </w:rPr>
        <w:t>reasonable manner under such forward sale agreement because (a) insufficient common shares have been made available for borrowing by securities lenders or (b) such forward purchaser or any of its affiliates would incur a share borrow cost in excess of a specified threshold; (2) we declare any dividend, issue or distribution on our common shares that constitutes an extraordinary dividend under the forward sale agreement or is payable in</w:t>
      </w:r>
    </w:p>
    <w:p>
      <w:pPr>
        <w:spacing w:after="0" w:line="2" w:lineRule="exact"/>
        <w:rPr>
          <w:sz w:val="20"/>
          <w:szCs w:val="20"/>
          <w:color w:val="auto"/>
        </w:rPr>
      </w:pPr>
    </w:p>
    <w:p>
      <w:pPr>
        <w:ind w:left="120" w:right="20" w:hanging="4"/>
        <w:spacing w:after="0" w:line="251" w:lineRule="auto"/>
        <w:tabs>
          <w:tab w:leader="none" w:pos="3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excess of specified amounts (unless it is an extraordinary dividend), (b) securities of another company that we acquire or own (directly or indirectly) as a result of a spin-off or similar transaction, or (c) any other type of securities (other than our common shares), rights, warrants or other assets for payment at less than the prevailing market price; (3) certain ownership thresholds applicable to such forward purchaser and its affiliates are or would be exceeded; (4) an event (a) is announced that if consummated would result in a specified extraordinary event (including certain mergers or tender offers, as well as certain events involving our nationalization, our insolvency or a delisting of our common shares) or (b) occurs that would constitute a hedging disruption or change in law; or (5) certain other events of default or termination events occur, including, among others, any material misrepresentation made by us in connection with such forward sale agreement or our insolvency (each as more fully described in the relevant forward sale agreement).</w:t>
      </w:r>
    </w:p>
    <w:p>
      <w:pPr>
        <w:spacing w:after="0" w:line="19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 forward purchaser’s decision to exercise its right to accelerate all or a portion of the settlement of any forward sale agreement and to require us to physically settle the relevant shares will be made irrespective of our interests, including our need for capital. In such cases, we could be required to issue and deliver common shares under the terms of the physical settlement provisions of the applicable forward sale agreement irrespective of our capital needs, which would result in dilution to our earnings per share and funds from operations per share.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physically settle a forward sale agreement, the forward price we expect to receive will be subject to adjustment on a daily basis based on a floating interest rate factor equal to a specified daily rate less a spread. If the specified daily rate is less than the applicable spread on any day, the interest rate factor will result in a daily reduction of the forward price. In addition, the forward price will be subject to decrease on certain dates specified in the relevant forward sale agreement by the amount per share of quarterly dividends we expect to declare on our common shares during the term of such forward sale agreement.</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Except under certain circumstances, we will generally have the right, in lieu of physical settlement of any forward sale agreement, to elect cash or net share settlement in respect of any or all of the common shares subject to such forward sale agreement. If we elect to cash or net share settle all or any part of any forward sale agreement, we would expect the relevant forward purchaser or one of its affiliates to purchase common shares in secondary market transactions over an unwind period to:</w:t>
      </w:r>
    </w:p>
    <w:p>
      <w:pPr>
        <w:spacing w:after="0" w:line="85" w:lineRule="exact"/>
        <w:rPr>
          <w:sz w:val="20"/>
          <w:szCs w:val="20"/>
          <w:color w:val="auto"/>
        </w:rPr>
      </w:pPr>
    </w:p>
    <w:p>
      <w:pPr>
        <w:ind w:left="1080" w:right="12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common shares to securities lenders to unwind such forward purchaser’s hedge (after taking into consideration any common shares to be delivered by us to such forward purchaser, in the case of net share settlement); and</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in the case of net share settlement, deliver common shares to us to the extent required upon settlement of such forward sale agreement.</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the price of our common shares at which these purchases by such forward purchaser (or its affiliate) are made is below the relevant forward price, such forward purchaser will pay us such difference in cash (if we elect to cash settle) or deliver to us a number of common shares having a market value equal to such difference (if we elect to net share settle). If the price of our common shares at which these purchases are made by such forward purchaser (or its affiliate) exceeds the applicable forward price, we will pay such forward purchaser an amount in cash equal to such difference (if we elect to cash settle) or we will deliver to such forward purchaser a number of common shares having a market value equal to such difference (if we elect to net share settle). Any such difference could be significant and could result in our receipt of a significant amount of cash or number of common shares from such forward purchaser or require us to pay a significant amount of cash or deliver a significant number of common shares to such forward purchaser. See “Plan of Distribution—Sales Through Forward Sellers.”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purchase of common shares by a forward purchaser or its affiliate to unwind the forward purchaser’s hedge position could cause the price of our common shares to increase above the price that would have prevailed in the absence of those purchases (or prevent a decrease in such price), thereby increasing the amount of cash (in the case of cash settlement) or the number of common shares (in the case of net share settlement) that we would owe such forward purchaser upon settlement of the applicable forward sale agreement or decrease the amount of cash (in the case of cash settlement) or the number of common shares (in the case of net share settlement) that such forward purchaser would owe us upon settlement of the applicable forward sale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color w:val="auto"/>
        </w:rPr>
        <w:t>In case of our bankruptcy or insolvency, any forward sale agreement will automatically terminate, and we would not receive the expected net proceeds from any forward sales of our shares under those agreements.</w:t>
      </w:r>
    </w:p>
    <w:p>
      <w:pPr>
        <w:spacing w:after="0" w:line="15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file for or consent to a proceeding seeking a judgment in bankruptcy or insolvency or any other relief under any bankruptcy or insolvency law or other similar law affecting creditors’ rights, or we or a regulatory authority with jurisdiction over us presents a petition for our winding-up or liquidation, or we consent to such a petition, any forward sale agreement that is then in effect will automatically terminate. If any such forward sale agreement so terminates under these circumstances, we would not be obligated to deliver to the relevant forward purchaser any common shares not previously delivered, and the relevant forward purchaser would be discharged from its obligation to pay the applicable forward price per share in respect of any common shares not previously settled under the applicable forward sale agreement. Therefore, to the extent that there are any common shares with respect to which any forward sale agreement has not been settled at the time of the commencement of any such bankruptcy or insolvency proceedings, we would not receive the relevant forward price per share in respect of those common shares.</w:t>
      </w:r>
    </w:p>
    <w:p>
      <w:pPr>
        <w:spacing w:after="0" w:line="188"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The federal income tax treatment of the cash that we might receive from cash settlement of any forward sale agreement is unclear and could jeopardize our ability to meet the REIT qualification requirements.</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we elect to settle any forward sale agreement for cash and the settlement price is below the applicable forward price, we would be entitled to receive a cash payment from the applicable forward purchaser. Under Section 1032 of the Code, generally, no gains and losses are recognized by a corporation in dealing in its own shares, including pursuant to a “securities futures contract,” as defined in the Code by reference to the Exchange Act. Although we believe that any amount received by us in exchange for our shares would qualify for the exemption under Section 1032 of the Code, because it is not entirely clear whether a forward sale agreement qualifies as a “securities futures contract,” the federal income tax treatment of any cash settlement payment we receive is uncertain. In the event that we recognize a significant gain from the cash settlement of any forward sale agreement, we might not be able to satisfy the gross income requirements applicable to REITs under the Code. In that case, we may be able to rely upon the relief provisions under the Code in order to avoid the loss of our REIT status. Even if the relief provisions apply, we will be subject to a 100% tax on the greater of (i) the excess of 75% of our gross income (excluding gross income from prohibited transactions) over the amount of such income attributable to sources that qualify under the 75% test or (ii) the excess of 95% of our gross income (excluding gross income from prohibited transactions) over the amount of such gross income attributable to sources that qualify under the 95% test, as discussed in the accompanying prospectus under “Material Federal Income Tax Considerations—Taxation of the Company,” multiplied in either case by a fraction intended to reflect our profitability. In the event that these relief provisions were not available, we could lose our REIT status under the Code.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this offering and any forward sale agreement to fund potential acquisition opportunities, to fund our development or redevelopment pipeline, to repay indebtedness, which may include amounts outstanding under our revolving credit facility or our $400.0 million unsecured term loan, and/or for general corporate purposes. As of December 31, 2020, our revolving credit facility, the interest rate of which is tied to our credit rating, bears interest at LIBOR plus 77.5 basis points and matures on January 19, 2024, subject to two six-month extensions at our option, and our unsecured term loan, the interest rate of which is tied to our credit rating, bears interest at LIBOR plus 135 basis points and matures May 6, 2021, subject to one twelve-month extension at our option. The proceeds of our unsecured term loan were used to repay amounts outstanding under our revolving credit facility and for general corporate purposes.</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Affiliates of the Agents are lenders under our revolving credit facility and/or our unsecured term loan and will receive a pro rata portion of any proceeds used to repay amounts outstanding thereunder.</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All of the net proceeds from the sale of any such borrowed shares will be paid to the applicable forward purchaser (or one or more of its affiliates). Each forward purchaser will be either an Agent or an affiliate of an Agent. As a result, an Agent or its affiliate will receive the net proceeds from any sale of borrowed common shares made in connection with any forward sale agreement.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 (CONFLICTS OF INTEREST)</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have entered into an equity distribution agreement, dated as of February 24, 2021, with the Agents and the forward purchasers under which an aggregate offering price of up to $500,000,000 of our common shares may from time to time be offered and sold to or through the Agents. Sales of our common shares, if any, under this prospectus supplement and the accompanying prospectus may be made in transactions that are deemed to be “at the market” offerings, including sales made directly on the NYSE or sales made to or through a market maker other than on an exchange, or in negotiated transactions, which may include block trades. As our sales agents or, if applicable, forward sellers, the Agents will not engage in any transactions that stabilize the price of our common shares.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Upon its acceptance of written instructions from us, an Agent will use its commercially reasonable efforts, consistent with its sales and trading practices, to solicit offers to purchase our common shares under the terms and subject to the conditions set forth in the equity distribution agreement. We will instruct each Agent as to the amount of common shares to be sold by it. We may instruct the Agents not to sell common shares if the sales cannot be effected at or above the price designated by us in any instruction. Our common shares sold pursuant to the equity distribution agreement will be sold through only one of the Agents on any given day. We or the Agents may suspend the offering of common shares upon proper notice and subject to other conditions.</w:t>
      </w:r>
    </w:p>
    <w:p>
      <w:pPr>
        <w:spacing w:after="0" w:line="187"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relevant Agent will provide written confirmation to us and, if applicable, the related forward purchaser no later than the opening of the NYSE on the trading day following the trading day on which common shares were sold under the equity distribution agreement. Each confirmation will include the number of common shares sold on the preceding day, the net proceeds and the compensation payable to the Agent in connection with the sales.</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equity distribution agreement contemplates that, in addition to the issuance and sale by us of common shares to or through the Agents as our sales agents, we may enter into separate forward sale agreements with a forward purchaser. 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We will not initially receive any proceeds from any sale of common shares borrowed by a forward purchaser (or its affiliate) and sold through a forward seller.</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pay each of the Agents a commission that will not exceed, but may be lower than, 2.0% of the gross sales price per common share sold through it under the equity distribution agreement. In connection with each forward sale agreement, we will pay the applicable Agent, acting as forward seller in connection with such forward sale agreement, a commission in the form of a reduction to the initial forward price under the related forward sale agreement, at a mutually agreed rate that will not exceed, but may be lower than, 2.0% of the gross sales price per share of the borrowed common shares sold through such Agent, as forward seller, during the applicable forward selling period for such shares (subject to certain possible adjustments to such gross sales price for daily accruals and any quarterly dividends having an “ex-dividend” date during such forward selling period).</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total expenses for the offering, excluding compensation payable to the Agents under the terms of the equity distribution agreement, will be approximately $1,000,000. In connection with the sale of common shares, the Agents may be deemed to be “underwriters” within the meaning of the Securities Act, and the compensation paid to the Agents may be deemed to be underwriting commissions and discounts.</w:t>
      </w:r>
    </w:p>
    <w:p>
      <w:pPr>
        <w:spacing w:after="0" w:line="176"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Settlement of sales of common shares (other than pursuant to a forward sale agreement) will occur on the second business day following the date on which such sales are made, or on some other date that is agreed upon by us and the applicable Agent in connection with a particular transaction, in return for payment of the net proceeds to us. There is no arrangement for funds to be received in an escrow, trust or similar arrangement.</w:t>
      </w:r>
    </w:p>
    <w:p>
      <w:pPr>
        <w:spacing w:after="0" w:line="15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common shares sold through the Agents under the equity distribution agreement, the net proceeds to us and the compensation paid by us to the Agents in connection with the sales of common shares.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Agents have determined that our common shares are “actively-traded securities” excepted from the requirements of Rule 101 of Regulation M under the Exchange Act by Rule 101(c)(1) under the Exchange Act. If an Agent has, or we have, reason to believe that the exemptive provisions set forth in Rule 101(c)(1) of Regulation M under the Exchange Act are not satisfied, the party will promptly notify the other parties, and sales of common shares under the equity distribution agreement will be suspended until that or other exemptive provisions have been satisfied in the judgment of the Agents and us.</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offering of common shares pursuant to the equity distribution agreement will terminate upon the earlier of (1) the sale of common shares having an aggregate offering price of $500,000,000 pursuant to this offering and (2) the termination of the equity distribution agreement. The equity distribution agreement may be terminated by an Agent, a forward purchaser or us at any time upon three days’ notice. An Agent or a forward purchaser may terminate the equity distribution agreement earlier in certain circumstances, including our failure to maintain a listing of our common shares on the NYSE or the occurrence of a material adverse change in our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Through Forward Sellers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any forward sale agreement, we will deliver instructions to the relevant Agent directing such Agent, as forward seller, to sell the applicable borrowed common shares on behalf of the relevant forward purchaser. Upon its acceptance of such instructions, such Agent has agreed to use its commercially reasonable efforts consistent with its normal trading and sales practices to sell such common shares, as forward seller on behalf of such forward purchaser, on the terms and subject to the conditions set forth in the equity distribution agreement. We may instruct such Agent as to the amount of common shares to be sold by it as forward seller and may also instruct such Agent not to sell such common shares if the sales cannot be effected at or above a price designated by us. We or the applicable Agent may at any time immediately suspend the offering of common shares through such Agent, as forward seller, upon notice to the other parties.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each forward sale agreement, if any, we will have the right to issue and deliver to the forward purchaser party thereto a specified number of common shares on the terms and subject to the conditions set forth therein, or, alternatively, to elect cash settlement or net share settlement, for all or any portion of such shares. The initial forward price per share under each forward sale agreement will equal the product of (1) an amount equal to one minus the applicable forward selling commission and (2) the volume weighted average price per share at which the borrowed common shares were sold pursuant to the equity distribution agreement by the relevant Agent, acting as forward seller, during the applicable forward selling period for such shares to hedge the relevant forward purchaser’s exposure under such forward sale agreement (subject to certain possible adjustments to such gross sales price for daily accruals and any quarterly dividends having an “ex-dividend” date during such forward selling period). Thereafter, the forward price will be subject to the price adjustment provisions of the applicable forward sale agreement. We will not initially receive any proceeds from any sale of borrowed common shares through an Agent, acting as forward seller, and all of such net proceeds will be paid to the relevant forward purchaser (or one or more of its affiliates).</w:t>
      </w:r>
    </w:p>
    <w:p>
      <w:pPr>
        <w:spacing w:after="0" w:line="194"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We currently expect to fully physically settle each forward sale agreement, if any, with the relevant forward purchaser on one or more dates specified by us on or prior to the maturity date of such forward sale agreement. Although, we will generally have the right, subject to certain exceptions, to elect cash settlement or net share settlement instead of physical settlement for any of the shares we have agreed to sell under such forward sale agreement. If we elect or are deemed to have elected to physically settle any forward sale agreement by delivering common shares, we will receive an amount of cash from the relevant forward purchaser equal to the product of (1) the forward price per share under such forward sale agreement and</w:t>
      </w:r>
    </w:p>
    <w:p>
      <w:pPr>
        <w:spacing w:after="0" w:line="3" w:lineRule="exact"/>
        <w:rPr>
          <w:sz w:val="20"/>
          <w:szCs w:val="20"/>
          <w:color w:val="auto"/>
        </w:rPr>
      </w:pPr>
    </w:p>
    <w:p>
      <w:pPr>
        <w:ind w:left="120" w:hanging="4"/>
        <w:spacing w:after="0" w:line="252" w:lineRule="auto"/>
        <w:tabs>
          <w:tab w:leader="none" w:pos="3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as to which we have elected or are deemed to have elected physical settlement, subject to the price adjustment and other provisions of such forward sale agreement. Each forward sale agreement will provide that the forward price will be subject to adjustment on a daily basis based on a floating interest rate factor equal to a specified daily rate less a spread. If the specified daily rate is less than the applicable spread on any day, the interest rate factor will result in a daily reduction of the forward price. In addition, the forward price will be subject to decrease on certain dates specified in the relevant forward sale agreement by the amount per share of quarterly dividends we expect to declare on our common shares during the term of such forward sale agreement.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expect that, before any issuance of common shares upon physical settlement or net share settlement of any forward sale agreement, the shares issuable upon settlement of such forward sale agreement will be reflected in our diluted earnings per share calculations using the treasury stock method. Under this method, the number of common shares used in calculating diluted earnings per share and funds from operations per share will be deemed to be increased by the excess, if any, of the number of shares that would be issued upon physical settlement of such forward sale agreement over the number of shares that could be purchased by us in the market (based on the average market price during the relevant period) using the proceeds receivable upon physical settlement (based on the adjusted forward price at the end of the relevant reporting period). Consequently, prior to physical or net share settlement of the forward sale agreement and subject to the occurrence of certain events, we anticipate there will be no dilutive effect on our earnings per share or funds from operations per share as a result of such forward sale agreement except during periods when the average market price of our common shares is above the per share adjusted forward price of such forward sale agreement, subject to increase or decrease based on a specified daily rate less a spread, and subject to decrease by amounts related to expected dividends on our common shares during the term of that particular forward sale agreement. However, if we decide to physically or net share settle any forward sale agreement, delivery of common shares by us will result in dilution to our earnings per share and funds from operations per share.</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Except under certain circumstances, we will generally have the right, in lieu of physical settlement of any forward sale agreement, to elect cash or net share settlement in respect of any or all of the common shares subject to such forward sale agreement. If we elect to cash or net share settle all or any part of any forward sale agreement, we would expect the relevant forward purchaser or one of its affiliates to purchase common shares in secondary market transactions over an unwind period to:</w:t>
      </w:r>
    </w:p>
    <w:p>
      <w:pPr>
        <w:spacing w:after="0" w:line="85" w:lineRule="exact"/>
        <w:rPr>
          <w:sz w:val="20"/>
          <w:szCs w:val="20"/>
          <w:color w:val="auto"/>
        </w:rPr>
      </w:pPr>
    </w:p>
    <w:p>
      <w:pPr>
        <w:ind w:left="1080" w:right="12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common shares to securities lenders to unwind such forward purchaser’s hedge (after taking into consideration any common shares to be delivered by us to such forward purchaser, in the case of net share settlement); and</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in the case of net share settlement, deliver common shares to us to the extent required upon settlement of such forward sale agreement.</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the price of our common shares at which these purchases by such forward purchaser (or its affiliate) are made is below the relevant forward price, such forward purchaser will pay us such difference in cash (if we elect to cash settle) or deliver to us a number of common shares having a market value equal to such difference (if we elect to net share settle). If the price of our common shares at which these purchases are made by such forward purchaser (or its affiliate) exceeds the applicable forward price, we will pay such forward purchaser an amount in cash equal to such difference (if we elect to cash settle) or we will deliver to such forward purchaser a number of common shares having a market value equal to such difference (if we elect to net share settle). Any such difference could be significant and could result in our receipt of a significant amount of cash or number of common shares from such forward purchaser or require us to pay a significant amount of cash or deliver a significant number of common shares to such forward purchaser.</w:t>
      </w:r>
    </w:p>
    <w:p>
      <w:pPr>
        <w:spacing w:after="0" w:line="19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addition, the purchase of common shares by a forward purchaser or its affiliate to unwind the forward purchaser’s hedge position could cause the price of our common shares to increase above the price that would have prevailed in the absence of those purchases (or prevent a decrease in such price), thereby increasing the amount of cash (in the case of cash settlement) or the number of common shares (in the case of net share settlement) that we would owe such forward purchaser upon settlement of the applicable forward sale agreement or decrease the amount of cash (in the case of cash settlement) or the number of common shares (in the case of net share settlement) that such forward purchaser would owe us upon settlement of the applicable forward sale agreement.</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Each forward purchaser will have the right to accelerate its forward sale agreement with respect to all or any portion of the transaction under such forward sale agreement (except with respect to events specified in (1) and (3) below, where accelerated settlement is limited to the portion of shares whose settlement would address the relevant event or that is affected by the relevant event) that it enters into with us and require us to physically settle such shares on a date specified by such forward purchaser if: (1) in such forward purchaser’s commercially reasonable judgment, it or its affiliate is unable to hedge (or maintain a hedge of) its exposure in a commercially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2" w:lineRule="auto"/>
        <w:rPr>
          <w:sz w:val="20"/>
          <w:szCs w:val="20"/>
          <w:color w:val="auto"/>
        </w:rPr>
      </w:pPr>
      <w:r>
        <w:rPr>
          <w:rFonts w:ascii="Times New Roman" w:cs="Times New Roman" w:eastAsia="Times New Roman" w:hAnsi="Times New Roman"/>
          <w:sz w:val="17"/>
          <w:szCs w:val="17"/>
          <w:color w:val="auto"/>
        </w:rPr>
        <w:t>reasonable manner under such forward sale agreement because (a) insufficient common shares have been made available for borrowing by securities lenders or (b) such forward purchaser or any of its affiliates would incur a share borrow cost in excess of a specified threshold; (2) we declare any dividend, issue or distribution on our common shares that constitutes an extraordinary dividend under the forward sale agreement or is payable in</w:t>
      </w:r>
    </w:p>
    <w:p>
      <w:pPr>
        <w:spacing w:after="0" w:line="2" w:lineRule="exact"/>
        <w:rPr>
          <w:sz w:val="20"/>
          <w:szCs w:val="20"/>
          <w:color w:val="auto"/>
        </w:rPr>
      </w:pPr>
    </w:p>
    <w:p>
      <w:pPr>
        <w:ind w:left="120" w:hanging="4"/>
        <w:spacing w:after="0" w:line="251" w:lineRule="auto"/>
        <w:tabs>
          <w:tab w:leader="none" w:pos="3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excess of specified amounts (unless it is an extraordinary dividend), (b) securities of another company that we acquire or own (directly or indirectly) as a result of a spin-off or similar transaction, or (c) any other type of securities (other than our common shares), rights, warrants or other assets for payment at less than the prevailing market price; (3) certain ownership thresholds applicable to such forward purchaser and its affiliates are or would be exceeded; (4) an event (a) is announced that if consummated would result in a specified extraordinary event (including certain mergers or tender offers, as well as certain events involving our nationalization, our insolvency or a delisting of our common shares) or (b) occurs that would constitute a hedging disruption or change in law; or (5) certain other events of default or termination events occur, including, among others, any material misrepresentation made by us in connection with such forward sale agreement or our insolvency (each as more fully described in the relevant forward sale agreement).</w:t>
      </w:r>
    </w:p>
    <w:p>
      <w:pPr>
        <w:spacing w:after="0" w:line="19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forward purchaser’s decision to exercise its right to accelerate all or a portion of the settlement of any forward sale agreement and to require us to physically settle the relevant shares will be made irrespective of our interests, including our need for capital. In such cases, we could be required to issue and deliver common shares under the terms of the physical settlement provisions of the applicable forward sale agreement irrespective of our capital needs, which would result in dilution to our earnings per share and funds from operations per share.</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upon certain events of bankruptcy or insolvency relating to us, the forward sale agreements will terminate without further liability of the parties thereto. Following any such termination, we would not issue any common shares pursuant to such forward sale agreement agreements, and we would not receive any proceeds pursuant to the forward sale agreements.</w:t>
      </w:r>
    </w:p>
    <w:p>
      <w:pPr>
        <w:spacing w:after="0" w:line="176"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descriptions of certain provisions of the forward sale agreements appearing above and elsewhere in this prospectus supplement are not complete and are subject to, and qualified in their entirety by reference to, the terms and provisions of such forward sale agreements. A form of the forward sale agreement is included as an exhibit to the sales agreement, and the sales agreement has been or will be filed as an exhibit to a document incorporated by reference in the accompanying prospectus and may be obtained as described under “Where You Can Find More Information” in the accompanying 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 of Interest</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As described above under “Use of Proceeds,” some of the net proceeds of this offering and sales pursuant to a forward sale agreement may be used to repay amounts outstanding under our revolving credit facility and/or unsecured term loan. Affiliates of the Agents are lenders under our revolving credit facility and/or unsecured term loan; therefore, the Agents or affiliates of the Agents may receive more than 5% of the proceeds of this offering.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Agents and their respective affiliates have engaged in, and may in the future engage in, investment banking, commercial banking and other commercial dealings in the ordinary course of business with us or our affiliates. They have received, or may in the future receive, customary fees and commissions for these transactions.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Agents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Agents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All of the net proceeds from the sale of any such borrowed shares will be paid to the applicable forward purchaser (or one or more of its affiliates). Each forward purchaser will be either an Agent or an affiliate of an Agent. As a result, an Agent or its affiliate will receive the net proceeds from any sale of borrowed common shares made in connection with any forward sale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the New York Stock 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shares are listed on the NYSE under the symbol “FRT.”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121"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Pursuant to the equity distribution agreement, we have agreed to indemnify the Agents and the forward purchasers against certain liabilities, including liabilities under the Securities Act, or to contribute to payments the Agents may be required to make because of any of those liabilities.</w:t>
      </w:r>
    </w:p>
    <w:p>
      <w:pPr>
        <w:spacing w:after="0" w:line="3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legality of the common shares offered by this prospectus supplement will be passed upon for us by Pillsbury Winthrop Shaw Pittman LLP, Washington, DC. In addition, the descriptions of material federal income tax considerations contained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Agents and the forward purchasers.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60"/>
          </w:cols>
          <w:pgMar w:left="320" w:top="455" w:right="5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173990</wp:posOffset>
            </wp:positionV>
            <wp:extent cx="2245995" cy="908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4599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245110</wp:posOffset>
            </wp:positionV>
            <wp:extent cx="1491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from time to time offer, in one or more series, separately or together, the following:</w:t>
      </w:r>
    </w:p>
    <w:p>
      <w:pPr>
        <w:spacing w:after="0" w:line="131" w:lineRule="exact"/>
        <w:rPr>
          <w:sz w:val="20"/>
          <w:szCs w:val="20"/>
          <w:color w:val="auto"/>
        </w:rPr>
      </w:pPr>
    </w:p>
    <w:p>
      <w:pPr>
        <w:ind w:left="1000" w:hanging="54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securities, which may be either senior debt securities or subordinated debt securities;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shares of beneficial interest;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shares of beneficial interest;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shares of beneficial interest represented by depositary receipts;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under the symbol “FRT.”</w:t>
      </w:r>
    </w:p>
    <w:p>
      <w:pPr>
        <w:spacing w:after="0" w:line="225"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0"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6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213995</wp:posOffset>
            </wp:positionV>
            <wp:extent cx="14916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risks. See “</w:t>
      </w:r>
      <w:hyperlink w:anchor="page22">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360" w:firstLine="449"/>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207010</wp:posOffset>
            </wp:positionV>
            <wp:extent cx="14916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7, 2018.</w:t>
      </w:r>
    </w:p>
    <w:p>
      <w:pPr>
        <w:sectPr>
          <w:pgSz w:w="11900" w:h="16838" w:orient="portrait"/>
          <w:cols w:equalWidth="0" w:num="1">
            <w:col w:w="11240"/>
          </w:cols>
          <w:pgMar w:left="320" w:top="455"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7260" w:type="dxa"/>
            <w:vAlign w:val="bottom"/>
            <w:gridSpan w:val="3"/>
          </w:tcPr>
          <w:p>
            <w:pPr>
              <w:jc w:val="right"/>
              <w:ind w:right="4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39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About this Prospectus</w:t>
              </w:r>
            </w:hyperlink>
          </w:p>
        </w:tc>
        <w:tc>
          <w:tcPr>
            <w:tcW w:w="69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28"/>
        </w:trPr>
        <w:tc>
          <w:tcPr>
            <w:tcW w:w="3940" w:type="dxa"/>
            <w:vAlign w:val="bottom"/>
            <w:vMerge w:val="continue"/>
          </w:tcPr>
          <w:p>
            <w:pPr>
              <w:spacing w:after="0"/>
              <w:rPr>
                <w:sz w:val="19"/>
                <w:szCs w:val="19"/>
                <w:color w:val="auto"/>
              </w:rPr>
            </w:pPr>
          </w:p>
        </w:tc>
        <w:tc>
          <w:tcPr>
            <w:tcW w:w="694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3940" w:type="dxa"/>
            <w:vAlign w:val="bottom"/>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Forward-Looking Statements</w:t>
              </w:r>
            </w:hyperlink>
          </w:p>
        </w:tc>
        <w:tc>
          <w:tcPr>
            <w:tcW w:w="7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3940" w:type="dxa"/>
            <w:vAlign w:val="bottom"/>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Prospectus Summary</w:t>
              </w:r>
            </w:hyperlink>
          </w:p>
        </w:tc>
        <w:tc>
          <w:tcPr>
            <w:tcW w:w="7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24"/>
        </w:trPr>
        <w:tc>
          <w:tcPr>
            <w:tcW w:w="3940" w:type="dxa"/>
            <w:vAlign w:val="bottom"/>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Risk Factors</w:t>
              </w:r>
            </w:hyperlink>
          </w:p>
        </w:tc>
        <w:tc>
          <w:tcPr>
            <w:tcW w:w="7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3940" w:type="dxa"/>
            <w:vAlign w:val="bottom"/>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Use of Proceeds</w:t>
              </w:r>
            </w:hyperlink>
          </w:p>
        </w:tc>
        <w:tc>
          <w:tcPr>
            <w:tcW w:w="7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3940" w:type="dxa"/>
            <w:vAlign w:val="bottom"/>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Description of Debt Securities</w:t>
              </w:r>
            </w:hyperlink>
          </w:p>
        </w:tc>
        <w:tc>
          <w:tcPr>
            <w:tcW w:w="7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3940" w:type="dxa"/>
            <w:vAlign w:val="bottom"/>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Description of Shares of Beneficial Interest</w:t>
              </w:r>
            </w:hyperlink>
          </w:p>
        </w:tc>
        <w:tc>
          <w:tcPr>
            <w:tcW w:w="7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3940" w:type="dxa"/>
            <w:vAlign w:val="bottom"/>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Material Federal Income Tax Considerations</w:t>
              </w:r>
            </w:hyperlink>
          </w:p>
        </w:tc>
        <w:tc>
          <w:tcPr>
            <w:tcW w:w="7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24"/>
        </w:trPr>
        <w:tc>
          <w:tcPr>
            <w:tcW w:w="3940" w:type="dxa"/>
            <w:vAlign w:val="bottom"/>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Plan of Distribution</w:t>
              </w:r>
            </w:hyperlink>
          </w:p>
        </w:tc>
        <w:tc>
          <w:tcPr>
            <w:tcW w:w="7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324"/>
        </w:trPr>
        <w:tc>
          <w:tcPr>
            <w:tcW w:w="394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Legal Matters</w:t>
              </w:r>
            </w:hyperlink>
          </w:p>
        </w:tc>
        <w:tc>
          <w:tcPr>
            <w:tcW w:w="7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324"/>
        </w:trPr>
        <w:tc>
          <w:tcPr>
            <w:tcW w:w="3940" w:type="dxa"/>
            <w:vAlign w:val="bottom"/>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Experts</w:t>
              </w:r>
            </w:hyperlink>
          </w:p>
        </w:tc>
        <w:tc>
          <w:tcPr>
            <w:tcW w:w="7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24"/>
        </w:trPr>
        <w:tc>
          <w:tcPr>
            <w:tcW w:w="3940" w:type="dxa"/>
            <w:vAlign w:val="bottom"/>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Where You Can Find More Information</w:t>
              </w:r>
            </w:hyperlink>
          </w:p>
        </w:tc>
        <w:tc>
          <w:tcPr>
            <w:tcW w:w="7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65"/>
        </w:trPr>
        <w:tc>
          <w:tcPr>
            <w:tcW w:w="3940" w:type="dxa"/>
            <w:vAlign w:val="bottom"/>
          </w:tcPr>
          <w:p>
            <w:pPr>
              <w:spacing w:after="0"/>
              <w:rPr>
                <w:sz w:val="24"/>
                <w:szCs w:val="24"/>
                <w:color w:val="auto"/>
              </w:rPr>
            </w:pPr>
          </w:p>
        </w:tc>
        <w:tc>
          <w:tcPr>
            <w:tcW w:w="7260" w:type="dxa"/>
            <w:vAlign w:val="bottom"/>
            <w:gridSpan w:val="3"/>
          </w:tcPr>
          <w:p>
            <w:pPr>
              <w:jc w:val="right"/>
              <w:ind w:right="556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bl>
    <w:p>
      <w:pPr>
        <w:sectPr>
          <w:pgSz w:w="11900" w:h="16838" w:orient="portrait"/>
          <w:cols w:equalWidth="0" w:num="1">
            <w:col w:w="11180"/>
          </w:cols>
          <w:pgMar w:left="320" w:top="455" w:right="3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87"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455"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913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9132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0" w:right="440" w:firstLine="43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229" w:lineRule="exact"/>
        <w:rPr>
          <w:sz w:val="20"/>
          <w:szCs w:val="20"/>
          <w:color w:val="auto"/>
        </w:rPr>
      </w:pPr>
    </w:p>
    <w:p>
      <w:pPr>
        <w:ind w:left="200" w:right="60" w:firstLine="434"/>
        <w:spacing w:after="0" w:line="255" w:lineRule="auto"/>
        <w:rPr>
          <w:sz w:val="20"/>
          <w:szCs w:val="20"/>
          <w:color w:val="auto"/>
        </w:rPr>
      </w:pPr>
      <w:r>
        <w:rPr>
          <w:rFonts w:ascii="Times New Roman" w:cs="Times New Roman" w:eastAsia="Times New Roman" w:hAnsi="Times New Roman"/>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2018, we owned or had a majority interest in community and neighborhood shopping centers and mixed-use properties which are operated as 104 predominantly retail real estate projects comprising approximately 24.2 million square feet. In total, the real estate projects were 94.8% leased and 93.3% occupied at March 31, 2018. We have paid quarterly dividends to our shareholders continuously since our founding in 1962 and have increased our dividends per common share for 50 consecutive years.</w:t>
      </w:r>
    </w:p>
    <w:p>
      <w:pPr>
        <w:spacing w:after="0" w:line="189" w:lineRule="exact"/>
        <w:rPr>
          <w:sz w:val="20"/>
          <w:szCs w:val="20"/>
          <w:color w:val="auto"/>
        </w:rPr>
      </w:pPr>
    </w:p>
    <w:p>
      <w:pPr>
        <w:ind w:left="200" w:right="100" w:firstLine="434"/>
        <w:spacing w:after="0" w:line="282" w:lineRule="auto"/>
        <w:rPr>
          <w:sz w:val="20"/>
          <w:szCs w:val="20"/>
          <w:color w:val="auto"/>
        </w:rPr>
      </w:pPr>
      <w:r>
        <w:rPr>
          <w:rFonts w:ascii="Times New Roman" w:cs="Times New Roman" w:eastAsia="Times New Roman" w:hAnsi="Times New Roman"/>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62" w:lineRule="exact"/>
        <w:rPr>
          <w:sz w:val="20"/>
          <w:szCs w:val="20"/>
          <w:color w:val="auto"/>
        </w:rPr>
      </w:pPr>
    </w:p>
    <w:p>
      <w:pPr>
        <w:ind w:left="200" w:right="340" w:firstLine="434"/>
        <w:spacing w:after="0" w:line="276" w:lineRule="auto"/>
        <w:rPr>
          <w:sz w:val="20"/>
          <w:szCs w:val="20"/>
          <w:color w:val="auto"/>
        </w:rPr>
      </w:pPr>
      <w:r>
        <w:rPr>
          <w:rFonts w:ascii="Times New Roman" w:cs="Times New Roman" w:eastAsia="Times New Roman" w:hAnsi="Times New Roman"/>
          <w:sz w:val="17"/>
          <w:szCs w:val="17"/>
          <w:color w:val="auto"/>
        </w:rPr>
        <w:t>We were founded in 1962 as a REIT under the laws of the District of Columbia and re-formed as a real estate investment trust in the state of Maryland in 1999. Our principal executive offices are located at 1626 East Jefferson Street, Rockville, Maryland 20852. Our telephone number is</w:t>
      </w:r>
    </w:p>
    <w:p>
      <w:pPr>
        <w:spacing w:after="0" w:line="1" w:lineRule="exact"/>
        <w:rPr>
          <w:sz w:val="20"/>
          <w:szCs w:val="20"/>
          <w:color w:val="auto"/>
        </w:rPr>
      </w:pPr>
    </w:p>
    <w:p>
      <w:pPr>
        <w:ind w:left="200" w:right="280" w:hanging="6"/>
        <w:spacing w:after="0" w:line="260"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and is not incorporated herein by reference.</w:t>
      </w:r>
    </w:p>
    <w:p>
      <w:pPr>
        <w:spacing w:after="0" w:line="39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Ratios of Earnings to Fixed Charges and Combined Fixed Charges and Preferred Share Dividends</w:t>
      </w:r>
    </w:p>
    <w:p>
      <w:pPr>
        <w:spacing w:after="0" w:line="229" w:lineRule="exact"/>
        <w:rPr>
          <w:sz w:val="20"/>
          <w:szCs w:val="20"/>
          <w:color w:val="auto"/>
        </w:rPr>
      </w:pPr>
    </w:p>
    <w:p>
      <w:pPr>
        <w:ind w:left="200" w:right="240" w:firstLine="43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historical ratios of earnings to fixed charges and combined Fixed Charges and preferred share dividends for the periods indicated:</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00" w:type="dxa"/>
            <w:vAlign w:val="bottom"/>
          </w:tcPr>
          <w:p>
            <w:pPr>
              <w:spacing w:after="0"/>
              <w:rPr>
                <w:sz w:val="13"/>
                <w:szCs w:val="13"/>
                <w:color w:val="auto"/>
              </w:rPr>
            </w:pPr>
          </w:p>
        </w:tc>
        <w:tc>
          <w:tcPr>
            <w:tcW w:w="2300" w:type="dxa"/>
            <w:vAlign w:val="bottom"/>
            <w:gridSpan w:val="7"/>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40" w:type="dxa"/>
            <w:vAlign w:val="bottom"/>
          </w:tcPr>
          <w:p>
            <w:pPr>
              <w:spacing w:after="0"/>
              <w:rPr>
                <w:sz w:val="15"/>
                <w:szCs w:val="15"/>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00" w:type="dxa"/>
            <w:vAlign w:val="bottom"/>
          </w:tcPr>
          <w:p>
            <w:pPr>
              <w:spacing w:after="0"/>
              <w:rPr>
                <w:sz w:val="15"/>
                <w:szCs w:val="15"/>
                <w:color w:val="auto"/>
              </w:rPr>
            </w:pPr>
          </w:p>
        </w:tc>
        <w:tc>
          <w:tcPr>
            <w:tcW w:w="2300" w:type="dxa"/>
            <w:vAlign w:val="bottom"/>
            <w:gridSpan w:val="7"/>
            <w:vMerge w:val="continue"/>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1360" w:type="dxa"/>
            <w:vAlign w:val="bottom"/>
            <w:tcBorders>
              <w:top w:val="single" w:sz="8" w:color="auto"/>
            </w:tcBorders>
          </w:tcPr>
          <w:p>
            <w:pPr>
              <w:jc w:val="right"/>
              <w:ind w:right="46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6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combined fixed charges and preferred share dividends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ratio of earnings to fixed charges is computed by dividing earnings by fixed charges. In computing the ratio of earnings to fixed charges:</w:t>
      </w:r>
    </w:p>
    <w:p>
      <w:pPr>
        <w:spacing w:after="0" w:line="27" w:lineRule="exact"/>
        <w:rPr>
          <w:sz w:val="20"/>
          <w:szCs w:val="20"/>
          <w:color w:val="auto"/>
        </w:rPr>
      </w:pPr>
    </w:p>
    <w:p>
      <w:pPr>
        <w:ind w:left="200" w:right="60" w:hanging="6"/>
        <w:spacing w:after="0" w:line="253" w:lineRule="auto"/>
        <w:tabs>
          <w:tab w:leader="none" w:pos="4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89" w:lineRule="exact"/>
        <w:rPr>
          <w:sz w:val="20"/>
          <w:szCs w:val="20"/>
          <w:color w:val="auto"/>
        </w:rPr>
      </w:pPr>
    </w:p>
    <w:p>
      <w:pPr>
        <w:ind w:left="200" w:right="300" w:firstLine="434"/>
        <w:spacing w:after="0" w:line="255" w:lineRule="auto"/>
        <w:rPr>
          <w:sz w:val="20"/>
          <w:szCs w:val="20"/>
          <w:color w:val="auto"/>
        </w:rPr>
      </w:pPr>
      <w:r>
        <w:rPr>
          <w:rFonts w:ascii="Times New Roman" w:cs="Times New Roman" w:eastAsia="Times New Roman" w:hAnsi="Times New Roman"/>
          <w:sz w:val="18"/>
          <w:szCs w:val="18"/>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making an investment decision, please consider the risks described under the caption “Risk Factors” in our Annual Report on Form 10-K for the fiscal year ended December 31, 2017,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use the net proceeds from the sale of securities for one or more of the following:</w:t>
      </w:r>
    </w:p>
    <w:p>
      <w:pPr>
        <w:spacing w:after="0" w:line="67" w:lineRule="exact"/>
        <w:rPr>
          <w:sz w:val="20"/>
          <w:szCs w:val="20"/>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additional properties;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our development and redevelopment pipeline;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preferred shares;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1000" w:hanging="54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general, direct and unsecured obligations;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either senior debt securities or subordinated debt securities.</w:t>
      </w:r>
    </w:p>
    <w:p>
      <w:pPr>
        <w:spacing w:after="0" w:line="225" w:lineRule="exact"/>
        <w:rPr>
          <w:sz w:val="20"/>
          <w:szCs w:val="20"/>
          <w:color w:val="auto"/>
        </w:rPr>
      </w:pPr>
    </w:p>
    <w:p>
      <w:pPr>
        <w:ind w:right="720" w:firstLine="449"/>
        <w:spacing w:after="0" w:line="282" w:lineRule="auto"/>
        <w:rPr>
          <w:sz w:val="20"/>
          <w:szCs w:val="20"/>
          <w:color w:val="auto"/>
        </w:rPr>
      </w:pPr>
      <w:r>
        <w:rPr>
          <w:rFonts w:ascii="Times New Roman" w:cs="Times New Roman" w:eastAsia="Times New Roman" w:hAnsi="Times New Roman"/>
          <w:sz w:val="18"/>
          <w:szCs w:val="18"/>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62"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We may incur additional debt, subject to limitations in the agreements governing our credit and other debt facilities and other notes we may have issued.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w:t>
      </w:r>
    </w:p>
    <w:p>
      <w:pPr>
        <w:spacing w:after="0" w:line="131" w:lineRule="exact"/>
        <w:rPr>
          <w:sz w:val="20"/>
          <w:szCs w:val="20"/>
          <w:color w:val="auto"/>
        </w:rPr>
      </w:pPr>
    </w:p>
    <w:p>
      <w:pPr>
        <w:ind w:left="1000" w:hanging="54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we offer through this prospectus will not limit the amount of other debt that we may incur;</w:t>
      </w:r>
    </w:p>
    <w:p>
      <w:pPr>
        <w:spacing w:after="0" w:line="130"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list the debt securities on any securities exchange.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455" w:right="3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Indentures</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87"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87"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Terms of Debt Securities</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77" w:lineRule="exact"/>
        <w:rPr>
          <w:sz w:val="20"/>
          <w:szCs w:val="20"/>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Title. </w:t>
      </w:r>
      <w:r>
        <w:rPr>
          <w:rFonts w:ascii="Times New Roman" w:cs="Times New Roman" w:eastAsia="Times New Roman" w:hAnsi="Times New Roman"/>
          <w:sz w:val="18"/>
          <w:szCs w:val="18"/>
          <w:color w:val="auto"/>
        </w:rPr>
        <w:t>The title of the debt securities offered.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Amount. </w:t>
      </w:r>
      <w:r>
        <w:rPr>
          <w:rFonts w:ascii="Times New Roman" w:cs="Times New Roman" w:eastAsia="Times New Roman" w:hAnsi="Times New Roman"/>
          <w:sz w:val="18"/>
          <w:szCs w:val="18"/>
          <w:color w:val="auto"/>
        </w:rPr>
        <w:t>Any limit upon the total principal amount of the series of debt securities offered.</w:t>
      </w:r>
    </w:p>
    <w:p>
      <w:pPr>
        <w:spacing w:after="0" w:line="130" w:lineRule="exact"/>
        <w:rPr>
          <w:rFonts w:ascii="Times New Roman" w:cs="Times New Roman" w:eastAsia="Times New Roman" w:hAnsi="Times New Roman"/>
          <w:sz w:val="18"/>
          <w:szCs w:val="18"/>
          <w:color w:val="auto"/>
        </w:rPr>
      </w:pPr>
    </w:p>
    <w:p>
      <w:pPr>
        <w:ind w:left="1000" w:right="640" w:hanging="547"/>
        <w:spacing w:after="0" w:line="28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Maturity. </w:t>
      </w:r>
      <w:r>
        <w:rPr>
          <w:rFonts w:ascii="Times New Roman" w:cs="Times New Roman" w:eastAsia="Times New Roman" w:hAnsi="Times New Roman"/>
          <w:sz w:val="18"/>
          <w:szCs w:val="18"/>
          <w:color w:val="auto"/>
        </w:rPr>
        <w:t>The date or dates on which the principal of and premium, if any, on the offered debt securities will mature or the method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determining such date or dates.</w:t>
      </w:r>
    </w:p>
    <w:p>
      <w:pPr>
        <w:spacing w:after="0" w:line="60" w:lineRule="exact"/>
        <w:rPr>
          <w:rFonts w:ascii="Times New Roman" w:cs="Times New Roman" w:eastAsia="Times New Roman" w:hAnsi="Times New Roman"/>
          <w:sz w:val="18"/>
          <w:szCs w:val="18"/>
          <w:color w:val="auto"/>
        </w:rPr>
      </w:pPr>
    </w:p>
    <w:p>
      <w:pPr>
        <w:ind w:left="1000" w:right="20" w:hanging="547"/>
        <w:spacing w:after="0" w:line="28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Rate. </w:t>
      </w:r>
      <w:r>
        <w:rPr>
          <w:rFonts w:ascii="Times New Roman" w:cs="Times New Roman" w:eastAsia="Times New Roman" w:hAnsi="Times New Roman"/>
          <w:sz w:val="18"/>
          <w:szCs w:val="18"/>
          <w:color w:val="auto"/>
        </w:rPr>
        <w:t>The rate or rates (which may be fixed or variable) at which the offered debt securities will bear interest, if any, or the method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calculating such rate or rates.</w:t>
      </w:r>
    </w:p>
    <w:p>
      <w:pPr>
        <w:spacing w:after="0" w:line="6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Accrual. </w:t>
      </w:r>
      <w:r>
        <w:rPr>
          <w:rFonts w:ascii="Times New Roman" w:cs="Times New Roman" w:eastAsia="Times New Roman" w:hAnsi="Times New Roman"/>
          <w:sz w:val="18"/>
          <w:szCs w:val="18"/>
          <w:color w:val="auto"/>
        </w:rPr>
        <w:t>The date or dates from which interest will accrue or the method by which such date or dates will be determined.</w:t>
      </w:r>
    </w:p>
    <w:p>
      <w:pPr>
        <w:spacing w:after="0" w:line="130" w:lineRule="exact"/>
        <w:rPr>
          <w:rFonts w:ascii="Times New Roman" w:cs="Times New Roman" w:eastAsia="Times New Roman" w:hAnsi="Times New Roman"/>
          <w:sz w:val="18"/>
          <w:szCs w:val="18"/>
          <w:color w:val="auto"/>
        </w:rPr>
      </w:pPr>
    </w:p>
    <w:p>
      <w:pPr>
        <w:ind w:left="1000" w:right="240" w:hanging="547"/>
        <w:spacing w:after="0" w:line="28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Payment Dates. </w:t>
      </w:r>
      <w:r>
        <w:rPr>
          <w:rFonts w:ascii="Times New Roman" w:cs="Times New Roman" w:eastAsia="Times New Roman" w:hAnsi="Times New Roman"/>
          <w:sz w:val="18"/>
          <w:szCs w:val="18"/>
          <w:color w:val="auto"/>
        </w:rPr>
        <w:t>The date or dates on which interest will be payable and the record date or dates to determine the persons who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payment, and the basis upon which interest shall be calculated if other than that of a 360-day year of twelve 30-day months.</w:t>
      </w:r>
    </w:p>
    <w:p>
      <w:pPr>
        <w:spacing w:after="0" w:line="60" w:lineRule="exact"/>
        <w:rPr>
          <w:rFonts w:ascii="Times New Roman" w:cs="Times New Roman" w:eastAsia="Times New Roman" w:hAnsi="Times New Roman"/>
          <w:sz w:val="18"/>
          <w:szCs w:val="18"/>
          <w:color w:val="auto"/>
        </w:rPr>
      </w:pPr>
    </w:p>
    <w:p>
      <w:pPr>
        <w:ind w:left="1000" w:right="240" w:hanging="547"/>
        <w:spacing w:after="0" w:line="28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Place of Payment. </w:t>
      </w:r>
      <w:r>
        <w:rPr>
          <w:rFonts w:ascii="Times New Roman" w:cs="Times New Roman" w:eastAsia="Times New Roman" w:hAnsi="Times New Roman"/>
          <w:sz w:val="18"/>
          <w:szCs w:val="18"/>
          <w:color w:val="auto"/>
        </w:rPr>
        <w:t>The place or places where principal of, premium, if any, and interest, on the offered debt securities will be payable or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the offered debt securities may be surrendered for registration of transfer or exchange.</w:t>
      </w:r>
    </w:p>
    <w:p>
      <w:pPr>
        <w:spacing w:after="0" w:line="60" w:lineRule="exact"/>
        <w:rPr>
          <w:rFonts w:ascii="Times New Roman" w:cs="Times New Roman" w:eastAsia="Times New Roman" w:hAnsi="Times New Roman"/>
          <w:sz w:val="18"/>
          <w:szCs w:val="18"/>
          <w:color w:val="auto"/>
        </w:rPr>
      </w:pPr>
    </w:p>
    <w:p>
      <w:pPr>
        <w:ind w:left="1000" w:right="480" w:hanging="547"/>
        <w:spacing w:after="0" w:line="26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Optional Redemption. </w:t>
      </w:r>
      <w:r>
        <w:rPr>
          <w:rFonts w:ascii="Times New Roman" w:cs="Times New Roman" w:eastAsia="Times New Roman" w:hAnsi="Times New Roman"/>
          <w:sz w:val="18"/>
          <w:szCs w:val="18"/>
          <w:color w:val="auto"/>
        </w:rPr>
        <w:t>The period or periods within which, the price or prices at which, the currency or currencies (if other than in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dollars), including currency unit or units, in which, and the other terms and conditions upon which, the offered debt securities may be redeemed, in whole or in part, at our option, if we have that option.</w:t>
      </w:r>
    </w:p>
    <w:p>
      <w:pPr>
        <w:spacing w:after="0" w:line="35" w:lineRule="exact"/>
        <w:rPr>
          <w:rFonts w:ascii="Times New Roman" w:cs="Times New Roman" w:eastAsia="Times New Roman" w:hAnsi="Times New Roman"/>
          <w:sz w:val="18"/>
          <w:szCs w:val="18"/>
          <w:color w:val="auto"/>
        </w:rPr>
      </w:pPr>
    </w:p>
    <w:p>
      <w:pPr>
        <w:ind w:left="1000" w:right="180" w:hanging="547"/>
        <w:spacing w:after="0" w:line="28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Mandatory Redemption. </w:t>
      </w:r>
      <w:r>
        <w:rPr>
          <w:rFonts w:ascii="Times New Roman" w:cs="Times New Roman" w:eastAsia="Times New Roman" w:hAnsi="Times New Roman"/>
          <w:sz w:val="18"/>
          <w:szCs w:val="18"/>
          <w:color w:val="auto"/>
        </w:rPr>
        <w:t>The obligation, if any, we have to redeem or repurchase the offered debt securities pursuant to any sinking fund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similar provisions or upon the happening of a specified event or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455" w:right="3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60"/>
        <w:spacing w:after="0" w:line="266" w:lineRule="auto"/>
        <w:rPr>
          <w:sz w:val="20"/>
          <w:szCs w:val="20"/>
          <w:color w:val="auto"/>
        </w:rPr>
      </w:pPr>
      <w:r>
        <w:rPr>
          <w:rFonts w:ascii="Times New Roman" w:cs="Times New Roman" w:eastAsia="Times New Roman" w:hAnsi="Times New Roman"/>
          <w:sz w:val="18"/>
          <w:szCs w:val="18"/>
          <w:color w:val="auto"/>
        </w:rPr>
        <w:t>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77" w:lineRule="exact"/>
        <w:rPr>
          <w:sz w:val="20"/>
          <w:szCs w:val="20"/>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The denominations in which the offered debt securities are authorized to be issued.</w:t>
      </w:r>
    </w:p>
    <w:p>
      <w:pPr>
        <w:spacing w:after="0" w:line="130" w:lineRule="exact"/>
        <w:rPr>
          <w:rFonts w:ascii="Times New Roman" w:cs="Times New Roman" w:eastAsia="Times New Roman" w:hAnsi="Times New Roman"/>
          <w:sz w:val="18"/>
          <w:szCs w:val="18"/>
          <w:color w:val="auto"/>
        </w:rPr>
      </w:pPr>
    </w:p>
    <w:p>
      <w:pPr>
        <w:ind w:left="1000" w:hanging="547"/>
        <w:spacing w:after="0" w:line="26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Currency. </w:t>
      </w:r>
      <w:r>
        <w:rPr>
          <w:rFonts w:ascii="Times New Roman" w:cs="Times New Roman" w:eastAsia="Times New Roman" w:hAnsi="Times New Roman"/>
          <w:sz w:val="18"/>
          <w:szCs w:val="18"/>
          <w:color w:val="auto"/>
        </w:rPr>
        <w:t>The currency or currency unit in which the offered debt securities may be denominated and/or the currency or currencies,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81" w:lineRule="exact"/>
        <w:rPr>
          <w:rFonts w:ascii="Times New Roman" w:cs="Times New Roman" w:eastAsia="Times New Roman" w:hAnsi="Times New Roman"/>
          <w:sz w:val="18"/>
          <w:szCs w:val="18"/>
          <w:color w:val="auto"/>
        </w:rPr>
      </w:pPr>
    </w:p>
    <w:p>
      <w:pPr>
        <w:ind w:left="1000" w:right="540" w:hanging="547"/>
        <w:spacing w:after="0" w:line="28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Indexed Principal. </w:t>
      </w:r>
      <w:r>
        <w:rPr>
          <w:rFonts w:ascii="Times New Roman" w:cs="Times New Roman" w:eastAsia="Times New Roman" w:hAnsi="Times New Roman"/>
          <w:sz w:val="18"/>
          <w:szCs w:val="18"/>
          <w:color w:val="auto"/>
        </w:rPr>
        <w:t>If the amount of principal of, or premium, if any, or interest on, the offered debt securities may be determined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 to an index or pursuant to a formula or other method, the manner in which such amounts will be determined.</w:t>
      </w:r>
    </w:p>
    <w:p>
      <w:pPr>
        <w:spacing w:after="0" w:line="60" w:lineRule="exact"/>
        <w:rPr>
          <w:rFonts w:ascii="Times New Roman" w:cs="Times New Roman" w:eastAsia="Times New Roman" w:hAnsi="Times New Roman"/>
          <w:sz w:val="18"/>
          <w:szCs w:val="18"/>
          <w:color w:val="auto"/>
        </w:rPr>
      </w:pPr>
    </w:p>
    <w:p>
      <w:pPr>
        <w:ind w:left="1000" w:right="220" w:hanging="547"/>
        <w:spacing w:after="0" w:line="28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on Acceleration. </w:t>
      </w:r>
      <w:r>
        <w:rPr>
          <w:rFonts w:ascii="Times New Roman" w:cs="Times New Roman" w:eastAsia="Times New Roman" w:hAnsi="Times New Roman"/>
          <w:sz w:val="18"/>
          <w:szCs w:val="18"/>
          <w:color w:val="auto"/>
        </w:rPr>
        <w:t>If other than the principal amount, the amount which will be payable upon declaration of the acceleration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maturity or the method by which such portion shall be determined.</w:t>
      </w:r>
    </w:p>
    <w:p>
      <w:pPr>
        <w:spacing w:after="0" w:line="6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Rights. </w:t>
      </w:r>
      <w:r>
        <w:rPr>
          <w:rFonts w:ascii="Times New Roman" w:cs="Times New Roman" w:eastAsia="Times New Roman" w:hAnsi="Times New Roman"/>
          <w:sz w:val="18"/>
          <w:szCs w:val="18"/>
          <w:color w:val="auto"/>
        </w:rPr>
        <w:t>Provisions, if any, granting special rights to the holders of the offered debt securities if certain specified events occur.</w:t>
      </w:r>
    </w:p>
    <w:p>
      <w:pPr>
        <w:spacing w:after="0" w:line="130" w:lineRule="exact"/>
        <w:rPr>
          <w:rFonts w:ascii="Times New Roman" w:cs="Times New Roman" w:eastAsia="Times New Roman" w:hAnsi="Times New Roman"/>
          <w:sz w:val="18"/>
          <w:szCs w:val="18"/>
          <w:color w:val="auto"/>
        </w:rPr>
      </w:pPr>
    </w:p>
    <w:p>
      <w:pPr>
        <w:ind w:left="1000" w:right="320" w:hanging="547"/>
        <w:spacing w:after="0" w:line="28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Modifications to Indentures. </w:t>
      </w:r>
      <w:r>
        <w:rPr>
          <w:rFonts w:ascii="Times New Roman" w:cs="Times New Roman" w:eastAsia="Times New Roman" w:hAnsi="Times New Roman"/>
          <w:sz w:val="18"/>
          <w:szCs w:val="18"/>
          <w:color w:val="auto"/>
        </w:rPr>
        <w:t>Any addition to, or modification or deletion of, any event of default or any of the covenants specified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indenture with respect to the offered debt securities.</w:t>
      </w:r>
    </w:p>
    <w:p>
      <w:pPr>
        <w:spacing w:after="0" w:line="60" w:lineRule="exact"/>
        <w:rPr>
          <w:rFonts w:ascii="Times New Roman" w:cs="Times New Roman" w:eastAsia="Times New Roman" w:hAnsi="Times New Roman"/>
          <w:sz w:val="18"/>
          <w:szCs w:val="18"/>
          <w:color w:val="auto"/>
        </w:rPr>
      </w:pPr>
    </w:p>
    <w:p>
      <w:pPr>
        <w:ind w:left="1000" w:right="380" w:hanging="547"/>
        <w:spacing w:after="0" w:line="28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“Gross-Up.” </w:t>
      </w:r>
      <w:r>
        <w:rPr>
          <w:rFonts w:ascii="Times New Roman" w:cs="Times New Roman" w:eastAsia="Times New Roman" w:hAnsi="Times New Roman"/>
          <w:sz w:val="18"/>
          <w:szCs w:val="18"/>
          <w:color w:val="auto"/>
        </w:rPr>
        <w:t>The circumstances, if any, under which we will pay additional amounts on the offered debt securities held by non-U.S.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persons for taxes, assessments or similar charges.</w:t>
      </w:r>
    </w:p>
    <w:p>
      <w:pPr>
        <w:spacing w:after="0" w:line="6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Whether the offered debt securities will be issued in registered or bearer form or both.</w:t>
      </w:r>
    </w:p>
    <w:p>
      <w:pPr>
        <w:spacing w:after="0" w:line="130" w:lineRule="exact"/>
        <w:rPr>
          <w:rFonts w:ascii="Times New Roman" w:cs="Times New Roman" w:eastAsia="Times New Roman" w:hAnsi="Times New Roman"/>
          <w:sz w:val="18"/>
          <w:szCs w:val="18"/>
          <w:color w:val="auto"/>
        </w:rPr>
      </w:pPr>
    </w:p>
    <w:p>
      <w:pPr>
        <w:ind w:left="1000" w:right="660" w:hanging="547"/>
        <w:spacing w:after="0" w:line="28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Dates of Certificates. </w:t>
      </w:r>
      <w:r>
        <w:rPr>
          <w:rFonts w:ascii="Times New Roman" w:cs="Times New Roman" w:eastAsia="Times New Roman" w:hAnsi="Times New Roman"/>
          <w:sz w:val="18"/>
          <w:szCs w:val="18"/>
          <w:color w:val="auto"/>
        </w:rPr>
        <w:t>The date as of which any offered debt securities in bearer form and any temporary global security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securities are dated, if other than the original issuance date of the offered debt securities.</w:t>
      </w:r>
    </w:p>
    <w:p>
      <w:pPr>
        <w:spacing w:after="0" w:line="6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Forms. </w:t>
      </w:r>
      <w:r>
        <w:rPr>
          <w:rFonts w:ascii="Times New Roman" w:cs="Times New Roman" w:eastAsia="Times New Roman" w:hAnsi="Times New Roman"/>
          <w:sz w:val="18"/>
          <w:szCs w:val="18"/>
          <w:color w:val="auto"/>
        </w:rPr>
        <w:t>The forms of the securities and interest coupons, if any, of the series.</w:t>
      </w:r>
    </w:p>
    <w:p>
      <w:pPr>
        <w:spacing w:after="0" w:line="130" w:lineRule="exact"/>
        <w:rPr>
          <w:rFonts w:ascii="Times New Roman" w:cs="Times New Roman" w:eastAsia="Times New Roman" w:hAnsi="Times New Roman"/>
          <w:sz w:val="18"/>
          <w:szCs w:val="18"/>
          <w:color w:val="auto"/>
        </w:rPr>
      </w:pPr>
    </w:p>
    <w:p>
      <w:pPr>
        <w:ind w:left="1000" w:right="40" w:hanging="547"/>
        <w:spacing w:after="0" w:line="28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Registrar and Paying Agent. </w:t>
      </w:r>
      <w:r>
        <w:rPr>
          <w:rFonts w:ascii="Times New Roman" w:cs="Times New Roman" w:eastAsia="Times New Roman" w:hAnsi="Times New Roman"/>
          <w:sz w:val="18"/>
          <w:szCs w:val="18"/>
          <w:color w:val="auto"/>
        </w:rPr>
        <w:t>If other than the trustee under the applicable indenture, the identity of the registrar and any paying agent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debt securities.</w:t>
      </w:r>
    </w:p>
    <w:p>
      <w:pPr>
        <w:spacing w:after="0" w:line="6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Defeasance. </w:t>
      </w:r>
      <w:r>
        <w:rPr>
          <w:rFonts w:ascii="Times New Roman" w:cs="Times New Roman" w:eastAsia="Times New Roman" w:hAnsi="Times New Roman"/>
          <w:sz w:val="18"/>
          <w:szCs w:val="18"/>
          <w:color w:val="auto"/>
        </w:rPr>
        <w:t>Any means of defeasance or covenant defeasance that may be specified for the offered debt securities.</w:t>
      </w:r>
    </w:p>
    <w:p>
      <w:pPr>
        <w:spacing w:after="0" w:line="130" w:lineRule="exact"/>
        <w:rPr>
          <w:rFonts w:ascii="Times New Roman" w:cs="Times New Roman" w:eastAsia="Times New Roman" w:hAnsi="Times New Roman"/>
          <w:sz w:val="18"/>
          <w:szCs w:val="18"/>
          <w:color w:val="auto"/>
        </w:rPr>
      </w:pPr>
    </w:p>
    <w:p>
      <w:pPr>
        <w:ind w:left="1000" w:right="60" w:hanging="547"/>
        <w:spacing w:after="0" w:line="26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Securities. </w:t>
      </w:r>
      <w:r>
        <w:rPr>
          <w:rFonts w:ascii="Times New Roman" w:cs="Times New Roman" w:eastAsia="Times New Roman" w:hAnsi="Times New Roman"/>
          <w:sz w:val="18"/>
          <w:szCs w:val="18"/>
          <w:color w:val="auto"/>
        </w:rPr>
        <w:t>Whether the offered debt securities are to be issued in whole or in part in the form of one or more temporary or permanent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81" w:lineRule="exact"/>
        <w:rPr>
          <w:rFonts w:ascii="Times New Roman" w:cs="Times New Roman" w:eastAsia="Times New Roman" w:hAnsi="Times New Roman"/>
          <w:sz w:val="18"/>
          <w:szCs w:val="18"/>
          <w:color w:val="auto"/>
        </w:rPr>
      </w:pPr>
    </w:p>
    <w:p>
      <w:pPr>
        <w:jc w:val="both"/>
        <w:ind w:left="1000" w:right="140" w:hanging="547"/>
        <w:spacing w:after="0" w:line="26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Documentation. </w:t>
      </w:r>
      <w:r>
        <w:rPr>
          <w:rFonts w:ascii="Times New Roman" w:cs="Times New Roman" w:eastAsia="Times New Roman" w:hAnsi="Times New Roman"/>
          <w:sz w:val="18"/>
          <w:szCs w:val="18"/>
          <w:color w:val="auto"/>
        </w:rPr>
        <w:t>If the offered debt securities may be issued or delivered, or any installment of principal or interest may be paid, only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76" w:lineRule="exact"/>
        <w:rPr>
          <w:rFonts w:ascii="Times New Roman" w:cs="Times New Roman" w:eastAsia="Times New Roman" w:hAnsi="Times New Roman"/>
          <w:sz w:val="18"/>
          <w:szCs w:val="18"/>
          <w:color w:val="auto"/>
        </w:rPr>
      </w:pPr>
    </w:p>
    <w:p>
      <w:pPr>
        <w:ind w:left="1000" w:right="140" w:hanging="547"/>
        <w:spacing w:after="0" w:line="28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Payees. </w:t>
      </w:r>
      <w:r>
        <w:rPr>
          <w:rFonts w:ascii="Times New Roman" w:cs="Times New Roman" w:eastAsia="Times New Roman" w:hAnsi="Times New Roman"/>
          <w:sz w:val="18"/>
          <w:szCs w:val="18"/>
          <w:color w:val="auto"/>
        </w:rPr>
        <w:t>If other than as provided in the applicable indenture, the person to whom any interest on any registered security of the series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payable and the manner in which, or the person to whom, any interest on any bearer securities of the series will be payable.</w:t>
      </w:r>
    </w:p>
    <w:p>
      <w:pPr>
        <w:spacing w:after="0" w:line="60" w:lineRule="exact"/>
        <w:rPr>
          <w:rFonts w:ascii="Times New Roman" w:cs="Times New Roman" w:eastAsia="Times New Roman" w:hAnsi="Times New Roman"/>
          <w:sz w:val="18"/>
          <w:szCs w:val="18"/>
          <w:color w:val="auto"/>
        </w:rPr>
      </w:pPr>
    </w:p>
    <w:p>
      <w:pPr>
        <w:ind w:left="1000" w:right="20" w:hanging="547"/>
        <w:spacing w:after="0" w:line="28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Any definitions for the offered debt securities of that series that are different from or in addition to the definitions included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indenture, including, without limitation, the definition of “unrestricted subsidiary” to be used for such series.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455" w:right="3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00" w:right="20" w:hanging="547"/>
        <w:spacing w:after="0" w:line="26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Subordination. </w:t>
      </w:r>
      <w:r>
        <w:rPr>
          <w:rFonts w:ascii="Times New Roman" w:cs="Times New Roman" w:eastAsia="Times New Roman" w:hAnsi="Times New Roman"/>
          <w:sz w:val="18"/>
          <w:szCs w:val="18"/>
          <w:color w:val="auto"/>
        </w:rPr>
        <w:t>In the case of any subordinated indenture that we may enter into, the relative degree to which the offered debt securities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senior to or junior to other debt securities, whether currently outstanding or to be offered in the future, and to other debt, in right of payment.</w:t>
      </w:r>
    </w:p>
    <w:p>
      <w:pPr>
        <w:spacing w:after="0" w:line="76" w:lineRule="exact"/>
        <w:rPr>
          <w:rFonts w:ascii="Times New Roman" w:cs="Times New Roman" w:eastAsia="Times New Roman" w:hAnsi="Times New Roman"/>
          <w:sz w:val="18"/>
          <w:szCs w:val="18"/>
          <w:color w:val="auto"/>
        </w:rPr>
      </w:pPr>
    </w:p>
    <w:p>
      <w:pPr>
        <w:ind w:left="1000" w:right="680" w:hanging="547"/>
        <w:spacing w:after="0" w:line="28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Guarantees. </w:t>
      </w:r>
      <w:r>
        <w:rPr>
          <w:rFonts w:ascii="Times New Roman" w:cs="Times New Roman" w:eastAsia="Times New Roman" w:hAnsi="Times New Roman"/>
          <w:sz w:val="18"/>
          <w:szCs w:val="18"/>
          <w:color w:val="auto"/>
        </w:rPr>
        <w:t>Whether the offered debt securities are guaranteed and, if so, the identity of the guarantors and the terms of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guarantees (including whether and the extent to which the guarantees are subordinated to other debt of the guarantors).</w:t>
      </w:r>
    </w:p>
    <w:p>
      <w:pPr>
        <w:spacing w:after="0" w:line="60" w:lineRule="exact"/>
        <w:rPr>
          <w:rFonts w:ascii="Times New Roman" w:cs="Times New Roman" w:eastAsia="Times New Roman" w:hAnsi="Times New Roman"/>
          <w:sz w:val="18"/>
          <w:szCs w:val="18"/>
          <w:color w:val="auto"/>
        </w:rPr>
      </w:pPr>
    </w:p>
    <w:p>
      <w:pPr>
        <w:ind w:left="1000" w:right="180" w:hanging="547"/>
        <w:spacing w:after="0" w:line="291" w:lineRule="auto"/>
        <w:tabs>
          <w:tab w:leader="none" w:pos="10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Conversion. </w:t>
      </w:r>
      <w:r>
        <w:rPr>
          <w:rFonts w:ascii="Times New Roman" w:cs="Times New Roman" w:eastAsia="Times New Roman" w:hAnsi="Times New Roman"/>
          <w:sz w:val="17"/>
          <w:szCs w:val="17"/>
          <w:color w:val="auto"/>
        </w:rPr>
        <w:t>The terms, if any, upon which the offered debt securities may be converted or exchanged into or for our common shares,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preferred 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58" w:lineRule="exact"/>
        <w:rPr>
          <w:rFonts w:ascii="Times New Roman" w:cs="Times New Roman" w:eastAsia="Times New Roman" w:hAnsi="Times New Roman"/>
          <w:sz w:val="17"/>
          <w:szCs w:val="17"/>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Restrictions. </w:t>
      </w:r>
      <w:r>
        <w:rPr>
          <w:rFonts w:ascii="Times New Roman" w:cs="Times New Roman" w:eastAsia="Times New Roman" w:hAnsi="Times New Roman"/>
          <w:sz w:val="18"/>
          <w:szCs w:val="18"/>
          <w:color w:val="auto"/>
        </w:rPr>
        <w:t>Any restrictions on the registration, transfer or exchange of the offered debt securities.</w:t>
      </w:r>
    </w:p>
    <w:p>
      <w:pPr>
        <w:spacing w:after="0" w:line="130" w:lineRule="exact"/>
        <w:rPr>
          <w:rFonts w:ascii="Times New Roman" w:cs="Times New Roman" w:eastAsia="Times New Roman" w:hAnsi="Times New Roman"/>
          <w:sz w:val="18"/>
          <w:szCs w:val="18"/>
          <w:color w:val="auto"/>
        </w:rPr>
      </w:pPr>
    </w:p>
    <w:p>
      <w:pPr>
        <w:ind w:left="1000" w:right="80" w:hanging="547"/>
        <w:spacing w:after="0" w:line="26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Terms. </w:t>
      </w:r>
      <w:r>
        <w:rPr>
          <w:rFonts w:ascii="Times New Roman" w:cs="Times New Roman" w:eastAsia="Times New Roman" w:hAnsi="Times New Roman"/>
          <w:sz w:val="18"/>
          <w:szCs w:val="18"/>
          <w:color w:val="auto"/>
        </w:rPr>
        <w:t>Any other terms not inconsistent with the terms of the applicable indenture pertaining to the offered debt securities or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required or advisable under U.S. laws or regulations or advisable, as we determine, in connection with marketing of securities of the series.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Securities and Related Matters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Debt securities may be offered in either registered or bearer form.</w:t>
      </w:r>
    </w:p>
    <w:p>
      <w:pPr>
        <w:spacing w:after="0" w:line="135" w:lineRule="exact"/>
        <w:rPr>
          <w:sz w:val="20"/>
          <w:szCs w:val="20"/>
          <w:color w:val="auto"/>
        </w:rPr>
      </w:pPr>
    </w:p>
    <w:p>
      <w:pPr>
        <w:ind w:left="1000" w:right="40" w:hanging="54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registered form, we may treat the person named in the register as the owner of the debt securities for all purposes, including payment, exchange and transfer.</w:t>
      </w:r>
    </w:p>
    <w:p>
      <w:pPr>
        <w:spacing w:after="0" w:line="67" w:lineRule="exact"/>
        <w:rPr>
          <w:rFonts w:ascii="Times New Roman" w:cs="Times New Roman" w:eastAsia="Times New Roman" w:hAnsi="Times New Roman"/>
          <w:sz w:val="18"/>
          <w:szCs w:val="18"/>
          <w:color w:val="auto"/>
        </w:rPr>
      </w:pPr>
    </w:p>
    <w:p>
      <w:pPr>
        <w:ind w:left="1000" w:hanging="547"/>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Unless we say otherwise in a prospectus supplement, we will issue debt securities in denominations of:</w:t>
      </w:r>
    </w:p>
    <w:p>
      <w:pPr>
        <w:spacing w:after="0" w:line="135" w:lineRule="exact"/>
        <w:rPr>
          <w:sz w:val="20"/>
          <w:szCs w:val="20"/>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$1,000 (or multiples of $1,000) if we issue the debt securities in registered form;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$5,000 (or multiples of $5,000) if we issue debt securities in bearer form.</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Currencies and Indexed Securities. </w:t>
      </w:r>
      <w:r>
        <w:rPr>
          <w:rFonts w:ascii="Times New Roman" w:cs="Times New Roman" w:eastAsia="Times New Roman" w:hAnsi="Times New Roman"/>
          <w:sz w:val="18"/>
          <w:szCs w:val="18"/>
          <w:color w:val="auto"/>
        </w:rPr>
        <w:t>We may offer debt securities for which:</w:t>
      </w:r>
    </w:p>
    <w:p>
      <w:pPr>
        <w:spacing w:after="0" w:line="135" w:lineRule="exact"/>
        <w:rPr>
          <w:sz w:val="20"/>
          <w:szCs w:val="20"/>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is payable in a currency other than U.S. dollars;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denominated in a currency other than U.S. dollars;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other currency may be a currency unit composed of various currencies. Payments on debt securities may also be based on an index.</w:t>
      </w:r>
    </w:p>
    <w:p>
      <w:pPr>
        <w:spacing w:after="0" w:line="221" w:lineRule="exact"/>
        <w:rPr>
          <w:sz w:val="20"/>
          <w:szCs w:val="20"/>
          <w:color w:val="auto"/>
        </w:rPr>
      </w:pPr>
    </w:p>
    <w:p>
      <w:pPr>
        <w:jc w:val="both"/>
        <w:ind w:right="12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Transfer and Exchange. </w:t>
      </w:r>
      <w:r>
        <w:rPr>
          <w:rFonts w:ascii="Times New Roman" w:cs="Times New Roman" w:eastAsia="Times New Roman" w:hAnsi="Times New Roman"/>
          <w:sz w:val="18"/>
          <w:szCs w:val="18"/>
          <w:color w:val="auto"/>
        </w:rPr>
        <w:t>Unless we say otherwise in a prospectus supplement, the office for paying principal, interest and other amounts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debt securities is U.S. Bank National Association, 214 North Tryon Street,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Charlotte, North Carolina 28202. We will notify you of any change in the office’s location. At our option, however, we may make any interest payments on debt securities issued in registered form by:</w:t>
      </w:r>
    </w:p>
    <w:p>
      <w:pPr>
        <w:spacing w:after="0" w:line="80" w:lineRule="exact"/>
        <w:rPr>
          <w:sz w:val="20"/>
          <w:szCs w:val="20"/>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checks to you at the address as it appears in the applicable register for the series of debt securities;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of immediately available funds to an account you maintain located in the United States.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320" w:top="455" w:right="3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pay interest to the person whose name is in the register at the close of business on the regular record date for such interest.</w:t>
      </w:r>
    </w:p>
    <w:p>
      <w:pPr>
        <w:spacing w:after="0" w:line="162"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payment of interest on bearer securities may be made by transfer to an account you maintain with a bank located outside the United States.</w:t>
      </w:r>
    </w:p>
    <w:p>
      <w:pPr>
        <w:spacing w:after="0" w:line="162"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a nominee for the depositary;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a custodian therefor;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58" w:lineRule="exact"/>
        <w:rPr>
          <w:sz w:val="20"/>
          <w:szCs w:val="20"/>
          <w:color w:val="auto"/>
        </w:rPr>
      </w:pPr>
    </w:p>
    <w:p>
      <w:pPr>
        <w:ind w:right="4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Existence. </w:t>
      </w:r>
      <w:r>
        <w:rPr>
          <w:rFonts w:ascii="Times New Roman" w:cs="Times New Roman" w:eastAsia="Times New Roman" w:hAnsi="Times New Roman"/>
          <w:sz w:val="18"/>
          <w:szCs w:val="18"/>
          <w:color w:val="auto"/>
        </w:rPr>
        <w:t>Except as permitted under “Consolidation, Merger or Sale of Assets,” we will do or cause to be done all things necessary to preserve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71" w:lineRule="exact"/>
        <w:rPr>
          <w:sz w:val="20"/>
          <w:szCs w:val="20"/>
          <w:color w:val="auto"/>
        </w:rPr>
      </w:pPr>
    </w:p>
    <w:p>
      <w:pPr>
        <w:ind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Properties. </w:t>
      </w:r>
      <w:r>
        <w:rPr>
          <w:rFonts w:ascii="Times New Roman" w:cs="Times New Roman" w:eastAsia="Times New Roman" w:hAnsi="Times New Roman"/>
          <w:sz w:val="18"/>
          <w:szCs w:val="18"/>
          <w:color w:val="auto"/>
        </w:rPr>
        <w:t>We will cause all of our material properties used or useful in the conduct of our business to be maintained and kept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of Taxes and Other Claims. </w:t>
      </w:r>
      <w:r>
        <w:rPr>
          <w:rFonts w:ascii="Times New Roman" w:cs="Times New Roman" w:eastAsia="Times New Roman" w:hAnsi="Times New Roman"/>
          <w:sz w:val="18"/>
          <w:szCs w:val="18"/>
          <w:color w:val="auto"/>
        </w:rPr>
        <w:t>We will pay or discharge or cause to be paid or discharged, before they shall become delinquent:</w:t>
      </w:r>
    </w:p>
    <w:p>
      <w:pPr>
        <w:spacing w:after="0" w:line="135" w:lineRule="exact"/>
        <w:rPr>
          <w:sz w:val="20"/>
          <w:szCs w:val="20"/>
          <w:color w:val="auto"/>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upon us or upon our income, profits or property,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455" w:right="4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of Financial Information. </w:t>
      </w:r>
      <w:r>
        <w:rPr>
          <w:rFonts w:ascii="Times New Roman" w:cs="Times New Roman" w:eastAsia="Times New Roman" w:hAnsi="Times New Roman"/>
          <w:sz w:val="18"/>
          <w:szCs w:val="18"/>
          <w:color w:val="auto"/>
        </w:rPr>
        <w:t>Whether or not we are subject to Section 13 or 15(d) of the Exchange Act, we will, within 15 days of each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respective dates by which we would have been required to file annual reports, quarterly reports and other documents with the SEC if we were so subject:</w:t>
      </w:r>
    </w:p>
    <w:p>
      <w:pPr>
        <w:spacing w:after="0" w:line="80" w:lineRule="exact"/>
        <w:rPr>
          <w:sz w:val="20"/>
          <w:szCs w:val="20"/>
          <w:color w:val="auto"/>
        </w:rPr>
      </w:pPr>
    </w:p>
    <w:p>
      <w:pPr>
        <w:ind w:left="1000" w:right="220" w:hanging="547"/>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1"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67" w:lineRule="exact"/>
        <w:rPr>
          <w:rFonts w:ascii="Times New Roman" w:cs="Times New Roman" w:eastAsia="Times New Roman" w:hAnsi="Times New Roman"/>
          <w:sz w:val="18"/>
          <w:szCs w:val="18"/>
          <w:color w:val="auto"/>
        </w:rPr>
      </w:pPr>
    </w:p>
    <w:p>
      <w:pPr>
        <w:ind w:left="1000" w:right="440" w:hanging="54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written request and payment of the reasonable cost of duplication and delivery, supply copies of those documents to any prospective holder.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121" w:lineRule="exact"/>
        <w:rPr>
          <w:sz w:val="20"/>
          <w:szCs w:val="20"/>
          <w:color w:val="auto"/>
        </w:rPr>
      </w:pPr>
    </w:p>
    <w:p>
      <w:pPr>
        <w:ind w:right="520" w:firstLine="449"/>
        <w:spacing w:after="0" w:line="312" w:lineRule="auto"/>
        <w:rPr>
          <w:sz w:val="20"/>
          <w:szCs w:val="20"/>
          <w:color w:val="auto"/>
        </w:rPr>
      </w:pPr>
      <w:r>
        <w:rPr>
          <w:rFonts w:ascii="Times New Roman" w:cs="Times New Roman" w:eastAsia="Times New Roman" w:hAnsi="Times New Roman"/>
          <w:sz w:val="17"/>
          <w:szCs w:val="17"/>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5" w:lineRule="exact"/>
        <w:rPr>
          <w:sz w:val="20"/>
          <w:szCs w:val="20"/>
          <w:color w:val="auto"/>
        </w:rPr>
      </w:pPr>
    </w:p>
    <w:p>
      <w:pPr>
        <w:ind w:left="1000" w:hanging="54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be the continuing entity, or</w:t>
      </w:r>
    </w:p>
    <w:p>
      <w:pPr>
        <w:spacing w:after="0" w:line="130" w:lineRule="exact"/>
        <w:rPr>
          <w:rFonts w:ascii="Times New Roman" w:cs="Times New Roman" w:eastAsia="Times New Roman" w:hAnsi="Times New Roman"/>
          <w:sz w:val="18"/>
          <w:szCs w:val="18"/>
          <w:color w:val="auto"/>
        </w:rPr>
      </w:pPr>
    </w:p>
    <w:p>
      <w:pPr>
        <w:ind w:left="1440" w:hanging="433"/>
        <w:spacing w:after="0" w:line="266" w:lineRule="auto"/>
        <w:tabs>
          <w:tab w:leader="none" w:pos="14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1" w:lineRule="exact"/>
        <w:rPr>
          <w:rFonts w:ascii="Times New Roman" w:cs="Times New Roman" w:eastAsia="Times New Roman" w:hAnsi="Times New Roman"/>
          <w:sz w:val="18"/>
          <w:szCs w:val="18"/>
          <w:color w:val="auto"/>
        </w:rPr>
      </w:pPr>
    </w:p>
    <w:p>
      <w:pPr>
        <w:ind w:left="1000" w:right="580" w:hanging="54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transactions, no default or event of default under the debt securities shall have occurred and be continuing; and</w:t>
      </w:r>
    </w:p>
    <w:p>
      <w:pPr>
        <w:spacing w:after="0" w:line="67" w:lineRule="exact"/>
        <w:rPr>
          <w:rFonts w:ascii="Times New Roman" w:cs="Times New Roman" w:eastAsia="Times New Roman" w:hAnsi="Times New Roman"/>
          <w:sz w:val="18"/>
          <w:szCs w:val="18"/>
          <w:color w:val="auto"/>
        </w:rPr>
      </w:pPr>
    </w:p>
    <w:p>
      <w:pPr>
        <w:ind w:left="1000" w:right="60" w:hanging="547"/>
        <w:spacing w:after="0" w:line="261"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17" w:lineRule="exact"/>
        <w:rPr>
          <w:sz w:val="20"/>
          <w:szCs w:val="20"/>
          <w:color w:val="auto"/>
        </w:rPr>
      </w:pPr>
    </w:p>
    <w:p>
      <w:pPr>
        <w:ind w:right="120" w:firstLine="4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Generally. </w:t>
      </w:r>
      <w:r>
        <w:rPr>
          <w:rFonts w:ascii="Times New Roman" w:cs="Times New Roman" w:eastAsia="Times New Roman" w:hAnsi="Times New Roman"/>
          <w:sz w:val="18"/>
          <w:szCs w:val="18"/>
          <w:color w:val="auto"/>
        </w:rPr>
        <w:t>Unless we say otherwise in a prospectus supplement, the payment of principal, premium, if any, and interest on subordinated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3"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1" w:lineRule="exact"/>
        <w:rPr>
          <w:sz w:val="20"/>
          <w:szCs w:val="20"/>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for money borrowed or represented by purchase-money obligations;</w:t>
      </w:r>
    </w:p>
    <w:p>
      <w:pPr>
        <w:spacing w:after="0" w:line="130" w:lineRule="exact"/>
        <w:rPr>
          <w:rFonts w:ascii="Times New Roman" w:cs="Times New Roman" w:eastAsia="Times New Roman" w:hAnsi="Times New Roman"/>
          <w:sz w:val="18"/>
          <w:szCs w:val="18"/>
          <w:color w:val="auto"/>
        </w:rPr>
      </w:pPr>
    </w:p>
    <w:p>
      <w:pPr>
        <w:ind w:left="1000" w:right="720" w:hanging="54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evidenced by notes, debentures, or bonds, or other securities issued under the provisions of an indenture, fiscal agency agreement or other instrument;</w:t>
      </w:r>
    </w:p>
    <w:p>
      <w:pPr>
        <w:spacing w:after="0" w:line="67" w:lineRule="exact"/>
        <w:rPr>
          <w:rFonts w:ascii="Times New Roman" w:cs="Times New Roman" w:eastAsia="Times New Roman" w:hAnsi="Times New Roman"/>
          <w:sz w:val="18"/>
          <w:szCs w:val="18"/>
          <w:color w:val="auto"/>
        </w:rPr>
      </w:pPr>
    </w:p>
    <w:p>
      <w:pPr>
        <w:ind w:left="1000" w:right="480" w:hanging="54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as lessee under leases of property whether made as part of any sale and leaseback transaction to which we are a party or otherwise;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partnerships and joint ventures which is included in our consolidated financial statements;</w:t>
      </w:r>
    </w:p>
    <w:p>
      <w:pPr>
        <w:spacing w:after="0" w:line="130" w:lineRule="exact"/>
        <w:rPr>
          <w:rFonts w:ascii="Times New Roman" w:cs="Times New Roman" w:eastAsia="Times New Roman" w:hAnsi="Times New Roman"/>
          <w:sz w:val="18"/>
          <w:szCs w:val="18"/>
          <w:color w:val="auto"/>
        </w:rPr>
      </w:pPr>
    </w:p>
    <w:p>
      <w:pPr>
        <w:ind w:left="1000" w:right="320" w:hanging="54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455" w:right="3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80" w:hanging="547"/>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binding commitment to fund any real estate investment or to fund any investment in any entity making a real estate investment, in each case other than</w:t>
      </w:r>
    </w:p>
    <w:p>
      <w:pPr>
        <w:spacing w:after="0" w:line="67" w:lineRule="exact"/>
        <w:rPr>
          <w:rFonts w:ascii="Times New Roman" w:cs="Times New Roman" w:eastAsia="Times New Roman" w:hAnsi="Times New Roman"/>
          <w:sz w:val="18"/>
          <w:szCs w:val="18"/>
          <w:color w:val="auto"/>
        </w:rPr>
      </w:pPr>
    </w:p>
    <w:p>
      <w:pPr>
        <w:ind w:left="1440" w:right="80" w:hanging="433"/>
        <w:spacing w:after="0" w:line="289" w:lineRule="auto"/>
        <w:tabs>
          <w:tab w:leader="none" w:pos="14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63" w:lineRule="exact"/>
        <w:rPr>
          <w:rFonts w:ascii="Times New Roman" w:cs="Times New Roman" w:eastAsia="Times New Roman" w:hAnsi="Times New Roman"/>
          <w:sz w:val="17"/>
          <w:szCs w:val="17"/>
          <w:color w:val="auto"/>
        </w:rPr>
      </w:pPr>
    </w:p>
    <w:p>
      <w:pPr>
        <w:ind w:left="1440" w:right="480" w:hanging="433"/>
        <w:spacing w:after="0" w:line="282" w:lineRule="auto"/>
        <w:tabs>
          <w:tab w:leader="none" w:pos="14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67"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Unless we say otherwise in a prospectus supplement, there will be no restrictions in any subordinated indenture upon the creation of additional senior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203" w:lineRule="exact"/>
        <w:rPr>
          <w:sz w:val="20"/>
          <w:szCs w:val="20"/>
          <w:color w:val="auto"/>
        </w:rPr>
      </w:pPr>
    </w:p>
    <w:p>
      <w:pPr>
        <w:ind w:right="22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Payment Defaults. </w:t>
      </w:r>
      <w:r>
        <w:rPr>
          <w:rFonts w:ascii="Times New Roman" w:cs="Times New Roman" w:eastAsia="Times New Roman" w:hAnsi="Times New Roman"/>
          <w:sz w:val="18"/>
          <w:szCs w:val="18"/>
          <w:color w:val="auto"/>
        </w:rPr>
        <w:t>Unless we say otherwise in a prospectus supplement, if we have defaulted in the payment of any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we may not:</w:t>
      </w:r>
    </w:p>
    <w:p>
      <w:pPr>
        <w:spacing w:after="0" w:line="64" w:lineRule="exact"/>
        <w:rPr>
          <w:sz w:val="20"/>
          <w:szCs w:val="20"/>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principal, premium, if any, or interest on subordinated debt securities;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defease, or otherwise acquire any subordinated debt securities.</w:t>
      </w:r>
    </w:p>
    <w:p>
      <w:pPr>
        <w:spacing w:after="0" w:line="225"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This prohibition will not affect any payment we have already made to defease debt securities, as described under “— Defeasance or Covenant Defeasance of Indentures,” below.</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must resume payment on our subordinated debt securities, and make any payments we have missed, when one of the following has occurred:</w:t>
      </w:r>
    </w:p>
    <w:p>
      <w:pPr>
        <w:spacing w:after="0" w:line="131" w:lineRule="exact"/>
        <w:rPr>
          <w:sz w:val="20"/>
          <w:szCs w:val="20"/>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has been discharged or paid in full;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senior debt have waived payment;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default has otherwise been cured or ceased to exist.</w:t>
      </w:r>
    </w:p>
    <w:p>
      <w:pPr>
        <w:spacing w:after="0" w:line="221" w:lineRule="exact"/>
        <w:rPr>
          <w:sz w:val="20"/>
          <w:szCs w:val="20"/>
          <w:color w:val="auto"/>
        </w:rPr>
      </w:pPr>
    </w:p>
    <w:p>
      <w:pPr>
        <w:ind w:right="30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Non-Payment Defaults. </w:t>
      </w:r>
      <w:r>
        <w:rPr>
          <w:rFonts w:ascii="Times New Roman" w:cs="Times New Roman" w:eastAsia="Times New Roman" w:hAnsi="Times New Roman"/>
          <w:sz w:val="18"/>
          <w:szCs w:val="18"/>
          <w:color w:val="auto"/>
        </w:rPr>
        <w:t>Unless we say otherwise in a prospectus supplement, we will also be prohibited from paying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or distributing any assets if:</w:t>
      </w:r>
    </w:p>
    <w:p>
      <w:pPr>
        <w:spacing w:after="0" w:line="64" w:lineRule="exact"/>
        <w:rPr>
          <w:sz w:val="20"/>
          <w:szCs w:val="20"/>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defaulted on senior debt in a way that does not involve a failure to pay amounts but accelerates payment;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140" w:firstLine="449"/>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1" w:lineRule="exact"/>
        <w:rPr>
          <w:sz w:val="20"/>
          <w:szCs w:val="20"/>
          <w:color w:val="auto"/>
        </w:rPr>
      </w:pPr>
    </w:p>
    <w:p>
      <w:pPr>
        <w:ind w:left="1000" w:right="240" w:hanging="547"/>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179 days after receipt of notice (unless we have previously been required to pay all amounts owing on the applicable senior debt);</w:t>
      </w:r>
    </w:p>
    <w:p>
      <w:pPr>
        <w:spacing w:after="0" w:line="67" w:lineRule="exact"/>
        <w:rPr>
          <w:rFonts w:ascii="Times New Roman" w:cs="Times New Roman" w:eastAsia="Times New Roman" w:hAnsi="Times New Roman"/>
          <w:sz w:val="18"/>
          <w:szCs w:val="18"/>
          <w:color w:val="auto"/>
        </w:rPr>
      </w:pPr>
    </w:p>
    <w:p>
      <w:pPr>
        <w:ind w:left="1000" w:right="400" w:hanging="547"/>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default and all other similar defaults as to which notice has been given shall have been cured, waived or shall have ceased to exist;</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applicable senior debt (and all other senior debt as to which notice has been given) shall have been discharged or paid in full; and</w:t>
      </w:r>
    </w:p>
    <w:p>
      <w:pPr>
        <w:spacing w:after="0" w:line="130" w:lineRule="exact"/>
        <w:rPr>
          <w:rFonts w:ascii="Times New Roman" w:cs="Times New Roman" w:eastAsia="Times New Roman" w:hAnsi="Times New Roman"/>
          <w:sz w:val="18"/>
          <w:szCs w:val="18"/>
          <w:color w:val="auto"/>
        </w:rPr>
      </w:pPr>
    </w:p>
    <w:p>
      <w:pPr>
        <w:ind w:left="1000" w:right="600" w:hanging="547"/>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455" w:right="3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Provisions</w:t>
      </w:r>
    </w:p>
    <w:p>
      <w:pPr>
        <w:spacing w:after="0" w:line="117" w:lineRule="exact"/>
        <w:rPr>
          <w:sz w:val="20"/>
          <w:szCs w:val="20"/>
          <w:color w:val="auto"/>
        </w:rPr>
      </w:pPr>
    </w:p>
    <w:p>
      <w:pPr>
        <w:ind w:right="60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Events of Default. </w:t>
      </w:r>
      <w:r>
        <w:rPr>
          <w:rFonts w:ascii="Times New Roman" w:cs="Times New Roman" w:eastAsia="Times New Roman" w:hAnsi="Times New Roman"/>
          <w:sz w:val="18"/>
          <w:szCs w:val="18"/>
          <w:color w:val="auto"/>
        </w:rPr>
        <w:t>Unless we say otherwise in a prospectus supplement, each of the following is an event of default as to any of our senior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subordinated debt securities:</w:t>
      </w:r>
    </w:p>
    <w:p>
      <w:pPr>
        <w:spacing w:after="0" w:line="159" w:lineRule="exact"/>
        <w:rPr>
          <w:sz w:val="20"/>
          <w:szCs w:val="20"/>
          <w:color w:val="auto"/>
        </w:rPr>
      </w:pPr>
    </w:p>
    <w:p>
      <w:pPr>
        <w:ind w:right="20" w:firstLine="457"/>
        <w:spacing w:after="0" w:line="282" w:lineRule="auto"/>
        <w:tabs>
          <w:tab w:leader="none" w:pos="61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61" w:lineRule="exact"/>
        <w:rPr>
          <w:rFonts w:ascii="Times New Roman" w:cs="Times New Roman" w:eastAsia="Times New Roman" w:hAnsi="Times New Roman"/>
          <w:sz w:val="18"/>
          <w:szCs w:val="18"/>
          <w:color w:val="auto"/>
        </w:rPr>
      </w:pPr>
    </w:p>
    <w:p>
      <w:pPr>
        <w:ind w:right="180" w:firstLine="457"/>
        <w:spacing w:after="0" w:line="282" w:lineRule="auto"/>
        <w:tabs>
          <w:tab w:leader="none" w:pos="61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61" w:lineRule="exact"/>
        <w:rPr>
          <w:rFonts w:ascii="Times New Roman" w:cs="Times New Roman" w:eastAsia="Times New Roman" w:hAnsi="Times New Roman"/>
          <w:sz w:val="18"/>
          <w:szCs w:val="18"/>
          <w:color w:val="auto"/>
        </w:rPr>
      </w:pPr>
    </w:p>
    <w:p>
      <w:pPr>
        <w:ind w:left="620" w:hanging="163"/>
        <w:spacing w:after="0"/>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deposit of any sinking fund payment as required by the terms of any debt security of that series.</w:t>
      </w:r>
    </w:p>
    <w:p>
      <w:pPr>
        <w:spacing w:after="0" w:line="225" w:lineRule="exact"/>
        <w:rPr>
          <w:rFonts w:ascii="Times New Roman" w:cs="Times New Roman" w:eastAsia="Times New Roman" w:hAnsi="Times New Roman"/>
          <w:sz w:val="18"/>
          <w:szCs w:val="18"/>
          <w:color w:val="auto"/>
        </w:rPr>
      </w:pPr>
    </w:p>
    <w:p>
      <w:pPr>
        <w:ind w:firstLine="457"/>
        <w:spacing w:after="0" w:line="266" w:lineRule="auto"/>
        <w:tabs>
          <w:tab w:leader="none" w:pos="61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76" w:lineRule="exact"/>
        <w:rPr>
          <w:sz w:val="20"/>
          <w:szCs w:val="20"/>
          <w:color w:val="auto"/>
        </w:rPr>
      </w:pPr>
    </w:p>
    <w:p>
      <w:pPr>
        <w:ind w:left="700" w:hanging="243"/>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by the trustee; or</w:t>
      </w:r>
    </w:p>
    <w:p>
      <w:pPr>
        <w:spacing w:after="0" w:line="225"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120" w:firstLine="457"/>
        <w:spacing w:after="0" w:line="254" w:lineRule="auto"/>
        <w:tabs>
          <w:tab w:leader="none" w:pos="6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91" w:lineRule="exact"/>
        <w:rPr>
          <w:rFonts w:ascii="Times New Roman" w:cs="Times New Roman" w:eastAsia="Times New Roman" w:hAnsi="Times New Roman"/>
          <w:sz w:val="18"/>
          <w:szCs w:val="18"/>
          <w:color w:val="auto"/>
        </w:rPr>
      </w:pPr>
    </w:p>
    <w:p>
      <w:pPr>
        <w:ind w:left="640" w:hanging="183"/>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competent jurisdiction under any applicable bankruptcy law that:</w:t>
      </w:r>
    </w:p>
    <w:p>
      <w:pPr>
        <w:spacing w:after="0" w:line="225" w:lineRule="exact"/>
        <w:rPr>
          <w:sz w:val="20"/>
          <w:szCs w:val="20"/>
          <w:color w:val="auto"/>
        </w:rPr>
      </w:pPr>
    </w:p>
    <w:p>
      <w:pPr>
        <w:ind w:left="700" w:hanging="243"/>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or any of our significant subsidiaries in an involuntary case,</w:t>
      </w:r>
    </w:p>
    <w:p>
      <w:pPr>
        <w:spacing w:after="0" w:line="225"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receiver in respect of us or any of our significant subsidiaries or for all or substantially all of the property of any of us; or</w:t>
      </w:r>
    </w:p>
    <w:p>
      <w:pPr>
        <w:spacing w:after="0" w:line="225" w:lineRule="exact"/>
        <w:rPr>
          <w:rFonts w:ascii="Times New Roman" w:cs="Times New Roman" w:eastAsia="Times New Roman" w:hAnsi="Times New Roman"/>
          <w:sz w:val="18"/>
          <w:szCs w:val="18"/>
          <w:color w:val="auto"/>
        </w:rPr>
      </w:pPr>
    </w:p>
    <w:p>
      <w:pPr>
        <w:ind w:left="5540" w:right="120" w:hanging="5083"/>
        <w:spacing w:after="0" w:line="454" w:lineRule="auto"/>
        <w:tabs>
          <w:tab w:leader="none" w:pos="7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 or the liquidation of any of our significant subsidiaries, and the order or decree remains unstayed and in effect for 90 days. 10</w:t>
      </w:r>
    </w:p>
    <w:p>
      <w:pPr>
        <w:sectPr>
          <w:pgSz w:w="11900" w:h="16838" w:orient="portrait"/>
          <w:cols w:equalWidth="0" w:num="1">
            <w:col w:w="11240"/>
          </w:cols>
          <w:pgMar w:left="320" w:top="455"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 We or any of our significant subsidiaries do any of the following:</w:t>
      </w:r>
    </w:p>
    <w:p>
      <w:pPr>
        <w:spacing w:after="0" w:line="225" w:lineRule="exact"/>
        <w:rPr>
          <w:sz w:val="20"/>
          <w:szCs w:val="20"/>
          <w:color w:val="auto"/>
        </w:rPr>
      </w:pPr>
    </w:p>
    <w:p>
      <w:pPr>
        <w:ind w:left="700" w:hanging="243"/>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or proceeding under any applicable bankruptcy law;</w:t>
      </w:r>
    </w:p>
    <w:p>
      <w:pPr>
        <w:spacing w:after="0" w:line="225" w:lineRule="exact"/>
        <w:rPr>
          <w:rFonts w:ascii="Times New Roman" w:cs="Times New Roman" w:eastAsia="Times New Roman" w:hAnsi="Times New Roman"/>
          <w:sz w:val="18"/>
          <w:szCs w:val="18"/>
          <w:color w:val="auto"/>
        </w:rPr>
      </w:pPr>
    </w:p>
    <w:p>
      <w:pPr>
        <w:ind w:right="40" w:firstLine="457"/>
        <w:spacing w:after="0" w:line="282" w:lineRule="auto"/>
        <w:tabs>
          <w:tab w:leader="none" w:pos="7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 decree or order for relief in respect of us or any of our significant subsidiaries in an involuntary case or proceeding under any applicable bankruptcy law;</w:t>
      </w:r>
    </w:p>
    <w:p>
      <w:pPr>
        <w:spacing w:after="0" w:line="161" w:lineRule="exact"/>
        <w:rPr>
          <w:rFonts w:ascii="Times New Roman" w:cs="Times New Roman" w:eastAsia="Times New Roman" w:hAnsi="Times New Roman"/>
          <w:sz w:val="18"/>
          <w:szCs w:val="18"/>
          <w:color w:val="auto"/>
        </w:rPr>
      </w:pPr>
    </w:p>
    <w:p>
      <w:pPr>
        <w:ind w:left="700" w:hanging="243"/>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receiver in respect of us or any of our significant subsidiaries for all or substantially all of our or its property; or</w:t>
      </w:r>
    </w:p>
    <w:p>
      <w:pPr>
        <w:spacing w:after="0" w:line="225"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 Any other event of default provided with respect to the debt securities of that series.</w:t>
      </w:r>
    </w:p>
    <w:p>
      <w:pPr>
        <w:spacing w:after="0" w:line="221" w:lineRule="exact"/>
        <w:rPr>
          <w:sz w:val="20"/>
          <w:szCs w:val="20"/>
          <w:color w:val="auto"/>
        </w:rPr>
      </w:pPr>
    </w:p>
    <w:p>
      <w:pPr>
        <w:ind w:right="40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Default. </w:t>
      </w:r>
      <w:r>
        <w:rPr>
          <w:rFonts w:ascii="Times New Roman" w:cs="Times New Roman" w:eastAsia="Times New Roman" w:hAnsi="Times New Roman"/>
          <w:sz w:val="18"/>
          <w:szCs w:val="18"/>
          <w:color w:val="auto"/>
        </w:rPr>
        <w:t>Unless we say otherwise in a prospectus supplement, holders of not less than a majority of the debt securities of a series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waive any past default except for:</w:t>
      </w:r>
    </w:p>
    <w:p>
      <w:pPr>
        <w:spacing w:after="0" w:line="64" w:lineRule="exact"/>
        <w:rPr>
          <w:sz w:val="20"/>
          <w:szCs w:val="20"/>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default;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on any provision that requires the consent of all holders to modify.</w:t>
      </w:r>
    </w:p>
    <w:p>
      <w:pPr>
        <w:spacing w:after="0" w:line="221" w:lineRule="exact"/>
        <w:rPr>
          <w:sz w:val="20"/>
          <w:szCs w:val="20"/>
          <w:color w:val="auto"/>
        </w:rPr>
      </w:pPr>
    </w:p>
    <w:p>
      <w:pPr>
        <w:ind w:right="20" w:firstLine="4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Acceleration of Payment. </w:t>
      </w:r>
      <w:r>
        <w:rPr>
          <w:rFonts w:ascii="Times New Roman" w:cs="Times New Roman" w:eastAsia="Times New Roman" w:hAnsi="Times New Roman"/>
          <w:sz w:val="18"/>
          <w:szCs w:val="18"/>
          <w:color w:val="auto"/>
        </w:rPr>
        <w:t>Unless we say otherwise in a prospectus supplement, each indenture provides or will provide that if an event of default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79" w:lineRule="exact"/>
        <w:rPr>
          <w:sz w:val="20"/>
          <w:szCs w:val="20"/>
          <w:color w:val="auto"/>
        </w:rPr>
      </w:pPr>
    </w:p>
    <w:p>
      <w:pPr>
        <w:ind w:right="40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Acceleration. </w:t>
      </w:r>
      <w:r>
        <w:rPr>
          <w:rFonts w:ascii="Times New Roman" w:cs="Times New Roman" w:eastAsia="Times New Roman" w:hAnsi="Times New Roman"/>
          <w:sz w:val="18"/>
          <w:szCs w:val="18"/>
          <w:color w:val="auto"/>
        </w:rPr>
        <w:t>Unless we say otherwise in a prospectus supplement, each indenture provides or will provide that, after a declaration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80" w:lineRule="exact"/>
        <w:rPr>
          <w:sz w:val="20"/>
          <w:szCs w:val="20"/>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deposited with the trustee a sum sufficient to pay:</w:t>
      </w:r>
    </w:p>
    <w:p>
      <w:pPr>
        <w:spacing w:after="0" w:line="130" w:lineRule="exact"/>
        <w:rPr>
          <w:rFonts w:ascii="Times New Roman" w:cs="Times New Roman" w:eastAsia="Times New Roman" w:hAnsi="Times New Roman"/>
          <w:sz w:val="18"/>
          <w:szCs w:val="18"/>
          <w:color w:val="auto"/>
        </w:rPr>
      </w:pPr>
    </w:p>
    <w:p>
      <w:pPr>
        <w:ind w:left="1440" w:right="540" w:hanging="433"/>
        <w:spacing w:after="0" w:line="282" w:lineRule="auto"/>
        <w:tabs>
          <w:tab w:leader="none" w:pos="14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and any additional amounts payable on all outstanding debt securities of the applicable series and any related coupons,</w:t>
      </w:r>
    </w:p>
    <w:p>
      <w:pPr>
        <w:spacing w:after="0" w:line="67" w:lineRule="exact"/>
        <w:rPr>
          <w:rFonts w:ascii="Times New Roman" w:cs="Times New Roman" w:eastAsia="Times New Roman" w:hAnsi="Times New Roman"/>
          <w:sz w:val="18"/>
          <w:szCs w:val="18"/>
          <w:color w:val="auto"/>
        </w:rPr>
      </w:pPr>
    </w:p>
    <w:p>
      <w:pPr>
        <w:ind w:left="1440" w:right="700" w:hanging="433"/>
        <w:spacing w:after="0" w:line="282" w:lineRule="auto"/>
        <w:tabs>
          <w:tab w:leader="none" w:pos="14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67"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borne by the debt securities, and</w:t>
      </w:r>
    </w:p>
    <w:p>
      <w:pPr>
        <w:spacing w:after="0" w:line="130" w:lineRule="exact"/>
        <w:rPr>
          <w:rFonts w:ascii="Times New Roman" w:cs="Times New Roman" w:eastAsia="Times New Roman" w:hAnsi="Times New Roman"/>
          <w:sz w:val="18"/>
          <w:szCs w:val="18"/>
          <w:color w:val="auto"/>
        </w:rPr>
      </w:pPr>
    </w:p>
    <w:p>
      <w:pPr>
        <w:ind w:left="1440" w:right="180" w:hanging="433"/>
        <w:spacing w:after="0" w:line="282" w:lineRule="auto"/>
        <w:tabs>
          <w:tab w:leader="none" w:pos="14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under the indenture and the reasonable compensation, expenses, disbursements and advances of the trustee, its agents and counsel; and</w:t>
      </w:r>
    </w:p>
    <w:p>
      <w:pPr>
        <w:spacing w:after="0" w:line="67" w:lineRule="exact"/>
        <w:rPr>
          <w:rFonts w:ascii="Times New Roman" w:cs="Times New Roman" w:eastAsia="Times New Roman" w:hAnsi="Times New Roman"/>
          <w:sz w:val="18"/>
          <w:szCs w:val="18"/>
          <w:color w:val="auto"/>
        </w:rPr>
      </w:pPr>
    </w:p>
    <w:p>
      <w:pPr>
        <w:ind w:left="1000" w:right="420" w:hanging="54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principal of the debt securities which have become due solely by such declaration of acceleration, have been cured or waived.</w:t>
      </w:r>
    </w:p>
    <w:p>
      <w:pPr>
        <w:spacing w:after="0" w:line="158"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Notices of Default. </w:t>
      </w:r>
      <w:r>
        <w:rPr>
          <w:rFonts w:ascii="Times New Roman" w:cs="Times New Roman" w:eastAsia="Times New Roman" w:hAnsi="Times New Roman"/>
          <w:sz w:val="18"/>
          <w:szCs w:val="18"/>
          <w:color w:val="auto"/>
        </w:rPr>
        <w:t>Unless we say otherwise in a prospectus supplement, we are required to deliver to the trustee, on or before a date not more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120 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455"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Suits. </w:t>
      </w:r>
      <w:r>
        <w:rPr>
          <w:rFonts w:ascii="Times New Roman" w:cs="Times New Roman" w:eastAsia="Times New Roman" w:hAnsi="Times New Roman"/>
          <w:sz w:val="18"/>
          <w:szCs w:val="18"/>
          <w:color w:val="auto"/>
        </w:rPr>
        <w:t>Unless we say otherwise in a prospectus supplement, each indenture provides or will provide that no holders of debt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85" w:lineRule="exact"/>
        <w:rPr>
          <w:sz w:val="20"/>
          <w:szCs w:val="20"/>
          <w:color w:val="auto"/>
        </w:rPr>
      </w:pPr>
    </w:p>
    <w:p>
      <w:pPr>
        <w:ind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Obligations of Trustee. </w:t>
      </w:r>
      <w:r>
        <w:rPr>
          <w:rFonts w:ascii="Times New Roman" w:cs="Times New Roman" w:eastAsia="Times New Roman" w:hAnsi="Times New Roman"/>
          <w:sz w:val="18"/>
          <w:szCs w:val="18"/>
          <w:color w:val="auto"/>
        </w:rPr>
        <w:t>Unless we say otherwise in a prospectus supplement, the trustee is under no obligation to exercise any of the rights or powers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75"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76"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or Covenant Defeasance of Indenture</w:t>
      </w:r>
    </w:p>
    <w:p>
      <w:pPr>
        <w:spacing w:after="0" w:line="121"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1" w:lineRule="exact"/>
        <w:rPr>
          <w:sz w:val="20"/>
          <w:szCs w:val="20"/>
          <w:color w:val="auto"/>
        </w:rPr>
      </w:pPr>
    </w:p>
    <w:p>
      <w:pPr>
        <w:ind w:left="1000" w:right="620" w:hanging="547"/>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67" w:lineRule="exact"/>
        <w:rPr>
          <w:rFonts w:ascii="Times New Roman" w:cs="Times New Roman" w:eastAsia="Times New Roman" w:hAnsi="Times New Roman"/>
          <w:sz w:val="18"/>
          <w:szCs w:val="18"/>
          <w:color w:val="auto"/>
        </w:rPr>
      </w:pPr>
    </w:p>
    <w:p>
      <w:pPr>
        <w:ind w:left="1000" w:right="320" w:hanging="547"/>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0"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in order to exercise either defeasance or covenant defeasance as to the outstanding debt securities of a series:</w:t>
      </w:r>
    </w:p>
    <w:p>
      <w:pPr>
        <w:spacing w:after="0" w:line="67" w:lineRule="exact"/>
        <w:rPr>
          <w:sz w:val="20"/>
          <w:szCs w:val="20"/>
          <w:color w:val="auto"/>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with the trustee, in trust, for the benefit of the holders of the debt securities of the applicable series, an amount in</w:t>
      </w:r>
    </w:p>
    <w:p>
      <w:pPr>
        <w:spacing w:after="0" w:line="27" w:lineRule="exact"/>
        <w:rPr>
          <w:rFonts w:ascii="Times New Roman" w:cs="Times New Roman" w:eastAsia="Times New Roman" w:hAnsi="Times New Roman"/>
          <w:sz w:val="18"/>
          <w:szCs w:val="18"/>
          <w:color w:val="auto"/>
        </w:rPr>
      </w:pPr>
    </w:p>
    <w:p>
      <w:pPr>
        <w:ind w:left="1000" w:right="12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455" w:right="3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1" w:lineRule="exact"/>
        <w:rPr>
          <w:sz w:val="20"/>
          <w:szCs w:val="20"/>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defeasance, we will deliver to the trustee an opinion of counsel confirming that either:</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from, or there has been published by, the Internal Revenue Service a ruling, or</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1" w:lineRule="exact"/>
        <w:rPr>
          <w:sz w:val="20"/>
          <w:szCs w:val="20"/>
          <w:color w:val="auto"/>
        </w:rPr>
      </w:pPr>
    </w:p>
    <w:p>
      <w:pPr>
        <w:ind w:left="1000" w:right="120" w:hanging="547"/>
        <w:spacing w:after="0" w:line="26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85" w:lineRule="exact"/>
        <w:rPr>
          <w:rFonts w:ascii="Times New Roman" w:cs="Times New Roman" w:eastAsia="Times New Roman" w:hAnsi="Times New Roman"/>
          <w:sz w:val="18"/>
          <w:szCs w:val="18"/>
          <w:color w:val="auto"/>
        </w:rPr>
      </w:pPr>
    </w:p>
    <w:p>
      <w:pPr>
        <w:ind w:left="1000" w:right="140" w:hanging="547"/>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1" w:lineRule="exact"/>
        <w:rPr>
          <w:rFonts w:ascii="Times New Roman" w:cs="Times New Roman" w:eastAsia="Times New Roman" w:hAnsi="Times New Roman"/>
          <w:sz w:val="18"/>
          <w:szCs w:val="18"/>
          <w:color w:val="auto"/>
        </w:rPr>
      </w:pPr>
    </w:p>
    <w:p>
      <w:pPr>
        <w:ind w:left="1000" w:right="400" w:hanging="54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00" w:right="360" w:hanging="54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67" w:lineRule="exact"/>
        <w:rPr>
          <w:rFonts w:ascii="Times New Roman" w:cs="Times New Roman" w:eastAsia="Times New Roman" w:hAnsi="Times New Roman"/>
          <w:sz w:val="18"/>
          <w:szCs w:val="18"/>
          <w:color w:val="auto"/>
        </w:rPr>
      </w:pPr>
    </w:p>
    <w:p>
      <w:pPr>
        <w:ind w:left="1000" w:hanging="547"/>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Modifications and Amendments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85" w:lineRule="exact"/>
        <w:rPr>
          <w:sz w:val="20"/>
          <w:szCs w:val="20"/>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debt security;</w:t>
      </w:r>
    </w:p>
    <w:p>
      <w:pPr>
        <w:spacing w:after="0" w:line="130" w:lineRule="exact"/>
        <w:rPr>
          <w:rFonts w:ascii="Times New Roman" w:cs="Times New Roman" w:eastAsia="Times New Roman" w:hAnsi="Times New Roman"/>
          <w:sz w:val="18"/>
          <w:szCs w:val="18"/>
          <w:color w:val="auto"/>
        </w:rPr>
      </w:pPr>
    </w:p>
    <w:p>
      <w:pPr>
        <w:ind w:left="1000" w:right="60" w:hanging="547"/>
        <w:spacing w:after="0" w:line="261"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option of the holder of any series of outstanding debt security;</w:t>
      </w:r>
    </w:p>
    <w:p>
      <w:pPr>
        <w:spacing w:after="0" w:line="130"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repayment where, or the currency, currency unit or composite currency in which, the principal or premium, if any, of any debt security or the interest thereon is payable;</w:t>
      </w:r>
    </w:p>
    <w:p>
      <w:pPr>
        <w:spacing w:after="0" w:line="67" w:lineRule="exact"/>
        <w:rPr>
          <w:rFonts w:ascii="Times New Roman" w:cs="Times New Roman" w:eastAsia="Times New Roman" w:hAnsi="Times New Roman"/>
          <w:sz w:val="18"/>
          <w:szCs w:val="18"/>
          <w:color w:val="auto"/>
        </w:rPr>
      </w:pPr>
    </w:p>
    <w:p>
      <w:pPr>
        <w:ind w:left="1000" w:right="520" w:hanging="54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such payment after the stated maturity of the debt security (or in the case of redemption, on or after the redemption date);</w:t>
      </w:r>
    </w:p>
    <w:p>
      <w:pPr>
        <w:spacing w:after="0" w:line="67" w:lineRule="exact"/>
        <w:rPr>
          <w:rFonts w:ascii="Times New Roman" w:cs="Times New Roman" w:eastAsia="Times New Roman" w:hAnsi="Times New Roman"/>
          <w:sz w:val="18"/>
          <w:szCs w:val="18"/>
          <w:color w:val="auto"/>
        </w:rPr>
      </w:pPr>
    </w:p>
    <w:p>
      <w:pPr>
        <w:ind w:left="1000" w:right="60" w:hanging="547"/>
        <w:spacing w:after="0" w:line="26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1" w:lineRule="exact"/>
        <w:rPr>
          <w:rFonts w:ascii="Times New Roman" w:cs="Times New Roman" w:eastAsia="Times New Roman" w:hAnsi="Times New Roman"/>
          <w:sz w:val="18"/>
          <w:szCs w:val="18"/>
          <w:color w:val="auto"/>
        </w:rPr>
      </w:pPr>
    </w:p>
    <w:p>
      <w:pPr>
        <w:ind w:left="1000" w:right="80" w:hanging="547"/>
        <w:spacing w:after="0" w:line="261"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0"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67" w:lineRule="exact"/>
        <w:rPr>
          <w:sz w:val="20"/>
          <w:szCs w:val="20"/>
          <w:color w:val="auto"/>
        </w:rPr>
      </w:pPr>
    </w:p>
    <w:p>
      <w:pPr>
        <w:ind w:left="1000" w:right="180" w:hanging="54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the succession of another person to us and the assumption by any such successor of any covenants under the indenture and in the debt securities of any series;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to our covenants for the benefit of the holders of all or any series of debt securities or surrenders any of our rights or powers;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any additional event of default for the benefit of the holders of all or any series of debt securities;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secures the debt securities of any series;</w:t>
      </w:r>
    </w:p>
    <w:p>
      <w:pPr>
        <w:spacing w:after="0" w:line="130" w:lineRule="exact"/>
        <w:rPr>
          <w:rFonts w:ascii="Times New Roman" w:cs="Times New Roman" w:eastAsia="Times New Roman" w:hAnsi="Times New Roman"/>
          <w:sz w:val="18"/>
          <w:szCs w:val="18"/>
          <w:color w:val="auto"/>
        </w:rPr>
      </w:pPr>
    </w:p>
    <w:p>
      <w:pPr>
        <w:ind w:left="1000" w:right="60" w:hanging="547"/>
        <w:spacing w:after="0" w:line="25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88"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eliminates any provision affecting only debt securities not yet issued;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form or terms of debt securities of any series not yet issued;</w:t>
      </w:r>
    </w:p>
    <w:p>
      <w:pPr>
        <w:spacing w:after="0" w:line="130"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67" w:lineRule="exact"/>
        <w:rPr>
          <w:rFonts w:ascii="Times New Roman" w:cs="Times New Roman" w:eastAsia="Times New Roman" w:hAnsi="Times New Roman"/>
          <w:sz w:val="18"/>
          <w:szCs w:val="18"/>
          <w:color w:val="auto"/>
        </w:rPr>
      </w:pPr>
    </w:p>
    <w:p>
      <w:pPr>
        <w:ind w:left="1000" w:right="140" w:hanging="547"/>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85" w:lineRule="exact"/>
        <w:rPr>
          <w:rFonts w:ascii="Times New Roman" w:cs="Times New Roman" w:eastAsia="Times New Roman" w:hAnsi="Times New Roman"/>
          <w:sz w:val="18"/>
          <w:szCs w:val="18"/>
          <w:color w:val="auto"/>
        </w:rPr>
      </w:pPr>
    </w:p>
    <w:p>
      <w:pPr>
        <w:ind w:left="1000" w:right="140" w:hanging="547"/>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76"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00"/>
          </w:cols>
          <w:pgMar w:left="320" w:top="455" w:right="3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89" w:lineRule="exact"/>
        <w:rPr>
          <w:sz w:val="20"/>
          <w:szCs w:val="20"/>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for the payment of interest prior to maturity; or</w:t>
      </w:r>
    </w:p>
    <w:p>
      <w:pPr>
        <w:spacing w:after="0" w:line="130" w:lineRule="exact"/>
        <w:rPr>
          <w:rFonts w:ascii="Times New Roman" w:cs="Times New Roman" w:eastAsia="Times New Roman" w:hAnsi="Times New Roman"/>
          <w:sz w:val="18"/>
          <w:szCs w:val="18"/>
          <w:color w:val="auto"/>
        </w:rPr>
      </w:pPr>
    </w:p>
    <w:p>
      <w:pPr>
        <w:ind w:left="1000" w:right="20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issued at a price lower than its face value and provides that upon redemption or acceleration of its stated maturity an amount less than its principal amount shall become due and payable.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send notices to holders of debt securities by mail to the holder’s address as it appears in the register.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SHARES OF BENEFICIAL INTEREST</w:t>
      </w:r>
    </w:p>
    <w:p>
      <w:pPr>
        <w:spacing w:after="0" w:line="22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and Series C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the articles supplementary with respect to our Series 1 preferred shares, and the articles supplementary with respect to our Series C preferred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Our declaration of trust allows us to issue up to 100,000,000 common shares of beneficial interest, par value $0.01 per share, and 15,000,000 preferred shares of beneficial interest, par value $0.01 per share. As of May 4, 2018, we had issued and outstanding 73,221,458 common shares, 399,896 preferred shares, which are designated as 5.417% Series 1 Cumulative Convertible Preferred Shares, which we refer to as the Series 1 preferred shares, and 6,000 preferred shares, which are designated as 5.000% Series C Cumulative Redeemable Preferred Shares, which we refer to as the Series C preferred shares.</w:t>
      </w:r>
    </w:p>
    <w:p>
      <w:pPr>
        <w:spacing w:after="0" w:line="179" w:lineRule="exact"/>
        <w:rPr>
          <w:sz w:val="20"/>
          <w:szCs w:val="20"/>
          <w:color w:val="auto"/>
        </w:rPr>
      </w:pPr>
    </w:p>
    <w:p>
      <w:pPr>
        <w:ind w:right="4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Authority of the Board of Trustees Relating to Authorization and Classification of Shares. </w:t>
      </w:r>
      <w:r>
        <w:rPr>
          <w:rFonts w:ascii="Times New Roman" w:cs="Times New Roman" w:eastAsia="Times New Roman" w:hAnsi="Times New Roman"/>
          <w:sz w:val="18"/>
          <w:szCs w:val="18"/>
          <w:color w:val="auto"/>
        </w:rPr>
        <w:t>Our declaration of trust allows our Board of Trustees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take the following actions without approval by you or any shareholder:</w:t>
      </w:r>
    </w:p>
    <w:p>
      <w:pPr>
        <w:spacing w:after="0" w:line="64" w:lineRule="exact"/>
        <w:rPr>
          <w:sz w:val="20"/>
          <w:szCs w:val="20"/>
          <w:color w:val="auto"/>
        </w:rPr>
      </w:pPr>
    </w:p>
    <w:p>
      <w:pPr>
        <w:ind w:left="1000" w:right="20" w:hanging="547"/>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classify or reclassify any authorized but unissued common shares or preferred shares into one or more classes or series of shares of beneficial interest;</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total number of shares of beneficial interest authorized;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00"/>
          </w:cols>
          <w:pgMar w:left="320" w:top="455" w:right="3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88" w:lineRule="exact"/>
        <w:rPr>
          <w:sz w:val="20"/>
          <w:szCs w:val="20"/>
          <w:color w:val="auto"/>
        </w:rPr>
      </w:pPr>
    </w:p>
    <w:p>
      <w:pPr>
        <w:ind w:right="20" w:firstLine="4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outstanding common share owned by a shareholder entitles that holder to one vote on all matters submitted to a vote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holder of a common share, you will not have any right to:</w:t>
      </w:r>
    </w:p>
    <w:p>
      <w:pPr>
        <w:spacing w:after="0" w:line="131" w:lineRule="exact"/>
        <w:rPr>
          <w:sz w:val="20"/>
          <w:szCs w:val="20"/>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your shares into any other security;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funds set aside for future payments;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repurchase your shares;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62"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1" w:lineRule="exact"/>
        <w:rPr>
          <w:sz w:val="20"/>
          <w:szCs w:val="20"/>
          <w:color w:val="auto"/>
        </w:rPr>
      </w:pPr>
    </w:p>
    <w:p>
      <w:pPr>
        <w:ind w:left="1000" w:right="260" w:hanging="547"/>
        <w:spacing w:after="0" w:line="261"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455" w:right="3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60" w:hanging="547"/>
        <w:spacing w:after="0" w:line="261"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85" w:lineRule="exact"/>
        <w:rPr>
          <w:rFonts w:ascii="Times New Roman" w:cs="Times New Roman" w:eastAsia="Times New Roman" w:hAnsi="Times New Roman"/>
          <w:sz w:val="18"/>
          <w:szCs w:val="18"/>
          <w:color w:val="auto"/>
        </w:rPr>
      </w:pPr>
    </w:p>
    <w:p>
      <w:pPr>
        <w:jc w:val="both"/>
        <w:ind w:left="1000" w:right="60" w:hanging="547"/>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81" w:lineRule="exact"/>
        <w:rPr>
          <w:rFonts w:ascii="Times New Roman" w:cs="Times New Roman" w:eastAsia="Times New Roman" w:hAnsi="Times New Roman"/>
          <w:sz w:val="18"/>
          <w:szCs w:val="18"/>
          <w:color w:val="auto"/>
        </w:rPr>
      </w:pPr>
    </w:p>
    <w:p>
      <w:pPr>
        <w:ind w:left="1000" w:right="540" w:hanging="547"/>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67"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6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85" w:lineRule="exact"/>
        <w:rPr>
          <w:sz w:val="20"/>
          <w:szCs w:val="20"/>
          <w:color w:val="auto"/>
        </w:rPr>
      </w:pPr>
    </w:p>
    <w:p>
      <w:pPr>
        <w:ind w:left="1000" w:hanging="547"/>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real estate investment trust under Maryland REIT law or the Code;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72" w:lineRule="exact"/>
        <w:rPr>
          <w:sz w:val="20"/>
          <w:szCs w:val="20"/>
          <w:color w:val="auto"/>
        </w:rPr>
      </w:pPr>
    </w:p>
    <w:p>
      <w:pPr>
        <w:jc w:val="both"/>
        <w:ind w:right="6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Preemptive Rights. </w:t>
      </w:r>
      <w:r>
        <w:rPr>
          <w:rFonts w:ascii="Times New Roman" w:cs="Times New Roman" w:eastAsia="Times New Roman" w:hAnsi="Times New Roman"/>
          <w:sz w:val="18"/>
          <w:szCs w:val="18"/>
          <w:color w:val="auto"/>
        </w:rPr>
        <w:t>Under the declaration of trust, no holder of shares of beneficial interest has any preemptive rights to subscribe to any issuance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common shares are traded on the New York Stock Exchange under the trading symbol “FRT.”</w:t>
      </w:r>
    </w:p>
    <w:p>
      <w:pPr>
        <w:spacing w:after="0" w:line="225" w:lineRule="exact"/>
        <w:rPr>
          <w:sz w:val="20"/>
          <w:szCs w:val="20"/>
          <w:color w:val="auto"/>
        </w:rPr>
      </w:pPr>
    </w:p>
    <w:p>
      <w:pPr>
        <w:ind w:right="34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common shares is American Stock Transfer &amp; Trust Company, LLC,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York, New York.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1 Preferred Shares</w:t>
      </w:r>
    </w:p>
    <w:p>
      <w:pPr>
        <w:spacing w:after="0" w:line="121"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72" w:lineRule="exact"/>
        <w:rPr>
          <w:sz w:val="20"/>
          <w:szCs w:val="20"/>
          <w:color w:val="auto"/>
        </w:rPr>
      </w:pPr>
    </w:p>
    <w:p>
      <w:pPr>
        <w:ind w:firstLine="4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The Series 1 preferred shares rank pari pasu with the Series C preferred shares and senior to the common shares with respect to the payment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455" w:right="3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83" w:lineRule="exact"/>
        <w:rPr>
          <w:sz w:val="20"/>
          <w:szCs w:val="20"/>
          <w:color w:val="auto"/>
        </w:rPr>
      </w:pPr>
    </w:p>
    <w:p>
      <w:pPr>
        <w:ind w:right="10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Each Series 1 preferred share is entitled to receive, when, as and if authorized by our Board of Trustees out of funds legally available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purpose, cumulative preferential dividends payable in cash at a rate of 5.417% of the liquidation price of $25, which is equivalent to $1.35425 per annum.</w:t>
      </w:r>
    </w:p>
    <w:p>
      <w:pPr>
        <w:spacing w:after="0" w:line="171" w:lineRule="exact"/>
        <w:rPr>
          <w:sz w:val="20"/>
          <w:szCs w:val="20"/>
          <w:color w:val="auto"/>
        </w:rPr>
      </w:pPr>
    </w:p>
    <w:p>
      <w:pPr>
        <w:ind w:right="2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the holders of Series 1 preferred shares shall be entitled to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$25 per share, plus all accrued and unpaid dividends, before any distribution shall be made with respect to the common shares.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Series 1 preferred shares shall have no voting rights.</w:t>
      </w:r>
    </w:p>
    <w:p>
      <w:pPr>
        <w:spacing w:after="0" w:line="225" w:lineRule="exact"/>
        <w:rPr>
          <w:sz w:val="20"/>
          <w:szCs w:val="20"/>
          <w:color w:val="auto"/>
        </w:rPr>
      </w:pPr>
    </w:p>
    <w:p>
      <w:pPr>
        <w:ind w:right="32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Subject to other applicable provisions within the articles supplementary for the Series 1 preferred shares, from the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issuance, 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76" w:lineRule="exact"/>
        <w:rPr>
          <w:sz w:val="20"/>
          <w:szCs w:val="20"/>
          <w:color w:val="auto"/>
        </w:rPr>
      </w:pPr>
    </w:p>
    <w:p>
      <w:pPr>
        <w:ind w:right="6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Series 1 preferred shares is American Stock Transfer &amp; Trust Company,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New York.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C Preferred Shares</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In September 2017, we issued 6,000 Series C preferred shares and we filed articles supplementary to our declaration of trust setting forth the terms of the Series C preferred shares. Below is a brief description of the terms of the Series C preferred shares, which is subject to and qualified in its entirety by reference to the articles supplementary.</w:t>
      </w:r>
    </w:p>
    <w:p>
      <w:pPr>
        <w:spacing w:after="0" w:line="17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The Series C preferred shares rank pari pasu with the Series 1 preferred shares and senior to the common shares with respect to the payment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dividends and the distribution of assets upon our liquidation, dissolution or winding up. Our declaration of trust provides that, unless full cumulative dividends on all outstanding Series C preferred shares and any other class or series of our shares of beneficial interest ranking, as to the payment of dividends and the distribution of assets upon liquidation, dissolution or winding up, on parity with the Series C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C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85" w:lineRule="exact"/>
        <w:rPr>
          <w:sz w:val="20"/>
          <w:szCs w:val="20"/>
          <w:color w:val="auto"/>
        </w:rPr>
      </w:pPr>
    </w:p>
    <w:p>
      <w:pPr>
        <w:ind w:right="8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Each Series C preferred share is entitled to receive, when, as and if authorized by our Board of Trustees out of funds legally available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purpose, cumulative preferential dividends payable in cash at a rate of 5.000% of the liquidation price of $25,000, which is equivalent to $1,250 per annum.</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455" w:right="3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the holders of Series C preferred shares shall be entitled to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$25,000 per share, plus all accrued and unpaid dividends, before any distribution shall be made with respect to the common shares.</w:t>
      </w:r>
    </w:p>
    <w:p>
      <w:pPr>
        <w:spacing w:after="0" w:line="155" w:lineRule="exact"/>
        <w:rPr>
          <w:sz w:val="20"/>
          <w:szCs w:val="20"/>
          <w:color w:val="auto"/>
        </w:rPr>
      </w:pPr>
    </w:p>
    <w:p>
      <w:pPr>
        <w:ind w:right="40" w:firstLine="4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Series C preferred shares generally have no voting rights. However, if and whenever dividends payable on the Series C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Series C preferred shares have no conversion rights.</w:t>
      </w:r>
    </w:p>
    <w:p>
      <w:pPr>
        <w:spacing w:after="0" w:line="225" w:lineRule="exact"/>
        <w:rPr>
          <w:sz w:val="20"/>
          <w:szCs w:val="20"/>
          <w:color w:val="auto"/>
        </w:rPr>
      </w:pPr>
    </w:p>
    <w:p>
      <w:pPr>
        <w:ind w:right="10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by the Trust. </w:t>
      </w:r>
      <w:r>
        <w:rPr>
          <w:rFonts w:ascii="Times New Roman" w:cs="Times New Roman" w:eastAsia="Times New Roman" w:hAnsi="Times New Roman"/>
          <w:sz w:val="18"/>
          <w:szCs w:val="18"/>
          <w:color w:val="auto"/>
        </w:rPr>
        <w:t>The Series C preferred shares may be redeemed for cash, in whole or from time to time in part, on any date on or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29, 2022 at the option of the Trust at a price per share equal to $25,000.00 plus accrued and unpaid dividends thereon, if any, to, but excluding, the redemption date.</w:t>
      </w:r>
    </w:p>
    <w:p>
      <w:pPr>
        <w:spacing w:after="0" w:line="171" w:lineRule="exact"/>
        <w:rPr>
          <w:sz w:val="20"/>
          <w:szCs w:val="20"/>
          <w:color w:val="auto"/>
        </w:rPr>
      </w:pPr>
    </w:p>
    <w:p>
      <w:pPr>
        <w:ind w:right="40"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Depositary Shares. </w:t>
      </w:r>
      <w:r>
        <w:rPr>
          <w:rFonts w:ascii="Times New Roman" w:cs="Times New Roman" w:eastAsia="Times New Roman" w:hAnsi="Times New Roman"/>
          <w:sz w:val="18"/>
          <w:szCs w:val="18"/>
          <w:color w:val="auto"/>
        </w:rPr>
        <w:t>Interests in the Series C preferred shares are represented by depositary shares, which we refer to as the Series C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Series C depositary shares are traded on the New York Stock Exchange under the trading symbol “FRTPRC.”</w:t>
      </w:r>
    </w:p>
    <w:p>
      <w:pPr>
        <w:spacing w:after="0" w:line="225" w:lineRule="exact"/>
        <w:rPr>
          <w:sz w:val="20"/>
          <w:szCs w:val="20"/>
          <w:color w:val="auto"/>
        </w:rPr>
      </w:pPr>
    </w:p>
    <w:p>
      <w:pPr>
        <w:ind w:right="4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Series C preferred shares is American Stock Transfer &amp; Trust Company,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New York.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72"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Preferred shares may be offered and sold from time to time, in one or more series, as authorized by the Board of Trustees.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82" w:lineRule="exact"/>
        <w:rPr>
          <w:sz w:val="20"/>
          <w:szCs w:val="20"/>
          <w:color w:val="auto"/>
        </w:rPr>
      </w:pPr>
    </w:p>
    <w:p>
      <w:pPr>
        <w:ind w:right="44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Terms. </w:t>
      </w:r>
      <w:r>
        <w:rPr>
          <w:rFonts w:ascii="Times New Roman" w:cs="Times New Roman" w:eastAsia="Times New Roman" w:hAnsi="Times New Roman"/>
          <w:sz w:val="18"/>
          <w:szCs w:val="18"/>
          <w:color w:val="auto"/>
        </w:rPr>
        <w:t>You should refer to the prospectus supplement relating to the offering of any preferred shares for specific terms, including the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w:t>
      </w:r>
    </w:p>
    <w:p>
      <w:pPr>
        <w:spacing w:after="0" w:line="64" w:lineRule="exact"/>
        <w:rPr>
          <w:sz w:val="20"/>
          <w:szCs w:val="20"/>
          <w:color w:val="auto"/>
        </w:rPr>
      </w:pPr>
    </w:p>
    <w:p>
      <w:pPr>
        <w:ind w:left="1000" w:hanging="547"/>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those preferred shares;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and the offering price of those preferred shares;</w:t>
      </w:r>
    </w:p>
    <w:p>
      <w:pPr>
        <w:spacing w:after="0" w:line="130" w:lineRule="exact"/>
        <w:rPr>
          <w:rFonts w:ascii="Times New Roman" w:cs="Times New Roman" w:eastAsia="Times New Roman" w:hAnsi="Times New Roman"/>
          <w:sz w:val="18"/>
          <w:szCs w:val="18"/>
          <w:color w:val="auto"/>
        </w:rPr>
      </w:pPr>
    </w:p>
    <w:p>
      <w:pPr>
        <w:ind w:left="1000" w:right="40" w:hanging="547"/>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amounts and/or payment date(s) or method(s) of calculation of any of those terms that apply to those preferred shares;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455" w:right="3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dividends on those preferred shares will accumulate, if applicable;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 sinking fund, if any, for the purchase or redemption of those preferred shares;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including conditions, time(s) and the redemption price(s), if applicable, of those preferred shares;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those preferred shares;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those preferred shares on any securities exchange;</w:t>
      </w:r>
    </w:p>
    <w:p>
      <w:pPr>
        <w:spacing w:after="0" w:line="130" w:lineRule="exact"/>
        <w:rPr>
          <w:rFonts w:ascii="Times New Roman" w:cs="Times New Roman" w:eastAsia="Times New Roman" w:hAnsi="Times New Roman"/>
          <w:sz w:val="18"/>
          <w:szCs w:val="18"/>
          <w:color w:val="auto"/>
        </w:rPr>
      </w:pPr>
    </w:p>
    <w:p>
      <w:pPr>
        <w:ind w:left="1000" w:right="620" w:hanging="547"/>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67"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 of those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those preferred shares;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those preferred shares;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additional federal income tax consequences applicable to those preferred shares; and</w:t>
      </w:r>
    </w:p>
    <w:p>
      <w:pPr>
        <w:spacing w:after="0" w:line="130"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62"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6" w:lineRule="exact"/>
        <w:rPr>
          <w:sz w:val="20"/>
          <w:szCs w:val="20"/>
          <w:color w:val="auto"/>
        </w:rPr>
      </w:pPr>
    </w:p>
    <w:p>
      <w:pPr>
        <w:ind w:right="4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Unless we say otherwise in a prospectus supplement, the preferred shares offered through that supplement will, with respect to dividend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rights upon our liquidation, dissolution or winding up, rank:</w:t>
      </w:r>
    </w:p>
    <w:p>
      <w:pPr>
        <w:spacing w:after="0" w:line="64" w:lineRule="exact"/>
        <w:rPr>
          <w:sz w:val="20"/>
          <w:szCs w:val="20"/>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shares, and to all other equity securities ranking junior to those preferred shares;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of our equity securities ranking on a parity with the preferred shares;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of our equity securities ranking senior to the preferred shares.</w:t>
      </w:r>
    </w:p>
    <w:p>
      <w:pPr>
        <w:spacing w:after="0" w:line="225"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For purposes of this description of our preferred shares, the term “equity securities” does not include convertible debt securities that we may offer from time to time.</w:t>
      </w:r>
    </w:p>
    <w:p>
      <w:pPr>
        <w:spacing w:after="0" w:line="158" w:lineRule="exact"/>
        <w:rPr>
          <w:sz w:val="20"/>
          <w:szCs w:val="20"/>
          <w:color w:val="auto"/>
        </w:rPr>
      </w:pPr>
    </w:p>
    <w:p>
      <w:pPr>
        <w:jc w:val="both"/>
        <w:ind w:right="12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any preferential rights of any outstanding shares or series of shares and to the provisions of our declaration of trust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71" w:lineRule="exact"/>
        <w:rPr>
          <w:sz w:val="20"/>
          <w:szCs w:val="20"/>
          <w:color w:val="auto"/>
        </w:rPr>
      </w:pPr>
    </w:p>
    <w:p>
      <w:pPr>
        <w:ind w:right="4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If we provide for a redemption right in a prospectus supplement, the preferred shares offered through that supplement will be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mandatory redemption or redemption at our option, in whole or in part, in each case upon the terms, at the times and at the redemption prices set forth in that supplement.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455" w:right="3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As to any liquidation preference applicable to preferred shares offered through this prospectus, the applicable supplement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9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76" w:lineRule="exact"/>
        <w:rPr>
          <w:sz w:val="20"/>
          <w:szCs w:val="20"/>
          <w:color w:val="auto"/>
        </w:rPr>
      </w:pPr>
    </w:p>
    <w:p>
      <w:pPr>
        <w:ind w:right="22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Unless otherwise indicated in the applicable supplement, holders of preferred shares we issue in the future will not have any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except as may be required by applicable law or any applicable rules and regulations of the New York Stock Exchange.</w:t>
      </w:r>
    </w:p>
    <w:p>
      <w:pPr>
        <w:spacing w:after="0" w:line="155" w:lineRule="exact"/>
        <w:rPr>
          <w:sz w:val="20"/>
          <w:szCs w:val="20"/>
          <w:color w:val="auto"/>
        </w:rPr>
      </w:pPr>
    </w:p>
    <w:p>
      <w:pPr>
        <w:ind w:right="2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terms and conditions, if any, upon which any series of preferred shares is convertible into common shares will be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prospectus supplement relating to the offering of those preferred shares. These terms typically will include:</w:t>
      </w:r>
    </w:p>
    <w:p>
      <w:pPr>
        <w:spacing w:after="0" w:line="64" w:lineRule="exact"/>
        <w:rPr>
          <w:sz w:val="20"/>
          <w:szCs w:val="20"/>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into which the preferred shares are convertible;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or rate (or manner of calculation thereof);</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period;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whether conversion will be at the option of the holders of the preferred shares or at our option;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requiring an adjustment of the conversion price;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in the event of the redemption of that series of preferred shares.</w:t>
      </w:r>
    </w:p>
    <w:p>
      <w:pPr>
        <w:spacing w:after="0" w:line="221" w:lineRule="exact"/>
        <w:rPr>
          <w:sz w:val="20"/>
          <w:szCs w:val="20"/>
          <w:color w:val="auto"/>
        </w:rPr>
      </w:pPr>
    </w:p>
    <w:p>
      <w:pPr>
        <w:ind w:right="52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We will identify the transfer agent and registrar for any additional series of preferred shares issued through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in a prospectus supplement.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11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We may issue receipts for depositary shares, each of which will represent a fractional interest of a share of a particular series of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May 4, 2018, we had 6,000,000 depositary shares issued and outstanding, each representing a 1/1000th fractional interest in a Series C preferred share. See “—Series C Preferred Shares.”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455" w:right="3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72" w:lineRule="exact"/>
        <w:rPr>
          <w:sz w:val="20"/>
          <w:szCs w:val="20"/>
          <w:color w:val="auto"/>
        </w:rPr>
      </w:pPr>
    </w:p>
    <w:p>
      <w:pPr>
        <w:ind w:right="34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Provisions. </w:t>
      </w:r>
      <w:r>
        <w:rPr>
          <w:rFonts w:ascii="Times New Roman" w:cs="Times New Roman" w:eastAsia="Times New Roman" w:hAnsi="Times New Roman"/>
          <w:sz w:val="18"/>
          <w:szCs w:val="18"/>
          <w:color w:val="auto"/>
        </w:rPr>
        <w:t>If you are a “record holder” (as defined below) of depositary receipts and we pay a cash dividend or other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0"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80"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58" w:lineRule="exact"/>
        <w:rPr>
          <w:sz w:val="20"/>
          <w:szCs w:val="20"/>
          <w:color w:val="auto"/>
        </w:rPr>
      </w:pPr>
    </w:p>
    <w:p>
      <w:pPr>
        <w:ind w:right="18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Withdrawal of Preferred Shares. </w:t>
      </w:r>
      <w:r>
        <w:rPr>
          <w:rFonts w:ascii="Times New Roman" w:cs="Times New Roman" w:eastAsia="Times New Roman" w:hAnsi="Times New Roman"/>
          <w:sz w:val="18"/>
          <w:szCs w:val="18"/>
          <w:color w:val="auto"/>
        </w:rPr>
        <w:t>If you surrender your depositary receipts, the depositary will be required to deliver certificates to you evidencing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76"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Depositary Shares. </w:t>
      </w:r>
      <w:r>
        <w:rPr>
          <w:rFonts w:ascii="Times New Roman" w:cs="Times New Roman" w:eastAsia="Times New Roman" w:hAnsi="Times New Roman"/>
          <w:sz w:val="18"/>
          <w:szCs w:val="18"/>
          <w:color w:val="auto"/>
        </w:rPr>
        <w:t>If we redeem a series of preferred shares represented by depositary receipts, the depositary will redeem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83" w:lineRule="exact"/>
        <w:rPr>
          <w:sz w:val="20"/>
          <w:szCs w:val="20"/>
          <w:color w:val="auto"/>
        </w:rPr>
      </w:pPr>
    </w:p>
    <w:p>
      <w:pPr>
        <w:ind w:right="280" w:firstLine="4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the Preferred Shares. </w:t>
      </w:r>
      <w:r>
        <w:rPr>
          <w:rFonts w:ascii="Times New Roman" w:cs="Times New Roman" w:eastAsia="Times New Roman" w:hAnsi="Times New Roman"/>
          <w:sz w:val="18"/>
          <w:szCs w:val="18"/>
          <w:color w:val="auto"/>
        </w:rPr>
        <w:t>When the depositary receives notice of any meeting at which the holders of preferred shares are entitled to vote,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will mail information contained in the notice to you as a record holder of the depositary shares relating to the preferred shares. As a record holder of the depositary shares on the</w:t>
      </w:r>
    </w:p>
    <w:p>
      <w:pPr>
        <w:ind w:right="40"/>
        <w:spacing w:after="0" w:line="253" w:lineRule="auto"/>
        <w:rPr>
          <w:sz w:val="20"/>
          <w:szCs w:val="20"/>
          <w:color w:val="auto"/>
        </w:rPr>
      </w:pPr>
      <w:r>
        <w:rPr>
          <w:rFonts w:ascii="Times New Roman" w:cs="Times New Roman" w:eastAsia="Times New Roman" w:hAnsi="Times New Roman"/>
          <w:sz w:val="18"/>
          <w:szCs w:val="18"/>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5" w:lineRule="exact"/>
        <w:rPr>
          <w:sz w:val="20"/>
          <w:szCs w:val="20"/>
          <w:color w:val="auto"/>
        </w:rPr>
      </w:pPr>
    </w:p>
    <w:p>
      <w:pPr>
        <w:ind w:right="4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whether voluntary or involuntary, you will be entitled, as a record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of depositary shares, to the fraction of the liquidation preference accorded each applicable preferred share, as has been set forth in a prospectus supplement.</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455" w:right="3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w:t>
      </w:r>
      <w:r>
        <w:rPr>
          <w:rFonts w:ascii="Times New Roman" w:cs="Times New Roman" w:eastAsia="Times New Roman" w:hAnsi="Times New Roman"/>
          <w:sz w:val="18"/>
          <w:szCs w:val="18"/>
          <w:color w:val="auto"/>
        </w:rPr>
        <w:t>Our depositary shares, as such, are not convertible into common shares or any of our other securities or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85" w:lineRule="exact"/>
        <w:rPr>
          <w:sz w:val="20"/>
          <w:szCs w:val="20"/>
          <w:color w:val="auto"/>
        </w:rPr>
      </w:pPr>
    </w:p>
    <w:p>
      <w:pPr>
        <w:ind w:right="12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and Termination of the Deposit Agreement. </w:t>
      </w:r>
      <w:r>
        <w:rPr>
          <w:rFonts w:ascii="Times New Roman" w:cs="Times New Roman" w:eastAsia="Times New Roman" w:hAnsi="Times New Roman"/>
          <w:sz w:val="18"/>
          <w:szCs w:val="18"/>
          <w:color w:val="auto"/>
        </w:rPr>
        <w:t>We and the depositary may amend the form of depositary receipt and any provision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86" w:lineRule="exact"/>
        <w:rPr>
          <w:sz w:val="20"/>
          <w:szCs w:val="20"/>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redeem all outstanding depositary shares;</w:t>
      </w:r>
    </w:p>
    <w:p>
      <w:pPr>
        <w:spacing w:after="0" w:line="130"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67" w:lineRule="exact"/>
        <w:rPr>
          <w:rFonts w:ascii="Times New Roman" w:cs="Times New Roman" w:eastAsia="Times New Roman" w:hAnsi="Times New Roman"/>
          <w:sz w:val="18"/>
          <w:szCs w:val="18"/>
          <w:color w:val="auto"/>
        </w:rPr>
      </w:pPr>
    </w:p>
    <w:p>
      <w:pPr>
        <w:ind w:left="1000" w:right="480" w:hanging="547"/>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preferred share to which the depositary shares and agreement relate shall have been converted into shares of beneficial interest not represented by depositary shares.</w:t>
      </w:r>
    </w:p>
    <w:p>
      <w:pPr>
        <w:spacing w:after="0" w:line="158" w:lineRule="exact"/>
        <w:rPr>
          <w:sz w:val="20"/>
          <w:szCs w:val="20"/>
          <w:color w:val="auto"/>
        </w:rPr>
      </w:pPr>
    </w:p>
    <w:p>
      <w:pPr>
        <w:ind w:right="6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Resignation and Removal of Depositary. </w:t>
      </w:r>
      <w:r>
        <w:rPr>
          <w:rFonts w:ascii="Times New Roman" w:cs="Times New Roman" w:eastAsia="Times New Roman" w:hAnsi="Times New Roman"/>
          <w:sz w:val="18"/>
          <w:szCs w:val="18"/>
          <w:color w:val="auto"/>
        </w:rPr>
        <w:t>The depositary may resign at any time by delivering a notice to us of its election to do so. Additionally,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76" w:lineRule="exact"/>
        <w:rPr>
          <w:sz w:val="20"/>
          <w:szCs w:val="20"/>
          <w:color w:val="auto"/>
        </w:rPr>
      </w:pPr>
    </w:p>
    <w:p>
      <w:pPr>
        <w:ind w:right="8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the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76" w:lineRule="exact"/>
        <w:rPr>
          <w:sz w:val="20"/>
          <w:szCs w:val="20"/>
          <w:color w:val="auto"/>
        </w:rPr>
      </w:pPr>
    </w:p>
    <w:p>
      <w:pPr>
        <w:ind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Miscellaneous. </w:t>
      </w:r>
      <w:r>
        <w:rPr>
          <w:rFonts w:ascii="Times New Roman" w:cs="Times New Roman" w:eastAsia="Times New Roman" w:hAnsi="Times New Roman"/>
          <w:sz w:val="18"/>
          <w:szCs w:val="18"/>
          <w:color w:val="auto"/>
        </w:rPr>
        <w:t>The depositary will forward to you all reports and communications from us that we are required, or otherwise determine, to furnish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75"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21"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455"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40" w:hanging="547"/>
        <w:spacing w:after="0" w:line="261"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85"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67" w:lineRule="exact"/>
        <w:rPr>
          <w:rFonts w:ascii="Times New Roman" w:cs="Times New Roman" w:eastAsia="Times New Roman" w:hAnsi="Times New Roman"/>
          <w:sz w:val="18"/>
          <w:szCs w:val="18"/>
          <w:color w:val="auto"/>
        </w:rPr>
      </w:pPr>
    </w:p>
    <w:p>
      <w:pPr>
        <w:ind w:left="1000" w:right="400" w:hanging="547"/>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REIT’s stock or beneficial interests must be owned by 100 or more persons during at least 335 days of a taxable year of 12 months or during a proportionate part of a shorter taxable year.</w:t>
      </w:r>
    </w:p>
    <w:p>
      <w:pPr>
        <w:spacing w:after="0" w:line="162"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1000" w:hanging="54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any person owning, directly or indirectly, shares in excess of the ownership limitation;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shares being owned by fewer than 100 persons (determined without reference to any rules of attribution);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our being “closely held” (within the meaning of Section 856(h) of the Code);</w:t>
      </w:r>
    </w:p>
    <w:p>
      <w:pPr>
        <w:spacing w:after="0" w:line="130" w:lineRule="exact"/>
        <w:rPr>
          <w:rFonts w:ascii="Times New Roman" w:cs="Times New Roman" w:eastAsia="Times New Roman" w:hAnsi="Times New Roman"/>
          <w:sz w:val="18"/>
          <w:szCs w:val="18"/>
          <w:color w:val="auto"/>
        </w:rPr>
      </w:pPr>
    </w:p>
    <w:p>
      <w:pPr>
        <w:ind w:left="1000" w:right="220" w:hanging="547"/>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us to own, directly or constructively, 10% or more of the ownership interests in a tenant of our real property (within the meaning of Section 856(d)(2)(B) of the Code); or</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results in our failure to qualify as a REIT.</w:t>
      </w:r>
    </w:p>
    <w:p>
      <w:pPr>
        <w:spacing w:after="0" w:line="2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Automatic Transfer of Shares to Trust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certain exceptions described below, if any purported transfer of shares would violate any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200" w:lineRule="exact"/>
        <w:rPr>
          <w:sz w:val="20"/>
          <w:szCs w:val="20"/>
          <w:color w:val="auto"/>
        </w:rPr>
      </w:pPr>
    </w:p>
    <w:p>
      <w:pPr>
        <w:spacing w:after="0" w:line="203"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80"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81" w:lineRule="exact"/>
        <w:rPr>
          <w:sz w:val="20"/>
          <w:szCs w:val="20"/>
          <w:color w:val="auto"/>
        </w:rPr>
      </w:pPr>
    </w:p>
    <w:p>
      <w:pPr>
        <w:ind w:left="1000" w:hanging="54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if any, paid by the record holder for the shares;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amount was paid for such shares (e.g., if such shares were received through a gift or devise),</w:t>
      </w:r>
    </w:p>
    <w:p>
      <w:pPr>
        <w:spacing w:after="0" w:line="130" w:lineRule="exact"/>
        <w:rPr>
          <w:rFonts w:ascii="Times New Roman" w:cs="Times New Roman" w:eastAsia="Times New Roman" w:hAnsi="Times New Roman"/>
          <w:sz w:val="18"/>
          <w:szCs w:val="18"/>
          <w:color w:val="auto"/>
        </w:rPr>
      </w:pPr>
    </w:p>
    <w:p>
      <w:pPr>
        <w:ind w:left="1440" w:right="400" w:hanging="433"/>
        <w:spacing w:after="0" w:line="282" w:lineRule="auto"/>
        <w:tabs>
          <w:tab w:leader="none" w:pos="14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equal to the market price (which is calculated as defined in our declaration of trust) on the date the shares were received, or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80"/>
          </w:cols>
          <w:pgMar w:left="320" w:top="455" w:right="3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40" w:hanging="433"/>
        <w:spacing w:after="0"/>
        <w:tabs>
          <w:tab w:leader="none" w:pos="1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received by the trustee from the sale of such shares-in-trust.</w:t>
      </w:r>
    </w:p>
    <w:p>
      <w:pPr>
        <w:spacing w:after="0" w:line="225"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76"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76"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If a shareholder owns more than 5% of the outstanding common shares or preferred shares, then the shareholder must notify us of its share ownership by January 30 of each year.</w:t>
      </w:r>
    </w:p>
    <w:p>
      <w:pPr>
        <w:spacing w:after="0" w:line="162"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0"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87"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83"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7" w:lineRule="exact"/>
        <w:rPr>
          <w:sz w:val="20"/>
          <w:szCs w:val="20"/>
          <w:color w:val="auto"/>
        </w:rPr>
      </w:pPr>
    </w:p>
    <w:p>
      <w:pPr>
        <w:ind w:right="26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issue warrants for the purchase of common or preferred shares. If we offer warrants, we will describe the terms in a prospectus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455" w:right="3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some of the warrant terms that could be described in a prospectus supplement:</w:t>
      </w:r>
    </w:p>
    <w:p>
      <w:pPr>
        <w:spacing w:after="0" w:line="131" w:lineRule="exact"/>
        <w:rPr>
          <w:sz w:val="20"/>
          <w:szCs w:val="20"/>
          <w:color w:val="auto"/>
        </w:rPr>
      </w:pPr>
    </w:p>
    <w:p>
      <w:pPr>
        <w:ind w:left="1000" w:hanging="54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 will be issued;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preferred shares or common shares that may be purchased on exercise of the warrant;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security purchasable on exercise of the warrant may be purchased;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purchase the securities purchasable on exercise of the warrant will begin and end;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number of securities that may be purchased at any one time;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protection;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our Declaration of Trust and Bylaws</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62"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20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Maryland law, as set forth in the Maryland General Corporation Law, limits our ability to enter into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86" w:lineRule="exact"/>
        <w:rPr>
          <w:sz w:val="20"/>
          <w:szCs w:val="20"/>
          <w:color w:val="auto"/>
        </w:rPr>
      </w:pPr>
    </w:p>
    <w:p>
      <w:pPr>
        <w:ind w:left="1000" w:hanging="547"/>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our outstanding voting shares; or</w:t>
      </w:r>
    </w:p>
    <w:p>
      <w:pPr>
        <w:spacing w:after="0" w:line="130"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62" w:lineRule="exact"/>
        <w:rPr>
          <w:sz w:val="20"/>
          <w:szCs w:val="20"/>
          <w:color w:val="auto"/>
        </w:rPr>
      </w:pPr>
    </w:p>
    <w:p>
      <w:pPr>
        <w:jc w:val="both"/>
        <w:ind w:right="360" w:firstLine="449"/>
        <w:spacing w:after="0" w:line="266" w:lineRule="auto"/>
        <w:rPr>
          <w:sz w:val="20"/>
          <w:szCs w:val="20"/>
          <w:color w:val="auto"/>
        </w:rPr>
      </w:pPr>
      <w:r>
        <w:rPr>
          <w:rFonts w:ascii="Times New Roman" w:cs="Times New Roman" w:eastAsia="Times New Roman" w:hAnsi="Times New Roman"/>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320" w:top="455" w:right="3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auto"/>
        </w:rPr>
        <w:t>We may engage in business combinations with an interested shareholder if at least five years have passed since the person became an interested shareholder, but only if the transaction is:</w:t>
      </w:r>
    </w:p>
    <w:p>
      <w:pPr>
        <w:spacing w:after="0" w:line="67" w:lineRule="exact"/>
        <w:rPr>
          <w:sz w:val="20"/>
          <w:szCs w:val="20"/>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by our Board of Trustees;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at least,</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our outstanding shares entitled to vote; and</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58" w:lineRule="exact"/>
        <w:rPr>
          <w:sz w:val="20"/>
          <w:szCs w:val="20"/>
          <w:color w:val="auto"/>
        </w:rPr>
      </w:pPr>
    </w:p>
    <w:p>
      <w:pPr>
        <w:ind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Control Share Acquisitions. </w:t>
      </w:r>
      <w:r>
        <w:rPr>
          <w:rFonts w:ascii="Times New Roman" w:cs="Times New Roman" w:eastAsia="Times New Roman" w:hAnsi="Times New Roman"/>
          <w:sz w:val="18"/>
          <w:szCs w:val="18"/>
          <w:color w:val="auto"/>
        </w:rPr>
        <w:t>Our bylaws exempt acquisitions of our shares of beneficial interest by any person from “control share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0"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76"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67" w:lineRule="exact"/>
        <w:rPr>
          <w:sz w:val="20"/>
          <w:szCs w:val="20"/>
          <w:color w:val="auto"/>
        </w:rPr>
      </w:pPr>
    </w:p>
    <w:p>
      <w:pPr>
        <w:ind w:left="1000" w:hanging="54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25"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62" w:lineRule="exact"/>
        <w:rPr>
          <w:sz w:val="20"/>
          <w:szCs w:val="20"/>
          <w:color w:val="auto"/>
        </w:rPr>
      </w:pPr>
    </w:p>
    <w:p>
      <w:pPr>
        <w:ind w:right="380" w:firstLine="449"/>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76"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72" w:lineRule="exact"/>
        <w:rPr>
          <w:sz w:val="20"/>
          <w:szCs w:val="20"/>
          <w:color w:val="auto"/>
        </w:rPr>
      </w:pPr>
    </w:p>
    <w:p>
      <w:pPr>
        <w:jc w:val="both"/>
        <w:ind w:right="36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Duties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Maryland law, there is a presumption that the act of a trustee satisfies the required standard of care. An act of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71" w:lineRule="exact"/>
        <w:rPr>
          <w:sz w:val="20"/>
          <w:szCs w:val="20"/>
          <w:color w:val="auto"/>
        </w:rPr>
      </w:pPr>
    </w:p>
    <w:p>
      <w:pPr>
        <w:ind w:right="24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Trustees. </w:t>
      </w:r>
      <w:r>
        <w:rPr>
          <w:rFonts w:ascii="Times New Roman" w:cs="Times New Roman" w:eastAsia="Times New Roman" w:hAnsi="Times New Roman"/>
          <w:sz w:val="18"/>
          <w:szCs w:val="18"/>
          <w:color w:val="auto"/>
        </w:rPr>
        <w:t>The number of trustees may be increased or decreased pursuant to the bylaws, provided that the total number of trustees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less than five or more than 10. Under Maryland law and our declaration of trust, trustees are elected for one-year terms.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455" w:right="3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Removal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declaration of trust, and subject to the rights of any holders of preferred shares, our trustees may remove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cause, as defined in our declaration of trust, by the vote of all the other trustees or the shareholders may remove a trustee, with or without cause, at any meeting of shareholders called for that purpose, either by:</w:t>
      </w:r>
    </w:p>
    <w:p>
      <w:pPr>
        <w:spacing w:after="0" w:line="80" w:lineRule="exact"/>
        <w:rPr>
          <w:sz w:val="20"/>
          <w:szCs w:val="20"/>
          <w:color w:val="auto"/>
        </w:rPr>
      </w:pPr>
    </w:p>
    <w:p>
      <w:pPr>
        <w:ind w:left="1000" w:right="480" w:hanging="547"/>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67" w:lineRule="exact"/>
        <w:rPr>
          <w:rFonts w:ascii="Times New Roman" w:cs="Times New Roman" w:eastAsia="Times New Roman" w:hAnsi="Times New Roman"/>
          <w:sz w:val="18"/>
          <w:szCs w:val="18"/>
          <w:color w:val="auto"/>
        </w:rPr>
      </w:pPr>
    </w:p>
    <w:p>
      <w:pPr>
        <w:ind w:left="1000" w:right="400" w:hanging="547"/>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58" w:lineRule="exact"/>
        <w:rPr>
          <w:sz w:val="20"/>
          <w:szCs w:val="20"/>
          <w:color w:val="auto"/>
        </w:rPr>
      </w:pPr>
    </w:p>
    <w:p>
      <w:pPr>
        <w:ind w:right="20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Vacancies on the Board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bylaws provide that, subject to the rights of any holders of preferred shares, any vacancy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76" w:lineRule="exact"/>
        <w:rPr>
          <w:sz w:val="20"/>
          <w:szCs w:val="20"/>
          <w:color w:val="auto"/>
        </w:rPr>
      </w:pPr>
    </w:p>
    <w:p>
      <w:pPr>
        <w:ind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Meetings of Shareholders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provide for an annual meeting of shareholders, to be held in May after delivery of the annual report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80"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2" w:lineRule="exact"/>
        <w:rPr>
          <w:sz w:val="20"/>
          <w:szCs w:val="20"/>
          <w:color w:val="auto"/>
        </w:rPr>
      </w:pPr>
    </w:p>
    <w:p>
      <w:pPr>
        <w:ind w:right="20"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Advance Notice for Shareholder Nominations and Shareholder New Business Proposals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require advance written notice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86"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For a special meeting, to nominate a trustee, a shareholder must deliver notice to our Secretary not earlier that the close of business on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special meeting and not later than the close of business on the later of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special meeting or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87"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72" w:lineRule="exact"/>
        <w:rPr>
          <w:sz w:val="20"/>
          <w:szCs w:val="20"/>
          <w:color w:val="auto"/>
        </w:rPr>
      </w:pPr>
    </w:p>
    <w:p>
      <w:pPr>
        <w:ind w:right="8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Liability and Indemnification. </w:t>
      </w:r>
      <w:r>
        <w:rPr>
          <w:rFonts w:ascii="Times New Roman" w:cs="Times New Roman" w:eastAsia="Times New Roman" w:hAnsi="Times New Roman"/>
          <w:sz w:val="18"/>
          <w:szCs w:val="18"/>
          <w:color w:val="auto"/>
        </w:rPr>
        <w:t>Under Maryland law, you will not be personally liable for any obligation of ours solely because you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455" w:right="3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40" w:firstLine="449"/>
        <w:spacing w:after="0" w:line="266" w:lineRule="auto"/>
        <w:rPr>
          <w:sz w:val="20"/>
          <w:szCs w:val="20"/>
          <w:color w:val="auto"/>
        </w:rPr>
      </w:pPr>
      <w:r>
        <w:rPr>
          <w:rFonts w:ascii="Times New Roman" w:cs="Times New Roman" w:eastAsia="Times New Roman" w:hAnsi="Times New Roman"/>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72" w:lineRule="exact"/>
        <w:rPr>
          <w:sz w:val="20"/>
          <w:szCs w:val="20"/>
          <w:color w:val="auto"/>
        </w:rPr>
      </w:pPr>
    </w:p>
    <w:p>
      <w:pPr>
        <w:ind w:right="14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of Liability of Trustees and Officers. </w:t>
      </w:r>
      <w:r>
        <w:rPr>
          <w:rFonts w:ascii="Times New Roman" w:cs="Times New Roman" w:eastAsia="Times New Roman" w:hAnsi="Times New Roman"/>
          <w:sz w:val="18"/>
          <w:szCs w:val="18"/>
          <w:color w:val="auto"/>
        </w:rPr>
        <w:t>Our declaration of trust, to the maximum extent permitted under Maryland law in effect from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86" w:lineRule="exact"/>
        <w:rPr>
          <w:sz w:val="20"/>
          <w:szCs w:val="20"/>
          <w:color w:val="auto"/>
        </w:rPr>
      </w:pPr>
    </w:p>
    <w:p>
      <w:pPr>
        <w:ind w:left="1000" w:hanging="547"/>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proved that the trustee or officer actually received an improper benefit or profit in money, property or services; or</w:t>
      </w:r>
    </w:p>
    <w:p>
      <w:pPr>
        <w:spacing w:after="0" w:line="130"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62"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72" w:lineRule="exact"/>
        <w:rPr>
          <w:sz w:val="20"/>
          <w:szCs w:val="20"/>
          <w:color w:val="auto"/>
        </w:rPr>
      </w:pPr>
    </w:p>
    <w:p>
      <w:pPr>
        <w:ind w:right="20" w:firstLine="4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Officers. </w:t>
      </w:r>
      <w:r>
        <w:rPr>
          <w:rFonts w:ascii="Times New Roman" w:cs="Times New Roman" w:eastAsia="Times New Roman" w:hAnsi="Times New Roman"/>
          <w:sz w:val="18"/>
          <w:szCs w:val="18"/>
          <w:color w:val="auto"/>
        </w:rPr>
        <w:t>Our declaration of trust permits us to indemnify and advance expenses to, to the maximum extent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FEDERAL INCOME TAX CONSIDERATIONS</w:t>
      </w:r>
    </w:p>
    <w:p>
      <w:pPr>
        <w:spacing w:after="0" w:line="229"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455" w:right="3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97"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62"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0"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121" w:lineRule="exact"/>
        <w:rPr>
          <w:sz w:val="20"/>
          <w:szCs w:val="20"/>
          <w:color w:val="auto"/>
        </w:rPr>
      </w:pPr>
    </w:p>
    <w:p>
      <w:pPr>
        <w:ind w:right="20" w:firstLine="449"/>
        <w:spacing w:after="0" w:line="312" w:lineRule="auto"/>
        <w:rPr>
          <w:sz w:val="20"/>
          <w:szCs w:val="20"/>
          <w:color w:val="auto"/>
        </w:rPr>
      </w:pPr>
      <w:r>
        <w:rPr>
          <w:rFonts w:ascii="Times New Roman" w:cs="Times New Roman" w:eastAsia="Times New Roman" w:hAnsi="Times New Roman"/>
          <w:sz w:val="17"/>
          <w:szCs w:val="17"/>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40"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7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the opinion of our tax counsel, Pillsbury Winthrop Shaw Pittman LLP, (i) we qualified as a REIT under Sections 856 through 860 of the Code with respect to each of our taxable years ended through December 31, 2017;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455" w:right="3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4"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5" w:lineRule="exact"/>
        <w:rPr>
          <w:sz w:val="20"/>
          <w:szCs w:val="20"/>
          <w:color w:val="auto"/>
        </w:rPr>
      </w:pPr>
    </w:p>
    <w:p>
      <w:pPr>
        <w:ind w:left="1000" w:right="40" w:hanging="547"/>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67" w:lineRule="exact"/>
        <w:rPr>
          <w:rFonts w:ascii="Times New Roman" w:cs="Times New Roman" w:eastAsia="Times New Roman" w:hAnsi="Times New Roman"/>
          <w:sz w:val="18"/>
          <w:szCs w:val="18"/>
          <w:color w:val="auto"/>
        </w:rPr>
      </w:pPr>
    </w:p>
    <w:p>
      <w:pPr>
        <w:ind w:left="1000" w:right="460" w:hanging="547"/>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taxable years ending on or prior to December 31, 2017, we may be subject to the “alternative minimum tax” on any items of tax preference that we do not distribute or allocate to our shareholders;</w:t>
      </w:r>
    </w:p>
    <w:p>
      <w:pPr>
        <w:spacing w:after="0" w:line="67" w:lineRule="exact"/>
        <w:rPr>
          <w:rFonts w:ascii="Times New Roman" w:cs="Times New Roman" w:eastAsia="Times New Roman" w:hAnsi="Times New Roman"/>
          <w:sz w:val="18"/>
          <w:szCs w:val="18"/>
          <w:color w:val="auto"/>
        </w:rPr>
      </w:pPr>
    </w:p>
    <w:p>
      <w:pPr>
        <w:ind w:left="1000" w:right="200" w:hanging="547"/>
        <w:spacing w:after="0" w:line="266"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1" w:lineRule="exact"/>
        <w:rPr>
          <w:rFonts w:ascii="Times New Roman" w:cs="Times New Roman" w:eastAsia="Times New Roman" w:hAnsi="Times New Roman"/>
          <w:sz w:val="18"/>
          <w:szCs w:val="18"/>
          <w:color w:val="auto"/>
        </w:rPr>
      </w:pPr>
    </w:p>
    <w:p>
      <w:pPr>
        <w:ind w:left="1000" w:right="440" w:hanging="547"/>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67"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that are C corporations, including our “taxable REIT subsidiaries,” generally will be required to pay federal corporate income tax on their earnings;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excise tax on transactions with a “taxable REIT subsidiary” that are not conducted on an arm’s-length basis;</w:t>
      </w:r>
    </w:p>
    <w:p>
      <w:pPr>
        <w:spacing w:after="0" w:line="130" w:lineRule="exact"/>
        <w:rPr>
          <w:rFonts w:ascii="Times New Roman" w:cs="Times New Roman" w:eastAsia="Times New Roman" w:hAnsi="Times New Roman"/>
          <w:sz w:val="18"/>
          <w:szCs w:val="18"/>
          <w:color w:val="auto"/>
        </w:rPr>
      </w:pPr>
    </w:p>
    <w:p>
      <w:pPr>
        <w:ind w:left="1000" w:right="140" w:hanging="547"/>
        <w:spacing w:after="0" w:line="261"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85" w:lineRule="exact"/>
        <w:rPr>
          <w:rFonts w:ascii="Times New Roman" w:cs="Times New Roman" w:eastAsia="Times New Roman" w:hAnsi="Times New Roman"/>
          <w:sz w:val="18"/>
          <w:szCs w:val="18"/>
          <w:color w:val="auto"/>
        </w:rPr>
      </w:pPr>
    </w:p>
    <w:p>
      <w:pPr>
        <w:ind w:left="1000" w:right="40" w:hanging="547"/>
        <w:spacing w:after="0" w:line="261"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85" w:lineRule="exact"/>
        <w:rPr>
          <w:rFonts w:ascii="Times New Roman" w:cs="Times New Roman" w:eastAsia="Times New Roman" w:hAnsi="Times New Roman"/>
          <w:sz w:val="18"/>
          <w:szCs w:val="18"/>
          <w:color w:val="auto"/>
        </w:rPr>
      </w:pPr>
    </w:p>
    <w:p>
      <w:pPr>
        <w:ind w:left="1000" w:right="60" w:hanging="547"/>
        <w:spacing w:after="0" w:line="266"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455" w:right="3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60" w:hanging="547"/>
        <w:spacing w:after="0" w:line="261"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85"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130" w:lineRule="exact"/>
        <w:rPr>
          <w:rFonts w:ascii="Times New Roman" w:cs="Times New Roman" w:eastAsia="Times New Roman" w:hAnsi="Times New Roman"/>
          <w:sz w:val="18"/>
          <w:szCs w:val="18"/>
          <w:color w:val="auto"/>
        </w:rPr>
      </w:pPr>
    </w:p>
    <w:p>
      <w:pPr>
        <w:ind w:left="1000" w:right="20" w:hanging="547"/>
        <w:spacing w:after="0" w:line="270" w:lineRule="auto"/>
        <w:tabs>
          <w:tab w:leader="none" w:pos="10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w:t>
      </w:r>
    </w:p>
    <w:p>
      <w:pPr>
        <w:spacing w:after="0" w:line="2" w:lineRule="exact"/>
        <w:rPr>
          <w:rFonts w:ascii="Times New Roman" w:cs="Times New Roman" w:eastAsia="Times New Roman" w:hAnsi="Times New Roman"/>
          <w:sz w:val="17"/>
          <w:szCs w:val="17"/>
          <w:color w:val="auto"/>
        </w:rPr>
      </w:pPr>
    </w:p>
    <w:p>
      <w:pPr>
        <w:ind w:left="1000"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amount of gain that we recognize at the time of the sale or disposition and (ii) the amount of gain that we would have recognized if we had sold the asset at the time we acquired the asset.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131" w:lineRule="exact"/>
        <w:rPr>
          <w:sz w:val="20"/>
          <w:szCs w:val="20"/>
          <w:color w:val="auto"/>
        </w:rPr>
      </w:pPr>
    </w:p>
    <w:p>
      <w:pPr>
        <w:ind w:left="1000" w:hanging="547"/>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130"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67" w:lineRule="exact"/>
        <w:rPr>
          <w:rFonts w:ascii="Times New Roman" w:cs="Times New Roman" w:eastAsia="Times New Roman" w:hAnsi="Times New Roman"/>
          <w:sz w:val="18"/>
          <w:szCs w:val="18"/>
          <w:color w:val="auto"/>
        </w:rPr>
      </w:pPr>
    </w:p>
    <w:p>
      <w:pPr>
        <w:ind w:left="1000" w:right="620" w:hanging="547"/>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67" w:lineRule="exact"/>
        <w:rPr>
          <w:rFonts w:ascii="Times New Roman" w:cs="Times New Roman" w:eastAsia="Times New Roman" w:hAnsi="Times New Roman"/>
          <w:sz w:val="18"/>
          <w:szCs w:val="18"/>
          <w:color w:val="auto"/>
        </w:rPr>
      </w:pPr>
    </w:p>
    <w:p>
      <w:pPr>
        <w:ind w:left="1000" w:right="620" w:hanging="547"/>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regulations of the Treasury; and</w:t>
      </w:r>
    </w:p>
    <w:p>
      <w:pPr>
        <w:spacing w:after="0" w:line="67"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other qualification tests, described below, regarding the nature of our income and assets and the amount of our distributions to shareholders.</w:t>
      </w:r>
    </w:p>
    <w:p>
      <w:pPr>
        <w:spacing w:after="0" w:line="16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80"/>
          </w:cols>
          <w:pgMar w:left="320" w:top="455" w:right="3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8"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enacted in 2015 and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proposed regulations providing details on some of these provisions, but the timing and content of final regulations remains uncertain.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Tests. </w:t>
      </w:r>
      <w:r>
        <w:rPr>
          <w:rFonts w:ascii="Times New Roman" w:cs="Times New Roman" w:eastAsia="Times New Roman" w:hAnsi="Times New Roman"/>
          <w:sz w:val="18"/>
          <w:szCs w:val="18"/>
          <w:color w:val="auto"/>
        </w:rPr>
        <w:t>We must satisfy two gross income tests annually to maintain our qualification as a REIT:</w:t>
      </w:r>
    </w:p>
    <w:p>
      <w:pPr>
        <w:spacing w:after="0" w:line="135" w:lineRule="exact"/>
        <w:rPr>
          <w:sz w:val="20"/>
          <w:szCs w:val="20"/>
          <w:color w:val="auto"/>
        </w:rPr>
      </w:pPr>
    </w:p>
    <w:p>
      <w:pPr>
        <w:ind w:left="1000" w:right="60" w:hanging="547"/>
        <w:spacing w:after="0" w:line="254"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97" w:lineRule="exact"/>
        <w:rPr>
          <w:rFonts w:ascii="Times New Roman" w:cs="Times New Roman" w:eastAsia="Times New Roman" w:hAnsi="Times New Roman"/>
          <w:sz w:val="18"/>
          <w:szCs w:val="18"/>
          <w:color w:val="auto"/>
        </w:rPr>
      </w:pPr>
    </w:p>
    <w:p>
      <w:pPr>
        <w:ind w:left="1000" w:right="40" w:hanging="547"/>
        <w:spacing w:after="0" w:line="261"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455" w:right="3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221" w:lineRule="exact"/>
        <w:rPr>
          <w:sz w:val="20"/>
          <w:szCs w:val="20"/>
          <w:color w:val="auto"/>
        </w:rPr>
      </w:pPr>
    </w:p>
    <w:p>
      <w:pPr>
        <w:ind w:right="24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Rental Income</w:t>
      </w:r>
      <w:r>
        <w:rPr>
          <w:rFonts w:ascii="Times New Roman" w:cs="Times New Roman" w:eastAsia="Times New Roman" w:hAnsi="Times New Roman"/>
          <w:sz w:val="18"/>
          <w:szCs w:val="18"/>
          <w:color w:val="auto"/>
        </w:rPr>
        <w:t>. Our primary source of income derives from leasing properties. There are various limitations on whether rent that we receive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 property that we own and lease to tenants will qualify as “rents from real property” (which is qualifying income for purposes of the 75% and 95% gross income tests) under the REIT tax rules:</w:t>
      </w:r>
    </w:p>
    <w:p>
      <w:pPr>
        <w:spacing w:after="0" w:line="80" w:lineRule="exact"/>
        <w:rPr>
          <w:sz w:val="20"/>
          <w:szCs w:val="20"/>
          <w:color w:val="auto"/>
        </w:rPr>
      </w:pPr>
    </w:p>
    <w:p>
      <w:pPr>
        <w:ind w:left="1000" w:hanging="547"/>
        <w:spacing w:after="0" w:line="256"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92" w:lineRule="exact"/>
        <w:rPr>
          <w:rFonts w:ascii="Times New Roman" w:cs="Times New Roman" w:eastAsia="Times New Roman" w:hAnsi="Times New Roman"/>
          <w:sz w:val="18"/>
          <w:szCs w:val="18"/>
          <w:color w:val="auto"/>
        </w:rPr>
      </w:pPr>
    </w:p>
    <w:p>
      <w:pPr>
        <w:ind w:left="1000" w:right="40" w:hanging="547"/>
        <w:spacing w:after="0" w:line="253"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95" w:lineRule="exact"/>
        <w:rPr>
          <w:rFonts w:ascii="Times New Roman" w:cs="Times New Roman" w:eastAsia="Times New Roman" w:hAnsi="Times New Roman"/>
          <w:sz w:val="18"/>
          <w:szCs w:val="18"/>
          <w:color w:val="auto"/>
        </w:rPr>
      </w:pPr>
    </w:p>
    <w:p>
      <w:pPr>
        <w:ind w:left="1000" w:right="20" w:hanging="547"/>
        <w:spacing w:after="0" w:line="256"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92" w:lineRule="exact"/>
        <w:rPr>
          <w:rFonts w:ascii="Times New Roman" w:cs="Times New Roman" w:eastAsia="Times New Roman" w:hAnsi="Times New Roman"/>
          <w:sz w:val="18"/>
          <w:szCs w:val="18"/>
          <w:color w:val="auto"/>
        </w:rPr>
      </w:pPr>
    </w:p>
    <w:p>
      <w:pPr>
        <w:ind w:left="1000" w:hanging="547"/>
        <w:spacing w:after="0" w:line="254"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320" w:top="455" w:right="3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0" w:hanging="547"/>
        <w:spacing w:after="0" w:line="253"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94"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72" w:lineRule="exact"/>
        <w:rPr>
          <w:sz w:val="20"/>
          <w:szCs w:val="20"/>
          <w:color w:val="auto"/>
        </w:rPr>
      </w:pPr>
    </w:p>
    <w:p>
      <w:pPr>
        <w:ind w:right="60"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For purposes of the gross income tests, the term “interest” generally does not include any amount received or accrued, directly or indirectly,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86"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88" w:lineRule="exact"/>
        <w:rPr>
          <w:sz w:val="20"/>
          <w:szCs w:val="20"/>
          <w:color w:val="auto"/>
        </w:rPr>
      </w:pPr>
    </w:p>
    <w:p>
      <w:pPr>
        <w:jc w:val="both"/>
        <w:ind w:right="4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Our share of any dividends received from any corporation (including any taxable REIT subsidiary, but excluding any REIT) in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71" w:lineRule="exact"/>
        <w:rPr>
          <w:sz w:val="20"/>
          <w:szCs w:val="20"/>
          <w:color w:val="auto"/>
        </w:rPr>
      </w:pPr>
    </w:p>
    <w:p>
      <w:pPr>
        <w:ind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Income From Property Acquired in Foreclosure. </w:t>
      </w:r>
      <w:r>
        <w:rPr>
          <w:rFonts w:ascii="Times New Roman" w:cs="Times New Roman" w:eastAsia="Times New Roman" w:hAnsi="Times New Roman"/>
          <w:sz w:val="18"/>
          <w:szCs w:val="18"/>
          <w:color w:val="auto"/>
        </w:rPr>
        <w:t>We will be subject to tax at the maximum corporate rate on any income from foreclosure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455" w:right="3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1000" w:right="420" w:hanging="547"/>
        <w:spacing w:after="0" w:line="312" w:lineRule="auto"/>
        <w:tabs>
          <w:tab w:leader="none" w:pos="10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5" w:lineRule="exact"/>
        <w:rPr>
          <w:rFonts w:ascii="Times New Roman" w:cs="Times New Roman" w:eastAsia="Times New Roman" w:hAnsi="Times New Roman"/>
          <w:sz w:val="17"/>
          <w:szCs w:val="17"/>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460" w:firstLine="449"/>
        <w:spacing w:after="0" w:line="266" w:lineRule="auto"/>
        <w:rPr>
          <w:sz w:val="20"/>
          <w:szCs w:val="20"/>
          <w:color w:val="auto"/>
        </w:rPr>
      </w:pPr>
      <w:r>
        <w:rPr>
          <w:rFonts w:ascii="Times New Roman" w:cs="Times New Roman" w:eastAsia="Times New Roman" w:hAnsi="Times New Roman"/>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1" w:lineRule="exact"/>
        <w:rPr>
          <w:sz w:val="20"/>
          <w:szCs w:val="20"/>
          <w:color w:val="auto"/>
        </w:rPr>
      </w:pPr>
    </w:p>
    <w:p>
      <w:pPr>
        <w:ind w:left="1000" w:right="100" w:hanging="54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67" w:lineRule="exact"/>
        <w:rPr>
          <w:rFonts w:ascii="Times New Roman" w:cs="Times New Roman" w:eastAsia="Times New Roman" w:hAnsi="Times New Roman"/>
          <w:sz w:val="18"/>
          <w:szCs w:val="18"/>
          <w:color w:val="auto"/>
        </w:rPr>
      </w:pPr>
    </w:p>
    <w:p>
      <w:pPr>
        <w:ind w:left="1000" w:right="100" w:hanging="547"/>
        <w:spacing w:after="0" w:line="266"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1"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67" w:lineRule="exact"/>
        <w:rPr>
          <w:rFonts w:ascii="Times New Roman" w:cs="Times New Roman" w:eastAsia="Times New Roman" w:hAnsi="Times New Roman"/>
          <w:sz w:val="18"/>
          <w:szCs w:val="18"/>
          <w:color w:val="auto"/>
        </w:rPr>
      </w:pPr>
    </w:p>
    <w:p>
      <w:pPr>
        <w:ind w:left="1000" w:right="120" w:hanging="547"/>
        <w:spacing w:after="0" w:line="266"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7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Prohibited Transactions. </w:t>
      </w:r>
      <w:r>
        <w:rPr>
          <w:rFonts w:ascii="Times New Roman" w:cs="Times New Roman" w:eastAsia="Times New Roman" w:hAnsi="Times New Roman"/>
          <w:sz w:val="18"/>
          <w:szCs w:val="18"/>
          <w:color w:val="auto"/>
        </w:rPr>
        <w:t>A REIT will incur a 100% tax on net income (taking into account foreign currency gains and losses) derived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7"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00"/>
          </w:cols>
          <w:pgMar w:left="320" w:top="455" w:right="3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58" w:lineRule="exact"/>
        <w:rPr>
          <w:sz w:val="20"/>
          <w:szCs w:val="20"/>
          <w:color w:val="auto"/>
        </w:rPr>
      </w:pPr>
    </w:p>
    <w:p>
      <w:pPr>
        <w:ind w:firstLine="4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and Deduction Limits on Certain Transactions with Taxable REIT Subsidiaries. </w:t>
      </w:r>
      <w:r>
        <w:rPr>
          <w:rFonts w:ascii="Times New Roman" w:cs="Times New Roman" w:eastAsia="Times New Roman" w:hAnsi="Times New Roman"/>
          <w:sz w:val="18"/>
          <w:szCs w:val="18"/>
          <w:color w:val="auto"/>
        </w:rPr>
        <w:t>A REIT will incur a 100% tax on certain transactions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79"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Hedging Transactions. </w:t>
      </w:r>
      <w:r>
        <w:rPr>
          <w:rFonts w:ascii="Times New Roman" w:cs="Times New Roman" w:eastAsia="Times New Roman" w:hAnsi="Times New Roman"/>
          <w:sz w:val="18"/>
          <w:szCs w:val="18"/>
          <w:color w:val="auto"/>
        </w:rPr>
        <w:t>Except to the extent provided by Treasury regulations, any income we derive from a hedging transaction (which may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85" w:lineRule="exact"/>
        <w:rPr>
          <w:sz w:val="20"/>
          <w:szCs w:val="20"/>
          <w:color w:val="auto"/>
        </w:rPr>
      </w:pPr>
    </w:p>
    <w:p>
      <w:pPr>
        <w:ind w:right="34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Like-Kind Exchanges. </w:t>
      </w:r>
      <w:r>
        <w:rPr>
          <w:rFonts w:ascii="Times New Roman" w:cs="Times New Roman" w:eastAsia="Times New Roman" w:hAnsi="Times New Roman"/>
          <w:sz w:val="18"/>
          <w:szCs w:val="18"/>
          <w:color w:val="auto"/>
        </w:rPr>
        <w:t>We may dispose of properties in transactions intended to qualify as like-kind exchanges under the Code. Such like-kind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Recent legislative changes eliminate like-kind exchanges for most personal property.</w:t>
      </w:r>
    </w:p>
    <w:p>
      <w:pPr>
        <w:spacing w:after="0" w:line="176" w:lineRule="exact"/>
        <w:rPr>
          <w:sz w:val="20"/>
          <w:szCs w:val="20"/>
          <w:color w:val="auto"/>
        </w:rPr>
      </w:pPr>
    </w:p>
    <w:p>
      <w:pPr>
        <w:ind w:right="40"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Income Tests. </w:t>
      </w:r>
      <w:r>
        <w:rPr>
          <w:rFonts w:ascii="Times New Roman" w:cs="Times New Roman" w:eastAsia="Times New Roman" w:hAnsi="Times New Roman"/>
          <w:sz w:val="18"/>
          <w:szCs w:val="18"/>
          <w:color w:val="auto"/>
        </w:rPr>
        <w:t>If we fail to satisfy one or both of the 75% and 95% gross income tests for any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Asset Tests. </w:t>
      </w:r>
      <w:r>
        <w:rPr>
          <w:rFonts w:ascii="Times New Roman" w:cs="Times New Roman" w:eastAsia="Times New Roman" w:hAnsi="Times New Roman"/>
          <w:sz w:val="18"/>
          <w:szCs w:val="18"/>
          <w:color w:val="auto"/>
        </w:rPr>
        <w:t>To maintain our qualification as a REIT, we also must satisfy the following asset tests at the close of each quarter of each taxable year:</w:t>
      </w:r>
    </w:p>
    <w:p>
      <w:pPr>
        <w:spacing w:after="0" w:line="135" w:lineRule="exact"/>
        <w:rPr>
          <w:sz w:val="20"/>
          <w:szCs w:val="20"/>
          <w:color w:val="auto"/>
        </w:rPr>
      </w:pPr>
    </w:p>
    <w:p>
      <w:pPr>
        <w:ind w:left="1000" w:right="120" w:hanging="547"/>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67" w:lineRule="exact"/>
        <w:rPr>
          <w:rFonts w:ascii="Times New Roman" w:cs="Times New Roman" w:eastAsia="Times New Roman" w:hAnsi="Times New Roman"/>
          <w:sz w:val="18"/>
          <w:szCs w:val="18"/>
          <w:color w:val="auto"/>
        </w:rPr>
      </w:pPr>
    </w:p>
    <w:p>
      <w:pPr>
        <w:ind w:left="1440" w:right="180" w:hanging="433"/>
        <w:spacing w:after="0" w:line="261" w:lineRule="auto"/>
        <w:tabs>
          <w:tab w:leader="none" w:pos="14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85" w:lineRule="exact"/>
        <w:rPr>
          <w:rFonts w:ascii="Times New Roman" w:cs="Times New Roman" w:eastAsia="Times New Roman" w:hAnsi="Times New Roman"/>
          <w:sz w:val="18"/>
          <w:szCs w:val="18"/>
          <w:color w:val="auto"/>
        </w:rPr>
      </w:pPr>
    </w:p>
    <w:p>
      <w:pPr>
        <w:ind w:left="1440" w:right="380" w:hanging="433"/>
        <w:spacing w:after="0" w:line="266" w:lineRule="auto"/>
        <w:tabs>
          <w:tab w:leader="none" w:pos="14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1" w:lineRule="exact"/>
        <w:rPr>
          <w:rFonts w:ascii="Times New Roman" w:cs="Times New Roman" w:eastAsia="Times New Roman" w:hAnsi="Times New Roman"/>
          <w:sz w:val="18"/>
          <w:szCs w:val="18"/>
          <w:color w:val="auto"/>
        </w:rPr>
      </w:pPr>
    </w:p>
    <w:p>
      <w:pPr>
        <w:ind w:left="1440" w:right="40" w:hanging="433"/>
        <w:spacing w:after="0" w:line="282" w:lineRule="auto"/>
        <w:tabs>
          <w:tab w:leader="none" w:pos="14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455" w:right="3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line="253"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95"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securities in one or more taxable REIT subsidiaries (unless they would otherwise be treated as real estate assets) may not exceed 20% of the value of our total assets.</w:t>
      </w:r>
    </w:p>
    <w:p>
      <w:pPr>
        <w:spacing w:after="0" w:line="67"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holdings in debt instruments of publicly offered REITs (unless they would otherwise be treated as real estate assets) may not exceed 25% of the value of our total assets.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225"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94"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9"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Asset Tests. </w:t>
      </w:r>
      <w:r>
        <w:rPr>
          <w:rFonts w:ascii="Times New Roman" w:cs="Times New Roman" w:eastAsia="Times New Roman" w:hAnsi="Times New Roman"/>
          <w:sz w:val="18"/>
          <w:szCs w:val="18"/>
          <w:color w:val="auto"/>
        </w:rPr>
        <w:t>If we fail to satisfy one or more of the asset tests for any quarter of a taxable year,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455" w:right="3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76" w:lineRule="exact"/>
        <w:rPr>
          <w:sz w:val="20"/>
          <w:szCs w:val="20"/>
          <w:color w:val="auto"/>
        </w:rPr>
      </w:pPr>
    </w:p>
    <w:p>
      <w:pPr>
        <w:ind w:right="14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 Requirements. </w:t>
      </w:r>
      <w:r>
        <w:rPr>
          <w:rFonts w:ascii="Times New Roman" w:cs="Times New Roman" w:eastAsia="Times New Roman" w:hAnsi="Times New Roman"/>
          <w:sz w:val="18"/>
          <w:szCs w:val="18"/>
          <w:color w:val="auto"/>
        </w:rPr>
        <w:t>Each taxable year, we must distribute dividends (other than capital gain dividends and deemed distributions of retained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0" w:lineRule="exact"/>
        <w:rPr>
          <w:sz w:val="20"/>
          <w:szCs w:val="20"/>
          <w:color w:val="auto"/>
        </w:rPr>
      </w:pPr>
    </w:p>
    <w:p>
      <w:pPr>
        <w:jc w:val="both"/>
        <w:ind w:right="100" w:firstLine="449"/>
        <w:spacing w:after="0" w:line="261" w:lineRule="auto"/>
        <w:rPr>
          <w:sz w:val="20"/>
          <w:szCs w:val="20"/>
          <w:color w:val="auto"/>
        </w:rPr>
      </w:pPr>
      <w:r>
        <w:rPr>
          <w:rFonts w:ascii="Times New Roman" w:cs="Times New Roman" w:eastAsia="Times New Roman" w:hAnsi="Times New Roman"/>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80"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w:t>
      </w:r>
    </w:p>
    <w:p>
      <w:pPr>
        <w:spacing w:after="0" w:line="187"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89"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455" w:right="3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provided certain conditions are satisfied. We have no current intention to make such an elective cash/shares distribution or a distribution of debt securities, but in the event of an elective cash/shares distribution we expect to structure it so as to comply with the revenue procedure.</w:t>
      </w:r>
    </w:p>
    <w:p>
      <w:pPr>
        <w:spacing w:after="0" w:line="180"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76" w:lineRule="exact"/>
        <w:rPr>
          <w:sz w:val="20"/>
          <w:szCs w:val="20"/>
          <w:color w:val="auto"/>
        </w:rPr>
      </w:pPr>
    </w:p>
    <w:p>
      <w:pPr>
        <w:ind w:right="260"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Record Keeping Requirements. </w:t>
      </w:r>
      <w:r>
        <w:rPr>
          <w:rFonts w:ascii="Times New Roman" w:cs="Times New Roman" w:eastAsia="Times New Roman" w:hAnsi="Times New Roman"/>
          <w:sz w:val="18"/>
          <w:szCs w:val="18"/>
          <w:color w:val="auto"/>
        </w:rPr>
        <w:t>We must maintain certain records in order to qualify as a REIT. In addition, to avoid a monetary penalty, we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71" w:lineRule="exact"/>
        <w:rPr>
          <w:sz w:val="20"/>
          <w:szCs w:val="20"/>
          <w:color w:val="auto"/>
        </w:rPr>
      </w:pPr>
    </w:p>
    <w:p>
      <w:pPr>
        <w:ind w:right="6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Other Failures of the REIT Qualification Provisions. </w:t>
      </w:r>
      <w:r>
        <w:rPr>
          <w:rFonts w:ascii="Times New Roman" w:cs="Times New Roman" w:eastAsia="Times New Roman" w:hAnsi="Times New Roman"/>
          <w:sz w:val="18"/>
          <w:szCs w:val="18"/>
          <w:color w:val="auto"/>
        </w:rPr>
        <w:t>If we fail to satisfy one or more of the requirements for REIT qualification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76"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Qualify. </w:t>
      </w:r>
      <w:r>
        <w:rPr>
          <w:rFonts w:ascii="Times New Roman" w:cs="Times New Roman" w:eastAsia="Times New Roman" w:hAnsi="Times New Roman"/>
          <w:sz w:val="18"/>
          <w:szCs w:val="18"/>
          <w:color w:val="auto"/>
        </w:rPr>
        <w:t>If we fail to qualify as a REIT in any taxable year, and no relief provision applied, we would be subject to federal income tax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121"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As used herein, the term “taxable U.S. shareholder” means a taxable beneficial owner of our common or preferred shares that for U.S. federal income tax purposes is:</w:t>
      </w:r>
    </w:p>
    <w:p>
      <w:pPr>
        <w:spacing w:after="0" w:line="67" w:lineRule="exact"/>
        <w:rPr>
          <w:sz w:val="20"/>
          <w:szCs w:val="20"/>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30"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162" w:lineRule="exact"/>
        <w:rPr>
          <w:sz w:val="20"/>
          <w:szCs w:val="20"/>
          <w:color w:val="auto"/>
        </w:rPr>
      </w:pPr>
    </w:p>
    <w:p>
      <w:pPr>
        <w:ind w:right="380" w:firstLine="449"/>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455" w:right="3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0"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Taxable U.S. Shareholder Distributions. </w:t>
      </w:r>
      <w:r>
        <w:rPr>
          <w:rFonts w:ascii="Times New Roman" w:cs="Times New Roman" w:eastAsia="Times New Roman" w:hAnsi="Times New Roman"/>
          <w:sz w:val="18"/>
          <w:szCs w:val="18"/>
          <w:color w:val="auto"/>
        </w:rPr>
        <w:t>As long as we qualify as a REIT, a taxable U.S. shareholder must take into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after 2017 and prior to 2026, generally non-corporate shareholders are allowed to deduct 20% of the aggregate amount of ordinary dividends distributed by us, subject to certain limitations.</w:t>
      </w:r>
    </w:p>
    <w:p>
      <w:pPr>
        <w:spacing w:after="0" w:line="18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8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3"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0"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8"/>
          <w:szCs w:val="18"/>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9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Taxable U.S. Shareholders on the Disposition of Our Shares. </w:t>
      </w:r>
      <w:r>
        <w:rPr>
          <w:rFonts w:ascii="Times New Roman" w:cs="Times New Roman" w:eastAsia="Times New Roman" w:hAnsi="Times New Roman"/>
          <w:sz w:val="18"/>
          <w:szCs w:val="18"/>
          <w:color w:val="auto"/>
        </w:rPr>
        <w:t>In general, a taxable U.S. shareholder must treat any gain or loss realized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455" w:right="3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Gains and Losses. </w:t>
      </w:r>
      <w:r>
        <w:rPr>
          <w:rFonts w:ascii="Times New Roman" w:cs="Times New Roman" w:eastAsia="Times New Roman" w:hAnsi="Times New Roman"/>
          <w:sz w:val="18"/>
          <w:szCs w:val="18"/>
          <w:color w:val="auto"/>
        </w:rPr>
        <w:t>A taxpayer generally must hold a capital asset for more than one year for gain or loss derived from its sale or exchange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w:t>
      </w:r>
    </w:p>
    <w:p>
      <w:pPr>
        <w:ind w:right="20"/>
        <w:spacing w:after="0" w:line="251" w:lineRule="auto"/>
        <w:rPr>
          <w:sz w:val="20"/>
          <w:szCs w:val="20"/>
          <w:color w:val="auto"/>
        </w:rPr>
      </w:pPr>
      <w:r>
        <w:rPr>
          <w:rFonts w:ascii="Times New Roman" w:cs="Times New Roman" w:eastAsia="Times New Roman" w:hAnsi="Times New Roman"/>
          <w:sz w:val="18"/>
          <w:szCs w:val="18"/>
          <w:color w:val="auto"/>
        </w:rPr>
        <w:t>“Section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8"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Preferred Shares for Cash. </w:t>
      </w:r>
      <w:r>
        <w:rPr>
          <w:rFonts w:ascii="Times New Roman" w:cs="Times New Roman" w:eastAsia="Times New Roman" w:hAnsi="Times New Roman"/>
          <w:sz w:val="18"/>
          <w:szCs w:val="18"/>
          <w:color w:val="auto"/>
        </w:rPr>
        <w:t>The treatment accorded to any redemption by us for cash (as distinguished from a sale, exchange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6"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88"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455" w:right="3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4" w:lineRule="exact"/>
        <w:rPr>
          <w:sz w:val="20"/>
          <w:szCs w:val="20"/>
          <w:color w:val="auto"/>
        </w:rPr>
      </w:pPr>
    </w:p>
    <w:p>
      <w:pPr>
        <w:ind w:right="100" w:firstLine="44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Redemption or Conversion of Preferred Shares to Common Shares. </w:t>
      </w:r>
      <w:r>
        <w:rPr>
          <w:rFonts w:ascii="Times New Roman" w:cs="Times New Roman" w:eastAsia="Times New Roman" w:hAnsi="Times New Roman"/>
          <w:sz w:val="17"/>
          <w:szCs w:val="17"/>
          <w:color w:val="auto"/>
        </w:rPr>
        <w:t>Assuming that preferred shares will not be redeemed or converted at a time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75" w:lineRule="exact"/>
        <w:rPr>
          <w:sz w:val="20"/>
          <w:szCs w:val="20"/>
          <w:color w:val="auto"/>
        </w:rPr>
      </w:pPr>
    </w:p>
    <w:p>
      <w:pPr>
        <w:jc w:val="both"/>
        <w:ind w:right="420" w:firstLine="449"/>
        <w:spacing w:after="0" w:line="266" w:lineRule="auto"/>
        <w:rPr>
          <w:sz w:val="20"/>
          <w:szCs w:val="20"/>
          <w:color w:val="auto"/>
        </w:rPr>
      </w:pPr>
      <w:r>
        <w:rPr>
          <w:rFonts w:ascii="Times New Roman" w:cs="Times New Roman" w:eastAsia="Times New Roman" w:hAnsi="Times New Roman"/>
          <w:sz w:val="18"/>
          <w:szCs w:val="18"/>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76"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83"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to Conversion Price. </w:t>
      </w:r>
      <w:r>
        <w:rPr>
          <w:rFonts w:ascii="Times New Roman" w:cs="Times New Roman" w:eastAsia="Times New Roman" w:hAnsi="Times New Roman"/>
          <w:sz w:val="18"/>
          <w:szCs w:val="18"/>
          <w:color w:val="auto"/>
        </w:rPr>
        <w:t>Under Section 305 of the Code, holders of preferred shares may be deemed to have received a constructive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reasonable adjustment formula. In such a case, if a nonqualifying adjustment were made, the holders of preferred shares might be deemed to have received a taxable stock dividend.</w:t>
      </w:r>
    </w:p>
    <w:p>
      <w:pPr>
        <w:spacing w:after="0" w:line="183" w:lineRule="exact"/>
        <w:rPr>
          <w:sz w:val="20"/>
          <w:szCs w:val="20"/>
          <w:color w:val="auto"/>
        </w:rPr>
      </w:pPr>
    </w:p>
    <w:p>
      <w:pPr>
        <w:ind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Passive Activity and Investment Income Limitations. </w:t>
      </w:r>
      <w:r>
        <w:rPr>
          <w:rFonts w:ascii="Times New Roman" w:cs="Times New Roman" w:eastAsia="Times New Roman" w:hAnsi="Times New Roman"/>
          <w:sz w:val="18"/>
          <w:szCs w:val="18"/>
          <w:color w:val="auto"/>
        </w:rPr>
        <w:t>Distributions from us and gain from the disposition of our common or preferred shares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76" w:lineRule="exact"/>
        <w:rPr>
          <w:sz w:val="20"/>
          <w:szCs w:val="20"/>
          <w:color w:val="auto"/>
        </w:rPr>
      </w:pPr>
    </w:p>
    <w:p>
      <w:pPr>
        <w:ind w:right="22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Medicare Tax on Unearned Income. </w:t>
      </w:r>
      <w:r>
        <w:rPr>
          <w:rFonts w:ascii="Times New Roman" w:cs="Times New Roman" w:eastAsia="Times New Roman" w:hAnsi="Times New Roman"/>
          <w:sz w:val="18"/>
          <w:szCs w:val="18"/>
          <w:color w:val="auto"/>
        </w:rPr>
        <w:t>Certain taxable U.S. shareholders who are individuals, estates or trusts are subject to a 3.8% Medicare tax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or a portion of their “net investment income,” which may include all or a</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455"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72"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Tax Rates. </w:t>
      </w:r>
      <w:r>
        <w:rPr>
          <w:rFonts w:ascii="Times New Roman" w:cs="Times New Roman" w:eastAsia="Times New Roman" w:hAnsi="Times New Roman"/>
          <w:sz w:val="18"/>
          <w:szCs w:val="18"/>
          <w:color w:val="auto"/>
        </w:rPr>
        <w:t>The maximum tax rate on the long-term capital gains of domestic non-corporate taxpayers is 20%. The maximum tax rate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after 2017 and prior to 2026, generally non-corporate shareholders are allowed to deduct 20% of the aggregate amount of ordinary dividends distributed by us, subject to certain limitations. Further, with respect to non-corporate taxpayers, the lower qualified dividend income/capital gains tax rate (at a maximum of 20%) does generally apply to:</w:t>
      </w:r>
    </w:p>
    <w:p>
      <w:pPr>
        <w:spacing w:after="0" w:line="92" w:lineRule="exact"/>
        <w:rPr>
          <w:sz w:val="20"/>
          <w:szCs w:val="20"/>
          <w:color w:val="auto"/>
        </w:rPr>
      </w:pPr>
    </w:p>
    <w:p>
      <w:pPr>
        <w:ind w:left="1000" w:hanging="547"/>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130"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(including our taxable REIT subsidiaries); and</w:t>
      </w:r>
    </w:p>
    <w:p>
      <w:pPr>
        <w:spacing w:after="0" w:line="130" w:lineRule="exact"/>
        <w:rPr>
          <w:rFonts w:ascii="Times New Roman" w:cs="Times New Roman" w:eastAsia="Times New Roman" w:hAnsi="Times New Roman"/>
          <w:sz w:val="18"/>
          <w:szCs w:val="18"/>
          <w:color w:val="auto"/>
        </w:rPr>
      </w:pPr>
    </w:p>
    <w:p>
      <w:pPr>
        <w:ind w:left="1000" w:right="40" w:hanging="547"/>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162"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5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Taxable U.S. shareholders that are “exempt recipients” (such as corporations) generally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121"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00"/>
          </w:cols>
          <w:pgMar w:left="320" w:top="455" w:right="3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94" w:lineRule="exact"/>
        <w:rPr>
          <w:sz w:val="20"/>
          <w:szCs w:val="20"/>
          <w:color w:val="auto"/>
        </w:rPr>
      </w:pPr>
    </w:p>
    <w:p>
      <w:pPr>
        <w:ind w:left="1000" w:hanging="547"/>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130"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67" w:lineRule="exact"/>
        <w:rPr>
          <w:rFonts w:ascii="Times New Roman" w:cs="Times New Roman" w:eastAsia="Times New Roman" w:hAnsi="Times New Roman"/>
          <w:sz w:val="18"/>
          <w:szCs w:val="18"/>
          <w:color w:val="auto"/>
        </w:rPr>
      </w:pPr>
    </w:p>
    <w:p>
      <w:pPr>
        <w:ind w:left="1000" w:right="420" w:hanging="547"/>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62"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121"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7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Ordinary Dividends. </w:t>
      </w:r>
      <w:r>
        <w:rPr>
          <w:rFonts w:ascii="Times New Roman" w:cs="Times New Roman" w:eastAsia="Times New Roman" w:hAnsi="Times New Roman"/>
          <w:sz w:val="18"/>
          <w:szCs w:val="18"/>
          <w:color w:val="auto"/>
        </w:rPr>
        <w:t>A non-U.S. shareholder that receives a distribution that is not attributable to gain from our sale or exchange of “U.S.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7" w:lineRule="exact"/>
        <w:rPr>
          <w:sz w:val="20"/>
          <w:szCs w:val="20"/>
          <w:color w:val="auto"/>
        </w:rPr>
      </w:pPr>
    </w:p>
    <w:p>
      <w:pPr>
        <w:ind w:right="10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455"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80"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8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83" w:lineRule="exact"/>
        <w:rPr>
          <w:sz w:val="20"/>
          <w:szCs w:val="20"/>
          <w:color w:val="auto"/>
        </w:rPr>
      </w:pPr>
    </w:p>
    <w:p>
      <w:pPr>
        <w:ind w:right="14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 Dividends. </w:t>
      </w:r>
      <w:r>
        <w:rPr>
          <w:rFonts w:ascii="Times New Roman" w:cs="Times New Roman" w:eastAsia="Times New Roman" w:hAnsi="Times New Roman"/>
          <w:sz w:val="18"/>
          <w:szCs w:val="18"/>
          <w:color w:val="auto"/>
        </w:rPr>
        <w:t>Provided that a particular class of our shares is “regularly traded” on an established securities market in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80" w:lineRule="exact"/>
        <w:rPr>
          <w:sz w:val="20"/>
          <w:szCs w:val="20"/>
          <w:color w:val="auto"/>
        </w:rPr>
      </w:pPr>
    </w:p>
    <w:p>
      <w:pPr>
        <w:ind w:right="40" w:firstLine="449"/>
        <w:spacing w:after="0" w:line="252" w:lineRule="auto"/>
        <w:rPr>
          <w:sz w:val="20"/>
          <w:szCs w:val="20"/>
          <w:color w:val="auto"/>
        </w:rPr>
      </w:pPr>
      <w:r>
        <w:rPr>
          <w:rFonts w:ascii="Times New Roman" w:cs="Times New Roman" w:eastAsia="Times New Roman" w:hAnsi="Times New Roman"/>
          <w:sz w:val="18"/>
          <w:szCs w:val="18"/>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95"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455"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Retention of Net Capital Gains. </w:t>
      </w:r>
      <w:r>
        <w:rPr>
          <w:rFonts w:ascii="Times New Roman" w:cs="Times New Roman" w:eastAsia="Times New Roman" w:hAnsi="Times New Roman"/>
          <w:sz w:val="18"/>
          <w:szCs w:val="18"/>
          <w:color w:val="auto"/>
        </w:rPr>
        <w:t>Although the law is not clear on the matter, it appears that amounts we designate as retained capital gains in respect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8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Sale of Shares</w:t>
      </w:r>
      <w:r>
        <w:rPr>
          <w:rFonts w:ascii="Times New Roman" w:cs="Times New Roman" w:eastAsia="Times New Roman" w:hAnsi="Times New Roman"/>
          <w:sz w:val="18"/>
          <w:szCs w:val="18"/>
          <w:color w:val="auto"/>
        </w:rPr>
        <w:t>. A non-U.S. shareholder generally will not incur tax under FIRPTA on gain from the sale of its common or preferred shares as long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a “domestically controlled REIT.” A “domestically controlled REIT” is a REIT in which at all times during a specified testing 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94"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84" w:lineRule="exact"/>
        <w:rPr>
          <w:sz w:val="20"/>
          <w:szCs w:val="20"/>
          <w:color w:val="auto"/>
        </w:rPr>
      </w:pPr>
    </w:p>
    <w:p>
      <w:pPr>
        <w:ind w:right="60"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Wash Sales. </w:t>
      </w:r>
      <w:r>
        <w:rPr>
          <w:rFonts w:ascii="Times New Roman" w:cs="Times New Roman" w:eastAsia="Times New Roman" w:hAnsi="Times New Roman"/>
          <w:sz w:val="18"/>
          <w:szCs w:val="18"/>
          <w:color w:val="auto"/>
        </w:rPr>
        <w:t>In general, special wash sale rules apply if a shareholder owning more than 5% of our common or preferred shares avoids a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82" w:lineRule="exact"/>
        <w:rPr>
          <w:sz w:val="20"/>
          <w:szCs w:val="20"/>
          <w:color w:val="auto"/>
        </w:rPr>
      </w:pPr>
    </w:p>
    <w:p>
      <w:pPr>
        <w:ind w:right="60"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to Common Shares. </w:t>
      </w:r>
      <w:r>
        <w:rPr>
          <w:rFonts w:ascii="Times New Roman" w:cs="Times New Roman" w:eastAsia="Times New Roman" w:hAnsi="Times New Roman"/>
          <w:sz w:val="18"/>
          <w:szCs w:val="18"/>
          <w:color w:val="auto"/>
        </w:rPr>
        <w:t>The conversion of preferred shares into our common shares may be a taxable exchange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455"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76"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auto"/>
        </w:rPr>
        <w:t>Non-U.S. shareholders should consult with their tax advisors regarding the federal income tax consequences of any transaction by which such non-U.S. shareholder exchanges our common shares received on a conversion of preferred shares for cash or other property.</w:t>
      </w:r>
    </w:p>
    <w:p>
      <w:pPr>
        <w:spacing w:after="0" w:line="158" w:lineRule="exact"/>
        <w:rPr>
          <w:sz w:val="20"/>
          <w:szCs w:val="20"/>
          <w:color w:val="auto"/>
        </w:rPr>
      </w:pPr>
    </w:p>
    <w:p>
      <w:pPr>
        <w:ind w:right="12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We must report annually to the IRS and to each non-U.S. shareholder the amount of distributions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93" w:lineRule="exact"/>
        <w:rPr>
          <w:sz w:val="20"/>
          <w:szCs w:val="20"/>
          <w:color w:val="auto"/>
        </w:rPr>
      </w:pPr>
    </w:p>
    <w:p>
      <w:pPr>
        <w:ind w:left="1000" w:hanging="547"/>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U.S. person;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U.S.;</w:t>
      </w:r>
    </w:p>
    <w:p>
      <w:pPr>
        <w:spacing w:after="0" w:line="130"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(generally, a foreign corporation controlled by stockholders that are United States persons) for U.S. tax purposes; or</w:t>
      </w:r>
    </w:p>
    <w:p>
      <w:pPr>
        <w:spacing w:after="0" w:line="67"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6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83"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and Withholding on Foreign Financial Accounts. </w:t>
      </w:r>
      <w:r>
        <w:rPr>
          <w:rFonts w:ascii="Times New Roman" w:cs="Times New Roman" w:eastAsia="Times New Roman" w:hAnsi="Times New Roman"/>
          <w:sz w:val="18"/>
          <w:szCs w:val="18"/>
          <w:color w:val="auto"/>
        </w:rPr>
        <w:t>Certain foreign financial institutions and non-financial foreign entities are subject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2018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455" w:right="3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 Considerations</w:t>
      </w:r>
    </w:p>
    <w:p>
      <w:pPr>
        <w:spacing w:after="0" w:line="117" w:lineRule="exact"/>
        <w:rPr>
          <w:sz w:val="20"/>
          <w:szCs w:val="20"/>
          <w:color w:val="auto"/>
        </w:rPr>
      </w:pPr>
    </w:p>
    <w:p>
      <w:pPr>
        <w:jc w:val="both"/>
        <w:ind w:right="26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 and Local Taxes. </w:t>
      </w:r>
      <w:r>
        <w:rPr>
          <w:rFonts w:ascii="Times New Roman" w:cs="Times New Roman" w:eastAsia="Times New Roman" w:hAnsi="Times New Roman"/>
          <w:sz w:val="18"/>
          <w:szCs w:val="18"/>
          <w:color w:val="auto"/>
        </w:rPr>
        <w:t>We and/or you may be subject to state and local tax in various states and localities, including those states and localities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76" w:lineRule="exact"/>
        <w:rPr>
          <w:sz w:val="20"/>
          <w:szCs w:val="20"/>
          <w:color w:val="auto"/>
        </w:rPr>
      </w:pPr>
    </w:p>
    <w:p>
      <w:pPr>
        <w:ind w:right="80"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to Tax Laws and Regulations. </w:t>
      </w:r>
      <w:r>
        <w:rPr>
          <w:rFonts w:ascii="Times New Roman" w:cs="Times New Roman" w:eastAsia="Times New Roman" w:hAnsi="Times New Roman"/>
          <w:sz w:val="18"/>
          <w:szCs w:val="18"/>
          <w:color w:val="auto"/>
        </w:rPr>
        <w:t>The rules dealing with federal income taxation are subject to revision by the U.S. Congress, the IRS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Department of 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substantial December 2017 amendments to the Code.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methods by which we may distribute securities include:</w:t>
      </w:r>
    </w:p>
    <w:p>
      <w:pPr>
        <w:spacing w:after="0" w:line="131" w:lineRule="exact"/>
        <w:rPr>
          <w:sz w:val="20"/>
          <w:szCs w:val="20"/>
          <w:color w:val="auto"/>
        </w:rPr>
      </w:pPr>
    </w:p>
    <w:p>
      <w:pPr>
        <w:ind w:left="1000" w:right="360" w:hanging="547"/>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dealer as principal and resale by such dealer for its account pursuant to this prospectus or any prospectus supplement;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 transactions and transactions in which the broker solicits purchasers;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legally available means.</w:t>
      </w:r>
    </w:p>
    <w:p>
      <w:pPr>
        <w:spacing w:after="0" w:line="225"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76"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455" w:right="3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700" w:firstLine="449"/>
        <w:spacing w:after="0" w:line="282"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62"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92"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62" w:lineRule="exact"/>
        <w:rPr>
          <w:sz w:val="20"/>
          <w:szCs w:val="20"/>
          <w:color w:val="auto"/>
        </w:rPr>
      </w:pPr>
    </w:p>
    <w:p>
      <w:pPr>
        <w:ind w:right="140" w:firstLine="449"/>
        <w:spacing w:after="0" w:line="252" w:lineRule="auto"/>
        <w:rPr>
          <w:sz w:val="20"/>
          <w:szCs w:val="20"/>
          <w:color w:val="auto"/>
        </w:rPr>
      </w:pPr>
      <w:r>
        <w:rPr>
          <w:rFonts w:ascii="Times New Roman" w:cs="Times New Roman" w:eastAsia="Times New Roman" w:hAnsi="Times New Roman"/>
          <w:sz w:val="18"/>
          <w:szCs w:val="18"/>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97"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Certain of the underwriters or agents and their affiliates may engage in transactions with and perform services for us or our affiliates in the ordinary course of their respective businesses.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455" w:right="3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firstLine="449"/>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3"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94" w:lineRule="exact"/>
        <w:rPr>
          <w:sz w:val="20"/>
          <w:szCs w:val="20"/>
          <w:color w:val="auto"/>
        </w:rPr>
      </w:pPr>
    </w:p>
    <w:p>
      <w:pPr>
        <w:ind w:left="1000" w:hanging="547"/>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9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2017, filed with the SEC on February 13, 2018;</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w:t>
      </w:r>
      <w:hyperlink r:id="rId91">
        <w:r>
          <w:rPr>
            <w:rFonts w:ascii="Times New Roman" w:cs="Times New Roman" w:eastAsia="Times New Roman" w:hAnsi="Times New Roman"/>
            <w:sz w:val="18"/>
            <w:szCs w:val="18"/>
            <w:u w:val="single" w:color="auto"/>
            <w:color w:val="0000EE"/>
          </w:rPr>
          <w:t>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our 2018 Annual Meeting of Shareholders, filed with the SEC on March 23, 2018;</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9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2018, filed with the SEC on May 2, 2018;</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93">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4, 2018;</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our common shares contained in the Registration Statement on </w:t>
      </w:r>
      <w:hyperlink r:id="rId94">
        <w:r>
          <w:rPr>
            <w:rFonts w:ascii="Times New Roman" w:cs="Times New Roman" w:eastAsia="Times New Roman" w:hAnsi="Times New Roman"/>
            <w:sz w:val="18"/>
            <w:szCs w:val="18"/>
            <w:u w:val="single" w:color="auto"/>
            <w:color w:val="0000EE"/>
          </w:rPr>
          <w:t>Form 8-A/A</w:t>
        </w:r>
      </w:hyperlink>
      <w:r>
        <w:rPr>
          <w:rFonts w:ascii="Times New Roman" w:cs="Times New Roman" w:eastAsia="Times New Roman" w:hAnsi="Times New Roman"/>
          <w:sz w:val="18"/>
          <w:szCs w:val="18"/>
          <w:color w:val="auto"/>
        </w:rPr>
        <w:t>, filed with the SEC on June 6, 2002;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Description of our Series C preferred shares contained in the Registration Statement on </w:t>
      </w:r>
      <w:hyperlink r:id="rId95">
        <w:r>
          <w:rPr>
            <w:rFonts w:ascii="Times New Roman" w:cs="Times New Roman" w:eastAsia="Times New Roman" w:hAnsi="Times New Roman"/>
            <w:sz w:val="17"/>
            <w:szCs w:val="17"/>
            <w:u w:val="single" w:color="auto"/>
            <w:color w:val="0000EE"/>
          </w:rPr>
          <w:t>Form 8-A</w:t>
        </w:r>
      </w:hyperlink>
      <w:r>
        <w:rPr>
          <w:rFonts w:ascii="Times New Roman" w:cs="Times New Roman" w:eastAsia="Times New Roman" w:hAnsi="Times New Roman"/>
          <w:sz w:val="17"/>
          <w:szCs w:val="17"/>
          <w:color w:val="auto"/>
        </w:rPr>
        <w:t>, filed with the SEC on September 29, 2017.</w:t>
      </w:r>
    </w:p>
    <w:p>
      <w:pPr>
        <w:spacing w:after="0" w:line="237" w:lineRule="exact"/>
        <w:rPr>
          <w:rFonts w:ascii="Times New Roman" w:cs="Times New Roman" w:eastAsia="Times New Roman" w:hAnsi="Times New Roman"/>
          <w:sz w:val="18"/>
          <w:szCs w:val="18"/>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455" w:right="3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Copies of our SEC filings are available at no cost at our website,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(301) 998-8100</w:t>
      </w:r>
    </w:p>
    <w:p>
      <w:pPr>
        <w:spacing w:after="0" w:line="207"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455" w:right="3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344170</wp:posOffset>
            </wp:positionV>
            <wp:extent cx="2503170" cy="9944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250317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Wells Fargo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BofA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Citigroup</w:t>
      </w:r>
    </w:p>
    <w:p>
      <w:pPr>
        <w:spacing w:after="0" w:line="200" w:lineRule="exact"/>
        <w:rPr>
          <w:sz w:val="20"/>
          <w:szCs w:val="20"/>
          <w:color w:val="auto"/>
        </w:rPr>
      </w:pPr>
    </w:p>
    <w:p>
      <w:pPr>
        <w:sectPr>
          <w:pgSz w:w="11900" w:h="16838" w:orient="portrait"/>
          <w:cols w:equalWidth="0" w:num="3">
            <w:col w:w="4060" w:space="720"/>
            <w:col w:w="4440" w:space="720"/>
            <w:col w:w="1200"/>
          </w:cols>
          <w:pgMar w:left="320" w:top="455" w:right="439" w:bottom="1440" w:gutter="0" w:footer="0" w:header="0"/>
          <w:type w:val="continuous"/>
        </w:sectPr>
      </w:pP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426085</wp:posOffset>
            </wp:positionV>
            <wp:extent cx="1474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Jefferies</w:t>
      </w:r>
    </w:p>
    <w:p>
      <w:pPr>
        <w:spacing w:after="0" w:line="200" w:lineRule="exact"/>
        <w:rPr>
          <w:sz w:val="20"/>
          <w:szCs w:val="20"/>
          <w:color w:val="auto"/>
        </w:rPr>
      </w:pPr>
    </w:p>
    <w:p>
      <w:pPr>
        <w:sectPr>
          <w:pgSz w:w="11900" w:h="16838" w:orient="portrait"/>
          <w:cols w:equalWidth="0" w:num="2">
            <w:col w:w="9500" w:space="720"/>
            <w:col w:w="92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438785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490220</wp:posOffset>
            </wp:positionV>
            <wp:extent cx="699516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855585C"/>
    <w:multiLevelType w:val="hybridMultilevel"/>
    <w:lvl w:ilvl="0">
      <w:lvlJc w:val="left"/>
      <w:lvlText w:val="(%1)"/>
      <w:numFmt w:val="decimal"/>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1)"/>
      <w:numFmt w:val="lowerLetter"/>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1)"/>
      <w:numFmt w:val="decimal"/>
      <w:start w:val="2"/>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1)"/>
      <w:numFmt w:val="lowerLetter"/>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1)"/>
      <w:numFmt w:val="decimal"/>
      <w:start w:val="301"/>
    </w:lvl>
  </w:abstractNum>
  <w:abstractNum w:abstractNumId="10">
    <w:nsid w:val="542289EC"/>
    <w:multiLevelType w:val="hybridMultilevel"/>
    <w:lvl w:ilvl="0">
      <w:lvlJc w:val="left"/>
      <w:lvlText w:val="(%1)"/>
      <w:numFmt w:val="lowerLetter"/>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lvl w:ilvl="1">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lvl w:ilvl="1">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lowerLetter"/>
      <w:start w:val="1"/>
    </w:lvl>
  </w:abstractNum>
  <w:abstractNum w:abstractNumId="33">
    <w:nsid w:val="235BA861"/>
    <w:multiLevelType w:val="hybridMultilevel"/>
    <w:lvl w:ilvl="0">
      <w:lvlJc w:val="left"/>
      <w:lvlText w:val="%1."/>
      <w:numFmt w:val="decimal"/>
      <w:start w:val="5"/>
    </w:lvl>
  </w:abstractNum>
  <w:abstractNum w:abstractNumId="34">
    <w:nsid w:val="47398C89"/>
    <w:multiLevelType w:val="hybridMultilevel"/>
    <w:lvl w:ilvl="0">
      <w:lvlJc w:val="left"/>
      <w:lvlText w:val="(%1)"/>
      <w:numFmt w:val="lowerLetter"/>
      <w:start w:val="1"/>
    </w:lvl>
  </w:abstractNum>
  <w:abstractNum w:abstractNumId="35">
    <w:nsid w:val="354FE9F9"/>
    <w:multiLevelType w:val="hybridMultilevel"/>
    <w:lvl w:ilvl="0">
      <w:lvlJc w:val="left"/>
      <w:lvlText w:val="(%1)"/>
      <w:numFmt w:val="lowerLetter"/>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lvl w:ilvl="1">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lvl w:ilvl="1">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lvl w:ilvl="1">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lvl w:ilvl="1">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1."/>
      <w:numFmt w:val="decimal"/>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
      <w:numFmt w:val="bullet"/>
      <w:start w:val="1"/>
    </w:lvl>
    <w:lvl w:ilvl="1">
      <w:lvlJc w:val="left"/>
      <w:lvlText w:val="•"/>
      <w:numFmt w:val="bullet"/>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
      <w:numFmt w:val="bullet"/>
      <w:start w:val="1"/>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jpe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90" Type="http://schemas.openxmlformats.org/officeDocument/2006/relationships/hyperlink" Target="http://www.sec.gov/Archives/edgar/data/34903/000003490318000009/frt-1231201710k.htm" TargetMode="External"/><Relationship Id="rId91" Type="http://schemas.openxmlformats.org/officeDocument/2006/relationships/hyperlink" Target="http://www.sec.gov/Archives/edgar/data/34903/000119312518093016/d501572ddef14a.htm" TargetMode="External"/><Relationship Id="rId92" Type="http://schemas.openxmlformats.org/officeDocument/2006/relationships/hyperlink" Target="http://www.sec.gov/Archives/edgar/data/34903/000003490318000016/frt-03312018x10q.htm" TargetMode="External"/><Relationship Id="rId93" Type="http://schemas.openxmlformats.org/officeDocument/2006/relationships/hyperlink" Target="http://www.sec.gov/Archives/edgar/data/34903/000003490318000018/frt-050420188kdocument.htm" TargetMode="External"/><Relationship Id="rId94" Type="http://schemas.openxmlformats.org/officeDocument/2006/relationships/hyperlink" Target="http://www.sec.gov/Archives/edgar/data/34903/000092838502002234/d8a12ba.txt" TargetMode="External"/><Relationship Id="rId95" Type="http://schemas.openxmlformats.org/officeDocument/2006/relationships/hyperlink" Target="http://www.sec.gov/Archives/edgar/data/34903/000119312517299279/d4535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2021-02-24T08:03:36Z</dcterms:created>
  <dcterms:modified xsi:type="dcterms:W3CDTF">2021-02-24T08:03:36Z</dcterms:modified>
</cp:coreProperties>
</file>