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22, 2020</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6649720</wp:posOffset>
            </wp:positionH>
            <wp:positionV relativeFrom="paragraph">
              <wp:posOffset>-19050</wp:posOffset>
            </wp:positionV>
            <wp:extent cx="342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96"/>
              </w:rPr>
              <w:t>Maryland</w:t>
            </w:r>
          </w:p>
        </w:tc>
        <w:tc>
          <w:tcPr>
            <w:tcW w:w="3020" w:type="dxa"/>
            <w:vAlign w:val="bottom"/>
          </w:tcPr>
          <w:p>
            <w:pPr>
              <w:jc w:val="right"/>
              <w:ind w:right="41"/>
              <w:spacing w:after="0"/>
              <w:rPr>
                <w:sz w:val="20"/>
                <w:szCs w:val="20"/>
                <w:color w:val="auto"/>
              </w:rPr>
            </w:pPr>
            <w:r>
              <w:rPr>
                <w:rFonts w:ascii="Arial" w:cs="Arial" w:eastAsia="Arial" w:hAnsi="Arial"/>
                <w:sz w:val="18"/>
                <w:szCs w:val="18"/>
                <w:b w:val="1"/>
                <w:bCs w:val="1"/>
                <w:color w:val="auto"/>
              </w:rPr>
              <w:t>52-0782497</w:t>
            </w:r>
          </w:p>
        </w:tc>
      </w:tr>
      <w:tr>
        <w:trPr>
          <w:trHeight w:val="148"/>
        </w:trPr>
        <w:tc>
          <w:tcPr>
            <w:tcW w:w="430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00" w:type="dxa"/>
            <w:vAlign w:val="bottom"/>
          </w:tcPr>
          <w:p>
            <w:pPr>
              <w:jc w:val="center"/>
              <w:ind w:right="1819"/>
              <w:spacing w:after="0"/>
              <w:rPr>
                <w:sz w:val="20"/>
                <w:szCs w:val="20"/>
                <w:color w:val="auto"/>
              </w:rPr>
            </w:pPr>
            <w:r>
              <w:rPr>
                <w:rFonts w:ascii="Arial" w:cs="Arial" w:eastAsia="Arial" w:hAnsi="Arial"/>
                <w:sz w:val="14"/>
                <w:szCs w:val="14"/>
                <w:b w:val="1"/>
                <w:bCs w:val="1"/>
                <w:color w:val="auto"/>
                <w:w w:val="94"/>
              </w:rPr>
              <w:t>incorporation or organization)</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300" w:type="dxa"/>
            <w:vAlign w:val="bottom"/>
          </w:tcPr>
          <w:p>
            <w:pPr>
              <w:jc w:val="center"/>
              <w:ind w:right="1819"/>
              <w:spacing w:after="0"/>
              <w:rPr>
                <w:sz w:val="20"/>
                <w:szCs w:val="20"/>
                <w:color w:val="auto"/>
              </w:rPr>
            </w:pPr>
            <w:r>
              <w:rPr>
                <w:rFonts w:ascii="Arial" w:cs="Arial" w:eastAsia="Arial" w:hAnsi="Arial"/>
                <w:sz w:val="18"/>
                <w:szCs w:val="18"/>
                <w:b w:val="1"/>
                <w:bCs w:val="1"/>
                <w:color w:val="auto"/>
                <w:w w:val="88"/>
              </w:rPr>
              <w:t>1626 East Jefferson Street</w:t>
            </w:r>
          </w:p>
        </w:tc>
        <w:tc>
          <w:tcPr>
            <w:tcW w:w="3020" w:type="dxa"/>
            <w:vAlign w:val="bottom"/>
          </w:tcPr>
          <w:p>
            <w:pPr>
              <w:spacing w:after="0"/>
              <w:rPr>
                <w:sz w:val="24"/>
                <w:szCs w:val="24"/>
                <w:color w:val="auto"/>
              </w:rPr>
            </w:pPr>
          </w:p>
        </w:tc>
      </w:tr>
      <w:tr>
        <w:trPr>
          <w:trHeight w:val="225"/>
        </w:trPr>
        <w:tc>
          <w:tcPr>
            <w:tcW w:w="4300" w:type="dxa"/>
            <w:vAlign w:val="bottom"/>
          </w:tcPr>
          <w:p>
            <w:pPr>
              <w:jc w:val="center"/>
              <w:ind w:right="1839"/>
              <w:spacing w:after="0"/>
              <w:rPr>
                <w:sz w:val="20"/>
                <w:szCs w:val="20"/>
                <w:color w:val="auto"/>
              </w:rPr>
            </w:pPr>
            <w:r>
              <w:rPr>
                <w:rFonts w:ascii="Arial" w:cs="Arial" w:eastAsia="Arial" w:hAnsi="Arial"/>
                <w:sz w:val="18"/>
                <w:szCs w:val="18"/>
                <w:b w:val="1"/>
                <w:bCs w:val="1"/>
                <w:color w:val="auto"/>
                <w:w w:val="93"/>
              </w:rPr>
              <w:t>Rockville, Maryland</w:t>
            </w:r>
          </w:p>
        </w:tc>
        <w:tc>
          <w:tcPr>
            <w:tcW w:w="3020" w:type="dxa"/>
            <w:vAlign w:val="bottom"/>
          </w:tcPr>
          <w:p>
            <w:pPr>
              <w:jc w:val="right"/>
              <w:ind w:right="261"/>
              <w:spacing w:after="0"/>
              <w:rPr>
                <w:sz w:val="20"/>
                <w:szCs w:val="20"/>
                <w:color w:val="auto"/>
              </w:rPr>
            </w:pPr>
            <w:r>
              <w:rPr>
                <w:rFonts w:ascii="Arial" w:cs="Arial" w:eastAsia="Arial" w:hAnsi="Arial"/>
                <w:sz w:val="18"/>
                <w:szCs w:val="18"/>
                <w:b w:val="1"/>
                <w:bCs w:val="1"/>
                <w:color w:val="auto"/>
              </w:rPr>
              <w:t>20852</w:t>
            </w:r>
          </w:p>
        </w:tc>
      </w:tr>
      <w:tr>
        <w:trPr>
          <w:trHeight w:val="186"/>
        </w:trPr>
        <w:tc>
          <w:tcPr>
            <w:tcW w:w="4300" w:type="dxa"/>
            <w:vAlign w:val="bottom"/>
          </w:tcPr>
          <w:p>
            <w:pPr>
              <w:jc w:val="center"/>
              <w:ind w:right="18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020" w:type="dxa"/>
            <w:vAlign w:val="bottom"/>
          </w:tcPr>
          <w:p>
            <w:pPr>
              <w:jc w:val="center"/>
              <w:ind w:left="18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2020 Performance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Dawn M. Becker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998-8100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Justin Bintrim,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Ryan S. Brewer,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0"/>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Shares of Beneficial Interest, $0.01 par value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1,750,000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$88.32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$154,560,000</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8"/>
              </w:rPr>
              <w:t>$20,061.88</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29" w:right="439" w:bottom="420" w:gutter="0" w:footer="0" w:header="0"/>
        </w:sectPr>
      </w:pPr>
    </w:p>
    <w:bookmarkStart w:id="1" w:name="page2"/>
    <w:bookmarkEnd w:id="1"/>
    <w:p>
      <w:pPr>
        <w:ind w:left="424" w:hanging="424"/>
        <w:spacing w:after="0" w:line="254"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shall also cover any additional common shares of beneficial interest, $0.01 par value, of the registrant (“Common Shares”) which become issuable under the Federal Realty Investment Trust 2020 Performance Incentive Plan (the “2020 Plan”) by reason of any share dividend, share split, recapitalization or other similar transaction.</w:t>
      </w:r>
    </w:p>
    <w:p>
      <w:pPr>
        <w:spacing w:after="0" w:line="2" w:lineRule="exact"/>
        <w:rPr>
          <w:rFonts w:ascii="Arial" w:cs="Arial" w:eastAsia="Arial" w:hAnsi="Arial"/>
          <w:sz w:val="18"/>
          <w:szCs w:val="18"/>
          <w:color w:val="auto"/>
        </w:rPr>
      </w:pPr>
    </w:p>
    <w:p>
      <w:pPr>
        <w:ind w:left="424" w:right="18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pursuant to Rules 457(c) and 457(h) under the Securities Act, solely for the purposes of calculating the registration fee, based on the average high and low prices of the Shares on June 18, 2020, as reported on the New York Stock Exchange.</w:t>
      </w: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associated rights to purchase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4"/>
          </w:cols>
          <w:pgMar w:left="436" w:top="139" w:right="5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This registration statement on Form S-8 (this “Registration Statement”) is being filed to register 1,750,000 common shares of beneficial interest, $0.01 par value (“Common Shares”) of Federal Realty Investment Trust (the “Registrant”) that may be issued under the Federal Realty Investment Trust 2020 Performance Incentive Plan (the “2020 Plan”). Effective May 6, 2020, the 2020 Plan replaced the Federal Realty Investment 2010 Performance Incentive Plan.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information specified in Item 1 and Item 2 of Part I of the Registration Statement is omitted from this filing in accordance with the provisions of Rule 428 under the Securities Act of 1933, as amended (the “Securities Act”), and the introductory note to Part I of the Registration Statement. The information required by Part I is included in documents sent or given to participants in the 2020 Plan pursuant to Rule 428(b)(1) under the Securities Act.</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jc w:val="both"/>
        <w:ind w:right="100" w:firstLine="440"/>
        <w:spacing w:after="0" w:line="311" w:lineRule="auto"/>
        <w:rPr>
          <w:sz w:val="20"/>
          <w:szCs w:val="20"/>
          <w:color w:val="auto"/>
        </w:rPr>
      </w:pPr>
      <w:r>
        <w:rPr>
          <w:rFonts w:ascii="Arial" w:cs="Arial" w:eastAsia="Arial" w:hAnsi="Arial"/>
          <w:sz w:val="16"/>
          <w:szCs w:val="16"/>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Securities and Exchange Commission (the “Commission”). The following documents, which are on file with the Commission, are incorporated herein by reference:</w:t>
      </w:r>
    </w:p>
    <w:p>
      <w:pPr>
        <w:spacing w:after="0" w:line="41" w:lineRule="exact"/>
        <w:rPr>
          <w:sz w:val="20"/>
          <w:szCs w:val="20"/>
          <w:color w:val="auto"/>
        </w:rPr>
      </w:pPr>
    </w:p>
    <w:p>
      <w:pPr>
        <w:ind w:left="980"/>
        <w:spacing w:after="0"/>
        <w:rPr>
          <w:rFonts w:ascii="Arial" w:cs="Arial" w:eastAsia="Arial" w:hAnsi="Arial"/>
          <w:sz w:val="17"/>
          <w:szCs w:val="17"/>
          <w:color w:val="auto"/>
        </w:rPr>
      </w:pPr>
      <w:hyperlink r:id="rId19">
        <w:r>
          <w:rPr>
            <w:rFonts w:ascii="Arial" w:cs="Arial" w:eastAsia="Arial" w:hAnsi="Arial"/>
            <w:sz w:val="17"/>
            <w:szCs w:val="17"/>
            <w:color w:val="auto"/>
          </w:rPr>
          <w:t xml:space="preserve">(a) the Registrant’s Annual Report on Form 10-K for the year ended December 31, 2019, filed with the Commission on </w:t>
        </w:r>
        <w:r>
          <w:rPr>
            <w:rFonts w:ascii="Arial" w:cs="Arial" w:eastAsia="Arial" w:hAnsi="Arial"/>
            <w:sz w:val="17"/>
            <w:szCs w:val="17"/>
            <w:u w:val="single" w:color="auto"/>
            <w:color w:val="0000EE"/>
          </w:rPr>
          <w:t>February 10,</w:t>
        </w:r>
      </w:hyperlink>
    </w:p>
    <w:p>
      <w:pPr>
        <w:spacing w:after="0" w:line="35" w:lineRule="exact"/>
        <w:rPr>
          <w:sz w:val="20"/>
          <w:szCs w:val="20"/>
          <w:color w:val="auto"/>
        </w:rPr>
      </w:pPr>
    </w:p>
    <w:p>
      <w:pPr>
        <w:spacing w:after="0"/>
        <w:rPr>
          <w:rFonts w:ascii="Arial" w:cs="Arial" w:eastAsia="Arial" w:hAnsi="Arial"/>
          <w:sz w:val="18"/>
          <w:szCs w:val="18"/>
          <w:color w:val="0000EE"/>
        </w:rPr>
      </w:pPr>
      <w:hyperlink r:id="rId19">
        <w:r>
          <w:rPr>
            <w:rFonts w:ascii="Arial" w:cs="Arial" w:eastAsia="Arial" w:hAnsi="Arial"/>
            <w:sz w:val="18"/>
            <w:szCs w:val="18"/>
            <w:u w:val="single" w:color="auto"/>
            <w:color w:val="0000EE"/>
          </w:rPr>
          <w:t>2020</w:t>
        </w:r>
        <w:r>
          <w:rPr>
            <w:rFonts w:ascii="Arial" w:cs="Arial" w:eastAsia="Arial" w:hAnsi="Arial"/>
            <w:sz w:val="18"/>
            <w:szCs w:val="18"/>
            <w:color w:val="000000"/>
          </w:rPr>
          <w:t>;</w:t>
        </w:r>
      </w:hyperlink>
    </w:p>
    <w:p>
      <w:pPr>
        <w:spacing w:after="0" w:line="103" w:lineRule="exact"/>
        <w:rPr>
          <w:sz w:val="20"/>
          <w:szCs w:val="20"/>
          <w:color w:val="auto"/>
        </w:rPr>
      </w:pPr>
    </w:p>
    <w:p>
      <w:pPr>
        <w:ind w:left="1240" w:hanging="253"/>
        <w:spacing w:after="0"/>
        <w:tabs>
          <w:tab w:leader="none" w:pos="124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Quarterly Report on Form 10-Q for the quarter ended March 31, 2020, filed with the Commission on </w:t>
      </w:r>
      <w:hyperlink r:id="rId20">
        <w:r>
          <w:rPr>
            <w:rFonts w:ascii="Arial" w:cs="Arial" w:eastAsia="Arial" w:hAnsi="Arial"/>
            <w:sz w:val="16"/>
            <w:szCs w:val="16"/>
            <w:u w:val="single" w:color="auto"/>
            <w:color w:val="0000EE"/>
          </w:rPr>
          <w:t>May 6, 2020</w:t>
        </w:r>
      </w:hyperlink>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right="500" w:firstLine="987"/>
        <w:spacing w:after="0" w:line="277" w:lineRule="auto"/>
        <w:tabs>
          <w:tab w:leader="none" w:pos="1236"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Current Reports on Form 8-K, filed with the Commission on </w:t>
      </w:r>
      <w:hyperlink r:id="rId21">
        <w:r>
          <w:rPr>
            <w:rFonts w:ascii="Arial" w:cs="Arial" w:eastAsia="Arial" w:hAnsi="Arial"/>
            <w:sz w:val="18"/>
            <w:szCs w:val="18"/>
            <w:u w:val="single" w:color="auto"/>
            <w:color w:val="0000EE"/>
          </w:rPr>
          <w:t>March 25, 2020</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April 7, 2020</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May 6,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pertaining to Items 1.01, 2.03, 5.02, 5.07 and 9.01 of such form), </w:t>
      </w:r>
      <w:hyperlink r:id="rId24">
        <w:r>
          <w:rPr>
            <w:rFonts w:ascii="Arial" w:cs="Arial" w:eastAsia="Arial" w:hAnsi="Arial"/>
            <w:sz w:val="18"/>
            <w:szCs w:val="18"/>
            <w:u w:val="single" w:color="auto"/>
            <w:color w:val="0000EE"/>
          </w:rPr>
          <w:t>May 11, 2020</w:t>
        </w:r>
      </w:hyperlink>
      <w:r>
        <w:rPr>
          <w:rFonts w:ascii="Arial" w:cs="Arial" w:eastAsia="Arial" w:hAnsi="Arial"/>
          <w:sz w:val="18"/>
          <w:szCs w:val="18"/>
          <w:color w:val="auto"/>
        </w:rPr>
        <w:t xml:space="preserve">, and </w:t>
      </w:r>
      <w:hyperlink r:id="rId25">
        <w:r>
          <w:rPr>
            <w:rFonts w:ascii="Arial" w:cs="Arial" w:eastAsia="Arial" w:hAnsi="Arial"/>
            <w:sz w:val="18"/>
            <w:szCs w:val="18"/>
            <w:u w:val="single" w:color="auto"/>
            <w:color w:val="0000EE"/>
          </w:rPr>
          <w:t>May 12, 2020</w:t>
        </w:r>
      </w:hyperlink>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2"/>
        </w:numPr>
        <w:rPr>
          <w:rFonts w:ascii="Arial" w:cs="Arial" w:eastAsia="Arial" w:hAnsi="Arial"/>
          <w:sz w:val="16"/>
          <w:szCs w:val="16"/>
          <w:color w:val="auto"/>
        </w:rPr>
      </w:pPr>
      <w:hyperlink r:id="rId26">
        <w:r>
          <w:rPr>
            <w:rFonts w:ascii="Arial" w:cs="Arial" w:eastAsia="Arial" w:hAnsi="Arial"/>
            <w:sz w:val="16"/>
            <w:szCs w:val="16"/>
            <w:color w:val="auto"/>
          </w:rPr>
          <w:t xml:space="preserve">the description of the Common Shares contained in the Registration Statement on Form 8-A/A, filed with the Commission on </w:t>
        </w:r>
        <w:r>
          <w:rPr>
            <w:rFonts w:ascii="Arial" w:cs="Arial" w:eastAsia="Arial" w:hAnsi="Arial"/>
            <w:sz w:val="16"/>
            <w:szCs w:val="16"/>
            <w:u w:val="single" w:color="auto"/>
            <w:color w:val="0000EE"/>
          </w:rPr>
          <w:t>June 6,</w:t>
        </w:r>
      </w:hyperlink>
    </w:p>
    <w:p>
      <w:pPr>
        <w:spacing w:after="0" w:line="46" w:lineRule="exact"/>
        <w:rPr>
          <w:rFonts w:ascii="Arial" w:cs="Arial" w:eastAsia="Arial" w:hAnsi="Arial"/>
          <w:sz w:val="16"/>
          <w:szCs w:val="16"/>
          <w:color w:val="auto"/>
        </w:rPr>
      </w:pPr>
    </w:p>
    <w:p>
      <w:pPr>
        <w:spacing w:after="0"/>
        <w:rPr>
          <w:rFonts w:ascii="Arial" w:cs="Arial" w:eastAsia="Arial" w:hAnsi="Arial"/>
          <w:sz w:val="18"/>
          <w:szCs w:val="18"/>
          <w:color w:val="0000EE"/>
        </w:rPr>
      </w:pPr>
      <w:hyperlink r:id="rId26">
        <w:r>
          <w:rPr>
            <w:rFonts w:ascii="Arial" w:cs="Arial" w:eastAsia="Arial" w:hAnsi="Arial"/>
            <w:sz w:val="18"/>
            <w:szCs w:val="18"/>
            <w:u w:val="single" w:color="auto"/>
            <w:color w:val="0000EE"/>
          </w:rPr>
          <w:t>2002</w:t>
        </w:r>
        <w:r>
          <w:rPr>
            <w:rFonts w:ascii="Arial" w:cs="Arial" w:eastAsia="Arial" w:hAnsi="Arial"/>
            <w:sz w:val="18"/>
            <w:szCs w:val="18"/>
            <w:color w:val="000000"/>
          </w:rPr>
          <w:t>; and</w:t>
        </w:r>
      </w:hyperlink>
    </w:p>
    <w:p>
      <w:pPr>
        <w:spacing w:after="0" w:line="211" w:lineRule="exact"/>
        <w:rPr>
          <w:rFonts w:ascii="Arial" w:cs="Arial" w:eastAsia="Arial" w:hAnsi="Arial"/>
          <w:sz w:val="16"/>
          <w:szCs w:val="16"/>
          <w:color w:val="auto"/>
        </w:rPr>
      </w:pPr>
    </w:p>
    <w:p>
      <w:pPr>
        <w:ind w:right="60" w:firstLine="440"/>
        <w:spacing w:after="0" w:line="286"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Common Shares offered hereby have been sold or which deregisters all Common Shares then remaining unsold, shall be deemed to be incorporated herein by reference and to be a part hereof from the date of filing of such documents; except as to any portion of any future annual or quarterly report to stockholders or document or current report furnished under current Items 2.02 or 7.01 of</w:t>
      </w:r>
    </w:p>
    <w:p>
      <w:pPr>
        <w:spacing w:after="0" w:line="1" w:lineRule="exact"/>
        <w:rPr>
          <w:rFonts w:ascii="Arial" w:cs="Arial" w:eastAsia="Arial" w:hAnsi="Arial"/>
          <w:sz w:val="16"/>
          <w:szCs w:val="16"/>
          <w:color w:val="auto"/>
        </w:rPr>
      </w:pPr>
    </w:p>
    <w:p>
      <w:pPr>
        <w:ind w:right="60"/>
        <w:spacing w:after="0" w:line="295" w:lineRule="auto"/>
        <w:rPr>
          <w:sz w:val="20"/>
          <w:szCs w:val="20"/>
          <w:color w:val="auto"/>
        </w:rPr>
      </w:pPr>
      <w:r>
        <w:rPr>
          <w:rFonts w:ascii="Arial" w:cs="Arial" w:eastAsia="Arial" w:hAnsi="Arial"/>
          <w:sz w:val="16"/>
          <w:szCs w:val="16"/>
          <w:color w:val="auto"/>
        </w:rPr>
        <w:t>Form 8-K that is not deemed filed under such provisions. Any statement contained in a document incorporated or deemed to be incorporated by reference herein shall be deemed to be modified or superseded for the purposes of this Registration Statement to the extent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ectPr>
          <w:pgSz w:w="11900" w:h="16838" w:orient="portrait"/>
          <w:cols w:equalWidth="0" w:num="1">
            <w:col w:w="10980"/>
          </w:cols>
          <w:pgMar w:left="440" w:top="270"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4. 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Trustees and Officers.</w:t>
      </w:r>
    </w:p>
    <w:p>
      <w:pPr>
        <w:spacing w:after="0" w:line="12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78"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ectPr>
          <w:pgSz w:w="11900" w:h="16838" w:orient="portrait"/>
          <w:cols w:equalWidth="0" w:num="1">
            <w:col w:w="11000"/>
          </w:cols>
          <w:pgMar w:left="440" w:top="270" w:right="459" w:bottom="1440" w:gutter="0" w:footer="0" w:header="0"/>
        </w:sectPr>
      </w:pPr>
    </w:p>
    <w:bookmarkStart w:id="4" w:name="page5"/>
    <w:bookmarkEnd w:id="4"/>
    <w:p>
      <w:pPr>
        <w:ind w:left="4"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86"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8. Exhibits.</w:t>
      </w:r>
    </w:p>
    <w:p>
      <w:pPr>
        <w:spacing w:after="0" w:line="248" w:lineRule="exact"/>
        <w:rPr>
          <w:sz w:val="20"/>
          <w:szCs w:val="20"/>
          <w:color w:val="auto"/>
        </w:rPr>
      </w:pPr>
    </w:p>
    <w:tbl>
      <w:tblPr>
        <w:tblLayout w:type="fixed"/>
        <w:tblInd w:w="284" w:type="dxa"/>
        <w:tblCellMar>
          <w:top w:w="0" w:type="dxa"/>
          <w:left w:w="0" w:type="dxa"/>
          <w:bottom w:w="0" w:type="dxa"/>
          <w:right w:w="0" w:type="dxa"/>
        </w:tblCellMar>
      </w:tblPr>
      <w:tr>
        <w:trPr>
          <w:trHeight w:val="178"/>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Exhibit No.</w:t>
            </w:r>
          </w:p>
        </w:tc>
        <w:tc>
          <w:tcPr>
            <w:tcW w:w="680" w:type="dxa"/>
            <w:vAlign w:val="bottom"/>
          </w:tcPr>
          <w:p>
            <w:pPr>
              <w:spacing w:after="0"/>
              <w:rPr>
                <w:sz w:val="15"/>
                <w:szCs w:val="15"/>
                <w:color w:val="auto"/>
              </w:rPr>
            </w:pPr>
          </w:p>
        </w:tc>
        <w:tc>
          <w:tcPr>
            <w:tcW w:w="39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w w:val="90"/>
              </w:rPr>
              <w:t>Description</w:t>
            </w:r>
          </w:p>
        </w:tc>
        <w:tc>
          <w:tcPr>
            <w:tcW w:w="1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r>
      <w:tr>
        <w:trPr>
          <w:trHeight w:val="270"/>
        </w:trPr>
        <w:tc>
          <w:tcPr>
            <w:tcW w:w="720" w:type="dxa"/>
            <w:vAlign w:val="bottom"/>
          </w:tcPr>
          <w:p>
            <w:pPr>
              <w:jc w:val="right"/>
              <w:ind w:right="332"/>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3"/>
                <w:szCs w:val="23"/>
                <w:color w:val="auto"/>
              </w:rPr>
            </w:pPr>
          </w:p>
        </w:tc>
        <w:tc>
          <w:tcPr>
            <w:tcW w:w="4900" w:type="dxa"/>
            <w:vAlign w:val="bottom"/>
            <w:gridSpan w:val="2"/>
          </w:tcPr>
          <w:p>
            <w:pPr>
              <w:spacing w:after="0"/>
              <w:rPr>
                <w:rFonts w:ascii="Arial" w:cs="Arial" w:eastAsia="Arial" w:hAnsi="Arial"/>
                <w:sz w:val="18"/>
                <w:szCs w:val="18"/>
                <w:color w:val="0000EE"/>
                <w:w w:val="92"/>
              </w:rPr>
            </w:pPr>
            <w:hyperlink r:id="rId29">
              <w:r>
                <w:rPr>
                  <w:rFonts w:ascii="Arial" w:cs="Arial" w:eastAsia="Arial" w:hAnsi="Arial"/>
                  <w:sz w:val="18"/>
                  <w:szCs w:val="18"/>
                  <w:color w:val="0000EE"/>
                  <w:w w:val="92"/>
                </w:rPr>
                <w:t>Declaration of Trust of Federal Realty Investment Trust dated May</w:t>
              </w:r>
            </w:hyperlink>
          </w:p>
        </w:tc>
        <w:tc>
          <w:tcPr>
            <w:tcW w:w="4160" w:type="dxa"/>
            <w:vAlign w:val="bottom"/>
            <w:gridSpan w:val="10"/>
          </w:tcPr>
          <w:p>
            <w:pPr>
              <w:spacing w:after="0"/>
              <w:rPr>
                <w:rFonts w:ascii="Arial" w:cs="Arial" w:eastAsia="Arial" w:hAnsi="Arial"/>
                <w:sz w:val="18"/>
                <w:szCs w:val="18"/>
                <w:color w:val="0000EE"/>
                <w:w w:val="97"/>
              </w:rPr>
            </w:pPr>
            <w:hyperlink r:id="rId29">
              <w:r>
                <w:rPr>
                  <w:rFonts w:ascii="Arial" w:cs="Arial" w:eastAsia="Arial" w:hAnsi="Arial"/>
                  <w:sz w:val="18"/>
                  <w:szCs w:val="18"/>
                  <w:color w:val="0000EE"/>
                  <w:w w:val="97"/>
                </w:rPr>
                <w:t>5, 1999 as amended by the Articles of Amendment of</w:t>
              </w:r>
            </w:hyperlink>
          </w:p>
        </w:tc>
      </w:tr>
      <w:tr>
        <w:trPr>
          <w:trHeight w:val="20"/>
        </w:trPr>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90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Declaration of Trust of Federal Realty Investment Trust dated May</w:t>
              </w:r>
            </w:hyperlink>
          </w:p>
        </w:tc>
        <w:tc>
          <w:tcPr>
            <w:tcW w:w="4000" w:type="dxa"/>
            <w:vAlign w:val="bottom"/>
            <w:tcBorders>
              <w:bottom w:val="single" w:sz="8" w:color="0000EE"/>
            </w:tcBorders>
            <w:gridSpan w:val="7"/>
          </w:tcPr>
          <w:p>
            <w:pPr>
              <w:jc w:val="right"/>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6, 2004, as corrected by the Certificate of Correction of</w:t>
              </w:r>
            </w:hyperlink>
          </w:p>
        </w:tc>
        <w:tc>
          <w:tcPr>
            <w:tcW w:w="16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Articles of Amendment of Declaration of Trust of Federal Realty Investment Trust dated June</w:t>
              </w:r>
            </w:hyperlink>
          </w:p>
        </w:tc>
        <w:tc>
          <w:tcPr>
            <w:tcW w:w="206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7"/>
              </w:rPr>
            </w:pPr>
            <w:hyperlink r:id="rId29">
              <w:r>
                <w:rPr>
                  <w:rFonts w:ascii="Arial" w:cs="Arial" w:eastAsia="Arial" w:hAnsi="Arial"/>
                  <w:sz w:val="18"/>
                  <w:szCs w:val="18"/>
                  <w:color w:val="0000EE"/>
                  <w:w w:val="87"/>
                </w:rPr>
                <w:t>17, 2004, as amended by the</w:t>
              </w:r>
            </w:hyperlink>
          </w:p>
        </w:tc>
        <w:tc>
          <w:tcPr>
            <w:tcW w:w="160" w:type="dxa"/>
            <w:vAlign w:val="bottom"/>
            <w:gridSpan w:val="3"/>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4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29">
              <w:r>
                <w:rPr>
                  <w:rFonts w:ascii="Arial" w:cs="Arial" w:eastAsia="Arial" w:hAnsi="Arial"/>
                  <w:sz w:val="18"/>
                  <w:szCs w:val="18"/>
                  <w:color w:val="0000EE"/>
                  <w:w w:val="92"/>
                </w:rPr>
                <w:t>Articles of Amendment of Declaration of Trust of Federal Realty Investment Trust dated May</w:t>
              </w:r>
            </w:hyperlink>
          </w:p>
        </w:tc>
        <w:tc>
          <w:tcPr>
            <w:tcW w:w="198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6, 2009 (previously filed as</w:t>
              </w:r>
            </w:hyperlink>
          </w:p>
        </w:tc>
        <w:tc>
          <w:tcPr>
            <w:tcW w:w="240" w:type="dxa"/>
            <w:vAlign w:val="bottom"/>
            <w:gridSpan w:val="6"/>
          </w:tcPr>
          <w:p>
            <w:pPr>
              <w:spacing w:after="0"/>
              <w:rPr>
                <w:sz w:val="17"/>
                <w:szCs w:val="17"/>
                <w:color w:val="auto"/>
              </w:rPr>
            </w:pPr>
          </w:p>
        </w:tc>
      </w:tr>
      <w:tr>
        <w:trPr>
          <w:trHeight w:val="222"/>
        </w:trPr>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060" w:type="dxa"/>
            <w:vAlign w:val="bottom"/>
            <w:gridSpan w:val="12"/>
          </w:tcPr>
          <w:p>
            <w:pPr>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Exhibit 3.1 to the Trust’s Registration Statement on Form S-3, filed on June 16, 2009 (File No. 333-160009) and</w:t>
              </w:r>
            </w:hyperlink>
          </w:p>
        </w:tc>
      </w:tr>
      <w:tr>
        <w:trPr>
          <w:trHeight w:val="230"/>
        </w:trPr>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900" w:type="dxa"/>
            <w:vAlign w:val="bottom"/>
            <w:gridSpan w:val="2"/>
          </w:tcPr>
          <w:p>
            <w:pPr>
              <w:spacing w:after="0"/>
              <w:rPr>
                <w:rFonts w:ascii="Arial" w:cs="Arial" w:eastAsia="Arial" w:hAnsi="Arial"/>
                <w:sz w:val="18"/>
                <w:szCs w:val="18"/>
                <w:u w:val="single" w:color="auto"/>
                <w:color w:val="0000EE"/>
              </w:rPr>
            </w:pPr>
            <w:hyperlink r:id="rId29">
              <w:r>
                <w:rPr>
                  <w:rFonts w:ascii="Arial" w:cs="Arial" w:eastAsia="Arial" w:hAnsi="Arial"/>
                  <w:sz w:val="18"/>
                  <w:szCs w:val="18"/>
                  <w:u w:val="single" w:color="auto"/>
                  <w:color w:val="0000EE"/>
                </w:rPr>
                <w:t>incorporated herein by reference)</w:t>
              </w:r>
            </w:hyperlink>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83"/>
        </w:trPr>
        <w:tc>
          <w:tcPr>
            <w:tcW w:w="720" w:type="dxa"/>
            <w:vAlign w:val="bottom"/>
          </w:tcPr>
          <w:p>
            <w:pPr>
              <w:jc w:val="right"/>
              <w:ind w:right="332"/>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8940" w:type="dxa"/>
            <w:vAlign w:val="bottom"/>
            <w:tcBorders>
              <w:bottom w:val="single" w:sz="8" w:color="0000EE"/>
            </w:tcBorders>
            <w:gridSpan w:val="10"/>
          </w:tcPr>
          <w:p>
            <w:pPr>
              <w:spacing w:after="0"/>
              <w:rPr>
                <w:rFonts w:ascii="Arial" w:cs="Arial" w:eastAsia="Arial" w:hAnsi="Arial"/>
                <w:sz w:val="18"/>
                <w:szCs w:val="18"/>
                <w:color w:val="0000EE"/>
                <w:w w:val="89"/>
              </w:rPr>
            </w:pPr>
            <w:hyperlink r:id="rId30">
              <w:r>
                <w:rPr>
                  <w:rFonts w:ascii="Arial" w:cs="Arial" w:eastAsia="Arial" w:hAnsi="Arial"/>
                  <w:sz w:val="18"/>
                  <w:szCs w:val="18"/>
                  <w:color w:val="0000EE"/>
                  <w:w w:val="89"/>
                </w:rPr>
                <w:t>Amended and Restated Bylaws of Federal Realty Investment Trust dated February 12, 2003, as amended October 29, 2003,</w:t>
              </w:r>
            </w:hyperlink>
          </w:p>
        </w:tc>
        <w:tc>
          <w:tcPr>
            <w:tcW w:w="12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40" w:type="dxa"/>
            <w:vAlign w:val="bottom"/>
            <w:gridSpan w:val="4"/>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May 5, 2004, February 17, 2006, May 6, 2009, November 2, 2016, February 5, 2019 and April</w:t>
              </w:r>
            </w:hyperlink>
          </w:p>
        </w:tc>
        <w:tc>
          <w:tcPr>
            <w:tcW w:w="2220" w:type="dxa"/>
            <w:vAlign w:val="bottom"/>
            <w:gridSpan w:val="8"/>
          </w:tcPr>
          <w:p>
            <w:pPr>
              <w:jc w:val="right"/>
              <w:ind w:right="180"/>
              <w:spacing w:after="0" w:line="196" w:lineRule="exact"/>
              <w:rPr>
                <w:rFonts w:ascii="Arial" w:cs="Arial" w:eastAsia="Arial" w:hAnsi="Arial"/>
                <w:sz w:val="18"/>
                <w:szCs w:val="18"/>
                <w:color w:val="0000EE"/>
                <w:w w:val="94"/>
              </w:rPr>
            </w:pPr>
            <w:hyperlink r:id="rId30">
              <w:r>
                <w:rPr>
                  <w:rFonts w:ascii="Arial" w:cs="Arial" w:eastAsia="Arial" w:hAnsi="Arial"/>
                  <w:sz w:val="18"/>
                  <w:szCs w:val="18"/>
                  <w:color w:val="0000EE"/>
                  <w:w w:val="94"/>
                </w:rPr>
                <w:t>2, 2020 (previously filed as</w:t>
              </w:r>
            </w:hyperlink>
          </w:p>
        </w:tc>
      </w:tr>
      <w:tr>
        <w:trPr>
          <w:trHeight w:val="196"/>
        </w:trPr>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880" w:type="dxa"/>
            <w:vAlign w:val="bottom"/>
            <w:tcBorders>
              <w:top w:val="single" w:sz="8" w:color="0000EE"/>
            </w:tcBorders>
            <w:gridSpan w:val="8"/>
          </w:tcPr>
          <w:p>
            <w:pPr>
              <w:spacing w:after="0" w:line="196" w:lineRule="exact"/>
              <w:rPr>
                <w:rFonts w:ascii="Arial" w:cs="Arial" w:eastAsia="Arial" w:hAnsi="Arial"/>
                <w:sz w:val="18"/>
                <w:szCs w:val="18"/>
                <w:color w:val="0000EE"/>
                <w:w w:val="91"/>
              </w:rPr>
            </w:pPr>
            <w:hyperlink r:id="rId30">
              <w:r>
                <w:rPr>
                  <w:rFonts w:ascii="Arial" w:cs="Arial" w:eastAsia="Arial" w:hAnsi="Arial"/>
                  <w:sz w:val="18"/>
                  <w:szCs w:val="18"/>
                  <w:color w:val="0000EE"/>
                  <w:w w:val="91"/>
                </w:rPr>
                <w:t>Exhibit 3.2 to the Trust’s Quarterly Report on Form 10-Q for the quarter ended March 31, 2020, filed on May 6, 2020 (File</w:t>
              </w:r>
            </w:hyperlink>
          </w:p>
        </w:tc>
        <w:tc>
          <w:tcPr>
            <w:tcW w:w="180" w:type="dxa"/>
            <w:vAlign w:val="bottom"/>
            <w:gridSpan w:val="4"/>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9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30">
              <w:r>
                <w:rPr>
                  <w:rFonts w:ascii="Arial" w:cs="Arial" w:eastAsia="Arial" w:hAnsi="Arial"/>
                  <w:sz w:val="18"/>
                  <w:szCs w:val="18"/>
                  <w:color w:val="0000EE"/>
                </w:rPr>
                <w:t>No. 001-07533) and incorporated herein by reference)</w:t>
              </w:r>
            </w:hyperlink>
          </w:p>
        </w:tc>
        <w:tc>
          <w:tcPr>
            <w:tcW w:w="11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720" w:type="dxa"/>
            <w:vAlign w:val="bottom"/>
          </w:tcPr>
          <w:p>
            <w:pPr>
              <w:jc w:val="right"/>
              <w:ind w:right="332"/>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9060" w:type="dxa"/>
            <w:vAlign w:val="bottom"/>
            <w:gridSpan w:val="12"/>
          </w:tcPr>
          <w:p>
            <w:pPr>
              <w:spacing w:after="0"/>
              <w:rPr>
                <w:rFonts w:ascii="Arial" w:cs="Arial" w:eastAsia="Arial" w:hAnsi="Arial"/>
                <w:sz w:val="18"/>
                <w:szCs w:val="18"/>
                <w:color w:val="0000EE"/>
                <w:w w:val="92"/>
              </w:rPr>
            </w:pPr>
            <w:hyperlink r:id="rId31">
              <w:r>
                <w:rPr>
                  <w:rFonts w:ascii="Arial" w:cs="Arial" w:eastAsia="Arial" w:hAnsi="Arial"/>
                  <w:sz w:val="18"/>
                  <w:szCs w:val="18"/>
                  <w:color w:val="0000EE"/>
                  <w:w w:val="92"/>
                </w:rPr>
                <w:t>Specimen Common Share certificate (previously filed as Exhibit 4(i) to the Trust’s Annual Report on Form 10-K for the year</w:t>
              </w:r>
            </w:hyperlink>
          </w:p>
        </w:tc>
      </w:tr>
      <w:tr>
        <w:trPr>
          <w:trHeight w:val="196"/>
        </w:trPr>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31">
              <w:r>
                <w:rPr>
                  <w:rFonts w:ascii="Arial" w:cs="Arial" w:eastAsia="Arial" w:hAnsi="Arial"/>
                  <w:sz w:val="18"/>
                  <w:szCs w:val="18"/>
                  <w:color w:val="0000EE"/>
                  <w:w w:val="89"/>
                </w:rPr>
                <w:t>ended December 31, 1999 (File No. 1-07533) and incorporated herein by reference)</w:t>
              </w:r>
            </w:hyperlink>
          </w:p>
        </w:tc>
        <w:tc>
          <w:tcPr>
            <w:tcW w:w="80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345"/>
        </w:trPr>
        <w:tc>
          <w:tcPr>
            <w:tcW w:w="720" w:type="dxa"/>
            <w:vAlign w:val="bottom"/>
          </w:tcPr>
          <w:p>
            <w:pPr>
              <w:jc w:val="right"/>
              <w:ind w:right="232"/>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24"/>
                <w:szCs w:val="24"/>
                <w:color w:val="auto"/>
              </w:rPr>
            </w:pPr>
          </w:p>
        </w:tc>
        <w:tc>
          <w:tcPr>
            <w:tcW w:w="9060" w:type="dxa"/>
            <w:vAlign w:val="bottom"/>
            <w:gridSpan w:val="12"/>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Opinion of Pillsbury Winthrop Shaw Pittman LLP regarding the validity of the securities being registered</w:t>
              </w:r>
            </w:hyperlink>
          </w:p>
        </w:tc>
      </w:tr>
      <w:tr>
        <w:trPr>
          <w:trHeight w:val="324"/>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90"/>
              </w:rPr>
              <w:t>23.1*</w:t>
            </w:r>
          </w:p>
        </w:tc>
        <w:tc>
          <w:tcPr>
            <w:tcW w:w="680" w:type="dxa"/>
            <w:vAlign w:val="bottom"/>
          </w:tcPr>
          <w:p>
            <w:pPr>
              <w:spacing w:after="0"/>
              <w:rPr>
                <w:sz w:val="24"/>
                <w:szCs w:val="24"/>
                <w:color w:val="auto"/>
              </w:rPr>
            </w:pPr>
          </w:p>
        </w:tc>
        <w:tc>
          <w:tcPr>
            <w:tcW w:w="4900" w:type="dxa"/>
            <w:vAlign w:val="bottom"/>
            <w:gridSpan w:val="2"/>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Consent of Grant Thornton LLP</w:t>
              </w:r>
            </w:hyperlink>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90"/>
              </w:rPr>
              <w:t>23.2*</w:t>
            </w:r>
          </w:p>
        </w:tc>
        <w:tc>
          <w:tcPr>
            <w:tcW w:w="680" w:type="dxa"/>
            <w:vAlign w:val="bottom"/>
          </w:tcPr>
          <w:p>
            <w:pPr>
              <w:spacing w:after="0"/>
              <w:rPr>
                <w:sz w:val="24"/>
                <w:szCs w:val="24"/>
                <w:color w:val="auto"/>
              </w:rPr>
            </w:pPr>
          </w:p>
        </w:tc>
        <w:tc>
          <w:tcPr>
            <w:tcW w:w="6840" w:type="dxa"/>
            <w:vAlign w:val="bottom"/>
            <w:gridSpan w:val="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Consent of Pillsbury Winthrop Shaw Pittman LLP (included in Exhibit 5.1)</w:t>
              </w:r>
            </w:hyperlink>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90"/>
              </w:rPr>
              <w:t>24.1*</w:t>
            </w:r>
          </w:p>
        </w:tc>
        <w:tc>
          <w:tcPr>
            <w:tcW w:w="680" w:type="dxa"/>
            <w:vAlign w:val="bottom"/>
          </w:tcPr>
          <w:p>
            <w:pPr>
              <w:spacing w:after="0"/>
              <w:rPr>
                <w:sz w:val="24"/>
                <w:szCs w:val="24"/>
                <w:color w:val="auto"/>
              </w:rPr>
            </w:pPr>
          </w:p>
        </w:tc>
        <w:tc>
          <w:tcPr>
            <w:tcW w:w="4900" w:type="dxa"/>
            <w:vAlign w:val="bottom"/>
            <w:gridSpan w:val="2"/>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Power of Attorney (included on the signature page hereto)</w:t>
              </w:r>
            </w:hyperlink>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Included with this filing.</w:t>
      </w:r>
    </w:p>
    <w:p>
      <w:pPr>
        <w:sectPr>
          <w:pgSz w:w="11900" w:h="16838" w:orient="portrait"/>
          <w:cols w:equalWidth="0" w:num="1">
            <w:col w:w="11004"/>
          </w:cols>
          <w:pgMar w:left="436"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9. Undertakings.</w:t>
      </w:r>
    </w:p>
    <w:p>
      <w:pPr>
        <w:spacing w:after="0" w:line="121" w:lineRule="exact"/>
        <w:rPr>
          <w:sz w:val="20"/>
          <w:szCs w:val="20"/>
          <w:color w:val="auto"/>
        </w:rPr>
      </w:pPr>
    </w:p>
    <w:p>
      <w:pPr>
        <w:ind w:left="680" w:hanging="24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1600" w:hanging="212"/>
        <w:spacing w:after="0"/>
        <w:tabs>
          <w:tab w:leader="none" w:pos="160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980" w:firstLine="408"/>
        <w:spacing w:after="0" w:line="272" w:lineRule="auto"/>
        <w:tabs>
          <w:tab w:leader="none" w:pos="1646" w:val="left"/>
        </w:tabs>
        <w:numPr>
          <w:ilvl w:val="2"/>
          <w:numId w:val="4"/>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69" w:lineRule="exact"/>
        <w:rPr>
          <w:rFonts w:ascii="Arial" w:cs="Arial" w:eastAsia="Arial" w:hAnsi="Arial"/>
          <w:sz w:val="17"/>
          <w:szCs w:val="17"/>
          <w:color w:val="auto"/>
        </w:rPr>
      </w:pPr>
    </w:p>
    <w:p>
      <w:pPr>
        <w:ind w:left="980" w:right="720" w:firstLine="408"/>
        <w:spacing w:after="0" w:line="277" w:lineRule="auto"/>
        <w:tabs>
          <w:tab w:leader="none" w:pos="1696"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62" w:lineRule="exact"/>
        <w:rPr>
          <w:sz w:val="20"/>
          <w:szCs w:val="20"/>
          <w:color w:val="auto"/>
        </w:rPr>
      </w:pPr>
    </w:p>
    <w:p>
      <w:pPr>
        <w:ind w:left="440" w:right="40"/>
        <w:spacing w:after="0" w:line="263" w:lineRule="auto"/>
        <w:rPr>
          <w:sz w:val="20"/>
          <w:szCs w:val="20"/>
          <w:color w:val="auto"/>
        </w:rPr>
      </w:pPr>
      <w:r>
        <w:rPr>
          <w:rFonts w:ascii="Arial" w:cs="Arial" w:eastAsia="Arial" w:hAnsi="Arial"/>
          <w:sz w:val="18"/>
          <w:szCs w:val="18"/>
          <w:color w:val="auto"/>
        </w:rPr>
        <w:t>provided, however, that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76" w:lineRule="exact"/>
        <w:rPr>
          <w:sz w:val="20"/>
          <w:szCs w:val="20"/>
          <w:color w:val="auto"/>
        </w:rPr>
      </w:pPr>
    </w:p>
    <w:p>
      <w:pPr>
        <w:ind w:left="440" w:right="60" w:firstLine="419"/>
        <w:spacing w:after="0" w:line="263" w:lineRule="auto"/>
        <w:tabs>
          <w:tab w:leader="none" w:pos="1118"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75"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right="160" w:firstLine="436"/>
        <w:spacing w:after="0" w:line="257" w:lineRule="auto"/>
        <w:tabs>
          <w:tab w:leader="none" w:pos="69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Arial" w:cs="Arial" w:eastAsia="Arial" w:hAnsi="Arial"/>
          <w:sz w:val="18"/>
          <w:szCs w:val="18"/>
          <w:color w:val="auto"/>
        </w:rPr>
      </w:pPr>
    </w:p>
    <w:p>
      <w:pPr>
        <w:ind w:right="40" w:firstLine="436"/>
        <w:spacing w:after="0" w:line="271" w:lineRule="auto"/>
        <w:tabs>
          <w:tab w:leader="none" w:pos="68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80"/>
          </w:cols>
          <w:pgMar w:left="440" w:top="270" w:right="479" w:bottom="1440" w:gutter="0" w:footer="0" w:header="0"/>
        </w:sectPr>
      </w:pPr>
    </w:p>
    <w:bookmarkStart w:id="6" w:name="page7"/>
    <w:bookmarkEnd w:id="6"/>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22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Rockville, State of Maryland, on June 22, 2020.</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Executive Vice President-General Counsel and</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0660"/>
          </w:cols>
          <w:pgMar w:left="440" w:top="270" w:right="7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 OF ATTORNEY</w:t>
      </w:r>
    </w:p>
    <w:p>
      <w:pPr>
        <w:spacing w:after="0" w:line="229" w:lineRule="exact"/>
        <w:rPr>
          <w:sz w:val="20"/>
          <w:szCs w:val="20"/>
          <w:color w:val="auto"/>
        </w:rPr>
      </w:pPr>
    </w:p>
    <w:p>
      <w:pPr>
        <w:ind w:firstLine="220"/>
        <w:spacing w:after="0" w:line="290"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Daniel Guglielmone and Dawn M. Becker,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 under the Securities Act of 1933, including specifically, but without limitation, any and all amendments (including post-effective amendments) hereto and thereto; and we hereby ratify and confirm all that said attorneys and agents, or either of them, shall do or cause to be done by virtue thereof.</w:t>
      </w:r>
    </w:p>
    <w:p>
      <w:pPr>
        <w:spacing w:after="0" w:line="165" w:lineRule="exact"/>
        <w:rPr>
          <w:sz w:val="20"/>
          <w:szCs w:val="20"/>
          <w:color w:val="auto"/>
        </w:rPr>
      </w:pPr>
    </w:p>
    <w:p>
      <w:pPr>
        <w:ind w:right="600" w:firstLine="2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5040" w:type="dxa"/>
            <w:vAlign w:val="bottom"/>
          </w:tcPr>
          <w:p>
            <w:pPr>
              <w:ind w:left="2480"/>
              <w:spacing w:after="0"/>
              <w:rPr>
                <w:sz w:val="20"/>
                <w:szCs w:val="20"/>
                <w:color w:val="auto"/>
              </w:rPr>
            </w:pPr>
            <w:r>
              <w:rPr>
                <w:rFonts w:ascii="Arial" w:cs="Arial" w:eastAsia="Arial" w:hAnsi="Arial"/>
                <w:sz w:val="14"/>
                <w:szCs w:val="14"/>
                <w:b w:val="1"/>
                <w:bCs w:val="1"/>
                <w:color w:val="auto"/>
              </w:rPr>
              <w:t>TITLE</w:t>
            </w:r>
          </w:p>
        </w:tc>
        <w:tc>
          <w:tcPr>
            <w:tcW w:w="1620" w:type="dxa"/>
            <w:vAlign w:val="bottom"/>
          </w:tcPr>
          <w:p>
            <w:pPr>
              <w:jc w:val="center"/>
              <w:ind w:left="532"/>
              <w:spacing w:after="0"/>
              <w:rPr>
                <w:sz w:val="20"/>
                <w:szCs w:val="20"/>
                <w:color w:val="auto"/>
              </w:rPr>
            </w:pPr>
            <w:r>
              <w:rPr>
                <w:rFonts w:ascii="Arial" w:cs="Arial" w:eastAsia="Arial" w:hAnsi="Arial"/>
                <w:sz w:val="14"/>
                <w:szCs w:val="14"/>
                <w:b w:val="1"/>
                <w:bCs w:val="1"/>
                <w:color w:val="auto"/>
              </w:rPr>
              <w:t>DATE</w:t>
            </w:r>
          </w:p>
        </w:tc>
      </w:tr>
      <w:tr>
        <w:trPr>
          <w:trHeight w:val="230"/>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5040" w:type="dxa"/>
            <w:vAlign w:val="bottom"/>
          </w:tcPr>
          <w:p>
            <w:pPr>
              <w:ind w:left="560"/>
              <w:spacing w:after="0"/>
              <w:rPr>
                <w:sz w:val="20"/>
                <w:szCs w:val="20"/>
                <w:color w:val="auto"/>
              </w:rPr>
            </w:pPr>
            <w:r>
              <w:rPr>
                <w:rFonts w:ascii="Arial" w:cs="Arial" w:eastAsia="Arial" w:hAnsi="Arial"/>
                <w:sz w:val="18"/>
                <w:szCs w:val="18"/>
                <w:color w:val="auto"/>
              </w:rPr>
              <w:t>President, Chief Executive Officer and Trustee</w:t>
            </w:r>
          </w:p>
        </w:tc>
        <w:tc>
          <w:tcPr>
            <w:tcW w:w="1620" w:type="dxa"/>
            <w:vAlign w:val="bottom"/>
          </w:tcPr>
          <w:p>
            <w:pPr>
              <w:jc w:val="center"/>
              <w:ind w:left="532"/>
              <w:spacing w:after="0"/>
              <w:rPr>
                <w:sz w:val="20"/>
                <w:szCs w:val="20"/>
                <w:color w:val="auto"/>
              </w:rPr>
            </w:pPr>
            <w:r>
              <w:rPr>
                <w:rFonts w:ascii="Arial" w:cs="Arial" w:eastAsia="Arial" w:hAnsi="Arial"/>
                <w:sz w:val="18"/>
                <w:szCs w:val="18"/>
                <w:color w:val="auto"/>
                <w:w w:val="87"/>
              </w:rPr>
              <w:t>June 22, 2020</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Donald C. Wood</w:t>
            </w:r>
          </w:p>
        </w:tc>
        <w:tc>
          <w:tcPr>
            <w:tcW w:w="5040" w:type="dxa"/>
            <w:vAlign w:val="bottom"/>
          </w:tcPr>
          <w:p>
            <w:pPr>
              <w:ind w:left="560"/>
              <w:spacing w:after="0"/>
              <w:rPr>
                <w:sz w:val="20"/>
                <w:szCs w:val="20"/>
                <w:color w:val="auto"/>
              </w:rPr>
            </w:pPr>
            <w:r>
              <w:rPr>
                <w:rFonts w:ascii="Arial" w:cs="Arial" w:eastAsia="Arial" w:hAnsi="Arial"/>
                <w:sz w:val="18"/>
                <w:szCs w:val="18"/>
                <w:color w:val="auto"/>
              </w:rPr>
              <w:t>(principal executive officer)</w:t>
            </w:r>
          </w:p>
        </w:tc>
        <w:tc>
          <w:tcPr>
            <w:tcW w:w="162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Guglielmone</w:t>
            </w:r>
          </w:p>
        </w:tc>
        <w:tc>
          <w:tcPr>
            <w:tcW w:w="5040" w:type="dxa"/>
            <w:vAlign w:val="bottom"/>
          </w:tcPr>
          <w:p>
            <w:pPr>
              <w:ind w:left="560"/>
              <w:spacing w:after="0"/>
              <w:rPr>
                <w:sz w:val="20"/>
                <w:szCs w:val="20"/>
                <w:color w:val="auto"/>
              </w:rPr>
            </w:pPr>
            <w:r>
              <w:rPr>
                <w:rFonts w:ascii="Arial" w:cs="Arial" w:eastAsia="Arial" w:hAnsi="Arial"/>
                <w:sz w:val="18"/>
                <w:szCs w:val="18"/>
                <w:color w:val="auto"/>
              </w:rPr>
              <w:t>Executive Vice President-Chief Financial Officer and</w:t>
            </w:r>
          </w:p>
        </w:tc>
        <w:tc>
          <w:tcPr>
            <w:tcW w:w="1620" w:type="dxa"/>
            <w:vAlign w:val="bottom"/>
          </w:tcPr>
          <w:p>
            <w:pPr>
              <w:jc w:val="center"/>
              <w:ind w:left="532"/>
              <w:spacing w:after="0"/>
              <w:rPr>
                <w:sz w:val="20"/>
                <w:szCs w:val="20"/>
                <w:color w:val="auto"/>
              </w:rPr>
            </w:pPr>
            <w:r>
              <w:rPr>
                <w:rFonts w:ascii="Arial" w:cs="Arial" w:eastAsia="Arial" w:hAnsi="Arial"/>
                <w:sz w:val="18"/>
                <w:szCs w:val="18"/>
                <w:color w:val="auto"/>
                <w:w w:val="87"/>
              </w:rPr>
              <w:t>June 22, 2020</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Daniel Guglielmone</w:t>
            </w:r>
          </w:p>
        </w:tc>
        <w:tc>
          <w:tcPr>
            <w:tcW w:w="5040" w:type="dxa"/>
            <w:vAlign w:val="bottom"/>
          </w:tcPr>
          <w:p>
            <w:pPr>
              <w:ind w:left="560"/>
              <w:spacing w:after="0"/>
              <w:rPr>
                <w:sz w:val="20"/>
                <w:szCs w:val="20"/>
                <w:color w:val="auto"/>
              </w:rPr>
            </w:pPr>
            <w:r>
              <w:rPr>
                <w:rFonts w:ascii="Arial" w:cs="Arial" w:eastAsia="Arial" w:hAnsi="Arial"/>
                <w:sz w:val="18"/>
                <w:szCs w:val="18"/>
                <w:color w:val="auto"/>
              </w:rPr>
              <w:t>Treasurer (principal financial and accounting officer)</w:t>
            </w:r>
          </w:p>
        </w:tc>
        <w:tc>
          <w:tcPr>
            <w:tcW w:w="162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S. Vassalluzzo</w:t>
            </w:r>
          </w:p>
        </w:tc>
        <w:tc>
          <w:tcPr>
            <w:tcW w:w="5040" w:type="dxa"/>
            <w:vAlign w:val="bottom"/>
          </w:tcPr>
          <w:p>
            <w:pPr>
              <w:ind w:left="560"/>
              <w:spacing w:after="0"/>
              <w:rPr>
                <w:sz w:val="20"/>
                <w:szCs w:val="20"/>
                <w:color w:val="auto"/>
              </w:rPr>
            </w:pPr>
            <w:r>
              <w:rPr>
                <w:rFonts w:ascii="Arial" w:cs="Arial" w:eastAsia="Arial" w:hAnsi="Arial"/>
                <w:sz w:val="18"/>
                <w:szCs w:val="18"/>
                <w:color w:val="auto"/>
              </w:rPr>
              <w:t>Non-Executive Chairman</w:t>
            </w:r>
          </w:p>
        </w:tc>
        <w:tc>
          <w:tcPr>
            <w:tcW w:w="1620" w:type="dxa"/>
            <w:vAlign w:val="bottom"/>
          </w:tcPr>
          <w:p>
            <w:pPr>
              <w:jc w:val="center"/>
              <w:ind w:left="532"/>
              <w:spacing w:after="0"/>
              <w:rPr>
                <w:sz w:val="20"/>
                <w:szCs w:val="20"/>
                <w:color w:val="auto"/>
              </w:rPr>
            </w:pPr>
            <w:r>
              <w:rPr>
                <w:rFonts w:ascii="Arial" w:cs="Arial" w:eastAsia="Arial" w:hAnsi="Arial"/>
                <w:sz w:val="18"/>
                <w:szCs w:val="18"/>
                <w:color w:val="auto"/>
                <w:w w:val="87"/>
              </w:rPr>
              <w:t>June 22, 2020</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Joseph S. Vassalluzzo</w:t>
            </w:r>
          </w:p>
        </w:tc>
        <w:tc>
          <w:tcPr>
            <w:tcW w:w="50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 E. Bortz</w:t>
            </w:r>
          </w:p>
        </w:tc>
        <w:tc>
          <w:tcPr>
            <w:tcW w:w="5040" w:type="dxa"/>
            <w:vAlign w:val="bottom"/>
          </w:tcPr>
          <w:p>
            <w:pPr>
              <w:ind w:left="560"/>
              <w:spacing w:after="0"/>
              <w:rPr>
                <w:sz w:val="20"/>
                <w:szCs w:val="20"/>
                <w:color w:val="auto"/>
              </w:rPr>
            </w:pPr>
            <w:r>
              <w:rPr>
                <w:rFonts w:ascii="Arial" w:cs="Arial" w:eastAsia="Arial" w:hAnsi="Arial"/>
                <w:sz w:val="18"/>
                <w:szCs w:val="18"/>
                <w:color w:val="auto"/>
              </w:rPr>
              <w:t>Trustee</w:t>
            </w:r>
          </w:p>
        </w:tc>
        <w:tc>
          <w:tcPr>
            <w:tcW w:w="1620" w:type="dxa"/>
            <w:vAlign w:val="bottom"/>
          </w:tcPr>
          <w:p>
            <w:pPr>
              <w:jc w:val="center"/>
              <w:ind w:left="532"/>
              <w:spacing w:after="0"/>
              <w:rPr>
                <w:sz w:val="20"/>
                <w:szCs w:val="20"/>
                <w:color w:val="auto"/>
              </w:rPr>
            </w:pPr>
            <w:r>
              <w:rPr>
                <w:rFonts w:ascii="Arial" w:cs="Arial" w:eastAsia="Arial" w:hAnsi="Arial"/>
                <w:sz w:val="18"/>
                <w:szCs w:val="18"/>
                <w:color w:val="auto"/>
                <w:w w:val="87"/>
              </w:rPr>
              <w:t>June 22, 2020</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Jon E. Bortz</w:t>
            </w:r>
          </w:p>
        </w:tc>
        <w:tc>
          <w:tcPr>
            <w:tcW w:w="50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W. Faeder</w:t>
            </w:r>
          </w:p>
        </w:tc>
        <w:tc>
          <w:tcPr>
            <w:tcW w:w="5040" w:type="dxa"/>
            <w:vAlign w:val="bottom"/>
          </w:tcPr>
          <w:p>
            <w:pPr>
              <w:ind w:left="560"/>
              <w:spacing w:after="0"/>
              <w:rPr>
                <w:sz w:val="20"/>
                <w:szCs w:val="20"/>
                <w:color w:val="auto"/>
              </w:rPr>
            </w:pPr>
            <w:r>
              <w:rPr>
                <w:rFonts w:ascii="Arial" w:cs="Arial" w:eastAsia="Arial" w:hAnsi="Arial"/>
                <w:sz w:val="18"/>
                <w:szCs w:val="18"/>
                <w:color w:val="auto"/>
              </w:rPr>
              <w:t>Trustee</w:t>
            </w:r>
          </w:p>
        </w:tc>
        <w:tc>
          <w:tcPr>
            <w:tcW w:w="1620" w:type="dxa"/>
            <w:vAlign w:val="bottom"/>
          </w:tcPr>
          <w:p>
            <w:pPr>
              <w:jc w:val="center"/>
              <w:ind w:left="532"/>
              <w:spacing w:after="0"/>
              <w:rPr>
                <w:sz w:val="20"/>
                <w:szCs w:val="20"/>
                <w:color w:val="auto"/>
              </w:rPr>
            </w:pPr>
            <w:r>
              <w:rPr>
                <w:rFonts w:ascii="Arial" w:cs="Arial" w:eastAsia="Arial" w:hAnsi="Arial"/>
                <w:sz w:val="18"/>
                <w:szCs w:val="18"/>
                <w:color w:val="auto"/>
                <w:w w:val="87"/>
              </w:rPr>
              <w:t>June 22, 2020</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David W. Faeder</w:t>
            </w:r>
          </w:p>
        </w:tc>
        <w:tc>
          <w:tcPr>
            <w:tcW w:w="50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I. Holland</w:t>
            </w:r>
          </w:p>
        </w:tc>
        <w:tc>
          <w:tcPr>
            <w:tcW w:w="5040" w:type="dxa"/>
            <w:vAlign w:val="bottom"/>
          </w:tcPr>
          <w:p>
            <w:pPr>
              <w:ind w:left="560"/>
              <w:spacing w:after="0"/>
              <w:rPr>
                <w:sz w:val="20"/>
                <w:szCs w:val="20"/>
                <w:color w:val="auto"/>
              </w:rPr>
            </w:pPr>
            <w:r>
              <w:rPr>
                <w:rFonts w:ascii="Arial" w:cs="Arial" w:eastAsia="Arial" w:hAnsi="Arial"/>
                <w:sz w:val="18"/>
                <w:szCs w:val="18"/>
                <w:color w:val="auto"/>
              </w:rPr>
              <w:t>Trustee</w:t>
            </w:r>
          </w:p>
        </w:tc>
        <w:tc>
          <w:tcPr>
            <w:tcW w:w="1620" w:type="dxa"/>
            <w:vAlign w:val="bottom"/>
          </w:tcPr>
          <w:p>
            <w:pPr>
              <w:jc w:val="center"/>
              <w:ind w:left="532"/>
              <w:spacing w:after="0"/>
              <w:rPr>
                <w:sz w:val="20"/>
                <w:szCs w:val="20"/>
                <w:color w:val="auto"/>
              </w:rPr>
            </w:pPr>
            <w:r>
              <w:rPr>
                <w:rFonts w:ascii="Arial" w:cs="Arial" w:eastAsia="Arial" w:hAnsi="Arial"/>
                <w:sz w:val="18"/>
                <w:szCs w:val="18"/>
                <w:color w:val="auto"/>
                <w:w w:val="87"/>
              </w:rPr>
              <w:t>June 22, 2020</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Elizabeth I. Holland</w:t>
            </w:r>
          </w:p>
        </w:tc>
        <w:tc>
          <w:tcPr>
            <w:tcW w:w="50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S. Ordan</w:t>
            </w:r>
          </w:p>
        </w:tc>
        <w:tc>
          <w:tcPr>
            <w:tcW w:w="5040" w:type="dxa"/>
            <w:vAlign w:val="bottom"/>
          </w:tcPr>
          <w:p>
            <w:pPr>
              <w:ind w:left="560"/>
              <w:spacing w:after="0"/>
              <w:rPr>
                <w:sz w:val="20"/>
                <w:szCs w:val="20"/>
                <w:color w:val="auto"/>
              </w:rPr>
            </w:pPr>
            <w:r>
              <w:rPr>
                <w:rFonts w:ascii="Arial" w:cs="Arial" w:eastAsia="Arial" w:hAnsi="Arial"/>
                <w:sz w:val="18"/>
                <w:szCs w:val="18"/>
                <w:color w:val="auto"/>
              </w:rPr>
              <w:t>Trustee</w:t>
            </w:r>
          </w:p>
        </w:tc>
        <w:tc>
          <w:tcPr>
            <w:tcW w:w="1620" w:type="dxa"/>
            <w:vAlign w:val="bottom"/>
          </w:tcPr>
          <w:p>
            <w:pPr>
              <w:jc w:val="center"/>
              <w:ind w:left="532"/>
              <w:spacing w:after="0"/>
              <w:rPr>
                <w:sz w:val="20"/>
                <w:szCs w:val="20"/>
                <w:color w:val="auto"/>
              </w:rPr>
            </w:pPr>
            <w:r>
              <w:rPr>
                <w:rFonts w:ascii="Arial" w:cs="Arial" w:eastAsia="Arial" w:hAnsi="Arial"/>
                <w:sz w:val="18"/>
                <w:szCs w:val="18"/>
                <w:color w:val="auto"/>
                <w:w w:val="87"/>
              </w:rPr>
              <w:t>June 22, 2020</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Mark S. Ordan</w:t>
            </w:r>
          </w:p>
        </w:tc>
        <w:tc>
          <w:tcPr>
            <w:tcW w:w="50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323"/>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Gail P. Steinel</w:t>
            </w:r>
          </w:p>
        </w:tc>
        <w:tc>
          <w:tcPr>
            <w:tcW w:w="5040" w:type="dxa"/>
            <w:vAlign w:val="bottom"/>
          </w:tcPr>
          <w:p>
            <w:pPr>
              <w:ind w:left="560"/>
              <w:spacing w:after="0"/>
              <w:rPr>
                <w:sz w:val="20"/>
                <w:szCs w:val="20"/>
                <w:color w:val="auto"/>
              </w:rPr>
            </w:pPr>
            <w:r>
              <w:rPr>
                <w:rFonts w:ascii="Arial" w:cs="Arial" w:eastAsia="Arial" w:hAnsi="Arial"/>
                <w:sz w:val="18"/>
                <w:szCs w:val="18"/>
                <w:color w:val="auto"/>
              </w:rPr>
              <w:t>Trustee</w:t>
            </w:r>
          </w:p>
        </w:tc>
        <w:tc>
          <w:tcPr>
            <w:tcW w:w="1620" w:type="dxa"/>
            <w:vAlign w:val="bottom"/>
          </w:tcPr>
          <w:p>
            <w:pPr>
              <w:jc w:val="center"/>
              <w:ind w:left="532"/>
              <w:spacing w:after="0"/>
              <w:rPr>
                <w:sz w:val="20"/>
                <w:szCs w:val="20"/>
                <w:color w:val="auto"/>
              </w:rPr>
            </w:pPr>
            <w:r>
              <w:rPr>
                <w:rFonts w:ascii="Arial" w:cs="Arial" w:eastAsia="Arial" w:hAnsi="Arial"/>
                <w:sz w:val="18"/>
                <w:szCs w:val="18"/>
                <w:color w:val="auto"/>
                <w:w w:val="87"/>
              </w:rPr>
              <w:t>June 22, 2020</w:t>
            </w: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Gail P. Steinel</w:t>
            </w:r>
          </w:p>
        </w:tc>
        <w:tc>
          <w:tcPr>
            <w:tcW w:w="5040" w:type="dxa"/>
            <w:vAlign w:val="bottom"/>
          </w:tcPr>
          <w:p>
            <w:pPr>
              <w:spacing w:after="0"/>
              <w:rPr>
                <w:sz w:val="19"/>
                <w:szCs w:val="19"/>
                <w:color w:val="auto"/>
              </w:rPr>
            </w:pPr>
          </w:p>
        </w:tc>
        <w:tc>
          <w:tcPr>
            <w:tcW w:w="1620" w:type="dxa"/>
            <w:vAlign w:val="bottom"/>
          </w:tcPr>
          <w:p>
            <w:pPr>
              <w:spacing w:after="0"/>
              <w:rPr>
                <w:sz w:val="19"/>
                <w:szCs w:val="19"/>
                <w:color w:val="auto"/>
              </w:rPr>
            </w:pPr>
          </w:p>
        </w:tc>
      </w:tr>
    </w:tbl>
    <w:p>
      <w:pPr>
        <w:sectPr>
          <w:pgSz w:w="11900" w:h="16838" w:orient="portrait"/>
          <w:cols w:equalWidth="0" w:num="1">
            <w:col w:w="10980"/>
          </w:cols>
          <w:pgMar w:left="440" w:top="270" w:right="47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1200 Seventeenth Street, NW, Washington, DC 20036</w:t>
      </w:r>
    </w:p>
    <w:p>
      <w:pPr>
        <w:spacing w:after="0" w:line="211" w:lineRule="exact"/>
        <w:rPr>
          <w:sz w:val="20"/>
          <w:szCs w:val="20"/>
          <w:color w:val="auto"/>
        </w:rPr>
      </w:pPr>
    </w:p>
    <w:p>
      <w:pPr>
        <w:ind w:left="10004"/>
        <w:spacing w:after="0"/>
        <w:rPr>
          <w:sz w:val="20"/>
          <w:szCs w:val="20"/>
          <w:color w:val="auto"/>
        </w:rPr>
      </w:pPr>
      <w:r>
        <w:rPr>
          <w:rFonts w:ascii="Arial" w:cs="Arial" w:eastAsia="Arial" w:hAnsi="Arial"/>
          <w:sz w:val="16"/>
          <w:szCs w:val="16"/>
          <w:color w:val="auto"/>
        </w:rPr>
        <w:t>June 22, 2020</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We have acted as counsel to Federal Realty Investment Trust, a Maryland real estate investment trust (the “Company”), in connection with a Registration Statement on Form S-8 (the “Registration Statement”) filed with the Securities and Exchange Commission under the Securities Act of 1933, as amended (the “Act”). The Registration Statement relates to the offering of up to 1,750,000 common shares of beneficial interest, par value $0.01 per share (the “Common Shares”), of the Company, that may be offered from time to time pursuant to the Company’s 2020 Performance Incentive Plan (the “Plan”).</w:t>
      </w:r>
    </w:p>
    <w:p>
      <w:pPr>
        <w:spacing w:after="0" w:line="188"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For purposes of giving the opinions hereinafter set forth, our examination of documents has been limited to examination of copies of the following (each, a “Document,” and collectively, the “Documents”):</w:t>
      </w:r>
    </w:p>
    <w:p>
      <w:pPr>
        <w:spacing w:after="0" w:line="76" w:lineRule="exact"/>
        <w:rPr>
          <w:sz w:val="20"/>
          <w:szCs w:val="20"/>
          <w:color w:val="auto"/>
        </w:rPr>
      </w:pPr>
    </w:p>
    <w:p>
      <w:pPr>
        <w:ind w:left="964" w:right="80" w:hanging="532"/>
        <w:spacing w:after="0" w:line="263"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declaration of trust of the Company, as amended and corrected as of the date hereof, as certified by the Maryland State Department of Assessments and Taxation on January 30, 2020 and the Executive Vice President-General Counsel and Secretary of the Company as of the date hereof;</w:t>
      </w:r>
    </w:p>
    <w:p>
      <w:pPr>
        <w:spacing w:after="0" w:line="89" w:lineRule="exact"/>
        <w:rPr>
          <w:rFonts w:ascii="Arial" w:cs="Arial" w:eastAsia="Arial" w:hAnsi="Arial"/>
          <w:sz w:val="18"/>
          <w:szCs w:val="18"/>
          <w:color w:val="auto"/>
        </w:rPr>
      </w:pPr>
    </w:p>
    <w:p>
      <w:pPr>
        <w:ind w:left="964" w:right="200" w:hanging="532"/>
        <w:spacing w:after="0" w:line="277"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amended and restated bylaws of the Company, as amended as of the date hereof, as certified by the Executive Vice President-General Counsel and Secretary of the Company as of the date hereof;</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130" w:lineRule="exact"/>
        <w:rPr>
          <w:rFonts w:ascii="Arial" w:cs="Arial" w:eastAsia="Arial" w:hAnsi="Arial"/>
          <w:sz w:val="18"/>
          <w:szCs w:val="18"/>
          <w:color w:val="auto"/>
        </w:rPr>
      </w:pPr>
    </w:p>
    <w:p>
      <w:pPr>
        <w:ind w:left="964" w:right="580" w:hanging="532"/>
        <w:spacing w:after="0" w:line="277"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resolutions of the Board of Directors of the Company adopted on February 4, 2020 in the form certified to us by the Executive Vice President, General Counsel and Secretary of the Company on the date hereof; and</w:t>
      </w:r>
    </w:p>
    <w:p>
      <w:pPr>
        <w:spacing w:after="0" w:line="76" w:lineRule="exact"/>
        <w:rPr>
          <w:sz w:val="20"/>
          <w:szCs w:val="20"/>
          <w:color w:val="auto"/>
        </w:rPr>
      </w:pPr>
    </w:p>
    <w:p>
      <w:pPr>
        <w:ind w:left="964" w:hanging="532"/>
        <w:spacing w:after="0"/>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w:t>
      </w:r>
    </w:p>
    <w:p>
      <w:pPr>
        <w:spacing w:after="0" w:line="225"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7"/>
          <w:szCs w:val="17"/>
          <w:color w:val="auto"/>
        </w:rPr>
        <w:t>Based upon the foregoing and subject to the assumptions, qualifications, limitations, and exceptions set forth below, we are of the opinion that the Common Shares, when issued and delivered by the in the manner described in the Registration Statement and the Plan and in accordance with the resolutions adopted by the Board of Directors of the Company, will be validly issued, fully paid and nonassessable.</w:t>
      </w:r>
    </w:p>
    <w:p>
      <w:pPr>
        <w:spacing w:after="0" w:line="165"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For purposes of this opinion, we have not reviewed any documents other than the Documents. In particular, we have not reviewed any document (other than the Documents) that is referred to in or incorporated by reference into any Document reviewed by us. We have assumed that no provision exists in any document that we have not reviewed that is inconsistent with the opinions stated herein.</w:t>
      </w:r>
    </w:p>
    <w:p>
      <w:pPr>
        <w:spacing w:after="0" w:line="184"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In connection with this opinion, we have considered such matters of law and fact as we, in our professional judgment, have deemed necessary or appropriate to render the opinions contained herein. In rendering this opinion letter, we have assumed without independent investigation: (i) the completeness of all Documents; (ii) the genuineness of all signatures; (iii) the legal capacity of all individuals who have executed any of the Documents;</w:t>
      </w:r>
    </w:p>
    <w:p>
      <w:pPr>
        <w:spacing w:after="0" w:line="2" w:lineRule="exact"/>
        <w:rPr>
          <w:sz w:val="20"/>
          <w:szCs w:val="20"/>
          <w:color w:val="auto"/>
        </w:rPr>
      </w:pPr>
    </w:p>
    <w:p>
      <w:pPr>
        <w:jc w:val="both"/>
        <w:ind w:left="4" w:right="360" w:hanging="4"/>
        <w:spacing w:after="0" w:line="281" w:lineRule="auto"/>
        <w:tabs>
          <w:tab w:leader="none" w:pos="309"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authenticity of all Documents submitted to us as originals; (v) the conformity to the original documents of all Documents submitted to us as certified, photostatic, reproduced, facsimile or conformed copies of valid existing agreements; (vi) the authenticity of all such latter Documents; and</w:t>
      </w:r>
    </w:p>
    <w:p>
      <w:pPr>
        <w:spacing w:after="0" w:line="1" w:lineRule="exact"/>
        <w:rPr>
          <w:rFonts w:ascii="Arial" w:cs="Arial" w:eastAsia="Arial" w:hAnsi="Arial"/>
          <w:sz w:val="16"/>
          <w:szCs w:val="16"/>
          <w:color w:val="auto"/>
        </w:rPr>
      </w:pPr>
    </w:p>
    <w:p>
      <w:pPr>
        <w:ind w:left="4" w:right="100" w:hanging="4"/>
        <w:spacing w:after="0" w:line="255" w:lineRule="auto"/>
        <w:tabs>
          <w:tab w:leader="none" w:pos="3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statements regarding matters of fact in any of the Documents that we have examined are accurate and complete. We have further assumed that there are no oral or written modifications or amendments to any of the Documents, and that the executed versions of the Documents are identical to any unexecuted forms or versions that we may have reviewed.</w:t>
      </w:r>
    </w:p>
    <w:p>
      <w:pPr>
        <w:sectPr>
          <w:pgSz w:w="11900" w:h="16838" w:orient="portrait"/>
          <w:cols w:equalWidth="0" w:num="1">
            <w:col w:w="11024"/>
          </w:cols>
          <w:pgMar w:left="436" w:top="121" w:right="439" w:bottom="1440" w:gutter="0" w:footer="0" w:header="0"/>
        </w:sectPr>
      </w:pPr>
    </w:p>
    <w:bookmarkStart w:id="9" w:name="page10"/>
    <w:bookmarkEnd w:id="9"/>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opinions expressed above are limited in all respects and for all purposes to the laws of the State of Maryland (excluding the securities laws and blue sky laws of the State of Maryland), and we express no opinion on the laws of any other jurisdiction, including federal laws and rules and regulations relating thereto. Our opinions are rendered only with respect to Maryland laws and rules, regulations and orders thereunder that are currently in effect. In rendering the opinions set forth herein, we express no opinion concerning (i) the creation, attachment, perfection or priority of any security interest, lien or other encumbrance, or (ii) the nature or validity of title to any property. The opinions set forth in this letter are limited to the matters and the transaction expressly addressed herein and no opinion is to be implied or may be inferred beyond the opinions expressly stated in this letter.</w:t>
      </w:r>
    </w:p>
    <w:p>
      <w:pPr>
        <w:spacing w:after="0" w:line="16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within the category of persons whose consent is required by Section 7 of the Act.</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Pillsbury Winthrop Shaw Pittman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PILLSBURY WINTHROP SHAW</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PITTMAN LLP</w:t>
      </w:r>
    </w:p>
    <w:p>
      <w:pPr>
        <w:sectPr>
          <w:pgSz w:w="11900" w:h="16838" w:orient="portrait"/>
          <w:cols w:equalWidth="0" w:num="1">
            <w:col w:w="10980"/>
          </w:cols>
          <w:pgMar w:left="440" w:top="274" w:right="4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have issued our reports dated February 10, 2020 with respect to the consolidated financial statements and internal control over financial reporting of Federal Realty Investment Trust included in the Annual Report on Form 10-K for the year ended December 31, 2019, which are incorporated by reference in this Registration Statement. We consent to the incorporation by reference of the aforementioned reports in this Registration Statement.</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22,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Letter"/>
      <w:start w:val="2"/>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79E2A9E3"/>
    <w:multiLevelType w:val="hybridMultilevel"/>
    <w:lvl w:ilvl="0">
      <w:lvlJc w:val="left"/>
      <w:lvlText w:val="%1"/>
      <w:numFmt w:val="lowerLetter"/>
      <w:start w:val="1"/>
    </w:lvl>
    <w:lvl w:ilvl="1">
      <w:lvlJc w:val="left"/>
      <w:lvlText w:val="(%2)"/>
      <w:numFmt w:val="decimal"/>
      <w:start w:val="2"/>
    </w:lvl>
  </w:abstractNum>
  <w:abstractNum w:abstractNumId="5">
    <w:nsid w:val="7545E146"/>
    <w:multiLevelType w:val="hybridMultilevel"/>
    <w:lvl w:ilvl="0">
      <w:lvlJc w:val="left"/>
      <w:lvlText w:val="(%1)"/>
      <w:numFmt w:val="lowerLetter"/>
      <w:start w:val="2"/>
    </w:lvl>
    <w:lvl w:ilvl="1">
      <w:lvlJc w:val="left"/>
      <w:lvlText w:val="%2"/>
      <w:numFmt w:val="decimal"/>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Roman"/>
      <w:start w:val="9"/>
    </w:lvl>
  </w:abstractNum>
  <w:abstractNum w:abstractNumId="8">
    <w:nsid w:val="12200854"/>
    <w:multiLevelType w:val="hybridMultilevel"/>
    <w:lvl w:ilvl="0">
      <w:lvlJc w:val="left"/>
      <w:lvlText w:val="(%1)"/>
      <w:numFmt w:val="lowerRoman"/>
      <w:start w:val="4"/>
    </w:lvl>
  </w:abstractNum>
  <w:abstractNum w:abstractNumId="9">
    <w:nsid w:val="4DB127F8"/>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19" Type="http://schemas.openxmlformats.org/officeDocument/2006/relationships/hyperlink" Target="http://www.sec.gov/ix?doc=/Archives/edgar/data/34903/000003490320000008/frt-1231201910k.htm" TargetMode="External"/><Relationship Id="rId20" Type="http://schemas.openxmlformats.org/officeDocument/2006/relationships/hyperlink" Target="http://www.sec.gov/ix?doc=/Archives/edgar/data/34903/000003490320000021/frt-03312020x10q.htm" TargetMode="External"/><Relationship Id="rId21" Type="http://schemas.openxmlformats.org/officeDocument/2006/relationships/hyperlink" Target="http://www.sec.gov/ix?doc=/Archives/edgar/data/34903/000003490320000011/frt-032520208xkdocument.htm" TargetMode="External"/><Relationship Id="rId22" Type="http://schemas.openxmlformats.org/officeDocument/2006/relationships/hyperlink" Target="http://www.sec.gov/ix?doc=/Archives/edgar/data/34903/000003490320000015/frt-040720208xkdocument.htm" TargetMode="External"/><Relationship Id="rId23" Type="http://schemas.openxmlformats.org/officeDocument/2006/relationships/hyperlink" Target="http://www.sec.gov/ix?doc=/Archives/edgar/data/34903/000119312520134999/d877466d8k.htm" TargetMode="External"/><Relationship Id="rId24" Type="http://schemas.openxmlformats.org/officeDocument/2006/relationships/hyperlink" Target="http://www.sec.gov/ix?doc=/Archives/edgar/data/34903/000119312520139275/d880779d8k.htm" TargetMode="External"/><Relationship Id="rId25" Type="http://schemas.openxmlformats.org/officeDocument/2006/relationships/hyperlink" Target="http://www.sec.gov/ix?doc=/Archives/edgar/data/34903/000119312520140427/d928583d8k.htm" TargetMode="External"/><Relationship Id="rId26" Type="http://schemas.openxmlformats.org/officeDocument/2006/relationships/hyperlink" Target="http://www.sec.gov/Archives/edgar/data/34903/000092838502002234/d8a12ba.txt" TargetMode="External"/><Relationship Id="rId29" Type="http://schemas.openxmlformats.org/officeDocument/2006/relationships/hyperlink" Target="http://www.sec.gov/Archives/edgar/data/34903/000119312509131764/dex31.htm" TargetMode="External"/><Relationship Id="rId30" Type="http://schemas.openxmlformats.org/officeDocument/2006/relationships/hyperlink" Target="http://www.sec.gov/Archives/edgar/data/34903/000003490320000021/frt-03312020xex32.htm" TargetMode="External"/><Relationship Id="rId31" Type="http://schemas.openxmlformats.org/officeDocument/2006/relationships/hyperlink" Target="http://www.sec.gov/Archives/edgar/data/34903/000095010900001048/0000950109-00-001048.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2020-06-22T15:12:58Z</dcterms:created>
  <dcterms:modified xsi:type="dcterms:W3CDTF">2020-06-22T15:12:58Z</dcterms:modified>
</cp:coreProperties>
</file>