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5" w:lineRule="exact"/>
        <w:rPr>
          <w:sz w:val="24"/>
          <w:szCs w:val="24"/>
          <w:color w:val="auto"/>
        </w:rPr>
      </w:pPr>
    </w:p>
    <w:p>
      <w:pPr>
        <w:ind w:left="4140" w:right="146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THE SECTION 13 OR 15(D) OF THE SECURITIES EXCHANGE ACT OF 1934 </w:t>
      </w:r>
      <w:r>
        <w:rPr>
          <w:rFonts w:ascii="Arial" w:cs="Arial" w:eastAsia="Arial" w:hAnsi="Arial"/>
          <w:sz w:val="18"/>
          <w:szCs w:val="18"/>
          <w:color w:val="auto"/>
        </w:rPr>
        <w:t>For the quarterly period ended June 30, 2007</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3898900</wp:posOffset>
            </wp:positionH>
            <wp:positionV relativeFrom="paragraph">
              <wp:posOffset>-13970</wp:posOffset>
            </wp:positionV>
            <wp:extent cx="811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1"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298"/>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right="2380" w:firstLine="2523"/>
        <w:spacing w:after="0" w:line="33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July 30, 2007 was 56,394,014.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0"/>
          </w:tcPr>
          <w:p>
            <w:pPr>
              <w:jc w:val="center"/>
              <w:ind w:right="2260"/>
              <w:spacing w:after="0"/>
              <w:rPr>
                <w:sz w:val="20"/>
                <w:szCs w:val="20"/>
                <w:color w:val="auto"/>
              </w:rPr>
            </w:pPr>
            <w:r>
              <w:rPr>
                <w:rFonts w:ascii="Arial" w:cs="Arial" w:eastAsia="Arial" w:hAnsi="Arial"/>
                <w:sz w:val="18"/>
                <w:szCs w:val="18"/>
                <w:b w:val="1"/>
                <w:bCs w:val="1"/>
                <w:color w:val="auto"/>
                <w:w w:val="99"/>
              </w:rPr>
              <w:t>FEDERAL REALTY INVESTMENT TRUST</w:t>
            </w:r>
          </w:p>
        </w:tc>
        <w:tc>
          <w:tcPr>
            <w:tcW w:w="1700" w:type="dxa"/>
            <w:vAlign w:val="bottom"/>
          </w:tcPr>
          <w:p>
            <w:pPr>
              <w:spacing w:after="0"/>
              <w:rPr>
                <w:sz w:val="19"/>
                <w:szCs w:val="19"/>
                <w:color w:val="auto"/>
              </w:rPr>
            </w:pPr>
          </w:p>
        </w:tc>
      </w:tr>
      <w:tr>
        <w:trPr>
          <w:trHeight w:val="366"/>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60" w:type="dxa"/>
            <w:vAlign w:val="bottom"/>
            <w:gridSpan w:val="10"/>
          </w:tcPr>
          <w:p>
            <w:pPr>
              <w:jc w:val="center"/>
              <w:ind w:right="2260"/>
              <w:spacing w:after="0"/>
              <w:rPr>
                <w:sz w:val="20"/>
                <w:szCs w:val="20"/>
                <w:color w:val="auto"/>
              </w:rPr>
            </w:pPr>
            <w:r>
              <w:rPr>
                <w:rFonts w:ascii="Arial" w:cs="Arial" w:eastAsia="Arial" w:hAnsi="Arial"/>
                <w:sz w:val="18"/>
                <w:szCs w:val="18"/>
                <w:b w:val="1"/>
                <w:bCs w:val="1"/>
                <w:color w:val="auto"/>
                <w:w w:val="97"/>
              </w:rPr>
              <w:t>QUARTERLY REPORT ON FORM 10-Q</w:t>
            </w:r>
          </w:p>
        </w:tc>
        <w:tc>
          <w:tcPr>
            <w:tcW w:w="1700" w:type="dxa"/>
            <w:vAlign w:val="bottom"/>
          </w:tcPr>
          <w:p>
            <w:pPr>
              <w:spacing w:after="0"/>
              <w:rPr>
                <w:sz w:val="24"/>
                <w:szCs w:val="24"/>
                <w:color w:val="auto"/>
              </w:rPr>
            </w:pPr>
          </w:p>
        </w:tc>
      </w:t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0"/>
          </w:tcPr>
          <w:p>
            <w:pPr>
              <w:jc w:val="center"/>
              <w:ind w:right="2260"/>
              <w:spacing w:after="0"/>
              <w:rPr>
                <w:sz w:val="20"/>
                <w:szCs w:val="20"/>
                <w:color w:val="auto"/>
              </w:rPr>
            </w:pPr>
            <w:r>
              <w:rPr>
                <w:rFonts w:ascii="Arial" w:cs="Arial" w:eastAsia="Arial" w:hAnsi="Arial"/>
                <w:sz w:val="18"/>
                <w:szCs w:val="18"/>
                <w:b w:val="1"/>
                <w:bCs w:val="1"/>
                <w:color w:val="auto"/>
                <w:w w:val="94"/>
              </w:rPr>
              <w:t>QUARTER ENDED JUNE 30, 2007</w:t>
            </w:r>
          </w:p>
        </w:tc>
        <w:tc>
          <w:tcPr>
            <w:tcW w:w="1700" w:type="dxa"/>
            <w:vAlign w:val="bottom"/>
          </w:tcPr>
          <w:p>
            <w:pPr>
              <w:spacing w:after="0"/>
              <w:rPr>
                <w:sz w:val="19"/>
                <w:szCs w:val="19"/>
                <w:color w:val="auto"/>
              </w:rPr>
            </w:pPr>
          </w:p>
        </w:tc>
      </w:tr>
      <w:tr>
        <w:trPr>
          <w:trHeight w:val="378"/>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60" w:type="dxa"/>
            <w:vAlign w:val="bottom"/>
            <w:gridSpan w:val="9"/>
          </w:tcPr>
          <w:p>
            <w:pPr>
              <w:jc w:val="center"/>
              <w:ind w:right="2840"/>
              <w:spacing w:after="0"/>
              <w:rPr>
                <w:sz w:val="20"/>
                <w:szCs w:val="20"/>
                <w:color w:val="auto"/>
              </w:rPr>
            </w:pPr>
            <w:r>
              <w:rPr>
                <w:rFonts w:ascii="Arial" w:cs="Arial" w:eastAsia="Arial" w:hAnsi="Arial"/>
                <w:sz w:val="18"/>
                <w:szCs w:val="18"/>
                <w:b w:val="1"/>
                <w:bCs w:val="1"/>
                <w:color w:val="auto"/>
                <w:w w:val="96"/>
              </w:rPr>
              <w:t>TABLE OF CONTENTS</w:t>
            </w:r>
          </w:p>
        </w:tc>
        <w:tc>
          <w:tcPr>
            <w:tcW w:w="1700" w:type="dxa"/>
            <w:vAlign w:val="bottom"/>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8840" w:type="dxa"/>
            <w:vAlign w:val="bottom"/>
            <w:gridSpan w:val="19"/>
          </w:tcPr>
          <w:p>
            <w:pPr>
              <w:spacing w:after="0"/>
              <w:rPr>
                <w:sz w:val="20"/>
                <w:szCs w:val="20"/>
                <w:color w:val="auto"/>
              </w:rPr>
            </w:pPr>
            <w:r>
              <w:rPr>
                <w:rFonts w:ascii="Arial" w:cs="Arial" w:eastAsia="Arial" w:hAnsi="Arial"/>
                <w:sz w:val="18"/>
                <w:szCs w:val="18"/>
                <w:color w:val="auto"/>
              </w:rPr>
              <w:t>FINANCIAL INFORMATION</w:t>
            </w:r>
          </w:p>
        </w:tc>
        <w:tc>
          <w:tcPr>
            <w:tcW w:w="1700" w:type="dxa"/>
            <w:vAlign w:val="bottom"/>
          </w:tcPr>
          <w:p>
            <w:pPr>
              <w:spacing w:after="0"/>
              <w:rPr>
                <w:sz w:val="24"/>
                <w:szCs w:val="24"/>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360" w:type="dxa"/>
            <w:vAlign w:val="bottom"/>
            <w:gridSpan w:val="13"/>
          </w:tcPr>
          <w:p>
            <w:pPr>
              <w:spacing w:after="0"/>
              <w:rPr>
                <w:sz w:val="15"/>
                <w:szCs w:val="15"/>
                <w:color w:val="auto"/>
              </w:rPr>
            </w:pPr>
          </w:p>
        </w:tc>
        <w:tc>
          <w:tcPr>
            <w:tcW w:w="170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196"/>
        </w:trPr>
        <w:tc>
          <w:tcPr>
            <w:tcW w:w="880" w:type="dxa"/>
            <w:vAlign w:val="bottom"/>
          </w:tcPr>
          <w:p>
            <w:pPr>
              <w:spacing w:after="0"/>
              <w:rPr>
                <w:sz w:val="17"/>
                <w:szCs w:val="17"/>
                <w:color w:val="auto"/>
              </w:rPr>
            </w:pPr>
          </w:p>
        </w:tc>
        <w:tc>
          <w:tcPr>
            <w:tcW w:w="88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June 30, 2007 (unaudited) and December 31, 2006</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6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six months ended June 30, 2007 and 2006</w:t>
              </w:r>
            </w:hyperlink>
          </w:p>
        </w:tc>
        <w:tc>
          <w:tcPr>
            <w:tcW w:w="2240" w:type="dxa"/>
            <w:vAlign w:val="bottom"/>
            <w:gridSpan w:val="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88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three months ended June 30, 2007 and 2006</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Shareholders’ Equity (unaudited) six months ended June 30, 2007 and 2006</w:t>
              </w:r>
            </w:hyperlink>
          </w:p>
        </w:tc>
        <w:tc>
          <w:tcPr>
            <w:tcW w:w="152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80" w:type="dxa"/>
            <w:vAlign w:val="bottom"/>
          </w:tcPr>
          <w:p>
            <w:pPr>
              <w:spacing w:after="0"/>
              <w:rPr>
                <w:sz w:val="17"/>
                <w:szCs w:val="17"/>
                <w:color w:val="auto"/>
              </w:rPr>
            </w:pPr>
          </w:p>
        </w:tc>
        <w:tc>
          <w:tcPr>
            <w:tcW w:w="884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six months ended June 30, 2007 and 2006</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8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w:t>
              </w:r>
            </w:hyperlink>
          </w:p>
        </w:tc>
        <w:tc>
          <w:tcPr>
            <w:tcW w:w="3560" w:type="dxa"/>
            <w:vAlign w:val="bottom"/>
            <w:tcBorders>
              <w:top w:val="single" w:sz="8" w:color="0000EE"/>
            </w:tcBorders>
            <w:gridSpan w:val="7"/>
          </w:tcPr>
          <w:p>
            <w:pPr>
              <w:spacing w:after="0"/>
              <w:rPr>
                <w:sz w:val="17"/>
                <w:szCs w:val="17"/>
                <w:color w:val="auto"/>
              </w:rPr>
            </w:pPr>
          </w:p>
        </w:tc>
        <w:tc>
          <w:tcPr>
            <w:tcW w:w="2200" w:type="dxa"/>
            <w:vAlign w:val="bottom"/>
            <w:gridSpan w:val="3"/>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540" w:type="dxa"/>
            <w:vAlign w:val="bottom"/>
            <w:gridSpan w:val="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4"/>
          </w:tcPr>
          <w:p>
            <w:pPr>
              <w:spacing w:after="0"/>
              <w:rPr>
                <w:sz w:val="17"/>
                <w:szCs w:val="17"/>
                <w:color w:val="auto"/>
              </w:rPr>
            </w:pPr>
          </w:p>
        </w:tc>
        <w:tc>
          <w:tcPr>
            <w:tcW w:w="4640" w:type="dxa"/>
            <w:vAlign w:val="bottom"/>
            <w:gridSpan w:val="8"/>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8840" w:type="dxa"/>
            <w:vAlign w:val="bottom"/>
            <w:gridSpan w:val="19"/>
          </w:tcPr>
          <w:p>
            <w:pPr>
              <w:spacing w:after="0"/>
              <w:rPr>
                <w:sz w:val="20"/>
                <w:szCs w:val="20"/>
                <w:color w:val="auto"/>
              </w:rPr>
            </w:pPr>
            <w:r>
              <w:rPr>
                <w:rFonts w:ascii="Arial" w:cs="Arial" w:eastAsia="Arial" w:hAnsi="Arial"/>
                <w:sz w:val="18"/>
                <w:szCs w:val="18"/>
                <w:color w:val="auto"/>
              </w:rPr>
              <w:t>OTHER INFORMATION</w:t>
            </w:r>
          </w:p>
        </w:tc>
        <w:tc>
          <w:tcPr>
            <w:tcW w:w="1700" w:type="dxa"/>
            <w:vAlign w:val="bottom"/>
          </w:tcPr>
          <w:p>
            <w:pPr>
              <w:spacing w:after="0"/>
              <w:rPr>
                <w:sz w:val="19"/>
                <w:szCs w:val="19"/>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8840" w:type="dxa"/>
            <w:vAlign w:val="bottom"/>
            <w:gridSpan w:val="19"/>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700" w:type="dxa"/>
            <w:vAlign w:val="bottom"/>
          </w:tcPr>
          <w:p>
            <w:pPr>
              <w:jc w:val="right"/>
              <w:spacing w:after="0" w:line="184" w:lineRule="exact"/>
              <w:rPr>
                <w:sz w:val="20"/>
                <w:szCs w:val="20"/>
                <w:color w:val="auto"/>
              </w:rPr>
            </w:pPr>
            <w:r>
              <w:rPr>
                <w:rFonts w:ascii="Arial" w:cs="Arial" w:eastAsia="Arial" w:hAnsi="Arial"/>
                <w:sz w:val="18"/>
                <w:szCs w:val="18"/>
                <w:color w:val="auto"/>
              </w:rPr>
              <w:t>37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540" w:type="dxa"/>
            <w:vAlign w:val="bottom"/>
            <w:gridSpan w:val="14"/>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84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4600" w:type="dxa"/>
            <w:vAlign w:val="bottom"/>
            <w:gridSpan w:val="7"/>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Submission of Matters to a Vote of Security Holders</w:t>
              </w:r>
            </w:hyperlink>
          </w:p>
        </w:tc>
        <w:tc>
          <w:tcPr>
            <w:tcW w:w="5160" w:type="dxa"/>
            <w:vAlign w:val="bottom"/>
            <w:gridSpan w:val="9"/>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84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7560" w:type="dxa"/>
            <w:vAlign w:val="bottom"/>
            <w:gridSpan w:val="15"/>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72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83"/>
        </w:trPr>
        <w:tc>
          <w:tcPr>
            <w:tcW w:w="8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40" w:type="dxa"/>
            <w:vAlign w:val="bottom"/>
            <w:gridSpan w:val="12"/>
          </w:tcPr>
          <w:p>
            <w:pPr>
              <w:jc w:val="center"/>
              <w:ind w:left="3752"/>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balance sheet as of December 31, 2006,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six and three months ended June 30, 2007 are not necessarily indicative of the results that may be expected for the full year.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81"/>
              </w:rPr>
              <w:t>(In thousands,</w:t>
            </w:r>
          </w:p>
        </w:tc>
        <w:tc>
          <w:tcPr>
            <w:tcW w:w="1340" w:type="dxa"/>
            <w:vAlign w:val="bottom"/>
            <w:gridSpan w:val="3"/>
          </w:tcPr>
          <w:p>
            <w:pPr>
              <w:jc w:val="right"/>
              <w:ind w:right="73"/>
              <w:spacing w:after="0" w:line="130" w:lineRule="exact"/>
              <w:rPr>
                <w:sz w:val="20"/>
                <w:szCs w:val="20"/>
                <w:color w:val="auto"/>
              </w:rPr>
            </w:pPr>
            <w:r>
              <w:rPr>
                <w:rFonts w:ascii="Arial" w:cs="Arial" w:eastAsia="Arial" w:hAnsi="Arial"/>
                <w:sz w:val="14"/>
                <w:szCs w:val="14"/>
                <w:b w:val="1"/>
                <w:bCs w:val="1"/>
                <w:color w:val="auto"/>
                <w:w w:val="94"/>
              </w:rPr>
              <w:t>except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3,316,513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3,025,210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109,215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held for sale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3,441,715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3,204,258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(785,291)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2,656,424</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2,463,751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52,753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30,191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$8,350 and $7,474, respectively</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7,895</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2,901,155</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377,189</w:t>
            </w:r>
          </w:p>
        </w:tc>
        <w:tc>
          <w:tcPr>
            <w:tcW w:w="4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Notes payable, including revolving credit facility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1,127,548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91,646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49,109</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1,998,168</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1,882,337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Preferred stock, authorized 15,000,000 shares, $.01 par:</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w w:val="94"/>
              </w:rPr>
              <w:t>5.417% Series 1 Cumulative Convertible Preferred Shares, (stated at liquidation preference $25 per share),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399,896 and 0 shares, respectively, issued and outstanding</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57,873,340 and 56,805,816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issued, respectively</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1,366,480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1,281,217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(482,492)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Treasury shares at cost, 1,486,803 and 1,485,279 shares, respectively</w:t>
            </w:r>
          </w:p>
        </w:tc>
        <w:tc>
          <w:tcPr>
            <w:tcW w:w="8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(28,807)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864,954</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2,901,155</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73"/>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237,096</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244,348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49,498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23,335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11,640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107,403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(59,044)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49,686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49,854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49,854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49,683</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0.89</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0.83</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0.88</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3"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73"/>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119,920</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123,604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24,370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6,036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54,681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(29,728)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26,718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26,718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26,583</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0.47</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4"/>
              </w:rPr>
              <w:t>For the Six Months Ended June 30, 2007</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Notes Receivable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Preferred Stock</w:t>
            </w:r>
          </w:p>
        </w:tc>
        <w:tc>
          <w:tcPr>
            <w:tcW w:w="80" w:type="dxa"/>
            <w:vAlign w:val="bottom"/>
          </w:tcPr>
          <w:p>
            <w:pPr>
              <w:spacing w:after="0"/>
              <w:rPr>
                <w:sz w:val="14"/>
                <w:szCs w:val="14"/>
                <w:color w:val="auto"/>
              </w:rPr>
            </w:pPr>
          </w:p>
        </w:tc>
        <w:tc>
          <w:tcPr>
            <w:tcW w:w="13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Dividends</w:t>
            </w: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Treasury Shares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from</w:t>
            </w: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1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320"/>
              <w:spacing w:after="0" w:line="116"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2"/>
          </w:tcPr>
          <w:p>
            <w:pPr>
              <w:jc w:val="center"/>
              <w:ind w:right="140"/>
              <w:spacing w:after="0" w:line="116" w:lineRule="exact"/>
              <w:rPr>
                <w:sz w:val="20"/>
                <w:szCs w:val="20"/>
                <w:color w:val="auto"/>
              </w:rPr>
            </w:pPr>
            <w:r>
              <w:rPr>
                <w:rFonts w:ascii="Arial" w:cs="Arial" w:eastAsia="Arial" w:hAnsi="Arial"/>
                <w:sz w:val="12"/>
                <w:szCs w:val="12"/>
                <w:b w:val="1"/>
                <w:bCs w:val="1"/>
                <w:color w:val="auto"/>
                <w:w w:val="99"/>
              </w:rPr>
              <w:t>In Excess of</w:t>
            </w: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6"/>
              </w:rPr>
              <w:t>Issuance of</w:t>
            </w:r>
          </w:p>
        </w:tc>
        <w:tc>
          <w:tcPr>
            <w:tcW w:w="88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Shareholders’</w:t>
            </w: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Income</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56,805,816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568</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$1,281,217</w:t>
            </w:r>
          </w:p>
        </w:tc>
        <w:tc>
          <w:tcPr>
            <w:tcW w:w="1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 (467,369) (1,485,279)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 (28,807)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784,078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49,854</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49,854</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(64,806)</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(64,806)</w:t>
            </w: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Dividends declared to preferred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1"/>
              </w:rPr>
              <w:t>Shares issued under dividend reinvestment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plan</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1,430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Conversions and cash redemptions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7"/>
              </w:rPr>
              <w:t>downREIT operating partnership units</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(275)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(275)</w:t>
            </w:r>
          </w:p>
        </w:tc>
      </w:tr>
      <w:tr>
        <w:trPr>
          <w:trHeight w:val="21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77,943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Preferred shares issued</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399,896</w:t>
            </w: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9,997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forfeited</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91"/>
              </w:rPr>
              <w:t>(1,524)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Loans paid</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79"/>
              </w:rPr>
              <w:t>728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2007</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399,896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9,997 57,873,340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579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1,366,480</w:t>
            </w:r>
          </w:p>
        </w:tc>
        <w:tc>
          <w:tcPr>
            <w:tcW w:w="27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1"/>
              </w:rPr>
              <w:t xml:space="preserve">$ (482,492) (1,486,803)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(28,807) $</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864,954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353"/>
              <w:spacing w:after="0" w:line="142" w:lineRule="exact"/>
              <w:rPr>
                <w:sz w:val="20"/>
                <w:szCs w:val="20"/>
                <w:color w:val="auto"/>
              </w:rPr>
            </w:pPr>
            <w:r>
              <w:rPr>
                <w:rFonts w:ascii="Arial" w:cs="Arial" w:eastAsia="Arial" w:hAnsi="Arial"/>
                <w:sz w:val="14"/>
                <w:szCs w:val="14"/>
                <w:b w:val="1"/>
                <w:bCs w:val="1"/>
                <w:color w:val="auto"/>
                <w:w w:val="79"/>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49,854</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$ 69,287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53,385</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(647)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(1,853)</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Decrease in accounts receivable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Increase (decrease) in accounts payable, security deposits and prepaid rent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(2,967)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110,231</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(49,498)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(63,009)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(7,106)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51,857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(20,414)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from real estate partnership in excess of earnings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Leasing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(5,238)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(issuance) of mortgage and other notes receivable,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(92,747)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borrowings under revolving credit facility, net of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49,000</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debentures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(3,656)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(64,229)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minority interests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(3,108)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89"/>
              </w:rPr>
              <w:t>(17,261)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11,495</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4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have elected to treat certain of our subsidiaries as taxable REIT subsidiaries, each of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went from August 2005 through August 2006, and the sales of Bath Shopping Center, Key Road Plaza and Riverside Plaza in 2007 were conducted through a TRS. Other than these sales, our TRS activities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 Certain amounts in the 2006 consolidated financial statements have been reclassified to conform to current period presentation.</w:t>
      </w:r>
    </w:p>
    <w:p>
      <w:pPr>
        <w:spacing w:after="0" w:line="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June 2006, we sold Greenlawn Plaza to our unconsolidated real estate partnership resulting in a gain of $7.4 million. In our 2006 Form 10-K, the operations of the property prior to June 2006 and the gain on sale of real estate were included in discontinued operations. However, due to our continuing involvement in the property, Greenlawn Plaza does not qualify for discontinued operations classification under SFAS No.144, “Accounting for the Impairment or Disposal of Long-Lived Assets”. Accordingly, we have reclassified the results of operations through the date of sale to continuing operations and reclassified the gain on sale from “gain on sale of real estate from discontinued operations” to “gain on sale of real estate”. This reclassification does not impact net income.</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June 30, 2007 and December 31, 2006, accounts receivable include approximately $29.4 million and $24.8 million, respectively, related to straight-line rents. At June 30, 2007 and December 31, 2006, our allowance for doubtful accounts was $6.8 million and $6.2 million, respectively.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76"/>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Total interest costs incurred</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63,130</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50,357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(4,086)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(1,323)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880"/>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59,044</w:t>
            </w:r>
          </w:p>
        </w:tc>
        <w:tc>
          <w:tcPr>
            <w:tcW w:w="24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49,034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49,161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Cash paid for income taxes</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3,030(1)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Mortgage loans assumed with acquisition</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79,987</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shares issued with acquisition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1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paid for income taxes for the six months ended June 30, 2006 includes $2.8 million related to the sales of condominiums at Santana Row which were conducted through a TRS.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 or cash flows. We recognize penalties and interest accrued related to unrecognized tax benefits as income tax expense. With few exceptions, we are no longer subject to U.S. federal, state, and local tax examinations by tax authorities for years before 2003. As of June 30, 2007, we had no material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 157 effective January 1, 2008. We do not believe the adoption of SFAS No. 157 will have a material impact on our financial position, results of operations or cash flows.</w:t>
      </w:r>
    </w:p>
    <w:p>
      <w:pPr>
        <w:spacing w:after="0" w:line="13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expect SFAS No. 159 to have a material impact on our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six months ended June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3460" w:type="dxa"/>
            <w:vAlign w:val="bottom"/>
          </w:tcPr>
          <w:p>
            <w:pPr>
              <w:ind w:left="146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2960" w:type="dxa"/>
            <w:vAlign w:val="bottom"/>
          </w:tcPr>
          <w:p>
            <w:pPr>
              <w:ind w:left="1180"/>
              <w:spacing w:after="0"/>
              <w:rPr>
                <w:sz w:val="20"/>
                <w:szCs w:val="20"/>
                <w:color w:val="auto"/>
              </w:rPr>
            </w:pPr>
            <w:r>
              <w:rPr>
                <w:rFonts w:ascii="Arial" w:cs="Arial" w:eastAsia="Arial" w:hAnsi="Arial"/>
                <w:sz w:val="14"/>
                <w:szCs w:val="14"/>
                <w:b w:val="1"/>
                <w:bCs w:val="1"/>
                <w:color w:val="auto"/>
              </w:rPr>
              <w:t>City, State</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3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36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February 28, 2007</w:t>
            </w:r>
          </w:p>
        </w:tc>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Crow Canyon Crest</w:t>
            </w: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Ramon, CA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March 8, 2007</w:t>
            </w:r>
          </w:p>
        </w:tc>
        <w:tc>
          <w:tcPr>
            <w:tcW w:w="3820" w:type="dxa"/>
            <w:vAlign w:val="bottom"/>
            <w:gridSpan w:val="2"/>
          </w:tcPr>
          <w:p>
            <w:pPr>
              <w:ind w:left="360"/>
              <w:spacing w:after="0"/>
              <w:rPr>
                <w:sz w:val="20"/>
                <w:szCs w:val="20"/>
                <w:color w:val="auto"/>
              </w:rPr>
            </w:pPr>
            <w:r>
              <w:rPr>
                <w:rFonts w:ascii="Arial" w:cs="Arial" w:eastAsia="Arial" w:hAnsi="Arial"/>
                <w:sz w:val="18"/>
                <w:szCs w:val="18"/>
                <w:color w:val="auto"/>
              </w:rPr>
              <w:t>The White Marsh Portfolio: (2)</w:t>
            </w: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White Marsh, MD</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189.4(3)(4)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3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White Marsh Plaza</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Shoppes at Nottingham Square</w:t>
            </w:r>
          </w:p>
        </w:tc>
        <w:tc>
          <w:tcPr>
            <w:tcW w:w="3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White Marsh Other</w:t>
            </w:r>
          </w:p>
        </w:tc>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2007</w:t>
            </w:r>
          </w:p>
        </w:tc>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Shoppers’ World</w:t>
            </w: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Charlottesville, VA</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$0.4 million and $1.8 million of the net assets acquired were allocated to other assets for “above market leases” and liabilities for “below market leases,” respectively.</w:t>
      </w:r>
    </w:p>
    <w:p>
      <w:pPr>
        <w:spacing w:after="0" w:line="50" w:lineRule="exact"/>
        <w:rPr>
          <w:rFonts w:ascii="Arial" w:cs="Arial" w:eastAsia="Arial" w:hAnsi="Arial"/>
          <w:sz w:val="18"/>
          <w:szCs w:val="18"/>
          <w:color w:val="auto"/>
        </w:rPr>
      </w:pPr>
    </w:p>
    <w:p>
      <w:pPr>
        <w:ind w:left="460" w:right="8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25"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$8.5 million and $7.0 million of the net assets acquired were allocated to other assets for “above market leases” and liabilities for “below market leases,”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preliminary allocation of the purchase price has been made and will be finalized after various valuation studies are complete.</w:t>
      </w:r>
    </w:p>
    <w:p>
      <w:pPr>
        <w:spacing w:after="0" w:line="90" w:lineRule="exact"/>
        <w:rPr>
          <w:rFonts w:ascii="Arial" w:cs="Arial" w:eastAsia="Arial" w:hAnsi="Arial"/>
          <w:sz w:val="18"/>
          <w:szCs w:val="18"/>
          <w:color w:val="auto"/>
        </w:rPr>
      </w:pPr>
    </w:p>
    <w:p>
      <w:pPr>
        <w:ind w:left="460" w:right="36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30, 2007, we entered into a Section 1031 like-kind exchange agreement with a third party intermediary related to the acquisition of Shoppers’ World. The exchange agreement is for a maximum of 180 days and allows us to defer gains on sale of other properties sold within this period. We have identified the properties we intend to sell during this period to complete the Section 1031 exchange. Until the earlier of termination of this exchange agreement or November 26, 2007, the third party intermediary is the legal owner of the property, although we control the property and retain all of the economic benefits and risks associated with the property. This property is held in a variable interest entity for which we are the primary beneficiary. Accordingly, as of June 30, 2007, we consolidate the property and its operations.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provides a summary of significant dispositions made by us and our consolidated affiliates during the six months ended June 30, 2007. All three properties were acquired in August 2006 by a TRS as part of a larger portfolio. The properties are classified as held for sale and their operations are included in discontinued operations for all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620" w:type="dxa"/>
            <w:vAlign w:val="bottom"/>
          </w:tcPr>
          <w:p>
            <w:pPr>
              <w:spacing w:after="0"/>
              <w:rPr>
                <w:sz w:val="14"/>
                <w:szCs w:val="14"/>
                <w:color w:val="auto"/>
              </w:rPr>
            </w:pPr>
          </w:p>
        </w:tc>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City, State</w:t>
            </w:r>
          </w:p>
        </w:tc>
        <w:tc>
          <w:tcPr>
            <w:tcW w:w="640" w:type="dxa"/>
            <w:vAlign w:val="bottom"/>
          </w:tcPr>
          <w:p>
            <w:pPr>
              <w:spacing w:after="0"/>
              <w:rPr>
                <w:sz w:val="14"/>
                <w:szCs w:val="14"/>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1260" w:type="dxa"/>
            <w:vAlign w:val="bottom"/>
            <w:gridSpan w:val="3"/>
          </w:tcPr>
          <w:p>
            <w:pPr>
              <w:jc w:val="right"/>
              <w:ind w:right="552"/>
              <w:spacing w:after="0" w:line="148" w:lineRule="exact"/>
              <w:rPr>
                <w:sz w:val="20"/>
                <w:szCs w:val="20"/>
                <w:color w:val="auto"/>
              </w:rPr>
            </w:pPr>
            <w:r>
              <w:rPr>
                <w:rFonts w:ascii="Arial" w:cs="Arial" w:eastAsia="Arial" w:hAnsi="Arial"/>
                <w:sz w:val="14"/>
                <w:szCs w:val="14"/>
                <w:b w:val="1"/>
                <w:bCs w:val="1"/>
                <w:color w:val="auto"/>
                <w:w w:val="82"/>
              </w:rPr>
              <w:t>Sales Price</w:t>
            </w:r>
          </w:p>
        </w:tc>
        <w:tc>
          <w:tcPr>
            <w:tcW w:w="5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Gain</w:t>
            </w:r>
          </w:p>
        </w:tc>
        <w:tc>
          <w:tcPr>
            <w:tcW w:w="0" w:type="dxa"/>
            <w:vAlign w:val="bottom"/>
          </w:tcPr>
          <w:p>
            <w:pPr>
              <w:spacing w:after="0"/>
              <w:rPr>
                <w:sz w:val="1"/>
                <w:szCs w:val="1"/>
                <w:color w:val="auto"/>
              </w:rPr>
            </w:pPr>
          </w:p>
        </w:tc>
      </w:tr>
      <w:tr>
        <w:trPr>
          <w:trHeight w:val="149"/>
        </w:trPr>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rPr>
              <w:t>millions)</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5, 2007</w:t>
            </w: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Bath Shopping Center</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Bath, ME</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101,000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$0.6(1)</w:t>
            </w:r>
          </w:p>
        </w:tc>
        <w:tc>
          <w:tcPr>
            <w:tcW w:w="0" w:type="dxa"/>
            <w:vAlign w:val="bottom"/>
          </w:tcPr>
          <w:p>
            <w:pPr>
              <w:spacing w:after="0"/>
              <w:rPr>
                <w:sz w:val="1"/>
                <w:szCs w:val="1"/>
                <w:color w:val="auto"/>
              </w:rPr>
            </w:pP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June 20, 2007</w:t>
            </w:r>
          </w:p>
        </w:tc>
        <w:tc>
          <w:tcPr>
            <w:tcW w:w="6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Key Road Plaza</w:t>
            </w:r>
          </w:p>
        </w:tc>
        <w:tc>
          <w:tcPr>
            <w:tcW w:w="6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Keene, NH</w:t>
            </w:r>
          </w:p>
        </w:tc>
        <w:tc>
          <w:tcPr>
            <w:tcW w:w="2140" w:type="dxa"/>
            <w:vAlign w:val="bottom"/>
            <w:gridSpan w:val="3"/>
          </w:tcPr>
          <w:p>
            <w:pPr>
              <w:jc w:val="right"/>
              <w:ind w:right="620"/>
              <w:spacing w:after="0"/>
              <w:rPr>
                <w:sz w:val="20"/>
                <w:szCs w:val="20"/>
                <w:color w:val="auto"/>
              </w:rPr>
            </w:pPr>
            <w:r>
              <w:rPr>
                <w:rFonts w:ascii="Arial" w:cs="Arial" w:eastAsia="Arial" w:hAnsi="Arial"/>
                <w:sz w:val="18"/>
                <w:szCs w:val="18"/>
                <w:color w:val="auto"/>
              </w:rPr>
              <w:t>76,000</w:t>
            </w: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15.3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 2007</w:t>
            </w: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Riverside Plaza</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Keene, NH</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395,000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63.0</w:t>
            </w:r>
          </w:p>
        </w:tc>
        <w:tc>
          <w:tcPr>
            <w:tcW w:w="3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4800" w:type="dxa"/>
            <w:vAlign w:val="bottom"/>
            <w:gridSpan w:val="4"/>
          </w:tcPr>
          <w:p>
            <w:pPr>
              <w:ind w:left="100"/>
              <w:spacing w:after="0"/>
              <w:rPr>
                <w:sz w:val="20"/>
                <w:szCs w:val="20"/>
                <w:color w:val="auto"/>
              </w:rPr>
            </w:pPr>
            <w:r>
              <w:rPr>
                <w:rFonts w:ascii="Arial" w:cs="Arial" w:eastAsia="Arial" w:hAnsi="Arial"/>
                <w:sz w:val="18"/>
                <w:szCs w:val="18"/>
                <w:color w:val="auto"/>
              </w:rPr>
              <w:t>Gain of $0.6 million is net of $0.3 million in taxes.</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4800" w:type="dxa"/>
            <w:vAlign w:val="bottom"/>
            <w:gridSpan w:val="4"/>
          </w:tcPr>
          <w:p>
            <w:pPr>
              <w:ind w:left="100"/>
              <w:spacing w:after="0"/>
              <w:rPr>
                <w:sz w:val="20"/>
                <w:szCs w:val="20"/>
                <w:color w:val="auto"/>
              </w:rPr>
            </w:pPr>
            <w:r>
              <w:rPr>
                <w:rFonts w:ascii="Arial" w:cs="Arial" w:eastAsia="Arial" w:hAnsi="Arial"/>
                <w:sz w:val="18"/>
                <w:szCs w:val="18"/>
                <w:color w:val="auto"/>
              </w:rPr>
              <w:t>Gain of $0.4 million is net of $0.1 million in taxes.</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4800" w:type="dxa"/>
            <w:vAlign w:val="bottom"/>
            <w:gridSpan w:val="4"/>
          </w:tcPr>
          <w:p>
            <w:pPr>
              <w:ind w:left="100"/>
              <w:spacing w:after="0"/>
              <w:rPr>
                <w:sz w:val="20"/>
                <w:szCs w:val="20"/>
                <w:color w:val="auto"/>
              </w:rPr>
            </w:pPr>
            <w:r>
              <w:rPr>
                <w:rFonts w:ascii="Arial" w:cs="Arial" w:eastAsia="Arial" w:hAnsi="Arial"/>
                <w:sz w:val="18"/>
                <w:szCs w:val="18"/>
                <w:color w:val="auto"/>
              </w:rPr>
              <w:t>Gain of $0.5 million is net of $0.1 million in taxes.</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20" w:type="dxa"/>
            <w:vAlign w:val="bottom"/>
            <w:gridSpan w:val="2"/>
          </w:tcPr>
          <w:p>
            <w:pPr>
              <w:jc w:val="right"/>
              <w:ind w:right="1597"/>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Two properties located in the East region are currently under contract for sale and closing is projected to occur in 2007. The properties are classified as held for sale and their operations are included in discontinued operations for all periods presented. The revenues from all properties included in discontinued operations were $3.7 million and $1.1 million for the six months ended June 30, 2007 and 2006, respectively, and $1.4 million and $0.5 million for the three months ended June 30, 2007 and 2006,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and Clarion both hold a 0.1% general partner interest in the Partnership, and our remaining interests in the Partnership are held in the form of limited partner interests. We are the manager of the Partnership and its properties, earning fees for acquisitions, dispositions, management, leasing, and financing. We also have the opportunity to receive performance based earnings through our partnership interest. We account for our interest in the Partnership using the equity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4"/>
          </w:tcPr>
          <w:p>
            <w:pPr>
              <w:jc w:val="right"/>
              <w:ind w:right="77"/>
              <w:spacing w:after="0" w:line="142" w:lineRule="exact"/>
              <w:rPr>
                <w:sz w:val="20"/>
                <w:szCs w:val="20"/>
                <w:color w:val="auto"/>
              </w:rPr>
            </w:pPr>
            <w:r>
              <w:rPr>
                <w:rFonts w:ascii="Arial" w:cs="Arial" w:eastAsia="Arial" w:hAnsi="Arial"/>
                <w:sz w:val="14"/>
                <w:szCs w:val="14"/>
                <w:b w:val="1"/>
                <w:bCs w:val="1"/>
                <w:color w:val="auto"/>
                <w:w w:val="79"/>
              </w:rPr>
              <w:t>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Revenue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7,968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4,350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4,437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1,105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1,149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1,357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3,611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gridSpan w:val="2"/>
            <w:vMerge w:val="continue"/>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739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1,102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3"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3"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Real estate, net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193,817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6,055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203,116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81,610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77,425</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9,378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Partners’ capital</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112,128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203,116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24,483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30,191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mortgages payable totaling $36.7 million that are secured by three properties owned by subsidiaries of the Partnership, we are the guarantor for the obligations of the joint venture which are commonly referred to as “non-recourse carve-outs.” The guaranties do not have a finite term; however, once the lenders have been repaid in accordance with the loan documents, the only likely basis for a claim on the guaranty is for loss to the lender as a result of potential future environmental liability at the properties to which the loans relate. We are not guaranteeing repayment of the debt itself. The Partnership indemnifies us for any loss we incur under these guarantees.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acquisitions made by the Partnership, during the six months ended June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3240" w:type="dxa"/>
            <w:vAlign w:val="bottom"/>
          </w:tcPr>
          <w:p>
            <w:pPr>
              <w:ind w:left="136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3300" w:type="dxa"/>
            <w:vAlign w:val="bottom"/>
          </w:tcPr>
          <w:p>
            <w:pPr>
              <w:ind w:left="1360"/>
              <w:spacing w:after="0"/>
              <w:rPr>
                <w:sz w:val="20"/>
                <w:szCs w:val="20"/>
                <w:color w:val="auto"/>
              </w:rPr>
            </w:pPr>
            <w:r>
              <w:rPr>
                <w:rFonts w:ascii="Arial" w:cs="Arial" w:eastAsia="Arial" w:hAnsi="Arial"/>
                <w:sz w:val="14"/>
                <w:szCs w:val="14"/>
                <w:b w:val="1"/>
                <w:bCs w:val="1"/>
                <w:color w:val="auto"/>
              </w:rPr>
              <w:t>City, State</w:t>
            </w: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Leasable Area</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r>
      <w:tr>
        <w:trPr>
          <w:trHeight w:val="149"/>
        </w:trPr>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square feet)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February 15, 2007</w:t>
            </w:r>
          </w:p>
        </w:tc>
        <w:tc>
          <w:tcPr>
            <w:tcW w:w="3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Free State Shopping Center</w:t>
            </w:r>
          </w:p>
        </w:tc>
        <w:tc>
          <w:tcPr>
            <w:tcW w:w="4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Bowie, MD</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r>
      <w:tr>
        <w:trPr>
          <w:trHeight w:val="223"/>
        </w:trPr>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20, 2007</w:t>
            </w:r>
          </w:p>
        </w:tc>
        <w:tc>
          <w:tcPr>
            <w:tcW w:w="3640" w:type="dxa"/>
            <w:vAlign w:val="bottom"/>
            <w:gridSpan w:val="2"/>
          </w:tcPr>
          <w:p>
            <w:pPr>
              <w:ind w:left="400"/>
              <w:spacing w:after="0"/>
              <w:rPr>
                <w:sz w:val="20"/>
                <w:szCs w:val="20"/>
                <w:color w:val="auto"/>
              </w:rPr>
            </w:pPr>
            <w:r>
              <w:rPr>
                <w:rFonts w:ascii="Arial" w:cs="Arial" w:eastAsia="Arial" w:hAnsi="Arial"/>
                <w:sz w:val="18"/>
                <w:szCs w:val="18"/>
                <w:color w:val="auto"/>
              </w:rPr>
              <w:t>Lake Barcroft Shopping Center(1)</w:t>
            </w:r>
          </w:p>
        </w:tc>
        <w:tc>
          <w:tcPr>
            <w:tcW w:w="4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Falls Church, VA</w:t>
            </w:r>
          </w:p>
        </w:tc>
        <w:tc>
          <w:tcPr>
            <w:tcW w:w="4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property acquired is adjacent to and operated as part of Barcroft Plaza.</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10, 2007, the Partnership entered into a mortgage note for approximately $4.2 million. The mortgage note is secured by the Lake Barcroft property. The note matures on July 1, 2016, bears interest at 5.71% per annum and requires monthly payments of interest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and Shoppers’ World, we assumed five mortgage notes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(1)</w:t>
            </w:r>
          </w:p>
        </w:tc>
        <w:tc>
          <w:tcPr>
            <w:tcW w:w="380" w:type="dxa"/>
            <w:vAlign w:val="bottom"/>
          </w:tcPr>
          <w:p>
            <w:pPr>
              <w:spacing w:after="0"/>
              <w:rPr>
                <w:sz w:val="14"/>
                <w:szCs w:val="14"/>
                <w:color w:val="auto"/>
              </w:rPr>
            </w:pPr>
          </w:p>
        </w:tc>
        <w:tc>
          <w:tcPr>
            <w:tcW w:w="3200" w:type="dxa"/>
            <w:vAlign w:val="bottom"/>
          </w:tcPr>
          <w:p>
            <w:pPr>
              <w:ind w:left="1180"/>
              <w:spacing w:after="0"/>
              <w:rPr>
                <w:sz w:val="20"/>
                <w:szCs w:val="20"/>
                <w:color w:val="auto"/>
              </w:rPr>
            </w:pPr>
            <w:r>
              <w:rPr>
                <w:rFonts w:ascii="Arial" w:cs="Arial" w:eastAsia="Arial" w:hAnsi="Arial"/>
                <w:sz w:val="14"/>
                <w:szCs w:val="14"/>
                <w:b w:val="1"/>
                <w:bCs w:val="1"/>
                <w:color w:val="auto"/>
              </w:rPr>
              <w:t>Maturity Date</w:t>
            </w:r>
          </w:p>
        </w:tc>
        <w:tc>
          <w:tcPr>
            <w:tcW w:w="2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Stated Annual Interest Rate</w:t>
            </w:r>
          </w:p>
        </w:tc>
      </w:tr>
      <w:tr>
        <w:trPr>
          <w:trHeight w:val="149"/>
        </w:trPr>
        <w:tc>
          <w:tcPr>
            <w:tcW w:w="9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Borders>
              <w:top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AVENUE at White Marsh</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1, 2015</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Other</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December 31, 2008</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Shoppers’ World</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31, 2021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108"/>
        </w:trPr>
        <w:tc>
          <w:tcPr>
            <w:tcW w:w="96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$79.7 million. However, in accordance with GAAP, these mortgage notes were recorded at their fair value of $80.0 million.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With the exception of one of the mortgage notes on White Marsh Plaza, all of the mortgage notes assumed require monthly payments of principal and interest.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$4.5 million mortgage note on White Marsh Plaza is interest only through the maturity date.</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six months ended June 30, 2007, the maximum amount of borrowings outstanding under our $300 million revolving credit facility was $203 million. The weighted average amount of borrowings outstanding was $152.1 million and $167.2 million for the six months and three months ended June 30, 2007, respectively. Our revolving credit facility had a weighted average interest rate, before amortization of debt fees, of 5.7% for the six months and three months ended June 30, 2007.</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At June 30, 2007,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has been concluded and post-trial briefs have been filed but no decision is expected to be rendered for 30-90 days. If we are found liable, a trial will be held to determine the amount of damages. Based on the evidence and information available to us, we believe there is a reasonable possibility that we will be successful in the litigation and found to have no liability, however,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The plaintiff is seeking an unspecified amount of monetary damages. A trial as to liability only was held on June 27, 2006 and a jury rendered a verdict against us. A trial date on the issue of damages has been set for March 2008. The complaint did not specify the amount of damages claimed however, we now understand that the plaintiff is claiming damages of $18 million. We cannot make a reasonable estimate of potential damages until experts are retained, additional discovery is completed on the damages issue and the court rules on various legal issues impacting the calculation of damages. The additional discovery on the damage claim has now commenced. We intend to appeal the jury verdict; however, no appeal of the judgment can be taken until the trial on damages has been completed. If we are not successful in overturning the jury verdict, we will be liable for damages and, based on our analysis with information available to date, we believe those damages could be de minimis. However, it is possible, there could be a material adverse impact on our net income in the period in which it is both probable that we will have to pay the damages and such damages can be reasonably estimated. In any event, management does not believe it will have a material impact on our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58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1.150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1.150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1.310(1)</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5.417% Series 1 Cumulative Convertible Preferred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0.429(2)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spacing w:after="0"/>
              <w:rPr>
                <w:sz w:val="20"/>
                <w:szCs w:val="20"/>
                <w:color w:val="auto"/>
              </w:rPr>
            </w:pPr>
            <w:r>
              <w:rPr>
                <w:rFonts w:ascii="Arial" w:cs="Arial" w:eastAsia="Arial" w:hAnsi="Arial"/>
                <w:sz w:val="18"/>
                <w:szCs w:val="18"/>
                <w:color w:val="auto"/>
              </w:rPr>
              <w:t>0.090(2)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Series B Cumulative Preferred (3)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1.063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1.063</w:t>
            </w:r>
          </w:p>
        </w:tc>
        <w:tc>
          <w:tcPr>
            <w:tcW w:w="22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regular dividend declared and paid of $1.110 and special dividend of $0.200 resulting from the sales of condominiums at Santana Row.</w:t>
      </w:r>
    </w:p>
    <w:p>
      <w:pPr>
        <w:spacing w:after="0" w:line="113" w:lineRule="exact"/>
        <w:rPr>
          <w:rFonts w:ascii="Arial" w:cs="Arial" w:eastAsia="Arial" w:hAnsi="Arial"/>
          <w:sz w:val="16"/>
          <w:szCs w:val="16"/>
          <w:color w:val="auto"/>
        </w:rPr>
      </w:pPr>
    </w:p>
    <w:p>
      <w:pPr>
        <w:ind w:left="460" w:right="1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Series 1 Preferred Shares were issued on March 8, 2007. The dividend declared on the Series 1 Preferred Shares is for the period from March 8, 2007 through and including June 30, 2007; the dividend paid is for the period March 8, 2007 through and including March 31, 2007.</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27, 2006, the Trust redeemed all 5,400,000 outstanding shares of its Series B Cumulative Redeemable Preferred Shares. Dividends on the Series B Preferred Shares ceased to accrue on November 27,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center"/>
              <w:ind w:right="279"/>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$ 177,610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$ 158,955</w:t>
            </w:r>
          </w:p>
        </w:tc>
        <w:tc>
          <w:tcPr>
            <w:tcW w:w="320" w:type="dxa"/>
            <w:vAlign w:val="bottom"/>
            <w:gridSpan w:val="2"/>
          </w:tcPr>
          <w:p>
            <w:pPr>
              <w:jc w:val="center"/>
              <w:ind w:left="1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90,875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80,054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reimbursement</w:t>
            </w:r>
          </w:p>
        </w:tc>
        <w:tc>
          <w:tcPr>
            <w:tcW w:w="680" w:type="dxa"/>
            <w:vAlign w:val="bottom"/>
          </w:tcPr>
          <w:p>
            <w:pPr>
              <w:jc w:val="right"/>
              <w:spacing w:after="0"/>
              <w:rPr>
                <w:sz w:val="20"/>
                <w:szCs w:val="20"/>
                <w:color w:val="auto"/>
              </w:rPr>
            </w:pPr>
            <w:r>
              <w:rPr>
                <w:rFonts w:ascii="Arial" w:cs="Arial" w:eastAsia="Arial" w:hAnsi="Arial"/>
                <w:sz w:val="18"/>
                <w:szCs w:val="18"/>
                <w:color w:val="auto"/>
              </w:rPr>
              <w:t>45,668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39,834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$ 237,096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$ 210,302</w:t>
            </w:r>
          </w:p>
        </w:tc>
        <w:tc>
          <w:tcPr>
            <w:tcW w:w="3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119,920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Minimum rents include $4.7 million and $3.1 million for the six months ended June 30, 2007 and 2006, respectively, and $2.7 million and $1.7 million for the three months ended June 30, 2007 and 2006, respectively, to recognize minimum rents on a straight-line basis. In addition, minimum rents include $1.2 million and $1.0 million for the six months ended June 30, 2007 and 2006, respectively, and $0.4 million and $0.5 million for the three months ended June 30, 2007 and 2006, respectively, to recognize income from the amortization of in-place leases in accordance with SFAS No. 141. Residential minimum rents consist of the entire rental amounts at Rollingwood Apartments, the Crest at Congressional Plaza Apartments and residential units at Santana Row, excluding those units sold as condominiums and included in discontinued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w w:val="79"/>
              </w:rPr>
              <w:t>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4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Common shares</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$3,042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$2,381</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$ 1,468</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4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3,593</w:t>
            </w:r>
          </w:p>
        </w:tc>
        <w:tc>
          <w:tcPr>
            <w:tcW w:w="500" w:type="dxa"/>
            <w:vAlign w:val="bottom"/>
          </w:tcPr>
          <w:p>
            <w:pPr>
              <w:jc w:val="right"/>
              <w:spacing w:after="0"/>
              <w:rPr>
                <w:sz w:val="20"/>
                <w:szCs w:val="20"/>
                <w:color w:val="auto"/>
              </w:rPr>
            </w:pPr>
            <w:r>
              <w:rPr>
                <w:rFonts w:ascii="Arial" w:cs="Arial" w:eastAsia="Arial" w:hAnsi="Arial"/>
                <w:sz w:val="18"/>
                <w:szCs w:val="18"/>
                <w:color w:val="auto"/>
              </w:rPr>
              <w:t>2,889</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4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(308)</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Share-based compensation expensed</w:t>
            </w:r>
          </w:p>
        </w:tc>
        <w:tc>
          <w:tcPr>
            <w:tcW w:w="4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2,581</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$ 1,563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220" w:type="dxa"/>
            <w:vAlign w:val="bottom"/>
            <w:vMerge w:val="restart"/>
          </w:tcPr>
          <w:p>
            <w:pPr>
              <w:jc w:val="right"/>
              <w:ind w:right="2492"/>
              <w:spacing w:after="0"/>
              <w:rPr>
                <w:sz w:val="20"/>
                <w:szCs w:val="20"/>
                <w:color w:val="auto"/>
              </w:rPr>
            </w:pPr>
            <w:r>
              <w:rPr>
                <w:rFonts w:ascii="Arial" w:cs="Arial" w:eastAsia="Arial" w:hAnsi="Arial"/>
                <w:sz w:val="18"/>
                <w:szCs w:val="18"/>
                <w:color w:val="auto"/>
              </w:rPr>
              <w:t>15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47,005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45,341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24,262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46,834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39,603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24,127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16,505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7,441</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49,683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63,549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52,789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56,168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Unvested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outstanding—dilutive (1)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53,287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56,591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downREIT operating partnership units and Series 1 Preferred Stock are anti-dilutive for all periods presented. Accordingly, downREIT operating partnership units and Series 1 Preferred Stock have been excluded from the weighted average common shares used to compute diluted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88"/>
              </w:rPr>
              <w:t>Six Months Ended June 30, 2007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51,575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(14,022)</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(49,498)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(15,163)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(52,472)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(59,044)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(59,044)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20,468</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(70,239)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99,457</w:t>
            </w:r>
          </w:p>
        </w:tc>
        <w:tc>
          <w:tcPr>
            <w:tcW w:w="1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20,468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(70,071)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1,916,468</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106,244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88"/>
              </w:rPr>
              <w:t>Six Months Ended June 30, 2006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47,479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(12,943)</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(42,473)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(14,417)</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(48,087)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(49,034)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18,794</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(58,631)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18,794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(37,082)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assets at end of period</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1,393,298</w:t>
            </w:r>
          </w:p>
        </w:tc>
        <w:tc>
          <w:tcPr>
            <w:tcW w:w="100" w:type="dxa"/>
            <w:vAlign w:val="bottom"/>
          </w:tcPr>
          <w:p>
            <w:pPr>
              <w:spacing w:after="0"/>
              <w:rPr>
                <w:sz w:val="18"/>
                <w:szCs w:val="18"/>
                <w:color w:val="auto"/>
              </w:rPr>
            </w:pPr>
          </w:p>
        </w:tc>
        <w:tc>
          <w:tcPr>
            <w:tcW w:w="1140" w:type="dxa"/>
            <w:vAlign w:val="bottom"/>
            <w:gridSpan w:val="4"/>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877,499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77,672</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2,348,469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vMerge w:val="restart"/>
          </w:tcPr>
          <w:p>
            <w:pPr>
              <w:jc w:val="right"/>
              <w:ind w:right="167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7"/>
              </w:rPr>
              <w:t>Three Months Ended June 30, 2007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93,844</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4"/>
              </w:rPr>
              <w:t>26,076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69,525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17,718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(26,526)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(29,728)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(29,728)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51,095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4"/>
              </w:rPr>
              <w:t>10,196</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(35,645)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51,095</w:t>
            </w:r>
          </w:p>
        </w:tc>
        <w:tc>
          <w:tcPr>
            <w:tcW w:w="6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4"/>
              </w:rPr>
              <w:t>10,196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(34,573)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1,916,468</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106,244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87"/>
              </w:rPr>
              <w:t>Three Months Ended June 30, 2006</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81,584</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4"/>
              </w:rPr>
              <w:t>23,745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2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16,749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(16,753)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(24,754)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(24,754)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44,528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(29,780)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44,528</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(15,870)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assets at end of period</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1,393,298</w:t>
            </w:r>
          </w:p>
        </w:tc>
        <w:tc>
          <w:tcPr>
            <w:tcW w:w="60" w:type="dxa"/>
            <w:vAlign w:val="bottom"/>
          </w:tcPr>
          <w:p>
            <w:pPr>
              <w:spacing w:after="0"/>
              <w:rPr>
                <w:sz w:val="18"/>
                <w:szCs w:val="18"/>
                <w:color w:val="auto"/>
              </w:rPr>
            </w:pPr>
          </w:p>
        </w:tc>
        <w:tc>
          <w:tcPr>
            <w:tcW w:w="1180" w:type="dxa"/>
            <w:vAlign w:val="bottom"/>
            <w:gridSpan w:val="4"/>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877,499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77,672</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2,348,469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vMerge w:val="restart"/>
          </w:tcPr>
          <w:p>
            <w:pPr>
              <w:jc w:val="right"/>
              <w:ind w:right="1672"/>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2006 filed with the Securities and Exchange Commission on March 1, 2007.</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2006,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We are an equity real estate investment trust (“REIT”) specializing in the ownership, management, development and redevelopment of high quality retail and mixed-use properties. As of June 30, 2007, we owned or had a majority interest in community and neighborhood shopping centers and mixed-use properties which are operated as 88 predominantly retail real estate projects comprising approximately 19.5 million square feet, located primarily in densely populated and affluent communities in strategic metropolitan markets in the Northeast and Mid-Atlantic regions of the United States, as well as in California. In total, the real estate projects were 96.1% leased at June 30, 2007. A joint venture in which we own a 30% interest owned six retail real estate projects totaling approximately 0.9 million square feet as of June 30, 2007. In total, the joint venture properties in which we own an interest were 98.7% leased at June 30, 2007. We have paid quarterly dividends to our shareholders continuously since our founding in 1962 and have increased our dividends per common share for 39 consecutive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significant acquisitions made by us and our consolidated affiliates during the six months ended June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2940" w:type="dxa"/>
            <w:vAlign w:val="bottom"/>
          </w:tcPr>
          <w:p>
            <w:pPr>
              <w:ind w:left="120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City, State</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 square feet)</w:t>
            </w:r>
          </w:p>
        </w:tc>
        <w:tc>
          <w:tcPr>
            <w:tcW w:w="3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2007</w:t>
            </w: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Crow Canyon Crest</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San Ramon, CA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March 8, 2007</w:t>
            </w: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The White Marsh Portfolio: (1)</w:t>
            </w:r>
          </w:p>
        </w:tc>
        <w:tc>
          <w:tcPr>
            <w:tcW w:w="34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White Marsh, MD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AVENUE at White Marsh</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Plaza</w:t>
            </w: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The Shoppes at Nottingham Square</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White Marsh Other</w:t>
            </w: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2007</w:t>
            </w: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Shoppers’ World</w:t>
            </w:r>
          </w:p>
        </w:tc>
        <w:tc>
          <w:tcPr>
            <w:tcW w:w="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 (2)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800,000</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May 30, 2007, we entered into a Section 1031 like-kind exchange agreement with a third party intermediary related to the acquisition of Shoppers’ World. The exchange agreement is for a maximum of 180 days and allows us to defer gains on sale of other properties sold within this period. We have identified the properties we intend to sell during this period to complete the Section 1031 exchange. Until the earlier of termination of this exchange agreement or November 26, 2007, the third party intermediary is the legal owner of the property, although we control the property and retain all of the economic benefits and risks associated with the property. This property is held in a variable interest entity for which we are the primary beneficiary. Accordingly, as of June 30, 2007, we consolidate the property and its operations.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provides a summary of significant dispositions made by us and our consolidated affiliates during the six months ended June 30, 2007. All three properties were acquired in August 2006 by a TRS as part of a larger portfolio. The properties are classified as held for sale and their operations are included in discontinued operations for all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spacing w:after="0"/>
              <w:rPr>
                <w:sz w:val="14"/>
                <w:szCs w:val="14"/>
                <w:color w:val="auto"/>
              </w:rPr>
            </w:pPr>
          </w:p>
        </w:tc>
        <w:tc>
          <w:tcPr>
            <w:tcW w:w="33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620" w:type="dxa"/>
            <w:vAlign w:val="bottom"/>
          </w:tcPr>
          <w:p>
            <w:pPr>
              <w:spacing w:after="0"/>
              <w:rPr>
                <w:sz w:val="14"/>
                <w:szCs w:val="14"/>
                <w:color w:val="auto"/>
              </w:rPr>
            </w:pPr>
          </w:p>
        </w:tc>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City, State</w:t>
            </w:r>
          </w:p>
        </w:tc>
        <w:tc>
          <w:tcPr>
            <w:tcW w:w="64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6"/>
              </w:rPr>
              <w:t>Leasable Area</w:t>
            </w:r>
          </w:p>
        </w:tc>
        <w:tc>
          <w:tcPr>
            <w:tcW w:w="1260" w:type="dxa"/>
            <w:vAlign w:val="bottom"/>
            <w:gridSpan w:val="3"/>
          </w:tcPr>
          <w:p>
            <w:pPr>
              <w:jc w:val="right"/>
              <w:ind w:right="552"/>
              <w:spacing w:after="0" w:line="148" w:lineRule="exact"/>
              <w:rPr>
                <w:sz w:val="20"/>
                <w:szCs w:val="20"/>
                <w:color w:val="auto"/>
              </w:rPr>
            </w:pPr>
            <w:r>
              <w:rPr>
                <w:rFonts w:ascii="Arial" w:cs="Arial" w:eastAsia="Arial" w:hAnsi="Arial"/>
                <w:sz w:val="14"/>
                <w:szCs w:val="14"/>
                <w:b w:val="1"/>
                <w:bCs w:val="1"/>
                <w:color w:val="auto"/>
                <w:w w:val="82"/>
              </w:rPr>
              <w:t>Sales Price</w:t>
            </w:r>
          </w:p>
        </w:tc>
        <w:tc>
          <w:tcPr>
            <w:tcW w:w="5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Gain</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3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rPr>
              <w:t>millions)</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 2007</w:t>
            </w: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Bath Shopping Center</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Bath, ME</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101,000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$0.6(1)</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June 20, 2007</w:t>
            </w:r>
          </w:p>
        </w:tc>
        <w:tc>
          <w:tcPr>
            <w:tcW w:w="6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Key Road Plaza</w:t>
            </w:r>
          </w:p>
        </w:tc>
        <w:tc>
          <w:tcPr>
            <w:tcW w:w="6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Keene, NH</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76,000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15.3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 2007</w:t>
            </w:r>
          </w:p>
        </w:tc>
        <w:tc>
          <w:tcPr>
            <w:tcW w:w="6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Riverside Plaza</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Keene, NH</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4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of $0.6 million is net of $0.3 million in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of $0.4 million is net of $0.1 million in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 of $0.5 million is net of $0.1 million in taxes.</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Two properties located in the East region are currently under contract for sale and closing is projected to occur in 2007. The properties are classified as held for sale and their operations are included in discontinued operations for all periods presented. The revenues from all properties included in discontinued operations were $3.7 million and $1.1 million for the six months ended June 30, 2007 and 2006, respectively, and $1.4 million and $0.5 million for the three months ended June 30,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acquisitions made by our unconsolidated real estate partnership during the six months ended June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2700" w:type="dxa"/>
            <w:vAlign w:val="bottom"/>
          </w:tcPr>
          <w:p>
            <w:pPr>
              <w:ind w:left="1080"/>
              <w:spacing w:after="0"/>
              <w:rPr>
                <w:sz w:val="20"/>
                <w:szCs w:val="20"/>
                <w:color w:val="auto"/>
              </w:rPr>
            </w:pPr>
            <w:r>
              <w:rPr>
                <w:rFonts w:ascii="Arial" w:cs="Arial" w:eastAsia="Arial" w:hAnsi="Arial"/>
                <w:sz w:val="14"/>
                <w:szCs w:val="14"/>
                <w:b w:val="1"/>
                <w:bCs w:val="1"/>
                <w:color w:val="auto"/>
              </w:rPr>
              <w:t>Property</w:t>
            </w:r>
          </w:p>
        </w:tc>
        <w:tc>
          <w:tcPr>
            <w:tcW w:w="400" w:type="dxa"/>
            <w:vAlign w:val="bottom"/>
          </w:tcPr>
          <w:p>
            <w:pPr>
              <w:spacing w:after="0"/>
              <w:rPr>
                <w:sz w:val="14"/>
                <w:szCs w:val="14"/>
                <w:color w:val="auto"/>
              </w:rPr>
            </w:pPr>
          </w:p>
        </w:tc>
        <w:tc>
          <w:tcPr>
            <w:tcW w:w="2560" w:type="dxa"/>
            <w:vAlign w:val="bottom"/>
          </w:tcPr>
          <w:p>
            <w:pPr>
              <w:ind w:left="980"/>
              <w:spacing w:after="0"/>
              <w:rPr>
                <w:sz w:val="20"/>
                <w:szCs w:val="20"/>
                <w:color w:val="auto"/>
              </w:rPr>
            </w:pPr>
            <w:r>
              <w:rPr>
                <w:rFonts w:ascii="Arial" w:cs="Arial" w:eastAsia="Arial" w:hAnsi="Arial"/>
                <w:sz w:val="14"/>
                <w:szCs w:val="14"/>
                <w:b w:val="1"/>
                <w:bCs w:val="1"/>
                <w:color w:val="auto"/>
              </w:rPr>
              <w:t>City, State</w:t>
            </w: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4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r>
      <w:tr>
        <w:trPr>
          <w:trHeight w:val="149"/>
        </w:trPr>
        <w:tc>
          <w:tcPr>
            <w:tcW w:w="9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40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2007</w:t>
            </w:r>
          </w:p>
        </w:tc>
        <w:tc>
          <w:tcPr>
            <w:tcW w:w="3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Free State Shopping Center</w:t>
            </w:r>
          </w:p>
        </w:tc>
        <w:tc>
          <w:tcPr>
            <w:tcW w:w="2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Bowie, MD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February 20, 2007</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w w:val="99"/>
              </w:rPr>
              <w:t>Lake Barcroft Shopping Center(1)</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Falls Church, VA</w:t>
            </w:r>
          </w:p>
        </w:tc>
        <w:tc>
          <w:tcPr>
            <w:tcW w:w="4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property acquired is adjacent to and operated as part of Barcroft Plaza.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Significant Debt, Equity and Other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and Shoppers’ World, we assumed five mortgage notes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7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(1)</w:t>
            </w:r>
          </w:p>
        </w:tc>
        <w:tc>
          <w:tcPr>
            <w:tcW w:w="380" w:type="dxa"/>
            <w:vAlign w:val="bottom"/>
          </w:tcPr>
          <w:p>
            <w:pPr>
              <w:spacing w:after="0"/>
              <w:rPr>
                <w:sz w:val="14"/>
                <w:szCs w:val="14"/>
                <w:color w:val="auto"/>
              </w:rPr>
            </w:pPr>
          </w:p>
        </w:tc>
        <w:tc>
          <w:tcPr>
            <w:tcW w:w="3200" w:type="dxa"/>
            <w:vAlign w:val="bottom"/>
          </w:tcPr>
          <w:p>
            <w:pPr>
              <w:ind w:left="1180"/>
              <w:spacing w:after="0"/>
              <w:rPr>
                <w:sz w:val="20"/>
                <w:szCs w:val="20"/>
                <w:color w:val="auto"/>
              </w:rPr>
            </w:pPr>
            <w:r>
              <w:rPr>
                <w:rFonts w:ascii="Arial" w:cs="Arial" w:eastAsia="Arial" w:hAnsi="Arial"/>
                <w:sz w:val="14"/>
                <w:szCs w:val="14"/>
                <w:b w:val="1"/>
                <w:bCs w:val="1"/>
                <w:color w:val="auto"/>
              </w:rPr>
              <w:t>Maturity Date</w:t>
            </w:r>
          </w:p>
        </w:tc>
        <w:tc>
          <w:tcPr>
            <w:tcW w:w="2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Stated Annual Interest Rate</w:t>
            </w:r>
          </w:p>
        </w:tc>
      </w:tr>
      <w:tr>
        <w:trPr>
          <w:trHeight w:val="149"/>
        </w:trPr>
        <w:tc>
          <w:tcPr>
            <w:tcW w:w="9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(In millions )</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AVENUE at White Marsh</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1, 2015</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April 1, 2013</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White Marsh Other</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580" w:type="dxa"/>
            <w:vAlign w:val="bottom"/>
            <w:gridSpan w:val="2"/>
          </w:tcPr>
          <w:p>
            <w:pPr>
              <w:ind w:left="380"/>
              <w:spacing w:after="0"/>
              <w:rPr>
                <w:sz w:val="20"/>
                <w:szCs w:val="20"/>
                <w:color w:val="auto"/>
              </w:rPr>
            </w:pPr>
            <w:r>
              <w:rPr>
                <w:rFonts w:ascii="Arial" w:cs="Arial" w:eastAsia="Arial" w:hAnsi="Arial"/>
                <w:sz w:val="18"/>
                <w:szCs w:val="18"/>
                <w:color w:val="auto"/>
              </w:rPr>
              <w:t>December 31, 2008</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Shoppers’ World</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31, 2021</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108"/>
        </w:trPr>
        <w:tc>
          <w:tcPr>
            <w:tcW w:w="96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$79.7 million. However, in accordance with GAAP, these mortgage notes were recorded at their fair value of $80.0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April 10, 2007, our unconsolidated real estate partnership entered into a mortgage note for approximately $4.2 million. The mortgage note is secured by the Lake Barcroft property which was acquired in February 2007 and is adjacent to and operated as part of Barcroft Plaza. The note matures on July 1, 2016, bears interest at 5.71% per annum and requires monthly payments of interest only.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2007 income from continuing operations to grow in comparison to our 2006 income from continuing operations. We expect this income growth primarily to be generated by a combination of the following:</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On May 2, 2007, we announced a regular quarterly cash dividend of $0.575 per share on our common shares, resulting in an indicated annual rate of $2.30 per share. The regular common dividend was payable on July 16, 2007, to common shareholders of record as of June 22, 2007.</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as leases on these spaces expire. We anticipate investments in redevelopment projects of approximately $110 million and $97 million to stabilize in 2007 and 2008, respectively. As redevelopment properties are completed, spaces that were out of service begin generating revenue; in addition, spaces that were not out of service and that have expiring leases may generate higher revenue because we generally receive higher rent on new leases. For example, many of the leases with rents commencing in 2007 were signed in 2006 or earlier, and leases signed in 2005, 2006 and year-to-date 2007 on spaces for which there was a previous tenant have on average been renewed at double digit cash basis base rent increases. On spaces where the tenant leases are expiring later in 2007, our analysis of current market rents as compared to rents on the existing leases leads us to expect that the base rents on new leases will have double-digit weighted average increases over the cash basis base rents currently in place.</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June 30, 2007, the leasable square feet in our shopping centers was 94.7% occupied and 96.1%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anticipate growth in earnings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may also affect our success in achieving growth through acquisitions by affecting both the price that must be paid to acquire a property, as well as our ability to economically finance the property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OPERATIONS—SIX MONTHS ENDED JUNE 30,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Dollars</w:t>
            </w:r>
          </w:p>
        </w:tc>
        <w:tc>
          <w:tcPr>
            <w:tcW w:w="280" w:type="dxa"/>
            <w:vAlign w:val="bottom"/>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(Dollar amounts</w:t>
            </w:r>
          </w:p>
        </w:tc>
        <w:tc>
          <w:tcPr>
            <w:tcW w:w="2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237,096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210,302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$ 26,794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3,960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1,035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2,671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Total property revenue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221"/>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216,933</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27,415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42,473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21,049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2,286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63,522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880"/>
              <w:spacing w:after="0"/>
              <w:rPr>
                <w:sz w:val="20"/>
                <w:szCs w:val="20"/>
                <w:color w:val="auto"/>
              </w:rPr>
            </w:pPr>
            <w:r>
              <w:rPr>
                <w:rFonts w:ascii="Arial" w:cs="Arial" w:eastAsia="Arial" w:hAnsi="Arial"/>
                <w:sz w:val="18"/>
                <w:szCs w:val="18"/>
                <w:color w:val="auto"/>
              </w:rPr>
              <w:t>Property operating income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line="20" w:lineRule="exact"/>
              <w:rPr>
                <w:sz w:val="1"/>
                <w:szCs w:val="1"/>
                <w:color w:val="auto"/>
              </w:rPr>
            </w:pPr>
          </w:p>
        </w:tc>
      </w:tr>
      <w:tr>
        <w:trPr>
          <w:trHeight w:val="221"/>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171,515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153,411</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18,104</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593</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338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(49,034)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(9,483)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(2,157)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(48,087)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(121,829)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(105,673)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(16,156)</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47,738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(2,397)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175</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471.4%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16,330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(14,481)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7,441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49,854</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69,287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(19,433)</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property revenue increased $27.4 million, or 12.6%, to $244.3 million in the six months ended June 30, 2007 compared to $216.9 million in the six months ended June 30, 2006. The percentage leased at our shopping centers decreased slightly to 96.1% at June 30, 2007 compared to 96.7% at June 30, 2006 due primarily to vacancies caused by the Chapter 7 liquidation of Tower Records and Storehouse Furniture during the fourth quarter of 2006. Changes in the components of property revenue are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$26.8 million, or 12.7%, to $237.1 million in the six months ended June 30, 2007 compared to $210.3 million in the six months ended June 30, 2006 due primarily to the following:</w:t>
      </w:r>
    </w:p>
    <w:p>
      <w:pPr>
        <w:spacing w:after="0" w:line="4"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$14.2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$8.2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$3.6 million at redevelopment properties due to increased occupancy, increased rental rates on new leases and increased cost recoveries,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$1.7 million at Santana Row residential due primarily to leasing of residential units throughout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5620" w:right="1860" w:hanging="5166"/>
        <w:spacing w:after="0" w:line="440" w:lineRule="auto"/>
        <w:tabs>
          <w:tab w:leader="none" w:pos="8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$0.9 million related to the sale of Greenlawn Plaza to our unconsolidated real estate partnership in June 2006. 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property income increased $1.0 million, or 26.1%, to $5.0 million in the six months ended June 30, 2007 compared to $4.0 million in the six months ended June 30, 2006. Included in other property income are items which, although recurring, tend to fluctuate more than rental income from period to period, such as lease termination fees. This increase is due primarily to an increase in lease termination fees at same-center properties.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Mortgage interest income decreased $0.4 million, or 15.5%, to $2.3 million in the six months ended June 30, 2007 compared to $2.7 million in the six months ended June 30, 2006. This decrease is primarily due to an amendment of our $17.7 million secondary mortgage note receivable secured by a hotel at our Santana Row project in San Jose, California which was executed on August 4, 2006 and decreased the interest rate from 14% per annum to 9% per annum.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property expenses increased $9.3 million, or 14.7%, to $72.8 million in the six months ended June 30, 2007 compared to $63.5 million in the six months ended June 30,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$7.0 million, or 16.5%, to $49.5 million in the six months ended June 30, 2007 compared to $42.5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 This increase is due primarily to the following:</w:t>
      </w:r>
    </w:p>
    <w:p>
      <w:pPr>
        <w:spacing w:after="0" w:line="84" w:lineRule="exact"/>
        <w:rPr>
          <w:sz w:val="20"/>
          <w:szCs w:val="20"/>
          <w:color w:val="auto"/>
        </w:rPr>
      </w:pPr>
    </w:p>
    <w:p>
      <w:pPr>
        <w:ind w:left="900" w:right="4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$2.5 million in repairs and maintenance at same-center and redevelopment properties due primarily to higher snow removal and maintenance costs,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$2.4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$1.0 million in utilities at same-center and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$0.7 million in legal fees related to the litigation at a shopping center in New Jersey.</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20.4% in the six months ended June 30, 2007 from 19.8% in the six months ended June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Real estate tax expense increased $2.3 million, or 10.9%, to $23.3 million in the six months ended June 30, 2007 compared to $21.0 million in the six months ended June 30, 2006. This increase is due primarily to increased taxes of $1.3 million related to properties acquired in 2007 and 2006 and Assembly Square Mall and $1.1 million related to higher assessments at our same-center, redevelopment and Santana Row residential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Property operating income increased $18.1 million, or 11.8%, to $171.5 million in the six months ended June 30, 2007 compared to $153.4 million in the six months ended June 30, 2006.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2006 and the completion of the power-center at Assembly Square Mall,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earnings at Santana Row residential.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$10.0 million, or 20.4%, to $59.0 million in the six months ended June 30, 2007 compared to $49.0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 This increase is due primarily to the following:</w:t>
      </w:r>
    </w:p>
    <w:p>
      <w:pPr>
        <w:spacing w:after="0" w:line="84" w:lineRule="exact"/>
        <w:rPr>
          <w:sz w:val="20"/>
          <w:szCs w:val="20"/>
          <w:color w:val="auto"/>
        </w:rPr>
      </w:pPr>
    </w:p>
    <w:p>
      <w:pPr>
        <w:ind w:left="5620" w:right="4720" w:hanging="5166"/>
        <w:spacing w:after="0" w:line="525" w:lineRule="auto"/>
        <w:tabs>
          <w:tab w:leader="none" w:pos="8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$13.8 million due to higher borrowings to finance our acquisitions, 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$2.8 million in capitalized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$0.7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$0.3 million due to lower participation on certain capital leases.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Gross interest costs were $63.1 million and $50.4 million in the six months ended June 30, 2007 and 2006, respectively. Capitalized interest amounted to</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$4.1 million and $1.3 million in the six months ended June 30, 2007 and 2006, respectively. Capitalized interest increased due primarily to development at Linden Square which was acquired in August 2006 and redevelopment at Arlington East.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General and administrative expense increased $2.2 million, or 22.7%, to $11.6 million in the six months ended June 30, 2007 compared to $9.5 million in the six months ended June 30, 2006. This is primarily due to an increase in wages and bonuses and increased share-based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Depreciation and amortization expense increased $4.4 million, or 9.1%, to $52.5 million in the six months ended June 30, 2007 from $48.1 million in the six months ended June 30, 2006. This increase is due primarily to acquisitions and improvements at same-center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Income to minority partners increased $0.3 million, or 11.8%, to $2.7 million in the six months ended June 30, 2007 compared to $2.4 million in the six months ended June 30, 2006. This increase is due primarily to an increase in earnings at properties held in non-wholly owned partnerships and an increase in operating partnership units issued to acquire the White Marsh portfolio in March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$1.0 million and $0.2 million for the six months ended June 30, 2007 and 2006, respectively, represents the operating income for the period during which we owned properties sold or to be sold in 2007 and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gain on sale of real estate from discontinued operations decreased $14.5 million to $1.8 million in the six months ended June 30, 2007 compared to $16.3 million in the six months ended June 30, 2006. All of the properties sold in 2007 (Bath Shopping Center, Key Road Plaza, and Riverside Plaza) and 2006 (condominiums at Santana Row) resulted in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gain on sale of real estate includes properties which we maintained continuing involvement through our unconsolidated real estate partnership. No properties were sold in 2007 for which we maintained continuing involvement. One property, Greenlawn Plaza, was sold in 2006 to our unconsolidated real estate partnership, which resulted in a $7.4 million 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following table provides selected key segment data for the six months ended June 30, 2007 and 2006.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9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2"/>
                <w:szCs w:val="1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185,521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162,823</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190,435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166,622</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135,963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120,262</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1,916,468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1,393,298</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16,842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15,074</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51,575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47,479</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53,913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50,311</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35,552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33,149</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878,443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877,499</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East region increased $22.7 million to $185.5 million in the six months ended June 30, 2007 compared to $162.8 million in the six months ended June 30, 2006 due primarily to the following:</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increase of $13.9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$7.4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$2.3 million at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$0.9 million related to the sale of Greenlawn Plaza to our unconsolidated real estate partnership in June 2006.</w:t>
      </w:r>
    </w:p>
    <w:p>
      <w:pPr>
        <w:spacing w:after="0" w:line="171"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Property operating income for the East region increased $15.7 million due primarily to the increase in rental income discussed above partially offset by a $5.9 million increase in rental expense due to the acquisition of properties, additional snow removal costs, repairs and maintenance costs, and additional legal costs and a $2.2 million increase in real estate taxes due primarily to the acquisition of properties and higher assessments on our same-center and redevelopment properties. As a result of these changes, the ratio of property operating income to total revenue for the East region decreased to 71.4% in the six months ended June 30, 2007 from 72.2% in the six months ended June 30,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West region increased $4.1 million to $51.6 million in the six months ended June 30, 2007 from $47.5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 due primarily to the following:</w:t>
      </w:r>
    </w:p>
    <w:p>
      <w:pPr>
        <w:spacing w:after="0" w:line="8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$2.5 million at Santana Row due to leasing residential units throughout 2006 and increased rental rates on new retail leases,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$1.4 million at redevelopment projects.</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Property operating income for the West region increased $2.4 million due primarily to the increase in rental income discussed above partially offset by a $1.1 million increase in rental expense primarily at Santana Row and a $0.4 million decrease in mortgage interest income due to an amendment of our $17.7 million mortgage note receivable secured by a hotel at our Santana Row project in San Jose, California, which was executed on August 14, 2006 and decreased the interest rate from 14% per annum to 9% per annum. As a result of these changes, the ratio of property operating income to total revenue for the West region remained consistent at 65.9% in the six months ended June 30, 2007 and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JUNE 30,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(Dollar amounts</w:t>
            </w: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119,920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105,329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$ 14,591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1"/>
        </w:trPr>
        <w:tc>
          <w:tcPr>
            <w:tcW w:w="798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123,604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108,544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15,060</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1"/>
        </w:trPr>
        <w:tc>
          <w:tcPr>
            <w:tcW w:w="798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87,243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77,736</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9,507</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(29,728)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(24,754)</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(4,981)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(1,055)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(24,176)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(61,597)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(53,390)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(8,207)</w:t>
            </w: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(1,324)</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7,593</w:t>
            </w:r>
          </w:p>
        </w:tc>
        <w:tc>
          <w:tcPr>
            <w:tcW w:w="16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(5,744)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line="20" w:lineRule="exact"/>
              <w:rPr>
                <w:sz w:val="1"/>
                <w:szCs w:val="1"/>
                <w:color w:val="auto"/>
              </w:rPr>
            </w:pPr>
          </w:p>
        </w:tc>
      </w:tr>
      <w:tr>
        <w:trPr>
          <w:trHeight w:val="222"/>
        </w:trPr>
        <w:tc>
          <w:tcPr>
            <w:tcW w:w="7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26,718</w:t>
            </w:r>
          </w:p>
        </w:tc>
        <w:tc>
          <w:tcPr>
            <w:tcW w:w="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38,256</w:t>
            </w:r>
          </w:p>
        </w:tc>
        <w:tc>
          <w:tcPr>
            <w:tcW w:w="16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(11,538)</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Total property revenue increased $15.1 million, or 13.9%, to $123.6 million in the three months ended June 30, 2007 compared to $108.5 million in the three months ended June 30, 2006. The percentage leased at our shopping centers decreased slightly to 96.1% at June 30, 2007 compared to 96.7% at June 30, 2006 due primarily to vacancies caused by the Chapter 7 liquidation of Tower Records and Storehouse Furniture during the fourth quarter of 2006. Changes in the components of property revenue are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$14.6 million, or 13.9%, to $119.9 million in the three months ended June 30, 2007 compared to $105.3 million in the three months ended June 30, 2006 due primarily to the following:</w:t>
      </w:r>
    </w:p>
    <w:p>
      <w:pPr>
        <w:spacing w:after="0" w:line="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$8.5 million attributable to properties acquired in 2007 and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$3.8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$2.1 million at redevelopment properties due to increased occupancy, increased rental rates on new leases and increased cost recoveries,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$0.6 million at Santana Row residential due primarily to leasing of residential units throughout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$0.4 million related to the sale of Greenlawn Plaza to our unconsolidated real estate partnership in June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Other property income increased $0.7 million, or 37.0%, to $2.6 million in the three months ended June 30, 2007 compared to $1.9 million in the three months ended June 30, 2006. Included in other property income are items which, although recurring, tend to fluctuate more than rental income from period to period, such as lease termination fees. This increase is due primarily to an increase in lease termination fees at same-center properties.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Mortgage interest income decreased $0.2 million, or 16.5%, to $1.1 million in the three months ended June 30, 2007 compared to $1.3 million in the three months ended June 30, 2006. This decrease is primarily due to an amendment of our $17.7 million secondary mortgage note receivable secured by a hotel at our Santana Row project in San Jose, California which was executed on August 4, 2006 and decreased the interest rate from 14% per annum to 9% per annum.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property expenses increased $5.6 million, or 18.0%, to $36.4 million in the three months ended June 30, 2007 compared to $30.8 million in the three months ended June 30,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$4.1 million, or 20.0%, to $24.4 million in the three months ended June 30, 2007 compared to $20.3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 This increase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$1.5 million attributable to properties acquired in 2007 and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$0.8 million in utility costs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$0.6 million in legal fees related to the litigation at a shopping center in New Jersey,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$0.4 million in repairs and maintenance at same-center and redevelopment.</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19.9% in the three months ended June 30, 2007 from 18.9% in the three months ended June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 estate tax expense increased $1.5 million, or 14.2%, to $12.0 million in the three months ended June 30, 2007 compared to $10.5 million in the three months ended June 30, 2006. This increase is due primarily to higher assessments of $0.8 million at our same-center, redevelopment and Santana Row residential properties and increased taxes of $0.7 million related to properties acquired in 2007 and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Property operating income increased $9.5 million, or 12.2%, to $87.2 million in the three months ended June 30, 2007 compared to $77.7 million in the three months ended June 30, 2006.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in same-center earnings,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$5.0 million, or 20.1%, to $29.7 million in the three months ended June 30, 2007 compared to $24.8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2006. This increase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$7.6 million due to higher borrowings to finance our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$1.5 million in capitalized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$0.7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$0.4 million due to lower participation on certain capital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Gross interest costs were $31.9 million and $25.4 million in the three months ended June 30, 2007 and 2006, respectively. Capitalized interest amounted to $2.2 million and $0.6 million in the three months ended June 30, 2007 and 2006, respectively. Capitalized interest increased due primarily to development at Linden Square which was acquired in August 2006 and redevelopment at Arlington East.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General and administrative expense increased $1.1 million, or 21.2%, to $6.0 million in the three months ended June 30, 2007 compared to $5.0 million in the three months ended June 30, 2006. This is primarily due to an increase in wages and bonuses and increased stock 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Depreciation and amortization expense increased $2.4 million, or 9.7%, to $26.5 million in the three months ended June 30, 2007 from $24.2 million in the three months ended June 30, 2006. This increase is due primarily to acquisitions and improvements at same-center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Income to minority partners increased $0.1 million, or 4.5%, to $1.4 million in the three months ended June 30, 2007 compared to $1.3 million in the three months ended June 30, 2006. This increase is due primarily to an increase in operating partnership units issued to acquire the White Marsh portfolio in March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$0.6 million and $0.2 million for the three months ended June 30, 2007 and 2006, respectively, represents the operating income for the period during which we owned properties sold or to be sold in 2007 and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Oprations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gain on sale of real estate from discontinued operations decreased $5.7 million, or 75.6%, to $1.8 million in the three months ended June 30, 2007, compared to $7.6 million in the three months ended June 30, 2006. All of the properties sold in 2007 (Bath Shopping Center, Key Road Plaza, and Riverside Plaza) and 2006 (condominiums at Santana Row) resulted in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gain on sale of real estate includes properties which we maintained continuing involvement through our unconsolidated real estate partnership. No properties were sold in 2007 for which we maintained continuing involvement. One property, Greenlawn Plaza, was sold in 2006 to our unconsolidated real estate partnership, which resulted in a $7.4 million 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June 30, 2007 and 2006.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Three Months Ended June 30,</w:t>
            </w:r>
          </w:p>
        </w:tc>
      </w:tr>
      <w:tr>
        <w:trPr>
          <w:trHeight w:val="142"/>
        </w:trPr>
        <w:tc>
          <w:tcPr>
            <w:tcW w:w="9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2"/>
                <w:szCs w:val="1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93,844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81,584</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96,393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83,408</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69,525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60,987</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1,916,468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1,393,298</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16,842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15,074</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26,076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23,745</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27,211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25,136</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17,718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16,749</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878,443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877,499</w:t>
            </w: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1180" w:type="dxa"/>
            <w:vAlign w:val="bottom"/>
            <w:gridSpan w:val="2"/>
          </w:tcPr>
          <w:p>
            <w:pPr>
              <w:jc w:val="right"/>
              <w:ind w:right="412"/>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Rental income for the East region increased $12.3 million to $93.8 million in the three months ended June 30, 2007 compared to $81.6 million in the three months ended June 30, 2006 due primarily to the following:</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$8.2 million attributable to properties acquired in 2007 and 2006,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$3.2 million at same-center properties due to increased rental rates on new leases and increased cost recoveries,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of $1.3 million at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$0.4 million related to the sale of Greenlawn Plaza to our unconsolidated real estate partnership in June 2006.</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Property operating income for the East region increased $8.5 million due primarily to the increase in rental income discussed above partially offset by a $3.1 million increase in rental expense due to the acquisition of properties, additional snow removal costs, repairs and maintenance costs, and additional legal costs and a $1.4 million increase in real estate taxes due primarily to the acquisition of properties and higher assessments on our same-center and redevelopment properties. As a result of these changes, the ratio of property operating income to total revenue for the East region decreased to 72.1% in the three months ended June 30, 2007 from 73.1% in the three months ended June 30,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Rental income for the West region increased $2.3 million to $26.1 million in the three months ended June 30, 2007 from $23.7 million in the three months ended June 30, 2006 due primarily to an increase of $1.2 million at Santana Row. The increase in rental income at Santana Row is due primarily to leasing residential units throughout 2006 and increased occupancy rates.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Property operating income for the West region increased $1.0 million due primarily to the increase in rental income discussed above partially offset by a $1.0 million increase in rental expenses and real estate taxes primarily at Santana Row and a $0.2 million decrease in mortgage interest income due to an amendment of our $17.7 million second mortgage note receivable secured by a hotel in our Santana Row project in San Jose, California, which was executed on August 14, 2006 and decreased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interest rate from 14% per annum to 9% per annum. As a result of these changes, the ratio of property operating income to total revenue for the West region decreased to 65.1% in the three months ended June 30, 2007 from 66.6% in the three months ended June 30,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Implemented</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 or cash flows. We recognize penalties and interest accrued related to unrecognized tax benefits as income tax expense. With few exceptions, we are no longer subject to U.S. federal, state, and local tax examinations by tax authorities for years before 2003. As of June 30, 2007, we had no material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to Be Implemented</w:t>
      </w:r>
    </w:p>
    <w:p>
      <w:pPr>
        <w:spacing w:after="0" w:line="9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No. 157 effective January 1, 2008. We do not believe the adoption of SFAS No. 157 will have a material impact on our financial position, results of operations or cash flows.</w:t>
      </w:r>
    </w:p>
    <w:p>
      <w:pPr>
        <w:spacing w:after="0" w:line="13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expect SFAS No. 159 to have a material impact on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2007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and cash equivalents were $11.7 million at June 30, 2007, which is a $0.2 million increase from the balance of cash and cash equivalents at December 31, 2006. Cash and cash equivalents are not a good indicator of our liquidity. We have a $300.0 million unsecured revolving credit facility that matures July 27, 2010, subject to a one-year extension at our option. We intend to utilize our revolving credit facility to initially finance the acquisition of properties and meet other short-term working capital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4"/>
              </w:rPr>
              <w:t>Six months ended June 30,</w:t>
            </w:r>
          </w:p>
        </w:tc>
      </w:tr>
      <w:tr>
        <w:trPr>
          <w:trHeight w:val="142"/>
        </w:trPr>
        <w:tc>
          <w:tcPr>
            <w:tcW w:w="9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9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2"/>
                <w:szCs w:val="1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93,798</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w w:val="98"/>
              </w:rPr>
              <w:t>(92,747)</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(17,875)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8"/>
              </w:rPr>
              <w:t>(17,261)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(70,520)</w:t>
            </w:r>
          </w:p>
        </w:tc>
      </w:tr>
      <w:tr>
        <w:trPr>
          <w:trHeight w:val="221"/>
        </w:trPr>
        <w:tc>
          <w:tcPr>
            <w:tcW w:w="96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60" w:type="dxa"/>
            <w:vAlign w:val="bottom"/>
          </w:tcPr>
          <w:p>
            <w:pPr>
              <w:spacing w:after="0"/>
              <w:rPr>
                <w:sz w:val="19"/>
                <w:szCs w:val="19"/>
                <w:color w:val="auto"/>
              </w:rPr>
            </w:pPr>
          </w:p>
        </w:tc>
      </w:tr>
      <w:tr>
        <w:trPr>
          <w:trHeight w:val="218"/>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6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cash provided by operating activities increased $16.4 million to $110.2 million during the six months ended June 30, 2007 from $93.8 million during the six months ended June 30, 2006.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$11.0 million decrease in cash used for working capital due primarily to higher accounts payable and lower prepaid balances,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$5.5 million higher net income before gain on sale of real estate, depreciation and amortization, minority interest, and other non-cash expenses.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cash used in investing activities increased $74.9 million to $92.7 million during the six months ended June 30, 2007 from $17.9 million during the six months ended June 30, 2006.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$23.9 million decrease in proceeds from the sale of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$19.1 million increase in capital expenditures primarily for development and redevelopment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$16.2 million increase in acquisitions of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$15.5 million increase in contributions to our unconsolidated real estate partnership due to additional acquisitions by the real estate partnership,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$1.4 million increase in leasing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$0.8 million increase in mortgage and note receivable repayments.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used in financing activities decreased $53.3 million to $17.3 million during the six months ended June 30, 2007 from $70.5 million used during the six months ended June 30, 2006. The decrease was primarily attributable to:</w:t>
      </w:r>
    </w:p>
    <w:p>
      <w:pPr>
        <w:spacing w:after="0" w:line="5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$40.5 million repayment of senior debentures in 2006,</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$10.9 million decrease in dividends paid to shareholders due primarily to $10.6 million of special common dividends paid in 2006 and a $5.7 million decrease in preferred share dividends offset by an increase in the common dividend rate in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 million increase in net borrowings on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$0.8 million increase in distributions to minority interests.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$8.2 million and $8.6 million at June 30, 2007 and December 31, 2006, respectively. Our equity in earnings from the restaurant joint ventures was $0.9 million for the six months ended June 30, 2007 and 2006.</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June 30, 2007, the Partnership had $81.6 million of mortgages payable outstanding. For mortgages payable totaling $36.7 million that are secured by three properties owned by subsidiaries of the Partnership, we are the guarantor for the obligations of the joint venture which are commonly referred to as “non-recourse carve-outs.” The guaranties do not have a finite term; however, once the lenders have been repaid in accordance with the loan documents, the only likely basis for a claim on the guaranty is for loss to the lender as a result of potential future environmental liability at the properties to which the loans relate. We are not guaranteeing repayment of the debt itself. The Partnership indemnifies us for any loss we incur under these guarantees.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w:t>
            </w:r>
          </w:p>
        </w:tc>
        <w:tc>
          <w:tcPr>
            <w:tcW w:w="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as of</w:t>
            </w: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 2007</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 2007</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9,900</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2008</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Mercer Mall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4,476</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8.375%</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6,293</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21,767</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61,524</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42,307</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16,700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15,949</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27,600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26,358</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31,384</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Mount Vernon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13,250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12,117</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377,829</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Net Discount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Total Mortgage Loans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377,189</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facilities (4)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3.730%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Notes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6.125% Notes (6)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6.325%</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November 15, 2007</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 (7)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Unamortized Net Premium</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Senior Notes and Debentures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1,127,548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Capital Lease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r>
      <w:tr>
        <w:trPr>
          <w:trHeight w:val="223"/>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1,813,475</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81"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Mortgage loans do not include our 30% share ($24.5 million) of the $81.6 million debt of the partnership with Clarion Lion Properties Fund.</w:t>
      </w:r>
    </w:p>
    <w:p>
      <w:pPr>
        <w:spacing w:after="0" w:line="113"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notes secured by this property. The loan balance represents an interest only note of $4.35 million at a rate of 6.18% and the remaining balance at a rate of 5.96%.</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spacing w:after="0" w:line="50"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and three months ended June 30, 2007 was $203 million. The weighted average effective interest rate on borrowings under our revolving credit facility, before amortization of debt fees, was 5.7% for the six and three months ended June 30, 2007. This credit facility is subject to a one-year extension at our option.</w:t>
      </w:r>
    </w:p>
    <w:p>
      <w:pPr>
        <w:spacing w:after="0" w:line="59"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August 15, 2008, the debentures are redeemable by the holders thereof at the original purchase price of $1,000 per debenture.</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June 30, 2007,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7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0"/>
              </w:rPr>
              <w:t>Lease</w:t>
            </w:r>
          </w:p>
        </w:tc>
        <w:tc>
          <w:tcPr>
            <w:tcW w:w="1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7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Reminder of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153,608</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19,136</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188,276</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147,275(1)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156,556</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122,040</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2012 and thereafter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294,524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142,662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734,765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1,171,951</w:t>
            </w:r>
          </w:p>
        </w:tc>
        <w:tc>
          <w:tcPr>
            <w:tcW w:w="22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377,829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150,813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1,282,925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1,811,567(3)</w:t>
            </w: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000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8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$147.0 million outstanding under our revolving credit facility which is subject to a one-year extension.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$10.0 million under the Mount Vernon mortgage loan that may be required to be paid on or after April 15, 2013 and $50 million of unsecured debt that may be called by the holders on August 15, 2008.</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on certain mortgage loans, senior notes and debentures as of June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the six months ended June 30, 2007 and 2006, and we do not anticipate it will have a significant effect in the future. We had no hedging instruments outstanding during the six months ended June 30, 2007.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60" w:type="dxa"/>
            <w:vAlign w:val="bottom"/>
            <w:gridSpan w:val="7"/>
          </w:tcPr>
          <w:p>
            <w:pPr>
              <w:jc w:val="right"/>
              <w:ind w:right="192"/>
              <w:spacing w:after="0"/>
              <w:rPr>
                <w:sz w:val="20"/>
                <w:szCs w:val="20"/>
                <w:color w:val="auto"/>
              </w:rPr>
            </w:pPr>
            <w:r>
              <w:rPr>
                <w:rFonts w:ascii="Arial" w:cs="Arial" w:eastAsia="Arial" w:hAnsi="Arial"/>
                <w:sz w:val="14"/>
                <w:szCs w:val="14"/>
                <w:b w:val="1"/>
                <w:bCs w:val="1"/>
                <w:color w:val="auto"/>
                <w:w w:val="91"/>
              </w:rPr>
              <w:t>For the Six Months Ended</w:t>
            </w:r>
          </w:p>
        </w:tc>
        <w:tc>
          <w:tcPr>
            <w:tcW w:w="100" w:type="dxa"/>
            <w:vAlign w:val="bottom"/>
          </w:tcPr>
          <w:p>
            <w:pPr>
              <w:spacing w:after="0"/>
              <w:rPr>
                <w:sz w:val="14"/>
                <w:szCs w:val="14"/>
                <w:color w:val="auto"/>
              </w:rPr>
            </w:pPr>
          </w:p>
        </w:tc>
        <w:tc>
          <w:tcPr>
            <w:tcW w:w="19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18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1"/>
              </w:rPr>
              <w:t>(In</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7"/>
              </w:rPr>
              <w:t>data)</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thousands,</w:t>
            </w: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2"/>
              </w:rPr>
              <w:t>except per share</w:t>
            </w:r>
          </w:p>
        </w:tc>
        <w:tc>
          <w:tcPr>
            <w:tcW w:w="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69,287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26,718</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(23,771)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43,884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24,317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101,032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93,279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51,616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53,688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57,149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0.91</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460" w:right="28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had no hedging instruments outstanding during the six months ended June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June 30, 2007 we had $1.5 billion of fixed-rate debt outstanding. If interest rates on our fixed-rate debt instruments at June 30, 2007 had been 1.0% higher, the fair value of those debt instruments on that date would have decreased by approximately $76.5 million. If interest rates on our fixed-rate debt instruments at June 30, 2007 had been 1.0% lower, the fair value of those debt instruments on that date would have increased by approximately $78.6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June 30, 2007, we had $156.4 million of variable rate debt outstanding. Based upon this amount of variable rate debt, if interest rates increased 1.0%, our annual interest expense would increase by approximately $1.6 million, and our net income and cash flows for the year would decrease by approximately $1.6 million. Conversely, if interest rates decreased 1.0%, our annual interest expense would decrease by approximately $1.6 million, and our net income and cash flows for the year would increase by approximately $1.6 million.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2007. Based on this evaluation, our management, including our Chief Executive Officer and Chief Financial Officer, concluded that our disclosure controls and procedures were effective as of June 30, 2007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The plaintiff is seeking an unspecified amount of monetary damages. A trial as to liability only was held on June 27, 2006 and a jury rendered a verdict against us. A trial date on the issue of damages has been set for March 2008. The complaint did not specify the amount of damages claimed however, we now understand that the plaintiff is claiming damages of $18 million. We cannot make a reasonable estimate of potential damages until experts are retained, additional discovery is completed on the damages issue and the court rules on various legal issues impacting the calculation of damages. The additional discovery on the damage claim has now commenced. We intend to appeal the jury verdict; however, no appeal of the judgment can be taken until the trial on damages has been completed. If we are not successful in overturning the jury verdict, we will be liable for damages and, based on our analysis with information available to date, we believe those damages could be de minimis. However, it is possible, there could be a material adverse impact on our net income in the period in which it is both probable that we will have to pay the damages and such damages can be reasonably estimated. In any event, management does not believe it will have a material impact on our financial position.</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has been concluded and post-trial briefs have been filed but no decision is expected to be rendered for 30-90 days. If we are found liable, a trial will be held to determine the amount of damages. Based on the evidence and information available to us, we believe there is a reasonable possibility that we will be successful in the litigation and found to have no liability, however,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2006 filed with the Securities and Exchange Commission on March 1, 2007. These factors include, but are not limited to,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March 8, 2007, we acquired the White Marsh Portfolio for which part of the consideration consisted of the issuance of (i) 884,066 common shares,</w:t>
      </w:r>
    </w:p>
    <w:p>
      <w:pPr>
        <w:spacing w:after="0" w:line="38" w:lineRule="exact"/>
        <w:rPr>
          <w:sz w:val="20"/>
          <w:szCs w:val="20"/>
          <w:color w:val="auto"/>
        </w:rPr>
      </w:pPr>
    </w:p>
    <w:p>
      <w:pPr>
        <w:ind w:right="20" w:firstLine="8"/>
        <w:spacing w:after="0" w:line="361" w:lineRule="auto"/>
        <w:tabs>
          <w:tab w:leader="none" w:pos="258" w:val="left"/>
        </w:tabs>
        <w:numPr>
          <w:ilvl w:val="0"/>
          <w:numId w:val="51"/>
        </w:numPr>
        <w:rPr>
          <w:rFonts w:ascii="Arial" w:cs="Arial" w:eastAsia="Arial" w:hAnsi="Arial"/>
          <w:sz w:val="15"/>
          <w:szCs w:val="15"/>
          <w:color w:val="auto"/>
        </w:rPr>
      </w:pPr>
      <w:r>
        <w:rPr>
          <w:rFonts w:ascii="Arial" w:cs="Arial" w:eastAsia="Arial" w:hAnsi="Arial"/>
          <w:sz w:val="15"/>
          <w:szCs w:val="15"/>
          <w:color w:val="auto"/>
        </w:rPr>
        <w:t>399,896 shares of 5.417% Series 1 Cumulative Convertible Preferred Shares (iii) 185,504 downREIT operating partnership units. On April 19, 2007, we registered the common shares and the shares which will be tendered on conversion by the preferred shareholders or downREIT operating partnership unit holders.</w:t>
      </w:r>
    </w:p>
    <w:p>
      <w:pPr>
        <w:spacing w:after="0" w:line="6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April 6, 2007, we redeemed 4,000 operating partnership units for cash.</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fiscal quarter ended June 30, 2007, we submitted certain matters to a vote of our shareholders through the notice of annual meeting of shareholders and the solicitation of proxies related thereto. The proxy materials related to our annual meeting of shareholders were distributed beginning March 26, 2007, and the annual meeting of shareholders was held on May 2, 2007 in Rockville, Maryland. As of the record date prior to such meeting, 56,316,447 of our common shares were outstanding. At the annual shareholders meeting on May 2, 2007, 47,511,778 shares of our common stock were presented in person or by proxy, representing 84% of our outstanding common shares. The following table sets forth the matters presented for a vote by the shareholders and the votes cast for and against such matters: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90"/>
              </w:rPr>
              <w:t>(1)</w:t>
            </w:r>
          </w:p>
        </w:tc>
        <w:tc>
          <w:tcPr>
            <w:tcW w:w="8320" w:type="dxa"/>
            <w:vAlign w:val="bottom"/>
          </w:tcPr>
          <w:p>
            <w:pPr>
              <w:spacing w:after="0"/>
              <w:rPr>
                <w:sz w:val="20"/>
                <w:szCs w:val="20"/>
                <w:color w:val="auto"/>
              </w:rPr>
            </w:pPr>
            <w:r>
              <w:rPr>
                <w:rFonts w:ascii="Arial" w:cs="Arial" w:eastAsia="Arial" w:hAnsi="Arial"/>
                <w:sz w:val="14"/>
                <w:szCs w:val="14"/>
                <w:b w:val="1"/>
                <w:bCs w:val="1"/>
                <w:color w:val="auto"/>
              </w:rPr>
              <w:t>Matter</w:t>
            </w:r>
          </w:p>
        </w:tc>
        <w:tc>
          <w:tcPr>
            <w:tcW w:w="1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Votes for</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3"/>
              </w:rPr>
              <w:t>Votes against</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Abstentions</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8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Election of Mr. Jon E. Bortz as a Class II Trustee with a term serving until the 2010 Annual Meeting</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47,017,082</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519,120</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8320" w:type="dxa"/>
            <w:vAlign w:val="bottom"/>
          </w:tcPr>
          <w:p>
            <w:pPr>
              <w:spacing w:after="0"/>
              <w:rPr>
                <w:sz w:val="20"/>
                <w:szCs w:val="20"/>
                <w:color w:val="auto"/>
              </w:rPr>
            </w:pPr>
            <w:r>
              <w:rPr>
                <w:rFonts w:ascii="Arial" w:cs="Arial" w:eastAsia="Arial" w:hAnsi="Arial"/>
                <w:sz w:val="18"/>
                <w:szCs w:val="18"/>
                <w:color w:val="auto"/>
              </w:rPr>
              <w:t>Election of Mr. David W. Faeder as a Class II Trustee with a term serving until the 2010 Annual Meeting</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47,014,094</w:t>
            </w:r>
          </w:p>
        </w:tc>
        <w:tc>
          <w:tcPr>
            <w:tcW w:w="820" w:type="dxa"/>
            <w:vAlign w:val="bottom"/>
          </w:tcPr>
          <w:p>
            <w:pPr>
              <w:jc w:val="right"/>
              <w:spacing w:after="0"/>
              <w:rPr>
                <w:sz w:val="20"/>
                <w:szCs w:val="20"/>
                <w:color w:val="auto"/>
              </w:rPr>
            </w:pPr>
            <w:r>
              <w:rPr>
                <w:rFonts w:ascii="Arial" w:cs="Arial" w:eastAsia="Arial" w:hAnsi="Arial"/>
                <w:sz w:val="18"/>
                <w:szCs w:val="18"/>
                <w:color w:val="auto"/>
              </w:rPr>
              <w:t>522,108</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8320" w:type="dxa"/>
            <w:vAlign w:val="bottom"/>
          </w:tcPr>
          <w:p>
            <w:pPr>
              <w:spacing w:after="0"/>
              <w:rPr>
                <w:sz w:val="20"/>
                <w:szCs w:val="20"/>
                <w:color w:val="auto"/>
              </w:rPr>
            </w:pPr>
            <w:r>
              <w:rPr>
                <w:rFonts w:ascii="Arial" w:cs="Arial" w:eastAsia="Arial" w:hAnsi="Arial"/>
                <w:sz w:val="18"/>
                <w:szCs w:val="18"/>
                <w:color w:val="auto"/>
              </w:rPr>
              <w:t>Election of Ms. Kristin Gamble as a Class II Trustee with a term serving until the 2010 Annual Meeting</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46,665,777</w:t>
            </w:r>
          </w:p>
        </w:tc>
        <w:tc>
          <w:tcPr>
            <w:tcW w:w="820" w:type="dxa"/>
            <w:vAlign w:val="bottom"/>
          </w:tcPr>
          <w:p>
            <w:pPr>
              <w:jc w:val="right"/>
              <w:spacing w:after="0"/>
              <w:rPr>
                <w:sz w:val="20"/>
                <w:szCs w:val="20"/>
                <w:color w:val="auto"/>
              </w:rPr>
            </w:pPr>
            <w:r>
              <w:rPr>
                <w:rFonts w:ascii="Arial" w:cs="Arial" w:eastAsia="Arial" w:hAnsi="Arial"/>
                <w:sz w:val="18"/>
                <w:szCs w:val="18"/>
                <w:color w:val="auto"/>
              </w:rPr>
              <w:t>870,425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(4)</w:t>
            </w:r>
          </w:p>
        </w:tc>
        <w:tc>
          <w:tcPr>
            <w:tcW w:w="8320" w:type="dxa"/>
            <w:vAlign w:val="bottom"/>
          </w:tcPr>
          <w:p>
            <w:pPr>
              <w:spacing w:after="0"/>
              <w:rPr>
                <w:sz w:val="20"/>
                <w:szCs w:val="20"/>
                <w:color w:val="auto"/>
              </w:rPr>
            </w:pPr>
            <w:r>
              <w:rPr>
                <w:rFonts w:ascii="Arial" w:cs="Arial" w:eastAsia="Arial" w:hAnsi="Arial"/>
                <w:sz w:val="18"/>
                <w:szCs w:val="18"/>
                <w:color w:val="auto"/>
                <w:w w:val="91"/>
              </w:rPr>
              <w:t>The ratification of the appointment of Grant Thornton LLP as the Trust’s independent registered public accounting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firm for the year ending December 31, 2007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47,020,742</w:t>
            </w:r>
          </w:p>
        </w:tc>
        <w:tc>
          <w:tcPr>
            <w:tcW w:w="820" w:type="dxa"/>
            <w:vAlign w:val="bottom"/>
          </w:tcPr>
          <w:p>
            <w:pPr>
              <w:jc w:val="right"/>
              <w:spacing w:after="0"/>
              <w:rPr>
                <w:sz w:val="20"/>
                <w:szCs w:val="20"/>
                <w:color w:val="auto"/>
              </w:rPr>
            </w:pPr>
            <w:r>
              <w:rPr>
                <w:rFonts w:ascii="Arial" w:cs="Arial" w:eastAsia="Arial" w:hAnsi="Arial"/>
                <w:sz w:val="18"/>
                <w:szCs w:val="18"/>
                <w:color w:val="auto"/>
              </w:rPr>
              <w:t>444,108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71,308</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(5)</w:t>
            </w:r>
          </w:p>
        </w:tc>
        <w:tc>
          <w:tcPr>
            <w:tcW w:w="8320" w:type="dxa"/>
            <w:vAlign w:val="bottom"/>
          </w:tcPr>
          <w:p>
            <w:pPr>
              <w:spacing w:after="0"/>
              <w:rPr>
                <w:sz w:val="20"/>
                <w:szCs w:val="20"/>
                <w:color w:val="auto"/>
              </w:rPr>
            </w:pPr>
            <w:r>
              <w:rPr>
                <w:rFonts w:ascii="Arial" w:cs="Arial" w:eastAsia="Arial" w:hAnsi="Arial"/>
                <w:sz w:val="18"/>
                <w:szCs w:val="18"/>
                <w:color w:val="auto"/>
                <w:w w:val="88"/>
              </w:rPr>
              <w:t>The approval of our Amended and Restated 2001 Long-Term Incentive Plan, which will, among other things, increase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9"/>
              </w:rPr>
              <w:t>the aggregate number of shares available under the 2001 Long-Term Incentive Plan by 1,500,000 shares</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40,686,669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1,823,535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222,438</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terms of office of the following Trustees continued after the meeting: Gail P. Steinel, Joseph S. Vassalluzzo and Donald C. Wood.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8060" w:type="dxa"/>
            <w:vAlign w:val="bottom"/>
            <w:gridSpan w:val="2"/>
          </w:tcPr>
          <w:p>
            <w:pPr>
              <w:ind w:left="272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3360" w:type="dxa"/>
            <w:vAlign w:val="bottom"/>
          </w:tcPr>
          <w:p>
            <w:pPr>
              <w:spacing w:after="0"/>
              <w:rPr>
                <w:sz w:val="20"/>
                <w:szCs w:val="20"/>
                <w:color w:val="auto"/>
              </w:rPr>
            </w:pPr>
            <w:r>
              <w:rPr>
                <w:rFonts w:ascii="Arial" w:cs="Arial" w:eastAsia="Arial" w:hAnsi="Arial"/>
                <w:sz w:val="18"/>
                <w:szCs w:val="18"/>
                <w:color w:val="auto"/>
              </w:rPr>
              <w:t>August 1, 2007</w:t>
            </w:r>
          </w:p>
        </w:tc>
        <w:tc>
          <w:tcPr>
            <w:tcW w:w="2940" w:type="dxa"/>
            <w:vAlign w:val="bottom"/>
          </w:tcPr>
          <w:p>
            <w:pPr>
              <w:spacing w:after="0"/>
              <w:rPr>
                <w:sz w:val="24"/>
                <w:szCs w:val="24"/>
                <w:color w:val="auto"/>
              </w:rPr>
            </w:pPr>
          </w:p>
        </w:tc>
        <w:tc>
          <w:tcPr>
            <w:tcW w:w="51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/s/ D</w:t>
            </w:r>
            <w:r>
              <w:rPr>
                <w:rFonts w:ascii="Arial" w:cs="Arial" w:eastAsia="Arial" w:hAnsi="Arial"/>
                <w:sz w:val="14"/>
                <w:szCs w:val="14"/>
                <w:b w:val="1"/>
                <w:bCs w:val="1"/>
                <w:color w:val="auto"/>
                <w:w w:val="99"/>
              </w:rPr>
              <w:t>ONALD</w:t>
            </w:r>
            <w:r>
              <w:rPr>
                <w:rFonts w:ascii="Arial" w:cs="Arial" w:eastAsia="Arial" w:hAnsi="Arial"/>
                <w:sz w:val="18"/>
                <w:szCs w:val="18"/>
                <w:b w:val="1"/>
                <w:bCs w:val="1"/>
                <w:color w:val="auto"/>
                <w:w w:val="99"/>
              </w:rPr>
              <w:t xml:space="preserve"> C. W</w:t>
            </w:r>
            <w:r>
              <w:rPr>
                <w:rFonts w:ascii="Arial" w:cs="Arial" w:eastAsia="Arial" w:hAnsi="Arial"/>
                <w:sz w:val="14"/>
                <w:szCs w:val="14"/>
                <w:b w:val="1"/>
                <w:bCs w:val="1"/>
                <w:color w:val="auto"/>
                <w:w w:val="99"/>
              </w:rPr>
              <w:t>OOD</w:t>
            </w:r>
          </w:p>
        </w:tc>
      </w:tr>
      <w:tr>
        <w:trPr>
          <w:trHeight w:val="196"/>
        </w:trPr>
        <w:tc>
          <w:tcPr>
            <w:tcW w:w="3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120" w:type="dxa"/>
            <w:vAlign w:val="bottom"/>
          </w:tcPr>
          <w:p>
            <w:pPr>
              <w:jc w:val="center"/>
              <w:ind w:left="32"/>
              <w:spacing w:after="0" w:line="196" w:lineRule="exact"/>
              <w:rPr>
                <w:sz w:val="20"/>
                <w:szCs w:val="20"/>
                <w:color w:val="auto"/>
              </w:rPr>
            </w:pPr>
            <w:r>
              <w:rPr>
                <w:rFonts w:ascii="Arial" w:cs="Arial" w:eastAsia="Arial" w:hAnsi="Arial"/>
                <w:sz w:val="18"/>
                <w:szCs w:val="18"/>
                <w:b w:val="1"/>
                <w:bCs w:val="1"/>
                <w:color w:val="auto"/>
                <w:w w:val="88"/>
              </w:rPr>
              <w:t>Donald C. Wood,</w:t>
            </w:r>
          </w:p>
        </w:tc>
      </w:tr>
      <w:tr>
        <w:trPr>
          <w:trHeight w:val="216"/>
        </w:trPr>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1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President, Chief Executive Officer and Trustee</w:t>
            </w:r>
          </w:p>
        </w:tc>
      </w:tr>
      <w:tr>
        <w:trPr>
          <w:trHeight w:val="228"/>
        </w:trPr>
        <w:tc>
          <w:tcPr>
            <w:tcW w:w="3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636"/>
        </w:trPr>
        <w:tc>
          <w:tcPr>
            <w:tcW w:w="3360" w:type="dxa"/>
            <w:vAlign w:val="bottom"/>
          </w:tcPr>
          <w:p>
            <w:pPr>
              <w:spacing w:after="0"/>
              <w:rPr>
                <w:sz w:val="20"/>
                <w:szCs w:val="20"/>
                <w:color w:val="auto"/>
              </w:rPr>
            </w:pPr>
            <w:r>
              <w:rPr>
                <w:rFonts w:ascii="Arial" w:cs="Arial" w:eastAsia="Arial" w:hAnsi="Arial"/>
                <w:sz w:val="18"/>
                <w:szCs w:val="18"/>
                <w:color w:val="auto"/>
              </w:rPr>
              <w:t>August 1, 2007</w:t>
            </w:r>
          </w:p>
        </w:tc>
        <w:tc>
          <w:tcPr>
            <w:tcW w:w="2940" w:type="dxa"/>
            <w:vAlign w:val="bottom"/>
          </w:tcPr>
          <w:p>
            <w:pPr>
              <w:spacing w:after="0"/>
              <w:rPr>
                <w:sz w:val="24"/>
                <w:szCs w:val="24"/>
                <w:color w:val="auto"/>
              </w:rPr>
            </w:pPr>
          </w:p>
        </w:tc>
        <w:tc>
          <w:tcPr>
            <w:tcW w:w="512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9"/>
              </w:rPr>
              <w:t>/s/ L</w:t>
            </w:r>
            <w:r>
              <w:rPr>
                <w:rFonts w:ascii="Arial" w:cs="Arial" w:eastAsia="Arial" w:hAnsi="Arial"/>
                <w:sz w:val="14"/>
                <w:szCs w:val="14"/>
                <w:b w:val="1"/>
                <w:bCs w:val="1"/>
                <w:color w:val="auto"/>
                <w:w w:val="99"/>
              </w:rPr>
              <w:t>ARRY</w:t>
            </w:r>
            <w:r>
              <w:rPr>
                <w:rFonts w:ascii="Arial" w:cs="Arial" w:eastAsia="Arial" w:hAnsi="Arial"/>
                <w:sz w:val="18"/>
                <w:szCs w:val="18"/>
                <w:b w:val="1"/>
                <w:bCs w:val="1"/>
                <w:color w:val="auto"/>
                <w:w w:val="99"/>
              </w:rPr>
              <w:t xml:space="preserve"> E. F</w:t>
            </w:r>
            <w:r>
              <w:rPr>
                <w:rFonts w:ascii="Arial" w:cs="Arial" w:eastAsia="Arial" w:hAnsi="Arial"/>
                <w:sz w:val="14"/>
                <w:szCs w:val="14"/>
                <w:b w:val="1"/>
                <w:bCs w:val="1"/>
                <w:color w:val="auto"/>
                <w:w w:val="99"/>
              </w:rPr>
              <w:t>INGER</w:t>
            </w:r>
          </w:p>
        </w:tc>
      </w:tr>
      <w:tr>
        <w:trPr>
          <w:trHeight w:val="196"/>
        </w:trPr>
        <w:tc>
          <w:tcPr>
            <w:tcW w:w="3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120" w:type="dxa"/>
            <w:vAlign w:val="bottom"/>
          </w:tcPr>
          <w:p>
            <w:pPr>
              <w:jc w:val="center"/>
              <w:ind w:left="12"/>
              <w:spacing w:after="0" w:line="196" w:lineRule="exact"/>
              <w:rPr>
                <w:sz w:val="20"/>
                <w:szCs w:val="20"/>
                <w:color w:val="auto"/>
              </w:rPr>
            </w:pPr>
            <w:r>
              <w:rPr>
                <w:rFonts w:ascii="Arial" w:cs="Arial" w:eastAsia="Arial" w:hAnsi="Arial"/>
                <w:sz w:val="18"/>
                <w:szCs w:val="18"/>
                <w:b w:val="1"/>
                <w:bCs w:val="1"/>
                <w:color w:val="auto"/>
                <w:w w:val="92"/>
              </w:rPr>
              <w:t>Larry E. Finger,</w:t>
            </w:r>
          </w:p>
        </w:tc>
      </w:tr>
      <w:tr>
        <w:trPr>
          <w:trHeight w:val="216"/>
        </w:trPr>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12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Executive Vice President and</w:t>
            </w:r>
          </w:p>
        </w:tc>
      </w:tr>
      <w:tr>
        <w:trPr>
          <w:trHeight w:val="228"/>
        </w:trPr>
        <w:tc>
          <w:tcPr>
            <w:tcW w:w="3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Chief Financial Officer (Principal Accounting Officer)</w:t>
            </w:r>
          </w:p>
        </w:tc>
      </w:tr>
      <w:tr>
        <w:trPr>
          <w:trHeight w:val="365"/>
        </w:trPr>
        <w:tc>
          <w:tcPr>
            <w:tcW w:w="3360" w:type="dxa"/>
            <w:vAlign w:val="bottom"/>
          </w:tcPr>
          <w:p>
            <w:pPr>
              <w:spacing w:after="0"/>
              <w:rPr>
                <w:sz w:val="24"/>
                <w:szCs w:val="24"/>
                <w:color w:val="auto"/>
              </w:rPr>
            </w:pPr>
          </w:p>
        </w:tc>
        <w:tc>
          <w:tcPr>
            <w:tcW w:w="2940" w:type="dxa"/>
            <w:vAlign w:val="bottom"/>
          </w:tcPr>
          <w:p>
            <w:pPr>
              <w:jc w:val="right"/>
              <w:ind w:right="412"/>
              <w:spacing w:after="0"/>
              <w:rPr>
                <w:sz w:val="20"/>
                <w:szCs w:val="20"/>
                <w:color w:val="auto"/>
              </w:rPr>
            </w:pPr>
            <w:r>
              <w:rPr>
                <w:rFonts w:ascii="Arial" w:cs="Arial" w:eastAsia="Arial" w:hAnsi="Arial"/>
                <w:sz w:val="18"/>
                <w:szCs w:val="18"/>
                <w:color w:val="auto"/>
              </w:rPr>
              <w:t>39</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780" w:type="dxa"/>
            <w:vAlign w:val="bottom"/>
          </w:tcPr>
          <w:p>
            <w:pPr>
              <w:spacing w:after="0"/>
              <w:rPr>
                <w:sz w:val="17"/>
                <w:szCs w:val="17"/>
                <w:color w:val="auto"/>
              </w:rPr>
            </w:pPr>
          </w:p>
        </w:tc>
        <w:tc>
          <w:tcPr>
            <w:tcW w:w="9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 Trust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of Federal Realty Investment Trust dated May 6, 2004, as corrected by the Certificate of Correction of Articles of Amendment of Declaration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of Trust of Federal Realty Investment Trust dated June 17, 2004 (previously filed as Exhibit 3.1 to the Trust’s Quarterly Report on Form 10-Q</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 the quarter ended June 30, 2005 (File No. 1-07533) (the “2005 2Q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February 17, 2006 (previously filed as Exhibit 3.2 to the Trust’s Annual Report on Form 10-K for the year ended December 31, 2005 (File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No. 1-07533) (the “2005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Articles Supplementary relating to the 5.417% Series 1 Cumulative Convertible Preferred Shares of Beneficial Interest (previously filed as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Exhibit 4.1 to the Trust’s Current Report on Form 8 filed on March 13, 2007, (File No. 333-142231)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7"/>
              </w:rPr>
              <w:t>(previously filed as Exhibit 1 to the Trust’s Registration Statement on Form 8-A/A filed on March 11, 1999 (File No. 1-07533) and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7"/>
              </w:rPr>
              <w:t>First Amendment to Amended and Restated Rights Agreement, dated as of November , 2003, between the Trust and American Stock Transfer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&amp; Trust Company (previously filed as Exhibit 4.5 to the Trust’s Annual Report on Form 10-K for the year ended December 31, 2003 (File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No. 1-07533)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Indenture dated December 13, 1993 related to the Trust’s 7.48% Debentures due August 15, 2026; and 6.82% Medium Term Notes due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/8% Notes due November 15, 2007; 4.50%</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Notes due 2011; 5.65% Notes due 2016; 6.00% Notes due 2012; 6.20% Notes due 2017; and 5.40% Notes due 2013 (previously filed as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filed as exhibits to the Trust’s Registration Statement in Form S-8 (File No. 33-55111), filed on August 17, 1994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1985 Non-Qualified Stock Option Plan (previously filed as a portion of Exhibit 10 to the Trust’s Annual Report on Form 10-K for the year</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Exhibit No.</w:t>
            </w:r>
          </w:p>
        </w:tc>
        <w:tc>
          <w:tcPr>
            <w:tcW w:w="68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680" w:type="dxa"/>
            <w:vAlign w:val="bottom"/>
          </w:tcPr>
          <w:p>
            <w:pPr>
              <w:spacing w:after="0"/>
              <w:rPr>
                <w:sz w:val="17"/>
                <w:szCs w:val="17"/>
                <w:color w:val="auto"/>
              </w:rPr>
            </w:pPr>
          </w:p>
        </w:tc>
        <w:tc>
          <w:tcPr>
            <w:tcW w:w="10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1991 Share Purchase Plan (previously filed as a portion of Exhibit 10 to the Trust’s Annual Report on Form 10-K for the year ended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Amended and Restated 1993 Long-Term Incentive Plan, as amended on October 6, 1997 and further amended on May 6, 1998 (previously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filed as Exhibit 10.26 to the Trust’s Annual Report on Form 10-K for the year ended December 31, 1998 (File No. 1-07533) and incorporated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Fiscal Agency Agreement dated as of October 28, 1993 between the Trust and Citibank, N.A. (previously filed as an exhibit to the Trust’s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Quarterly Report on Form 10-Q for the quarter ended September 30, 1993 (File No. 1-07533)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4"/>
              </w:rPr>
              <w:t>Form of Severance Agreement between the Trust and Certain of its Officers dated December 31, 1994 (previously filed as a portion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Exhibit 10 to the Trust’s Annual Report on Form 10-K for the year ended December 31, 1994 (File No. 1-07533)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Performance Share Award Agreement dated as of February 9, 2000 between the Trust and Donald C. Wood (previously filed as a portion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Restricted Share Award Agreement dated as of February 9, 2000 between the Trust and Donald C. Wood (previously filed as a portion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Severance Agreement between the Trust and Donald C. Wood dated February 22, 1999 (previously filed as a portion of Exhibit 10 to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Trust’s Quarterly Report on Form 10-Q for the quarter ended March 31, 1999 (File No. 1-07533) (the “1999 1Q Form 10-Q”) and incorporated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Executive Agreement between Federal Realty Investment Trust and Donald C. Wood dated February 22, 1999 (previously filed as a portion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10.11</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Amendment to Executive Agreement between Federal Realty Investment Trust and Donald C. Wood dated February 16, 2005 (previously filed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as Exhibit 10.12 to the Trust’s Annual Report on Form 10-K for the year ended December 31, 2004 (File No. 1-07533) (the “2004 Form 10-</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Amendment to Restricted Share Award Agreement dated December 8, 2000 between the Trust and Donald C. Wood (previously filed as a</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portion of Exhibit 10 to the Trust’s Annual Report on Form 10-K for the year ended December 31, 2000 (File No. 1-07533) (the “2000</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Split Dollar Life Insurance Agreement dated August 12, 1998 between the Trust and Donald C. Wood (previously filed as a portion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Restricted Share Award Agreement dated as of February 15, 2000 between the Trust and Jeffrey S. Berkes (previously filed as a portion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Exhibit 10 to the Trust’s Annual Report on Form 10-K for the year ended December 31, 2001 (File No. 1-07533) (the “2001 Form 10-K”) and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Severance Agreement between the Trust and Jeffrey S. Berkes dated March 1, 2000 (previously filed as a portion of Exhibit 10 to the 2001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10.16</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7"/>
              </w:rPr>
              <w:t>Amendment to Severance Agreement between Federal Realty Investment Trust and Jeffrey S. Berkes dated February 16, 2005 (previously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as Exhibit 10.17 to the 2004 Form 10-K and incorporated herein by reference)</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8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10.17</w:t>
            </w:r>
          </w:p>
        </w:tc>
        <w:tc>
          <w:tcPr>
            <w:tcW w:w="680" w:type="dxa"/>
            <w:vAlign w:val="bottom"/>
          </w:tcPr>
          <w:p>
            <w:pPr>
              <w:spacing w:after="0"/>
              <w:rPr>
                <w:sz w:val="17"/>
                <w:szCs w:val="17"/>
                <w:color w:val="auto"/>
              </w:rPr>
            </w:pPr>
          </w:p>
        </w:tc>
        <w:tc>
          <w:tcPr>
            <w:tcW w:w="10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Severance Agreement dated March 1, 2002 between the Trust and Larry E. Finger (previously filed as a portion of Exhibit 10 to the Trust’s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Quarterly Report on Form 10-Q for the quarter ended June 30, 2002 (File No. 1-07533) (the “2002 2Q Form 10-Q”)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10.18</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Larry E. Finger dated February 16, 2005 (previously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as Exhibit 10.19 to the 2004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10.19</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Combined Incentive and Non-Qualified Stock Option Agreement dated February 28, 2002 between the Trust and Larry E. Finger (previously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filed as a portion of Exhibit 10 to the 2002 2Q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Performance Share Award Agreement between the Trust and Donald C. Wood dated February 28, 2002 (previously filed as a portion of Exhibit</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10 to the 2002 2Q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Performance Share Award Agreement between the Trust and Jeffrey S. Berkes dated February 28, 2002 (previously filed as a portion of</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Exhibit 10 to the 2002 2Q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Amendment to Stock Option Agreement dated August 15, 2002 between the Trust and Dawn M. Becker (previously filed as a portion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Exhibit 10 to the Trust’s Quarterly Report on Form 10-Q for the quarter ended September 30, 2002 (File No. 1-075330 (the “2002 3Q</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Amendment to Stock Option Agreement dated August 15, 2002 between Federal Realty Investment Trust and Jeffrey S. Berkes (previously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filed as a portion of Exhibit 10 to the 2002 3Q Form 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2001 Long-Term Incentive Plan (previously filed as Exhibit 99.1 to the Trust’s S-8 Registration Number 333-60364 filed on May 7, 2001 and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10.25</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 Wood dated February 16, 2005 (previously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10.26</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Severance Agreement between the Trust and Dawn Becker dated April 19, 2000 (previously filed as Exhibit 10.26 to the Trust’s 2005 2Q Form</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10.27</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10.28</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Form of Restricted Share Award Agreement for awards made under the Trust’s 2003 Long-Term Incentive Award Program for shares issued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out of 2001 Long-Term Incentive Plan (previously filed as Exhibit 10.28 to the 2004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10.29</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10.30</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10.31</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Exhibit No.</w:t>
            </w:r>
          </w:p>
        </w:tc>
        <w:tc>
          <w:tcPr>
            <w:tcW w:w="68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10.32</w:t>
            </w:r>
          </w:p>
        </w:tc>
        <w:tc>
          <w:tcPr>
            <w:tcW w:w="680" w:type="dxa"/>
            <w:vAlign w:val="bottom"/>
          </w:tcPr>
          <w:p>
            <w:pPr>
              <w:spacing w:after="0"/>
              <w:rPr>
                <w:sz w:val="17"/>
                <w:szCs w:val="17"/>
                <w:color w:val="auto"/>
              </w:rPr>
            </w:pPr>
          </w:p>
        </w:tc>
        <w:tc>
          <w:tcPr>
            <w:tcW w:w="10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r>
      <w:tr>
        <w:trPr>
          <w:trHeight w:val="318"/>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10.33</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and various other financial institutions (previously filed as Exhibit 10.1) to the Trust’s Current Report on Form 8-K (File No. 1-07533),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on July 31, 2006 and incorporated herein by reference)</w:t>
            </w:r>
          </w:p>
        </w:tc>
      </w:tr>
      <w:tr>
        <w:trPr>
          <w:trHeight w:val="324"/>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10.34</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2001 Long-Term Incentive Plan (filed herewith)</w:t>
            </w:r>
          </w:p>
        </w:tc>
      </w:tr>
      <w:tr>
        <w:trPr>
          <w:trHeight w:val="324"/>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6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6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bl>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LONG-TERM INCENTIVE PLAN</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Realty Investment Trust, a Maryland real estate investment trust (the “Trust”) wishes to recruit, reward, and retain trustees, employees, and others important to the Trust’s operations. To further these objectives, the Trust hereby sets forth the Federal Realty Investment Trust Amended and Restated 2001 Long-Term Incentive Plan (the “Plan”), to provide awards of the types provided for herein. The Plan was originally adopted by the Board on February 14, 2001 (as the Federal Realty Investment Trust 2001 Long-Term Incentive Plan), and approved by the Trust’s shareholders on May 2, 2001. This amendment and restatement is effective for Awards granted on and after May 2, 2007.</w:t>
      </w:r>
    </w:p>
    <w:p>
      <w:pPr>
        <w:spacing w:after="0" w:line="2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purpose of the Plan is to enhance the Trust’s ability to attract, retain, and compensate highly qualified trustees, officers, key employees, and other persons, and to motivate such officers, key employees, and other persons to serve the Trust and its Affiliates (as defined herein) and to expend maximum effort to improve the business results and earnings of the Trust, by providing to such trustees, officers, key employees and other persons an opportunity to acquire or increase a direct proprietary interest in the operations and future success of the Trust and with other financial incentives. To this end, the Plan provides for the grant of Options, Share Appreciation Rights, Restricted Shares, Restricted Share Units, Deferred Share Awards, Share Purchase Awards, Unrestricted Share Awards, Performance Share Awards, Dividend Equivalent Rights, Performance Awards and Annual Incentive Awards in accordance with the terms hereof. Options granted under the Plan may be non-qualified share options or incentive share options, as provided herein.</w:t>
      </w:r>
    </w:p>
    <w:p>
      <w:pPr>
        <w:spacing w:after="0" w:line="23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right="1840"/>
        <w:spacing w:after="0" w:line="434" w:lineRule="auto"/>
        <w:rPr>
          <w:rFonts w:ascii="Arial" w:cs="Arial" w:eastAsia="Arial" w:hAnsi="Arial"/>
          <w:sz w:val="18"/>
          <w:szCs w:val="18"/>
          <w:b w:val="1"/>
          <w:bCs w:val="1"/>
          <w:color w:val="auto"/>
        </w:rPr>
      </w:pPr>
      <w:r>
        <w:rPr>
          <w:rFonts w:ascii="Arial" w:cs="Arial" w:eastAsia="Arial" w:hAnsi="Arial"/>
          <w:sz w:val="18"/>
          <w:szCs w:val="18"/>
          <w:color w:val="auto"/>
        </w:rPr>
        <w:t xml:space="preserve">For purposes of interpreting the Plan and related documents (including Award Agreements), the following definitions shall apply: 2.1 </w:t>
      </w:r>
      <w:r>
        <w:rPr>
          <w:rFonts w:ascii="Arial" w:cs="Arial" w:eastAsia="Arial" w:hAnsi="Arial"/>
          <w:sz w:val="18"/>
          <w:szCs w:val="18"/>
          <w:b w:val="1"/>
          <w:bCs w:val="1"/>
          <w:color w:val="auto"/>
        </w:rPr>
        <w:t>“Administrator”</w:t>
      </w:r>
      <w:r>
        <w:rPr>
          <w:rFonts w:ascii="Arial" w:cs="Arial" w:eastAsia="Arial" w:hAnsi="Arial"/>
          <w:sz w:val="18"/>
          <w:szCs w:val="18"/>
          <w:color w:val="auto"/>
        </w:rPr>
        <w:t xml:space="preserve"> has the meaning set forth in Section 3.1.</w:t>
      </w:r>
    </w:p>
    <w:p>
      <w:pPr>
        <w:spacing w:after="0" w:line="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the Trust, any company or other trade or business that controls, is controlled by or is under common control with the Trust within the meaning of Rule 405 of Regulation C under the Securities Act, including, without limitation, any Subsidiary.</w:t>
      </w:r>
    </w:p>
    <w:p>
      <w:pPr>
        <w:spacing w:after="0" w:line="7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“Annual Incentive Award”</w:t>
      </w:r>
      <w:r>
        <w:rPr>
          <w:rFonts w:ascii="Arial" w:cs="Arial" w:eastAsia="Arial" w:hAnsi="Arial"/>
          <w:sz w:val="18"/>
          <w:szCs w:val="18"/>
          <w:color w:val="auto"/>
        </w:rPr>
        <w:t xml:space="preserve"> means a conditional right granted to a Grantee under </w:t>
      </w:r>
      <w:r>
        <w:rPr>
          <w:rFonts w:ascii="Arial" w:cs="Arial" w:eastAsia="Arial" w:hAnsi="Arial"/>
          <w:sz w:val="18"/>
          <w:szCs w:val="18"/>
          <w:b w:val="1"/>
          <w:bCs w:val="1"/>
          <w:color w:val="auto"/>
        </w:rPr>
        <w:t>Section 20.3.2</w:t>
      </w:r>
      <w:r>
        <w:rPr>
          <w:rFonts w:ascii="Arial" w:cs="Arial" w:eastAsia="Arial" w:hAnsi="Arial"/>
          <w:sz w:val="18"/>
          <w:szCs w:val="18"/>
          <w:color w:val="auto"/>
        </w:rPr>
        <w:t xml:space="preserve"> hereof to receive Shares or another Award, unless otherwise determined by the Administrator, after the end of a specified fiscal year.</w:t>
      </w:r>
    </w:p>
    <w:p>
      <w:pPr>
        <w:spacing w:after="0" w:line="120" w:lineRule="exact"/>
        <w:rPr>
          <w:sz w:val="20"/>
          <w:szCs w:val="20"/>
          <w:color w:val="auto"/>
        </w:rPr>
      </w:pPr>
    </w:p>
    <w:p>
      <w:pPr>
        <w:ind w:right="180" w:firstLine="456"/>
        <w:spacing w:after="0" w:line="378"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b w:val="1"/>
          <w:bCs w:val="1"/>
          <w:color w:val="auto"/>
        </w:rPr>
        <w:t>“Award”</w:t>
      </w:r>
      <w:r>
        <w:rPr>
          <w:rFonts w:ascii="Arial" w:cs="Arial" w:eastAsia="Arial" w:hAnsi="Arial"/>
          <w:sz w:val="15"/>
          <w:szCs w:val="15"/>
          <w:color w:val="auto"/>
        </w:rPr>
        <w:t xml:space="preserve"> means a grant of Options, Share Appreciation Rights, Restricted Shares, Restricted Share Units, Deferred Share Awards, Share Purchase Awards, Unrestricted Share Awards, Performance Share Awards, Dividend Equivalent Rights, Performance Awards or Annual Incentive Awards under the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b w:val="1"/>
          <w:bCs w:val="1"/>
          <w:color w:val="auto"/>
        </w:rPr>
        <w:t>“Award Agreement”</w:t>
      </w:r>
      <w:r>
        <w:rPr>
          <w:rFonts w:ascii="Arial" w:cs="Arial" w:eastAsia="Arial" w:hAnsi="Arial"/>
          <w:sz w:val="15"/>
          <w:szCs w:val="15"/>
          <w:color w:val="auto"/>
        </w:rPr>
        <w:t xml:space="preserve"> means the written agreement between the Trust and a Grantee that evidences and sets out the terms and conditions of an Award.</w:t>
      </w:r>
    </w:p>
    <w:p>
      <w:pPr>
        <w:spacing w:after="0" w:line="206"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means ownership within the meaning of Rule 13d-3 promulgated by the Securities and Exchange Commission under the Exchange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“Benefit Arrangement”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Board of Trustees of the Trust.</w:t>
      </w:r>
    </w:p>
    <w:p>
      <w:pPr>
        <w:sectPr>
          <w:pgSz w:w="11900" w:h="16838" w:orient="portrait"/>
          <w:cols w:equalWidth="0" w:num="1">
            <w:col w:w="11420"/>
          </w:cols>
          <w:pgMar w:left="240" w:top="125"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2.9 </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on which the New York Stock Exchange is open for trading.</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as determined by the Administrator and unless otherwise provided in an applicable employment or other agreement with the Trust or an Affiliate, Grantee’s: (i) failure (other than failure due to disability) to substantially perform his duties with the Trust or an Affiliate, which failure remains uncured after written notice thereof and the expiration of a reasonable period of time thereafter in which the Grantee is diligently pursuing cure; (ii) willful misconduct which is demonstrably injurious to the Trust or an Affiliate, monetarily or otherwise; (iii) breach of fiduciary duty involving personal profit; or</w:t>
      </w:r>
    </w:p>
    <w:p>
      <w:pPr>
        <w:spacing w:after="0" w:line="3" w:lineRule="exact"/>
        <w:rPr>
          <w:sz w:val="20"/>
          <w:szCs w:val="20"/>
          <w:color w:val="auto"/>
        </w:rPr>
      </w:pPr>
    </w:p>
    <w:p>
      <w:pPr>
        <w:ind w:right="180" w:firstLine="8"/>
        <w:spacing w:after="0" w:line="302" w:lineRule="auto"/>
        <w:tabs>
          <w:tab w:leader="none" w:pos="297"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willful violation in the course of performing his duties for the Trust of any law, rule or regulation (other than traffic violations or misdemeanor offenses). Notwithstanding the foregoing, if an employment or other agreement between the Trust or an Affiliate and a Grantee contains a definition of “Cause” that is not the same as that set forth in the preceding sentence, then the definition of “Cause” contained in such employment or other agreement shall control.</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any of the events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Administrator, in its sole discretion, may specify a different definition of Change in Control in any Award Agreement and, in such event, the definition of Change in Control set forth in the Award Agreement shall apply to the Award granted under such Award Agreement:</w:t>
      </w:r>
    </w:p>
    <w:p>
      <w:pPr>
        <w:spacing w:after="0" w:line="57" w:lineRule="exact"/>
        <w:rPr>
          <w:sz w:val="20"/>
          <w:szCs w:val="20"/>
          <w:color w:val="auto"/>
        </w:rPr>
      </w:pPr>
    </w:p>
    <w:p>
      <w:pPr>
        <w:ind w:left="460" w:firstLine="4"/>
        <w:spacing w:after="0" w:line="291" w:lineRule="auto"/>
        <w:tabs>
          <w:tab w:leader="none" w:pos="69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39" w:lineRule="exact"/>
        <w:rPr>
          <w:rFonts w:ascii="Arial" w:cs="Arial" w:eastAsia="Arial" w:hAnsi="Arial"/>
          <w:sz w:val="16"/>
          <w:szCs w:val="16"/>
          <w:color w:val="auto"/>
        </w:rPr>
      </w:pPr>
    </w:p>
    <w:p>
      <w:pPr>
        <w:ind w:left="460" w:right="20" w:firstLine="4"/>
        <w:spacing w:after="0" w:line="290" w:lineRule="auto"/>
        <w:tabs>
          <w:tab w:leader="none" w:pos="7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individuals who, as of May 2, 2007, the date of adoption of this Plan, are members of the Trustees (the “Incumbent Trustees”), cease for any reason to constitute at least two-thirds of the Trustees;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election, or nomination for election by the Trust’s shareholders, of any new member was approved by a vote of at least two-thirds of the Incumbent Trustees, such new member shall, for purposes of this Plan, be considered as a member of the Incumbent Trustees;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37" w:lineRule="exact"/>
        <w:rPr>
          <w:rFonts w:ascii="Arial" w:cs="Arial" w:eastAsia="Arial" w:hAnsi="Arial"/>
          <w:sz w:val="16"/>
          <w:szCs w:val="16"/>
          <w:color w:val="auto"/>
        </w:rPr>
      </w:pPr>
    </w:p>
    <w:p>
      <w:pPr>
        <w:ind w:left="700" w:hanging="23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by shareholders of the Trust of</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merger, consolidation or other reorganization involving the Trust, unless: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49"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31" w:lineRule="exact"/>
        <w:rPr>
          <w:rFonts w:ascii="Arial" w:cs="Arial" w:eastAsia="Arial" w:hAnsi="Arial"/>
          <w:sz w:val="16"/>
          <w:szCs w:val="16"/>
          <w:color w:val="auto"/>
        </w:rPr>
      </w:pPr>
    </w:p>
    <w:p>
      <w:pPr>
        <w:jc w:val="both"/>
        <w:ind w:left="920" w:right="460" w:firstLine="421"/>
        <w:spacing w:after="0" w:line="370" w:lineRule="auto"/>
        <w:tabs>
          <w:tab w:leader="none" w:pos="1598" w:val="left"/>
        </w:tabs>
        <w:numPr>
          <w:ilvl w:val="2"/>
          <w:numId w:val="55"/>
        </w:numPr>
        <w:rPr>
          <w:rFonts w:ascii="Arial" w:cs="Arial" w:eastAsia="Arial" w:hAnsi="Arial"/>
          <w:sz w:val="15"/>
          <w:szCs w:val="15"/>
          <w:color w:val="auto"/>
        </w:rPr>
      </w:pPr>
      <w:r>
        <w:rPr>
          <w:rFonts w:ascii="Arial" w:cs="Arial" w:eastAsia="Arial" w:hAnsi="Arial"/>
          <w:sz w:val="15"/>
          <w:szCs w:val="15"/>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 and</w:t>
      </w:r>
    </w:p>
    <w:p>
      <w:pPr>
        <w:sectPr>
          <w:pgSz w:w="11900" w:h="16838" w:orient="portrait"/>
          <w:cols w:equalWidth="0" w:num="1">
            <w:col w:w="11420"/>
          </w:cols>
          <w:pgMar w:left="240" w:top="274" w:right="239" w:bottom="1440" w:gutter="0" w:footer="0" w:header="0"/>
        </w:sectPr>
      </w:pPr>
    </w:p>
    <w:bookmarkStart w:id="45" w:name="page46"/>
    <w:bookmarkEnd w:id="45"/>
    <w:p>
      <w:pPr>
        <w:ind w:left="920" w:right="120" w:firstLine="421"/>
        <w:spacing w:after="0" w:line="255" w:lineRule="auto"/>
        <w:tabs>
          <w:tab w:leader="none" w:pos="1647"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 transaction described in clauses (i) through (iii) shall herein be referred to as a “Non-Control Transaction.”);</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complete liquidation or dissolution of the Trust; or</w:t>
      </w:r>
    </w:p>
    <w:p>
      <w:pPr>
        <w:spacing w:after="0" w:line="90" w:lineRule="exact"/>
        <w:rPr>
          <w:rFonts w:ascii="Arial" w:cs="Arial" w:eastAsia="Arial" w:hAnsi="Arial"/>
          <w:sz w:val="18"/>
          <w:szCs w:val="18"/>
          <w:color w:val="auto"/>
        </w:rPr>
      </w:pPr>
    </w:p>
    <w:p>
      <w:pPr>
        <w:ind w:left="920" w:right="700" w:firstLine="1"/>
        <w:spacing w:after="0" w:line="268" w:lineRule="auto"/>
        <w:tabs>
          <w:tab w:leader="none" w:pos="11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Trust to any Person (other than a transfer to a Subsidiary).</w:t>
      </w:r>
    </w:p>
    <w:p>
      <w:pPr>
        <w:spacing w:after="0" w:line="13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 xml:space="preserve">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w:t>
      </w: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if a Change in Control would occur (but for the operation of this sentence) as a result of the acquisition of Trust Voting Securities by the</w:t>
      </w:r>
      <w:r>
        <w:rPr>
          <w:rFonts w:ascii="Arial" w:cs="Arial" w:eastAsia="Arial" w:hAnsi="Arial"/>
          <w:sz w:val="15"/>
          <w:szCs w:val="15"/>
          <w:i w:val="1"/>
          <w:iCs w:val="1"/>
          <w:color w:val="auto"/>
        </w:rPr>
        <w:t xml:space="preserve"> </w:t>
      </w:r>
      <w:r>
        <w:rPr>
          <w:rFonts w:ascii="Arial" w:cs="Arial" w:eastAsia="Arial" w:hAnsi="Arial"/>
          <w:sz w:val="15"/>
          <w:szCs w:val="15"/>
          <w:color w:val="auto"/>
        </w:rPr>
        <w:t>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w:t>
      </w:r>
    </w:p>
    <w:p>
      <w:pPr>
        <w:spacing w:after="0" w:line="1"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establishes a wholly-owned subsidiary (“Holding Company”), (b) causes the Holding Company to establish a wholly-owned subsidiary (“Merger Sub”), and</w:t>
      </w:r>
    </w:p>
    <w:p>
      <w:pPr>
        <w:spacing w:after="0" w:line="32" w:lineRule="exact"/>
        <w:rPr>
          <w:rFonts w:ascii="Arial" w:cs="Arial" w:eastAsia="Arial" w:hAnsi="Arial"/>
          <w:sz w:val="16"/>
          <w:szCs w:val="16"/>
          <w:color w:val="auto"/>
        </w:rPr>
      </w:pPr>
    </w:p>
    <w:p>
      <w:pPr>
        <w:ind w:firstLine="8"/>
        <w:spacing w:after="0" w:line="323"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93"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Notwithstanding the foregoing, if an employment or other agreement between the Trust or an Affiliate and a Grantee contains a definition of “Change of Control” that is not the same as that set forth above, then the definition of “Change of Control” contained in such employment or other agreement shall control.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Internal Revenue Code of 1986, as now in effect or as hereafter amended.</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means a committee of, and designated from time to time by resolution of, the Board, which shall consist of no fewer than two members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Committee consists of less than the entire Board, each member shall be a “Non-Employee Director” within the meaning of Exchange Act Rule 16b-3 and to the extent necessary for any Award intended to qualify as performance-based compensation under Code Section 162(m) to so qualify, each member of the Committee, whether or not it consists of the entire Board, shall be an “outside director” within the meaning of Code Section 162(m) and the regulations and other guidance thereunder. The same requirements shall apply to any special committee of the Board to which authority or duties are delegated pursuant to Section 3.1. As of the date of this Amended and Restated Plan, the Committee is the Compensation Committee of the Board. Notwithstanding the foregoing, in the case of Awards granted to persons not required to file reports under Section 16(a) of the Exchange Act (other than persons who are Covered Employees at the time of grant, or who are likely to be Covered Employees with respect to the fiscal years in which deductions are allowed for the Awards), “Committee” may mean a committee of one member of the Board designated from time to time by resolution of the Board.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“Covered Employee”</w:t>
      </w:r>
      <w:r>
        <w:rPr>
          <w:rFonts w:ascii="Arial" w:cs="Arial" w:eastAsia="Arial" w:hAnsi="Arial"/>
          <w:sz w:val="18"/>
          <w:szCs w:val="18"/>
          <w:color w:val="auto"/>
        </w:rPr>
        <w:t xml:space="preserve"> means a Grantee who is a Covered Employee within the meaning of Code Section 162(m)(3).</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“Deferred Share Award”</w:t>
      </w:r>
      <w:r>
        <w:rPr>
          <w:rFonts w:ascii="Arial" w:cs="Arial" w:eastAsia="Arial" w:hAnsi="Arial"/>
          <w:sz w:val="18"/>
          <w:szCs w:val="18"/>
          <w:color w:val="auto"/>
        </w:rPr>
        <w:t xml:space="preserve"> means a right, granted to a Grantee under </w:t>
      </w:r>
      <w:r>
        <w:rPr>
          <w:rFonts w:ascii="Arial" w:cs="Arial" w:eastAsia="Arial" w:hAnsi="Arial"/>
          <w:sz w:val="18"/>
          <w:szCs w:val="18"/>
          <w:b w:val="1"/>
          <w:bCs w:val="1"/>
          <w:color w:val="auto"/>
        </w:rPr>
        <w:t>Section 14</w:t>
      </w:r>
      <w:r>
        <w:rPr>
          <w:rFonts w:ascii="Arial" w:cs="Arial" w:eastAsia="Arial" w:hAnsi="Arial"/>
          <w:sz w:val="18"/>
          <w:szCs w:val="18"/>
          <w:color w:val="auto"/>
        </w:rPr>
        <w:t xml:space="preserve"> hereof, to receive Shares, cash or a combination thereof at the end of a specified deferral period.</w:t>
      </w:r>
    </w:p>
    <w:p>
      <w:pPr>
        <w:spacing w:after="0" w:line="120"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means any physical or mental injury or disease which renders a Grantee incapable of meeting the requirements of the employment performed by such Grantee immediately prior to the commencement of</w:t>
      </w:r>
    </w:p>
    <w:p>
      <w:pPr>
        <w:sectPr>
          <w:pgSz w:w="11900" w:h="16838" w:orient="portrait"/>
          <w:cols w:equalWidth="0" w:num="1">
            <w:col w:w="11420"/>
          </w:cols>
          <w:pgMar w:left="240" w:top="280" w:right="239" w:bottom="1440" w:gutter="0" w:footer="0" w:header="0"/>
        </w:sectPr>
      </w:pPr>
    </w:p>
    <w:bookmarkStart w:id="46" w:name="page47"/>
    <w:bookmarkEnd w:id="46"/>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disability. The determination of whether a Grantee is disabled shall be made by the Administrator in its sole discretion. Notwithstanding the foregoing, if a Grantee’s employment by the Trust terminates by reason of a disability, as defined in an employment or other agreement between such Grantee and the Trust, such Grantee shall be deemed to be disabled for purposes of the Plan.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“Dividend Equivalent Right”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the date on which the Plan is approved by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Securities Exchange Act of 1934, as now in effect or as hereafter amended.</w:t>
      </w:r>
    </w:p>
    <w:p>
      <w:pPr>
        <w:spacing w:after="0" w:line="171"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b w:val="1"/>
          <w:bCs w:val="1"/>
          <w:color w:val="auto"/>
        </w:rPr>
        <w:t>“Fair Market Value”</w:t>
      </w:r>
      <w:r>
        <w:rPr>
          <w:rFonts w:ascii="Arial" w:cs="Arial" w:eastAsia="Arial" w:hAnsi="Arial"/>
          <w:sz w:val="15"/>
          <w:szCs w:val="15"/>
          <w:color w:val="auto"/>
        </w:rPr>
        <w:t xml:space="preserve"> means the value of a Share, determined as follows: if on the Grant Date or other determination date the Shares are 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Administrator shall determine the appropriate exchange or market)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“Family Member”</w:t>
      </w:r>
      <w:r>
        <w:rPr>
          <w:rFonts w:ascii="Arial" w:cs="Arial" w:eastAsia="Arial" w:hAnsi="Arial"/>
          <w:sz w:val="18"/>
          <w:szCs w:val="18"/>
          <w:color w:val="auto"/>
        </w:rPr>
        <w:t xml:space="preserve"> means a person who is a spouse, former spouse, child, stepchild, grandchild, parent, stepparent, grandparent, sibling, 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1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means, as determined by the Administrator, without the Grantee’s consent: (i) a material reduction in the Grantee’s responsibilities, duties, authority, or title, (ii) the transfer of the Grantee to a place of employment that is more than sixty (60) miles from the Grantee’s current place of employment, or (iii) a material reduction in the Grantee’s salary. Notwithstanding the foregoing, if an employment or other agreement between the Trust or an Affiliate and a Grantee contains a definition of “Good Reason” or similar term that is not the same as that set forth above, then the definition of “Good Reason” or similar term contained in such employment or other agreement shall control.</w:t>
      </w:r>
    </w:p>
    <w:p>
      <w:pPr>
        <w:spacing w:after="0" w:line="13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means, as determined by the Administrator, the latest to occur of (i) the date as of which the Administrator approves an Award, (ii) the date on which the recipient of an Award first becomes eligible to receive an Award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or (iii) such other date as may be specified by the Administrator.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“Grantee”</w:t>
      </w:r>
      <w:r>
        <w:rPr>
          <w:rFonts w:ascii="Arial" w:cs="Arial" w:eastAsia="Arial" w:hAnsi="Arial"/>
          <w:sz w:val="18"/>
          <w:szCs w:val="18"/>
          <w:color w:val="auto"/>
        </w:rPr>
        <w:t xml:space="preserve"> means a person who receives or holds an Award under the Plan.</w:t>
      </w:r>
    </w:p>
    <w:p>
      <w:pPr>
        <w:spacing w:after="0" w:line="171"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“Incentive Share Option”</w:t>
      </w:r>
      <w:r>
        <w:rPr>
          <w:rFonts w:ascii="Arial" w:cs="Arial" w:eastAsia="Arial" w:hAnsi="Arial"/>
          <w:sz w:val="18"/>
          <w:szCs w:val="18"/>
          <w:color w:val="auto"/>
        </w:rPr>
        <w:t xml:space="preserve"> means an “incentive stock option” within the meaning of Code Section 422, or the corresponding provision of any subsequently enacted tax statute, as amended from time to time.</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“Involuntary Termination”</w:t>
      </w:r>
      <w:r>
        <w:rPr>
          <w:rFonts w:ascii="Arial" w:cs="Arial" w:eastAsia="Arial" w:hAnsi="Arial"/>
          <w:sz w:val="18"/>
          <w:szCs w:val="18"/>
          <w:color w:val="auto"/>
        </w:rPr>
        <w:t xml:space="preserve"> means a termination of the Grantee’s Service by the Trust or its successor other than for Cause or a termination of the Grantee’s Service by the Grantee for Good Reason.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“Non-qualified Share Option”</w:t>
      </w:r>
      <w:r>
        <w:rPr>
          <w:rFonts w:ascii="Arial" w:cs="Arial" w:eastAsia="Arial" w:hAnsi="Arial"/>
          <w:sz w:val="18"/>
          <w:szCs w:val="18"/>
          <w:color w:val="auto"/>
        </w:rPr>
        <w:t xml:space="preserve"> means an Option that is not an Incentive Share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Incentive Share Option or Non-qualified Share Option to purchase one or more Shares pursuant to the Plan.</w:t>
      </w:r>
    </w:p>
    <w:p>
      <w:pPr>
        <w:sectPr>
          <w:pgSz w:w="11900" w:h="16838" w:orient="portrait"/>
          <w:cols w:equalWidth="0" w:num="1">
            <w:col w:w="11420"/>
          </w:cols>
          <w:pgMar w:left="240" w:top="280"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2.29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means the purchase price for each Share subject to an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b w:val="1"/>
          <w:bCs w:val="1"/>
          <w:color w:val="auto"/>
        </w:rPr>
        <w:t>“Other Agreement”</w:t>
      </w:r>
      <w:r>
        <w:rPr>
          <w:rFonts w:ascii="Arial" w:cs="Arial" w:eastAsia="Arial" w:hAnsi="Arial"/>
          <w:sz w:val="18"/>
          <w:szCs w:val="18"/>
          <w:color w:val="auto"/>
        </w:rPr>
        <w:t xml:space="preserve"> shall have the meaning set forth in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“Outside Trustee”</w:t>
      </w:r>
      <w:r>
        <w:rPr>
          <w:rFonts w:ascii="Arial" w:cs="Arial" w:eastAsia="Arial" w:hAnsi="Arial"/>
          <w:sz w:val="18"/>
          <w:szCs w:val="18"/>
          <w:color w:val="auto"/>
        </w:rPr>
        <w:t xml:space="preserve"> means a member of the Board who is not an officer or employee of the Trust.</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 conditional right granted to a Grantee under </w:t>
      </w:r>
      <w:r>
        <w:rPr>
          <w:rFonts w:ascii="Arial" w:cs="Arial" w:eastAsia="Arial" w:hAnsi="Arial"/>
          <w:sz w:val="18"/>
          <w:szCs w:val="18"/>
          <w:b w:val="1"/>
          <w:bCs w:val="1"/>
          <w:color w:val="auto"/>
        </w:rPr>
        <w:t>Section 20.3</w:t>
      </w:r>
      <w:r>
        <w:rPr>
          <w:rFonts w:ascii="Arial" w:cs="Arial" w:eastAsia="Arial" w:hAnsi="Arial"/>
          <w:sz w:val="18"/>
          <w:szCs w:val="18"/>
          <w:color w:val="auto"/>
        </w:rPr>
        <w:t xml:space="preserve"> hereof to receive Shares or another Award after the end of a period of up to 15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“Performance Share Award”</w:t>
      </w:r>
      <w:r>
        <w:rPr>
          <w:rFonts w:ascii="Arial" w:cs="Arial" w:eastAsia="Arial" w:hAnsi="Arial"/>
          <w:sz w:val="18"/>
          <w:szCs w:val="18"/>
          <w:color w:val="auto"/>
        </w:rPr>
        <w:t xml:space="preserve"> means an Award granted pursuant to </w:t>
      </w:r>
      <w:r>
        <w:rPr>
          <w:rFonts w:ascii="Arial" w:cs="Arial" w:eastAsia="Arial" w:hAnsi="Arial"/>
          <w:sz w:val="18"/>
          <w:szCs w:val="18"/>
          <w:b w:val="1"/>
          <w:bCs w:val="1"/>
          <w:color w:val="auto"/>
        </w:rPr>
        <w:t>Section 17</w:t>
      </w:r>
      <w:r>
        <w:rPr>
          <w:rFonts w:ascii="Arial" w:cs="Arial" w:eastAsia="Arial" w:hAnsi="Arial"/>
          <w:sz w:val="18"/>
          <w:szCs w:val="18"/>
          <w:color w:val="auto"/>
        </w:rPr>
        <w:t>.</w:t>
      </w:r>
    </w:p>
    <w:p>
      <w:pPr>
        <w:spacing w:after="0" w:line="1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“person” as such term is used for purposes of Section 13(d) or 14(d) of the Exchange Act, including, without limitation, any individual, firm, corporation, partnership, joint venture, association, trust or other entity, or any group of Persons.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Federal Realty Investment Trust Amended and Restated 2001 Long-Term Incentive Plan.</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means the period during which Restricted Shares or Restricted Share Units are subject to restrictions or conditions pursuant to </w:t>
      </w:r>
      <w:r>
        <w:rPr>
          <w:rFonts w:ascii="Arial" w:cs="Arial" w:eastAsia="Arial" w:hAnsi="Arial"/>
          <w:sz w:val="18"/>
          <w:szCs w:val="18"/>
          <w:b w:val="1"/>
          <w:bCs w:val="1"/>
          <w:color w:val="auto"/>
        </w:rPr>
        <w:t xml:space="preserve">Section 13.2 </w:t>
      </w:r>
      <w:r>
        <w:rPr>
          <w:rFonts w:ascii="Arial" w:cs="Arial" w:eastAsia="Arial" w:hAnsi="Arial"/>
          <w:sz w:val="18"/>
          <w:szCs w:val="18"/>
          <w:color w:val="auto"/>
        </w:rPr>
        <w: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2.37 </w:t>
      </w:r>
      <w:r>
        <w:rPr>
          <w:rFonts w:ascii="Arial" w:cs="Arial" w:eastAsia="Arial" w:hAnsi="Arial"/>
          <w:sz w:val="16"/>
          <w:szCs w:val="16"/>
          <w:b w:val="1"/>
          <w:bCs w:val="1"/>
          <w:color w:val="auto"/>
        </w:rPr>
        <w:t>“Restricted Shares”</w:t>
      </w:r>
      <w:r>
        <w:rPr>
          <w:rFonts w:ascii="Arial" w:cs="Arial" w:eastAsia="Arial" w:hAnsi="Arial"/>
          <w:sz w:val="16"/>
          <w:szCs w:val="16"/>
          <w:color w:val="auto"/>
        </w:rPr>
        <w:t xml:space="preserve"> means Shares, awarded to a Grantee pursuant to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hereof, that are subject to restrictions and to a risk of forfeiture.</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means a unit awarded to a Grantee pursuant to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hereof, which represents a conditional right to receive a Share in the future, and which is subject to restrictions and to a risk of forfeiture.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means the Securities Act of 1933, as now in effect or as hereafter amended.</w:t>
      </w:r>
    </w:p>
    <w:p>
      <w:pPr>
        <w:spacing w:after="0" w:line="1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2.40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means service as an employee, officer, Trustee or other Service Provider of the Trust or an Affiliate. A change in a Grantee’s duties or position shall not constitute a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the change of a Grantee’s status from an employee to a Service Provider shall result in a termination of Service unless the Administrator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Administrator, which determination shall be final, binding and conclusive.</w:t>
      </w:r>
    </w:p>
    <w:p>
      <w:pPr>
        <w:spacing w:after="0" w:line="10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“Service Provider”</w:t>
      </w:r>
      <w:r>
        <w:rPr>
          <w:rFonts w:ascii="Arial" w:cs="Arial" w:eastAsia="Arial" w:hAnsi="Arial"/>
          <w:sz w:val="18"/>
          <w:szCs w:val="18"/>
          <w:color w:val="auto"/>
        </w:rPr>
        <w:t xml:space="preserve"> means a consultant or adviser to the Trust, a manager of the Trust’s properties or affairs, or other similar service provider or Affiliate, and employees of any of the foregoing, as such persons may be designated from time to time by the Board or the Committee pursuant to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the common shares of beneficial interest, par value $.01, of the Trust.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“Share Appreciation Right”</w:t>
      </w:r>
      <w:r>
        <w:rPr>
          <w:rFonts w:ascii="Arial" w:cs="Arial" w:eastAsia="Arial" w:hAnsi="Arial"/>
          <w:sz w:val="18"/>
          <w:szCs w:val="18"/>
          <w:color w:val="auto"/>
        </w:rPr>
        <w:t xml:space="preserve"> or “SAR” means a right granted to a Grantee under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“Share Purchase Award”</w:t>
      </w:r>
      <w:r>
        <w:rPr>
          <w:rFonts w:ascii="Arial" w:cs="Arial" w:eastAsia="Arial" w:hAnsi="Arial"/>
          <w:sz w:val="18"/>
          <w:szCs w:val="18"/>
          <w:color w:val="auto"/>
        </w:rPr>
        <w:t xml:space="preserve"> means an Award, granted in accordance with </w:t>
      </w:r>
      <w:r>
        <w:rPr>
          <w:rFonts w:ascii="Arial" w:cs="Arial" w:eastAsia="Arial" w:hAnsi="Arial"/>
          <w:sz w:val="18"/>
          <w:szCs w:val="18"/>
          <w:b w:val="1"/>
          <w:bCs w:val="1"/>
          <w:color w:val="auto"/>
        </w:rPr>
        <w:t>Section 15</w:t>
      </w:r>
      <w:r>
        <w:rPr>
          <w:rFonts w:ascii="Arial" w:cs="Arial" w:eastAsia="Arial" w:hAnsi="Arial"/>
          <w:sz w:val="18"/>
          <w:szCs w:val="18"/>
          <w:color w:val="auto"/>
        </w:rPr>
        <w:t>, of the right to acquire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2.45 </w:t>
      </w:r>
      <w:r>
        <w:rPr>
          <w:rFonts w:ascii="Arial" w:cs="Arial" w:eastAsia="Arial" w:hAnsi="Arial"/>
          <w:sz w:val="16"/>
          <w:szCs w:val="16"/>
          <w:b w:val="1"/>
          <w:bCs w:val="1"/>
          <w:color w:val="auto"/>
        </w:rPr>
        <w:t>“Share Purchase Award Price”</w:t>
      </w:r>
      <w:r>
        <w:rPr>
          <w:rFonts w:ascii="Arial" w:cs="Arial" w:eastAsia="Arial" w:hAnsi="Arial"/>
          <w:sz w:val="16"/>
          <w:szCs w:val="16"/>
          <w:color w:val="auto"/>
        </w:rPr>
        <w:t xml:space="preserve"> means the number of Shares in a Grantee’s Share Purchase Award multiplied by the Share price.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“subsidiary corporation” of the Trust within the meaning of Code Section 424(f).</w:t>
      </w:r>
    </w:p>
    <w:p>
      <w:pPr>
        <w:sectPr>
          <w:pgSz w:w="11900" w:h="16838" w:orient="portrait"/>
          <w:cols w:equalWidth="0" w:num="1">
            <w:col w:w="11300"/>
          </w:cols>
          <w:pgMar w:left="240" w:top="274" w:right="35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2.47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means the date upon which an Option shall terminate or expire, as set forth in </w:t>
      </w:r>
      <w:r>
        <w:rPr>
          <w:rFonts w:ascii="Arial" w:cs="Arial" w:eastAsia="Arial" w:hAnsi="Arial"/>
          <w:sz w:val="18"/>
          <w:szCs w:val="18"/>
          <w:b w:val="1"/>
          <w:bCs w:val="1"/>
          <w:color w:val="auto"/>
        </w:rPr>
        <w:t>Section 10.2</w:t>
      </w:r>
      <w:r>
        <w:rPr>
          <w:rFonts w:ascii="Arial" w:cs="Arial" w:eastAsia="Arial" w:hAnsi="Arial"/>
          <w:sz w:val="18"/>
          <w:szCs w:val="18"/>
          <w:color w:val="auto"/>
        </w:rPr>
        <w:t xml:space="preserv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b w:val="1"/>
          <w:bCs w:val="1"/>
          <w:color w:val="auto"/>
        </w:rPr>
        <w:t>“Trust”</w:t>
      </w:r>
      <w:r>
        <w:rPr>
          <w:rFonts w:ascii="Arial" w:cs="Arial" w:eastAsia="Arial" w:hAnsi="Arial"/>
          <w:sz w:val="18"/>
          <w:szCs w:val="18"/>
          <w:color w:val="auto"/>
        </w:rPr>
        <w:t xml:space="preserve"> means Federal Realty Investment Trust.</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b w:val="1"/>
          <w:bCs w:val="1"/>
          <w:color w:val="auto"/>
        </w:rPr>
        <w:t>“Trust Voting Securities”</w:t>
      </w:r>
      <w:r>
        <w:rPr>
          <w:rFonts w:ascii="Arial" w:cs="Arial" w:eastAsia="Arial" w:hAnsi="Arial"/>
          <w:sz w:val="18"/>
          <w:szCs w:val="18"/>
          <w:color w:val="auto"/>
        </w:rPr>
        <w:t xml:space="preserve"> means the combined voting power of all outstanding voting securities of the Trust entitled to vote generally in the election of the Trustees.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b w:val="1"/>
          <w:bCs w:val="1"/>
          <w:color w:val="auto"/>
        </w:rPr>
        <w:t>Trustee</w:t>
      </w:r>
      <w:r>
        <w:rPr>
          <w:rFonts w:ascii="Arial" w:cs="Arial" w:eastAsia="Arial" w:hAnsi="Arial"/>
          <w:sz w:val="18"/>
          <w:szCs w:val="18"/>
          <w:color w:val="auto"/>
        </w:rPr>
        <w:t>” means any member of the Board of Trustees.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color w:val="auto"/>
        </w:rPr>
        <w:t>“Unrestricted Share Award”</w:t>
      </w:r>
      <w:r>
        <w:rPr>
          <w:rFonts w:ascii="Arial" w:cs="Arial" w:eastAsia="Arial" w:hAnsi="Arial"/>
          <w:sz w:val="18"/>
          <w:szCs w:val="18"/>
          <w:color w:val="auto"/>
        </w:rPr>
        <w:t xml:space="preserve"> means an Award granted pursuant to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hereof.</w:t>
      </w:r>
    </w:p>
    <w:p>
      <w:pPr>
        <w:spacing w:after="0" w:line="293" w:lineRule="exact"/>
        <w:rPr>
          <w:sz w:val="20"/>
          <w:szCs w:val="20"/>
          <w:color w:val="auto"/>
        </w:rPr>
      </w:pPr>
    </w:p>
    <w:p>
      <w:pPr>
        <w:ind w:left="460" w:right="8140" w:hanging="452"/>
        <w:spacing w:after="0" w:line="347" w:lineRule="auto"/>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Administrator.</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will act as the Administrator of the Plan. The Board also may act under the Plan as though it were the Committee. In addition, the Board, in its discretion, may delegate to a special committee of the Board (which may consist of a single member who may or may not be an Outside Trustee) all or part of the Administrator’s authority and duties. The Board may revoke or amend the terms of a delegation at any time but such action shall not invalidate any prior actions of the delegate or delegates that were consistent with the terms of the Plan.</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Administrator is responsible for the general operation and administration of the Plan and for carrying out its provisions and has full discretion in interpreting and administering the provisions of the Plan. Subject to the express provisions of the Plan, the Administrator may exercise such powers and authority of the Board as the Administrator may find necessary or appropriate to carry out its functions. The Administrator may delegate its functions (other than those relating to granting of Awards</w:t>
      </w:r>
      <w:r>
        <w:rPr>
          <w:rFonts w:ascii="Arial" w:cs="Arial" w:eastAsia="Arial" w:hAnsi="Arial"/>
          <w:sz w:val="18"/>
          <w:szCs w:val="18"/>
          <w:i w:val="1"/>
          <w:iCs w:val="1"/>
          <w:color w:val="auto"/>
        </w:rPr>
        <w:t>,</w:t>
      </w:r>
      <w:r>
        <w:rPr>
          <w:rFonts w:ascii="Arial" w:cs="Arial" w:eastAsia="Arial" w:hAnsi="Arial"/>
          <w:sz w:val="18"/>
          <w:szCs w:val="18"/>
          <w:color w:val="auto"/>
        </w:rPr>
        <w:t xml:space="preserve"> which may be delegated only to an executive officer of the Trust who also is a member of the Board), to officers or employees of the Trust.</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Administrator’s powers include, but are not limited to, the power to correct any defect or supply appropriate text for any omission or reconcile any inconsistency in the Plan; to establish, amend and revoke rules and regulations for its administration; and to construe and interpret the Plan and any Award or other instrument hereunder. The Administrator may act through meetings of a majority of its members or by unanimous consent.</w:t>
      </w:r>
    </w:p>
    <w:p>
      <w:pPr>
        <w:spacing w:after="0" w:line="22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Terms of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other terms and conditions of the Plan, the Administrator shall have full and final authority:</w:t>
      </w:r>
    </w:p>
    <w:p>
      <w:pPr>
        <w:spacing w:after="0" w:line="171" w:lineRule="exact"/>
        <w:rPr>
          <w:sz w:val="20"/>
          <w:szCs w:val="20"/>
          <w:color w:val="auto"/>
        </w:rPr>
      </w:pPr>
    </w:p>
    <w:p>
      <w:pPr>
        <w:ind w:left="680" w:hanging="21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designate Grantees,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type or types of Awards to be made to a Grantee,</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determine the number of Shares to be subject to an Award,</w:t>
      </w:r>
    </w:p>
    <w:p>
      <w:pPr>
        <w:spacing w:after="0" w:line="171" w:lineRule="exact"/>
        <w:rPr>
          <w:rFonts w:ascii="Arial" w:cs="Arial" w:eastAsia="Arial" w:hAnsi="Arial"/>
          <w:sz w:val="18"/>
          <w:szCs w:val="18"/>
          <w:color w:val="auto"/>
        </w:rPr>
      </w:pPr>
    </w:p>
    <w:p>
      <w:pPr>
        <w:ind w:right="220" w:firstLine="464"/>
        <w:spacing w:after="0" w:line="259" w:lineRule="auto"/>
        <w:tabs>
          <w:tab w:leader="none" w:pos="7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prescribe the form of each Award Agreement evidencing an Award,</w:t>
      </w:r>
    </w:p>
    <w:p>
      <w:pPr>
        <w:spacing w:after="0" w:line="171" w:lineRule="exact"/>
        <w:rPr>
          <w:rFonts w:ascii="Arial" w:cs="Arial" w:eastAsia="Arial" w:hAnsi="Arial"/>
          <w:sz w:val="18"/>
          <w:szCs w:val="18"/>
          <w:color w:val="auto"/>
        </w:rPr>
      </w:pPr>
    </w:p>
    <w:p>
      <w:pPr>
        <w:ind w:right="380" w:firstLine="464"/>
        <w:spacing w:after="0" w:line="268" w:lineRule="auto"/>
        <w:tabs>
          <w:tab w:leader="none" w:pos="7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amend, modify, or supplement the terms of any outstanding Award, except to the extent that any such action would result in the imposition on a Grantee of an additional tax under Code Section 409A or cause a</w:t>
      </w:r>
    </w:p>
    <w:p>
      <w:pPr>
        <w:sectPr>
          <w:pgSz w:w="11900" w:h="16838" w:orient="portrait"/>
          <w:cols w:equalWidth="0" w:num="1">
            <w:col w:w="11400"/>
          </w:cols>
          <w:pgMar w:left="240" w:top="274" w:right="259" w:bottom="1440" w:gutter="0" w:footer="0" w:header="0"/>
        </w:sectPr>
      </w:pPr>
    </w:p>
    <w:bookmarkStart w:id="49" w:name="page50"/>
    <w:bookmarkEnd w:id="49"/>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or Annual Incentive Award that is intended to qualify as “performance-based compensation” for purposes of Code Section 162(m) to cease to so qualify, and</w:t>
      </w:r>
    </w:p>
    <w:p>
      <w:pPr>
        <w:spacing w:after="0" w:line="132" w:lineRule="exact"/>
        <w:rPr>
          <w:sz w:val="20"/>
          <w:szCs w:val="20"/>
          <w:color w:val="auto"/>
        </w:rPr>
      </w:pPr>
    </w:p>
    <w:p>
      <w:pPr>
        <w:ind w:firstLine="464"/>
        <w:spacing w:after="0" w:line="268" w:lineRule="auto"/>
        <w:tabs>
          <w:tab w:leader="none" w:pos="8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condition to any subsequent Award, the Administrator shall have the right, at its discretion, to require Grantees to return to the Trust any Awards previously made under the Plan. Subject to the terms and conditions of the Plan, any such new Award shall be upon such terms and conditions as are specified by the Administrator at the time the new Award is made. The Administrator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 The grant of any Award under the Plan shall be contingent on the Grantee executing the applicable Award Agreement within a reasonable time after the date of the grant of the Award, as such time is determined by the Administrator, in its sole discretion. In the event that the Grantee does not execute the applicable Award Agreement within such reasonable time, the Administrator, in its sole discretion, may revoke the grant of the applicable Award.</w:t>
      </w:r>
    </w:p>
    <w:p>
      <w:pPr>
        <w:spacing w:after="0" w:line="24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 Liability.</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 member of the Board or of the Committee or of any special committee of the Board to which authority or duties are delegated pursuant to Section 3.1, nor the Administrator, shall be liable for any action or determination made in good faith with respect to the Plan or any Award or Award Agreement.</w:t>
      </w:r>
    </w:p>
    <w:p>
      <w:pPr>
        <w:spacing w:after="0" w:line="20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0"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color w:val="auto"/>
        </w:rPr>
        <w:t xml:space="preserve">Subject to adjustment as provided in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 the number of Shares available for issuance under the Plan shall be Three Million Two Hundred Fifty Thousand (3,250,000). The same limit shall apply to Shares available for issuance under the Plan pursuant to Incentive Share Options. Shares issued or to be issued under the Plan shall be drawn from authorized but unissued shares. If any Shares covered by an Award are not purchased or are forfeited, or if an Award otherwise terminates without delivery of any Shares subject thereto, then the number of Shares counted against the aggregate number of shares available under the Plan with respect to such Award shall, to the extent of any such forfeiture or termination, again be available for making Awards under the Plan.</w:t>
      </w:r>
    </w:p>
    <w:p>
      <w:pPr>
        <w:spacing w:after="0" w:line="214" w:lineRule="exact"/>
        <w:rPr>
          <w:sz w:val="20"/>
          <w:szCs w:val="20"/>
          <w:color w:val="auto"/>
        </w:rPr>
      </w:pPr>
    </w:p>
    <w:p>
      <w:pPr>
        <w:ind w:left="460" w:right="7220" w:hanging="452"/>
        <w:spacing w:after="0" w:line="347" w:lineRule="auto"/>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THE PLAN 5.1. Effective Date.</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original 2001 Long-Term Incentive Plan was effective as of February 14, 2001, and this Amended and Restated Plan shall be effective as of the Effective Date, subject to approval by the Trust’s shareholders within one year of the Effective Date. All Awards made under the 2001 Long-Term Incentive Plan between February 14, 2001 and the Effective Date shall be fully effective as if the shareholders of the Trust had approved the Plan on February 14, 2001. Upon approval of the Plan by the shareholders of the Trust as set forth above, all Awards made under the Plan on or after the Effective Date shall be fully effective as if the shareholders of the Trust had approved the Plan on the Effective Date. If the shareholders fail to approve the Plan within one year after the Effective Date, any Awards made hereunder shall be null and void and of no effect.</w:t>
      </w:r>
    </w:p>
    <w:p>
      <w:pPr>
        <w:sectPr>
          <w:pgSz w:w="11900" w:h="16838" w:orient="portrait"/>
          <w:cols w:equalWidth="0" w:num="1">
            <w:col w:w="11420"/>
          </w:cols>
          <w:pgMar w:left="240" w:top="280" w:right="239" w:bottom="1440" w:gutter="0" w:footer="0" w:header="0"/>
        </w:sectPr>
      </w:pPr>
    </w:p>
    <w:bookmarkStart w:id="50" w:name="page51"/>
    <w:bookmarkEnd w:id="5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Term.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Plan shall terminate automatically on February 14, 2011 and may be terminated on any earlier date as provided in </w:t>
      </w:r>
      <w:r>
        <w:rPr>
          <w:rFonts w:ascii="Arial" w:cs="Arial" w:eastAsia="Arial" w:hAnsi="Arial"/>
          <w:sz w:val="18"/>
          <w:szCs w:val="18"/>
          <w:b w:val="1"/>
          <w:bCs w:val="1"/>
          <w:color w:val="auto"/>
        </w:rPr>
        <w:t>Section 23</w:t>
      </w:r>
      <w:r>
        <w:rPr>
          <w:rFonts w:ascii="Arial" w:cs="Arial" w:eastAsia="Arial" w:hAnsi="Arial"/>
          <w:sz w:val="18"/>
          <w:szCs w:val="18"/>
          <w:color w:val="auto"/>
        </w:rPr>
        <w:t>.</w:t>
      </w:r>
    </w:p>
    <w:p>
      <w:pPr>
        <w:spacing w:after="0" w:line="293"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Trust or Subsidiary Employees; Service Providers; Other Persons.</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7</w:t>
      </w:r>
      <w:r>
        <w:rPr>
          <w:rFonts w:ascii="Arial" w:cs="Arial" w:eastAsia="Arial" w:hAnsi="Arial"/>
          <w:sz w:val="18"/>
          <w:szCs w:val="18"/>
          <w:color w:val="auto"/>
        </w:rPr>
        <w:t>, Awards may be made under the Plan to: (i) any employee of, or a Service Provider to, the Trust or of any Affiliate, including any such employee or Service Provider who is an officer or Trustee of the Trust, or of any Affiliate, as the Administrator shall determine and designate from time to time, and (ii) any Outside Trustee.</w:t>
      </w:r>
    </w:p>
    <w:p>
      <w:pPr>
        <w:spacing w:after="0" w:line="2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4"/>
          <w:szCs w:val="14"/>
          <w:b w:val="1"/>
          <w:bCs w:val="1"/>
          <w:color w:val="auto"/>
        </w:rPr>
        <w:t>Successive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8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GRANTS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  Limitation on Shares Subject to Awards.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During any time when the Trust has a class of equity security registered under Section 12 of the Exchange Act, (i) no Grantee (other than the Chief Executive Officer of the Trust) may be granted Awards (other than Dividend Equivalent Rights) in the aggregate in respect of more than 250,000 Shares per calendar year, (ii) the Chief Executive Officer of the Trust may not be granted Awards (other than Dividend Equivalent Rights) in the aggregate in respect of more than 500,000 Shares per calendar year, (iii) no Grantee (other than the Chief Executive Officer of the Trust) may be granted Dividend Equivalent Rights with respect to more than 250,000 Shares per calendar year, and (iv) the Chief Executive Officer of the Trust may not be granted Dividend Equivalent Rights with respect to more than 500,000 Shares per calendar year. The preceding limitations in this </w:t>
      </w:r>
      <w:r>
        <w:rPr>
          <w:rFonts w:ascii="Arial" w:cs="Arial" w:eastAsia="Arial" w:hAnsi="Arial"/>
          <w:sz w:val="15"/>
          <w:szCs w:val="15"/>
          <w:b w:val="1"/>
          <w:bCs w:val="1"/>
          <w:color w:val="auto"/>
        </w:rPr>
        <w:t>Section 7.1</w:t>
      </w:r>
      <w:r>
        <w:rPr>
          <w:rFonts w:ascii="Arial" w:cs="Arial" w:eastAsia="Arial" w:hAnsi="Arial"/>
          <w:sz w:val="15"/>
          <w:szCs w:val="15"/>
          <w:color w:val="auto"/>
        </w:rPr>
        <w:t xml:space="preserve"> are subject to adjustment as provided in </w:t>
      </w:r>
      <w:r>
        <w:rPr>
          <w:rFonts w:ascii="Arial" w:cs="Arial" w:eastAsia="Arial" w:hAnsi="Arial"/>
          <w:sz w:val="15"/>
          <w:szCs w:val="15"/>
          <w:b w:val="1"/>
          <w:bCs w:val="1"/>
          <w:color w:val="auto"/>
        </w:rPr>
        <w:t>Section 24</w:t>
      </w:r>
      <w:r>
        <w:rPr>
          <w:rFonts w:ascii="Arial" w:cs="Arial" w:eastAsia="Arial" w:hAnsi="Arial"/>
          <w:sz w:val="15"/>
          <w:szCs w:val="15"/>
          <w:color w:val="auto"/>
        </w:rPr>
        <w:t xml:space="preserve"> hereof.</w:t>
      </w:r>
    </w:p>
    <w:p>
      <w:pPr>
        <w:spacing w:after="0" w:line="22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Limitations on Incentive Share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Option shall constitute an Incentive Share Option only (i) if the Grantee of such Option is an employee of the Trust or any Subsidiary of the Trust;</w:t>
      </w:r>
    </w:p>
    <w:p>
      <w:pPr>
        <w:spacing w:after="0" w:line="38" w:lineRule="exact"/>
        <w:rPr>
          <w:sz w:val="20"/>
          <w:szCs w:val="20"/>
          <w:color w:val="auto"/>
        </w:rPr>
      </w:pPr>
    </w:p>
    <w:p>
      <w:pPr>
        <w:jc w:val="both"/>
        <w:ind w:right="40" w:firstLine="8"/>
        <w:spacing w:after="0" w:line="295" w:lineRule="auto"/>
        <w:tabs>
          <w:tab w:leader="none" w:pos="2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extent specifically designated as such in the applicable Award Agreement; and (iii) to the extent that the aggregate Fair Market Value (determined at the time the Option is granted) of the Shares with respect to which all Incentive Share Options held by such Grantee become exercisable for the first time during any calendar year (under the Plan and all other plans of the Grantee’s employer and its Affiliates) does not exceed $100,000, or such other maximum amount as may be specified under Code Section 422(d). This limitation shall be applied by taking Options into account in the order in which they were granted.</w:t>
      </w:r>
    </w:p>
    <w:p>
      <w:pPr>
        <w:spacing w:after="0" w:line="231"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Award granted pursuant to the Plan shall be evidenced by an Award Agreement, to be executed by the Trust and by the Grantee, in such form or forms as the Administrator shall from time to time determine. Award Agreements granted from time to time or at the same time need not contain similar provisions but shall be consistent with the terms of the Plan. Each Award Agreement shall provide that the Award is subject to the terms of the Plan and shall set forth all of the material terms of the Award not otherwise specified in the Plan. Each Award Agreement evidencing an Award of Options shall specify whether such Options are intended to be Non-qualified Share Options or Incentive Share Options, and in the absence of such specification such Options shall be deemed Non-qualified Share Options.</w:t>
      </w:r>
    </w:p>
    <w:p>
      <w:pPr>
        <w:sectPr>
          <w:pgSz w:w="11900" w:h="16838" w:orient="portrait"/>
          <w:cols w:equalWidth="0" w:num="1">
            <w:col w:w="11420"/>
          </w:cols>
          <w:pgMar w:left="240" w:top="274" w:right="239" w:bottom="1440" w:gutter="0" w:footer="0" w:header="0"/>
        </w:sectPr>
      </w:pPr>
    </w:p>
    <w:bookmarkStart w:id="51" w:name="page52"/>
    <w:bookmarkEnd w:id="51"/>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PRICE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Option Price of each Option shall be fixed by the Administrator and stated in the Award Agreement evidencing such Option. The Option Price shall be at least the aggregate Fair Market Value on the Grant Date of the Shares subject to the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a Grantee would otherwise be ineligible to receive an Incentive Share Option by reason of the provisions of Code Sections 422(b)(6) and 424(d) (relating to ownership of more than ten percent of the Trust’s outstanding Shares), the Option Price of an Option granted to such Grantee that is intended to be an Incentive Share Option shall be not less than the greater of the par value of a Share or 110 percent of the Fair Market Value of a Share on the Grant Date; and provided, furthermore, that in the case of a Non-qualified Share Option, Fair Market Value shall be determined as provided in Code Section 409A and the regulations and other guidance thereunder (including Internal Revenue Service (“IRS”) Notice 2006-4 and any successors thereto). In no case shall the Option Price of any Option be less than the par value of a Share.</w:t>
      </w:r>
    </w:p>
    <w:p>
      <w:pPr>
        <w:spacing w:after="0" w:line="234" w:lineRule="exact"/>
        <w:rPr>
          <w:sz w:val="20"/>
          <w:szCs w:val="20"/>
          <w:color w:val="auto"/>
        </w:rPr>
      </w:pPr>
    </w:p>
    <w:p>
      <w:pPr>
        <w:ind w:left="460" w:right="7080" w:hanging="452"/>
        <w:spacing w:after="0" w:line="344" w:lineRule="auto"/>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VESTING, TERM AND EXERCISE OF OPTIONS 10.1. Vesting.</w:t>
      </w:r>
    </w:p>
    <w:p>
      <w:pPr>
        <w:spacing w:after="0" w:line="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Sections 10.2 and 24.3</w:t>
      </w:r>
      <w:r>
        <w:rPr>
          <w:rFonts w:ascii="Arial" w:cs="Arial" w:eastAsia="Arial" w:hAnsi="Arial"/>
          <w:sz w:val="16"/>
          <w:szCs w:val="16"/>
          <w:color w:val="auto"/>
        </w:rPr>
        <w:t xml:space="preserve"> hereof, each Option granted under the Plan shall become exercisable at such times and under such conditions as shall be determined by the Administrator and stated in the Award Agreement. For purposes of this </w:t>
      </w:r>
      <w:r>
        <w:rPr>
          <w:rFonts w:ascii="Arial" w:cs="Arial" w:eastAsia="Arial" w:hAnsi="Arial"/>
          <w:sz w:val="16"/>
          <w:szCs w:val="16"/>
          <w:b w:val="1"/>
          <w:bCs w:val="1"/>
          <w:color w:val="auto"/>
        </w:rPr>
        <w:t>Section 10.1</w:t>
      </w:r>
      <w:r>
        <w:rPr>
          <w:rFonts w:ascii="Arial" w:cs="Arial" w:eastAsia="Arial" w:hAnsi="Arial"/>
          <w:sz w:val="16"/>
          <w:szCs w:val="16"/>
          <w:color w:val="auto"/>
        </w:rPr>
        <w:t>, fractional numbers of Shares subject to an Option shall be rounded down to the next nearest whole number. The Administrator may provide, for example, in the Award Agreement for (i) accelerated exercisability of the Option in the event the Grantee’s Service terminates on account of death, Disability or another event, (ii) expiration of the Option prior to its term in the event of the termination of the Grantee’s Service, (iii) immediate forfeiture of the Option in the event the Grantee’s Service is terminated for Cause or (iv) unvested Options to be exercised subject to the Trust’s right of repurchase with respect to unvested Shares.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Term.</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Administrator and stated in the Award Agreement relating to such Option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Grantee would otherwise be ineligible to receive an Incentive Share Option by reason of the provisions of Code Sections 422(b)(6) and 424(d) (relating to ownership of more than ten percent of the outstanding Shares), an Option granted to such Grantee that is intended to be an Incentive Share Option shall not be exercisable after the expiration of five years from its Grant Date.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Acceleration.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Any limitation on the exercise of an Option contained in any Award Agreement may be rescinded, modified or waived by the Administrator, in its sole discretion, at any time and from time to time after the Grant Date of such Option, so as to accelerate the time at which the Option may be exercised. Notwithstanding any other provision of the Plan, no Option shall be exercisable in whole or in part prior to the date the Plan is approved by the shareholders of the Trust as provided in </w:t>
      </w:r>
      <w:r>
        <w:rPr>
          <w:rFonts w:ascii="Arial" w:cs="Arial" w:eastAsia="Arial" w:hAnsi="Arial"/>
          <w:sz w:val="18"/>
          <w:szCs w:val="18"/>
          <w:b w:val="1"/>
          <w:bCs w:val="1"/>
          <w:color w:val="auto"/>
        </w:rPr>
        <w:t>Section 5.1</w:t>
      </w:r>
      <w:r>
        <w:rPr>
          <w:rFonts w:ascii="Arial" w:cs="Arial" w:eastAsia="Arial" w:hAnsi="Arial"/>
          <w:sz w:val="18"/>
          <w:szCs w:val="18"/>
          <w:color w:val="auto"/>
        </w:rPr>
        <w:t xml:space="preserve"> hereof.</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Termination of Service.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Award Agreement shall set forth the extent to which the Grantee shall have the right to exercise the Option following termination of the Grantee’s Service. Such provisions shall be determined in the sole discretion of the Administrator, need not be uniform among all Options issued pursuant to the Plan, and may reflect distinctions based on the reasons for termination of Service.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Limitations on Exercise of Option.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Notwithstanding any other provision of the Plan, in no event may any Option be exercised, in whole or in part, prior to the date the Plan is approved by the shareholders of the Trust as provided herein, or after ten years following the Grant Date (or five years following the Grant Date in the case of an Incentive Share Option granted to a Grantee</w:t>
      </w:r>
    </w:p>
    <w:p>
      <w:pPr>
        <w:sectPr>
          <w:pgSz w:w="11900" w:h="16838" w:orient="portrait"/>
          <w:cols w:equalWidth="0" w:num="1">
            <w:col w:w="11420"/>
          </w:cols>
          <w:pgMar w:left="240" w:top="274" w:right="239" w:bottom="1440" w:gutter="0" w:footer="0" w:header="0"/>
        </w:sectPr>
      </w:pPr>
    </w:p>
    <w:bookmarkStart w:id="52" w:name="page53"/>
    <w:bookmarkEnd w:id="52"/>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who would otherwise be ineligible to receive an Incentive Share Option by reason of the provisions of Code Sections 422(b)(6) and 424(d)), or after the occurrence of an event referred to in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hereof which results in termination of the Option.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Method of Exercise.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An Option that is exercisable may be exercised by the Grantee’s delivery to the Trust of written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w:t>
      </w:r>
      <w:r>
        <w:rPr>
          <w:rFonts w:ascii="Arial" w:cs="Arial" w:eastAsia="Arial" w:hAnsi="Arial"/>
          <w:sz w:val="16"/>
          <w:szCs w:val="16"/>
          <w:b w:val="1"/>
          <w:bCs w:val="1"/>
          <w:color w:val="auto"/>
        </w:rPr>
        <w:t>Section 10.7</w:t>
      </w:r>
      <w:r>
        <w:rPr>
          <w:rFonts w:ascii="Arial" w:cs="Arial" w:eastAsia="Arial" w:hAnsi="Arial"/>
          <w:sz w:val="16"/>
          <w:szCs w:val="16"/>
          <w:color w:val="auto"/>
        </w:rPr>
        <w:t>, of the Shares for which the Option is being exercised. The minimum number of Shares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10.7. Form of Payment.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Payment of the Option Price for the Shares purchased pursuant to the exercise of an Option shall be made (i) in cash or in cash equivalents acceptable to the Trust; (ii) through the tender (through attestation or otherwise) to the Trust of Shares, which Shares, if acquired from the Trust, shall have been held for at least six months and which shall be valued, for purposes of determining the extent to which the Option Price has been paid thereby, at their Fair Market Value on the date of exercise; or (iii) by a combination of the methods described in (i), and (ii). Notwithstanding the foregoing, unless the Administrator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10.8. Rights of Holders of Options.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hereof, no adjustment shall be made for dividends, distributions or other rights for which the record date is prior to the date of such issuance.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10.9. Delivery of Share Certificates.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share certificate or certificates evidencing his or her ownership of the Shares subject to the Option.</w:t>
      </w:r>
    </w:p>
    <w:p>
      <w:pPr>
        <w:spacing w:after="0" w:line="248" w:lineRule="exact"/>
        <w:rPr>
          <w:sz w:val="20"/>
          <w:szCs w:val="20"/>
          <w:color w:val="auto"/>
        </w:rPr>
      </w:pPr>
    </w:p>
    <w:p>
      <w:pPr>
        <w:ind w:left="460" w:right="8140" w:hanging="452"/>
        <w:spacing w:after="0" w:line="387" w:lineRule="auto"/>
        <w:tabs>
          <w:tab w:leader="none" w:pos="4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OF OPTIONS 11.1. Transferability of Options.</w:t>
      </w:r>
    </w:p>
    <w:p>
      <w:pPr>
        <w:spacing w:after="0" w:line="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11.2</w:t>
      </w:r>
      <w:r>
        <w:rPr>
          <w:rFonts w:ascii="Arial" w:cs="Arial" w:eastAsia="Arial" w:hAnsi="Arial"/>
          <w:sz w:val="18"/>
          <w:szCs w:val="18"/>
          <w:color w:val="auto"/>
        </w:rPr>
        <w:t xml:space="preserve">, during the lifetime of a Grantee, only the Grantee (or, in the event of legal incapacity or incompetency, the Grantee’s guardian or legal representative) may exercise an Option. Except as provided in </w:t>
      </w:r>
      <w:r>
        <w:rPr>
          <w:rFonts w:ascii="Arial" w:cs="Arial" w:eastAsia="Arial" w:hAnsi="Arial"/>
          <w:sz w:val="18"/>
          <w:szCs w:val="18"/>
          <w:b w:val="1"/>
          <w:bCs w:val="1"/>
          <w:color w:val="auto"/>
        </w:rPr>
        <w:t>Section 11.2</w:t>
      </w:r>
      <w:r>
        <w:rPr>
          <w:rFonts w:ascii="Arial" w:cs="Arial" w:eastAsia="Arial" w:hAnsi="Arial"/>
          <w:sz w:val="18"/>
          <w:szCs w:val="18"/>
          <w:color w:val="auto"/>
        </w:rPr>
        <w:t>, no Option shall be assignable or transferable by the Grantee to whom it is granted, other than by will or the laws of descent and distribution.</w:t>
      </w:r>
    </w:p>
    <w:p>
      <w:pPr>
        <w:sectPr>
          <w:pgSz w:w="11900" w:h="16838" w:orient="portrait"/>
          <w:cols w:equalWidth="0" w:num="1">
            <w:col w:w="11400"/>
          </w:cols>
          <w:pgMar w:left="240" w:top="280"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 Family Transfers.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Option which is not an Incentive Share Option to any Family Member. For the purpose of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any such Option shall continue to be subject to the same terms and conditions as were applicable immediately prior to transfer. Subsequent transfers of transferred Options are prohibited except to Family Members of the original Grantee in accordance with this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or by will or the laws of descent and distribution. The events of termination of Service of </w:t>
      </w:r>
      <w:r>
        <w:rPr>
          <w:rFonts w:ascii="Arial" w:cs="Arial" w:eastAsia="Arial" w:hAnsi="Arial"/>
          <w:sz w:val="16"/>
          <w:szCs w:val="16"/>
          <w:b w:val="1"/>
          <w:bCs w:val="1"/>
          <w:color w:val="auto"/>
        </w:rPr>
        <w:t>Section 10.4</w:t>
      </w:r>
      <w:r>
        <w:rPr>
          <w:rFonts w:ascii="Arial" w:cs="Arial" w:eastAsia="Arial" w:hAnsi="Arial"/>
          <w:sz w:val="16"/>
          <w:szCs w:val="16"/>
          <w:color w:val="auto"/>
        </w:rPr>
        <w:t xml:space="preserve"> hereof shall continue to be applied with respect to the original Grantee, following which the Option shall be exercisable by the transferee only to the extent, and for the periods, specified in </w:t>
      </w:r>
      <w:r>
        <w:rPr>
          <w:rFonts w:ascii="Arial" w:cs="Arial" w:eastAsia="Arial" w:hAnsi="Arial"/>
          <w:sz w:val="16"/>
          <w:szCs w:val="16"/>
          <w:b w:val="1"/>
          <w:bCs w:val="1"/>
          <w:color w:val="auto"/>
        </w:rPr>
        <w:t>Section 10.4</w:t>
      </w:r>
      <w:r>
        <w:rPr>
          <w:rFonts w:ascii="Arial" w:cs="Arial" w:eastAsia="Arial" w:hAnsi="Arial"/>
          <w:sz w:val="16"/>
          <w:szCs w:val="16"/>
          <w:color w:val="auto"/>
        </w:rPr>
        <w:t>.</w:t>
      </w:r>
    </w:p>
    <w:p>
      <w:pPr>
        <w:spacing w:after="0" w:line="23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APPRECIATION RIGHTS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SARs to Grantees on the following terms and conditions:</w:t>
      </w:r>
    </w:p>
    <w:p>
      <w:pPr>
        <w:spacing w:after="0" w:line="8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 Right to Payment.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SAR shall confer on the Grantee to whom it is granted a right to receive, upon exercise thereof, the excess of (A) the Fair Market Value of one Share on the date of exercise over (B) the grant price of the SAR as determined by the Administrator. The grant price of an SAR shall not be less than the Fair Market Value of a Share on the date of grant (determined as provided in Code Section 409A and the regulations and other guidance thereunder, including IRS Notice 2006-4 and any successors thereto).</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Other Terms.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Administrator shall determine at the date of grant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21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Grant of Restricted Shares or Restricted Share Units.</w:t>
      </w:r>
    </w:p>
    <w:p>
      <w:pPr>
        <w:spacing w:after="0" w:line="9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The Administrator may from time to time grant Restricted Shares or Restricted Share Units to persons eligible to receive Awards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subject to such restrictions, conditions and other terms as the Administrator may determine. To the extent that the Administrator determines that the vesting of a Restricted Share Award shall be subject to the satisfaction of performance criteria, the Award may be designated by the Administrator as a Performance Award in accordance with </w:t>
      </w:r>
      <w:r>
        <w:rPr>
          <w:rFonts w:ascii="Arial" w:cs="Arial" w:eastAsia="Arial" w:hAnsi="Arial"/>
          <w:sz w:val="18"/>
          <w:szCs w:val="18"/>
          <w:b w:val="1"/>
          <w:bCs w:val="1"/>
          <w:color w:val="auto"/>
        </w:rPr>
        <w:t>Section 20.3</w:t>
      </w:r>
      <w:r>
        <w:rPr>
          <w:rFonts w:ascii="Arial" w:cs="Arial" w:eastAsia="Arial" w:hAnsi="Arial"/>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Restrictions.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time a grant of Restricted Shares or Restricted Share Units is made, the Administrator shall establish a period of time (the “Restricted Period”) applicable to such Restricted Shares or Restricted Share Units. Each Award of Restricted Shares or Restricted Share Units may be subject to a different Restricted Period. The Administrator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w:t>
      </w:r>
    </w:p>
    <w:p>
      <w:pPr>
        <w:sectPr>
          <w:pgSz w:w="11900" w:h="16838" w:orient="portrait"/>
          <w:cols w:equalWidth="0" w:num="1">
            <w:col w:w="11380"/>
          </w:cols>
          <w:pgMar w:left="240" w:top="274" w:right="279" w:bottom="1440" w:gutter="0" w:footer="0" w:header="0"/>
        </w:sectPr>
      </w:pPr>
    </w:p>
    <w:bookmarkStart w:id="54" w:name="page55"/>
    <w:bookmarkEnd w:id="54"/>
    <w:p>
      <w:pPr>
        <w:ind w:right="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Restricted Share Units in accordance with </w:t>
      </w:r>
      <w:r>
        <w:rPr>
          <w:rFonts w:ascii="Arial" w:cs="Arial" w:eastAsia="Arial" w:hAnsi="Arial"/>
          <w:sz w:val="18"/>
          <w:szCs w:val="18"/>
          <w:b w:val="1"/>
          <w:bCs w:val="1"/>
          <w:color w:val="auto"/>
        </w:rPr>
        <w:t>Section 20.3.1</w:t>
      </w:r>
      <w:r>
        <w:rPr>
          <w:rFonts w:ascii="Arial" w:cs="Arial" w:eastAsia="Arial" w:hAnsi="Arial"/>
          <w:sz w:val="18"/>
          <w:szCs w:val="18"/>
          <w:color w:val="auto"/>
        </w:rPr>
        <w:t xml:space="preserve"> and </w:t>
      </w:r>
      <w:r>
        <w:rPr>
          <w:rFonts w:ascii="Arial" w:cs="Arial" w:eastAsia="Arial" w:hAnsi="Arial"/>
          <w:sz w:val="18"/>
          <w:szCs w:val="18"/>
          <w:b w:val="1"/>
          <w:bCs w:val="1"/>
          <w:color w:val="auto"/>
        </w:rPr>
        <w:t>20.3.2</w:t>
      </w:r>
      <w:r>
        <w:rPr>
          <w:rFonts w:ascii="Arial" w:cs="Arial" w:eastAsia="Arial" w:hAnsi="Arial"/>
          <w:sz w:val="18"/>
          <w:szCs w:val="18"/>
          <w:color w:val="auto"/>
        </w:rPr>
        <w:t>. Neither Restricted Shares nor Restricted Share Units may be sold, transferred, assigned, pledged or otherwise encumbered or disposed of during the Restricted Period or prior to the satisfaction of any other restrictions prescribed by the Administrator with respect to such Restricted Shares or Restricted Share Units.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13.3. Restricted Share Certificates.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Trust shall issue, in the name of each Grantee to whom Restricted Shares have been granted, share certificates representing the total number of Restricted Shares granted to the Grantee, as soon as reasonably practicable after the Grant Date. The Administrator may provide in an Award Agreement that either (i) the Secretary of the Trust or the Chief Financial Officer of the Trust shall hold such certificates for the Grantee’s benefit until such time as the Restricted Shares are forfeited to the Trust or the restrictions lapse, or (ii) such certificates shall be delivered to the Grantee,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a legend or legends that complies with the applicable securities laws and regulations and makes appropriate reference to the restrictions imposed under the Plan and the Award Agreement.</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13.4. Rights of Holders of Restricted Shares.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Unless the Administrator otherwise provides in an Award Agreement, holders of Restricted Shares shall have the right to vote such Shares and the right to receive any dividends declared or paid with respect to such Shares. The Administrator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13.5. Rights of Holders of Restricted Share Units.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Unless the Administrator otherwise provides in an Award Agreement, holders of Restricted Share Units shall have no rights as shareholders of the Trust. The Administrator may provide in an Award Agreement evidencing a grant of Restricted Share Units that the holder of such Restricted Share Units shall be entitled to receive, upon the Trust’s payment of a cash dividend on its outstanding Shares, a cash payment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13.6. Termination of Service.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the Administrator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w:t>
      </w:r>
      <w:r>
        <w:rPr>
          <w:rFonts w:ascii="Arial" w:cs="Arial" w:eastAsia="Arial" w:hAnsi="Arial"/>
          <w:sz w:val="18"/>
          <w:szCs w:val="18"/>
          <w:b w:val="1"/>
          <w:bCs w:val="1"/>
          <w:color w:val="auto"/>
        </w:rPr>
        <w:t>.</w:t>
      </w:r>
      <w:r>
        <w:rPr>
          <w:rFonts w:ascii="Arial" w:cs="Arial" w:eastAsia="Arial" w:hAnsi="Arial"/>
          <w:sz w:val="18"/>
          <w:szCs w:val="18"/>
          <w:color w:val="auto"/>
        </w:rPr>
        <w:t xml:space="preserve"> Upon forfeiture of Restricted Shares or Restricted Share Units, the Grantee shall have no further rights with respect to such Award, including but not limited to any right to vote Restricted Shares or any right to receive dividends with respect to Restricted Shares or Restricted Share Units.</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13.7. Delivery of Shares and Payment Therefor.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Upon the expiration or termination of the Restricted Period and the satisfaction of any other conditions prescribed by the Administrator the restrictions applicable to Restricted Shares or Restricted Share Units shall lapse, and a share certificate for such Shares shall be delivered, free of all such restrictions, to the Grantee or the Grantee’s beneficiary or estate, as the case may be.</w:t>
      </w:r>
    </w:p>
    <w:p>
      <w:pPr>
        <w:sectPr>
          <w:pgSz w:w="11900" w:h="16838" w:orient="portrait"/>
          <w:cols w:equalWidth="0" w:num="1">
            <w:col w:w="11380"/>
          </w:cols>
          <w:pgMar w:left="240" w:top="274" w:right="279" w:bottom="1440" w:gutter="0" w:footer="0" w:header="0"/>
        </w:sectPr>
      </w:pPr>
    </w:p>
    <w:bookmarkStart w:id="55" w:name="page56"/>
    <w:bookmarkEnd w:id="55"/>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DEFERRED SHARE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14.1. Nature of Deferred Share Awards.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Deferred Share Award is an Award of phantom share units to a Grantee, subject to such terms, restrictions and conditions (including deferral periods) as the Administrator may determine at the time of grant. Conditions may be based on continuing Service and/or achievement of pre-established performance goals and objectives. The terms and conditions of each such agreement shall be determined by the Administrator at the time of grant, and such terms and conditions may differ among individual Awards and Grantees. At the end of the deferral period, the Deferred Share Award, to the extent vested, shall be paid to the Grantee in the form of Shares in a manner consistent with the requirements of Code Section 409A</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Election to Receive Deferred Share Awards in Lieu of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Administrator may, in its sole discretion, and subject to the requirements of Code Section 409A, permit a Grantee to elect to receive a portion of the cash compensation or Restricted Share Award otherwise due to such Grantee in the form of a Deferred Share Award. Any such election shall be made in writing and shall be delivered to the Trust no later than the date specified by the Administrator and in accordance with rules and procedures established by the Administrator no later than the date specified by the Administrator, which date shall in no event be later than (i) December 31st of the calendar year prior to the calendar year in which the Service giving rise to the cash compensation is performed or (ii) 30 days after the Grant Date of the Restricted Share Award, provided that the election is made at least 12 months prior to the earliest date that Restricted Period applicable to the Restricted Share Award could expire. The Administrator shall have the sole right to determine whether and under what circumstances to permit such elections and to impose such limitations and other terms and conditions thereon, consistent with the requirements of Code Section 409A, as the Administrator deems appropriate.</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14.3. Rights as a Shareholder.</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During the deferral period, a Grantee shall have no rights as a Shareholder;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Grantee may be credited with Dividend Equivalent Rights with respect to the phantom share units underlying his Deferred Share Award, subject to such terms and conditions as the Administrator may determine.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Restrictions on Transfer.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Deferred Share Award may not be sold, assigned, transferred, pledged or otherwise encumbered or disposed of during the deferral period.</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14.5. Termination.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 in all Deferred Share Awards that have not vested shall automatically terminate upon the Grantee’s termination of Service for any reason.</w:t>
      </w:r>
    </w:p>
    <w:p>
      <w:pPr>
        <w:spacing w:after="0" w:line="20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 PURCHASE AWARD</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 Grant of Share Purchase Award.</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Administrator, in its sole discretion, may grant Share Purchase Awards to Grantees either alone or in addition to other Awards granted under the Plan. A Share Purchase Award shall consist of the right to purchase Shares of the Trust and to pay for such Shares in cash. A Grantee shall have until 5:00 P.M. on the twentieth (20th) Business Day following his offer date to accept a Share Purchase Award and sign an Award Agreement relating to the Share Purchase Award.</w:t>
      </w:r>
    </w:p>
    <w:p>
      <w:pPr>
        <w:sectPr>
          <w:pgSz w:w="11900" w:h="16838" w:orient="portrait"/>
          <w:cols w:equalWidth="0" w:num="1">
            <w:col w:w="11320"/>
          </w:cols>
          <w:pgMar w:left="240" w:top="274" w:right="339" w:bottom="1440" w:gutter="0" w:footer="0" w:header="0"/>
        </w:sectPr>
      </w:pPr>
    </w:p>
    <w:bookmarkStart w:id="56" w:name="page57"/>
    <w:bookmarkEnd w:id="56"/>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UNRESTRICTED SHARE AWARDS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Administrator may, in its sole discretion, grant (or sell at par value or such other higher purchase price determined by the Administrator)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259"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SHARE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17.1. Nature of Performance Share Awards.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A Performance Share Award is an Award entitling the recipient to acquire Shares upon the attainment of specified performance goals. The Administrator may make Performance Share Awards independent of or in connection with the granting of any other Award under the Plan. The Administrator in its sole discretion shall determine whether and to whom Performance Share Awards shall be made, the performance goals applicable under each such Award, the periods during which performance is to be measured, and all other limitations and conditions applicable to the Shares awarded under the Performance Share Award;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Administrator may rely on the performance goals and other standards applicable to other performance unit plans of the Trust in setting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for Performance Share Awards under the Plan. At any time prior to the Grantee’s termination of Service, the Administrator may in its sole discretion accelerate, waive or amend any or all of the goals, restrictions or conditions imposed under any Performance Share Award.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17.2. Rights as a Shareholder.</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the sole discretion of the Administrator, Shares issued in connection with a Performance Share Award shall be deposited together with the stock powers with an escrow agent (which may be the Trust) designated by the Administrator. Except as restricted by the terms of the Award Agreement, upon delivery of the Shares to the escrow agent, the Grantee shall have, in the sole discretion of the Administrator, all of the rights of a shareholder with respect to such Shares, including, without limitation, the right to vote the Shares and to receive all dividends declared or paid with respect to the Shares. A Grantee shall be entitled to receive a share certificate evidencing the acquisition of Shares under a Performance Share Award only upon satisfaction of all conditions specified in the written instrument evidencing the Performance Share Award, in a performance plan adopted by the Board or as otherwise provided by the Administrator.</w:t>
      </w: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17.3. Termination of Service.</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rights in all Performance Share Awards shall automatically terminate upon the Grantee’s termination of Service for any reason.</w:t>
      </w:r>
    </w:p>
    <w:p>
      <w:pPr>
        <w:spacing w:after="0" w:line="201" w:lineRule="exact"/>
        <w:rPr>
          <w:sz w:val="20"/>
          <w:szCs w:val="20"/>
          <w:color w:val="auto"/>
        </w:rPr>
      </w:pPr>
    </w:p>
    <w:p>
      <w:pPr>
        <w:ind w:left="460" w:right="8140" w:hanging="452"/>
        <w:spacing w:after="0" w:line="391" w:lineRule="auto"/>
        <w:tabs>
          <w:tab w:leader="none" w:pos="4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DIVIDEND EQUIVALENT RIGHTS 18.1. Dividend Equivalent Rights.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 The terms and conditions of Dividend Equivalent Rights shall be specified at the time of grant. Dividend Equivalent Rights credited to the holder of a Dividend Equivalent Right may be paid currently or may be deemed to be reinvested in additional Shares, which may thereafter accrue additional equivalents. Any such reinvestment shall be at Fair Market Value on the date of reinvestment. The Award Agreement shall also specify the date or dates on which Dividend Equivalent Rights shall be settled, whether Dividend Equivalent Rights may be settled in cash or Shares or a combination thereof, in a single installment or installments, all determined in the sole discretion of the Administrator. A Dividend Equivalent Right granted as a component of another Award may also contain terms and conditions different from such other award.</w:t>
      </w:r>
    </w:p>
    <w:p>
      <w:pPr>
        <w:sectPr>
          <w:pgSz w:w="11900" w:h="16838" w:orient="portrait"/>
          <w:cols w:equalWidth="0" w:num="1">
            <w:col w:w="11420"/>
          </w:cols>
          <w:pgMar w:left="240" w:top="274"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18.2. Interest Equivalents.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18.3. Termination of Service.</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Except as may otherwise be provided by the Administrator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201"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OUTSIDE TRUSTEE AWARDS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Administrator shall determine from time to time appropriate Awards for the Trust’s Outside Trustees.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CERTAIN PROVISIONS APPLICABLE TO AWARDS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 Stand-Alone, Additional, Tandem, and Substitute Awards.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Awards granted under the Plan may, in the discretion of the Administrator, be granted either alone or in addition to, in tandem with, or in substitution or exchange for, any other Award or any award granted under another plan of the Trust, any Affiliate, or any business entity to be acquired by the Trust or an Affiliate, or any other right of a Grantee to receive payment from the Trust or any Affiliate</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an Option or SAR may be granted in exchange for or in substitution of another stock option or stock appreciation right only if such substitution or exchange will not be treated as the grant of a new stock option of stock appreciation right for purposes of Code Section 409A. Such additional, tandem, and substitute or exchange Awards may be granted at any time. If an Award is granted in substitution or exchange for another Award, the Administrator shall require the surrender of such other Award in consideration for the grant of the new Award. In addition, subject to the all of the applicable requirements of Code Section 409A, Awards may be granted in lieu of cash compensation, including in lieu of cash amounts payable under other plans of the Trust or any Affiliate, in which the value of Shares subject to the Award is equivalent in value to the cash compensation (for example, Deferred Share Awards or Restricted Shares), or in which the purchase price of an Award in the nature of a right that may be exercised is equal to the Fair Market Value of the underlying Shares minus the value of the cash compensation surrendered (for example, a Share Purchase Award granted with the purchase price “discounted” by the amount of the cash compensation surrendered);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may the Option Price of an Option or the grant price of an SAR be less than the Fair Market Value of a Share on the Grant Date determined as provided in Sections 9 and 12.1, respectively.</w:t>
      </w: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 Form and Timing of Payment Under Awards; Deferrals.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all of the applicable requirements of Code Section 409A, the terms of the Plan and any applicable Award Agreement, payments to be made by the Trust or an Affiliate upon the exercise of an Option or other Award or settlement of an Award may be made in such forms as the Administrator shall determine, including, 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Administrator or upon occurrence of one or more specified events. Installment or deferred payments may be required by the Administrator or permitted at the election of the Grantee on terms and conditions established by the Administrator consistent with the requirements of Code Section 409A. Payments may include, without limitation, provisions for the payment or crediting of a reasonable interest rate on installment or deferred payments or the grant or crediting of Dividend Equivalent Rights or other amounts in respect of installment or deferred payments denominated in Shares.</w:t>
      </w:r>
    </w:p>
    <w:p>
      <w:pPr>
        <w:sectPr>
          <w:pgSz w:w="11900" w:h="16838" w:orient="portrait"/>
          <w:cols w:equalWidth="0" w:num="1">
            <w:col w:w="11380"/>
          </w:cols>
          <w:pgMar w:left="240" w:top="274"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20.3. Performance and Annual Incentive Awards.</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20.3.1.Performance Conditions.</w:t>
      </w:r>
    </w:p>
    <w:p>
      <w:pPr>
        <w:spacing w:after="0" w:line="96" w:lineRule="exact"/>
        <w:rPr>
          <w:sz w:val="20"/>
          <w:szCs w:val="20"/>
          <w:color w:val="auto"/>
        </w:rPr>
      </w:pPr>
    </w:p>
    <w:p>
      <w:pPr>
        <w:ind w:left="460" w:right="80" w:firstLine="420"/>
        <w:spacing w:after="0" w:line="291" w:lineRule="auto"/>
        <w:rPr>
          <w:sz w:val="20"/>
          <w:szCs w:val="20"/>
          <w:color w:val="auto"/>
        </w:rPr>
      </w:pPr>
      <w:r>
        <w:rPr>
          <w:rFonts w:ascii="Arial" w:cs="Arial" w:eastAsia="Arial" w:hAnsi="Arial"/>
          <w:sz w:val="16"/>
          <w:szCs w:val="16"/>
          <w:color w:val="auto"/>
        </w:rPr>
        <w:t xml:space="preserve">The right of a Grantee to exercise or receive a grant or settlement of any Award, and the timing thereof, may be subject to such performance conditions as may be specified by the Administrator. The Administrator may use such business criteria and other measures of performance as it may deem appropriate in establishing any performance conditions, and may exercise its discretion to reduce the amounts payable under any Award subject to performance conditions, except as limited under </w:t>
      </w:r>
      <w:r>
        <w:rPr>
          <w:rFonts w:ascii="Arial" w:cs="Arial" w:eastAsia="Arial" w:hAnsi="Arial"/>
          <w:sz w:val="16"/>
          <w:szCs w:val="16"/>
          <w:b w:val="1"/>
          <w:bCs w:val="1"/>
          <w:color w:val="auto"/>
        </w:rPr>
        <w:t>Sections 20.3.2</w:t>
      </w:r>
      <w:r>
        <w:rPr>
          <w:rFonts w:ascii="Arial" w:cs="Arial" w:eastAsia="Arial" w:hAnsi="Arial"/>
          <w:sz w:val="16"/>
          <w:szCs w:val="16"/>
          <w:color w:val="auto"/>
        </w:rPr>
        <w:t xml:space="preserve"> hereof in the case of a Performance Award or Annual Incentive Award intended to qualify under Code Section 162(m). If and to the extent required under Code Section 162(m), any power or authority relating to a Performance Award or Annual Incentive Award intended to qualify under Code Section 162(m), shall be exercised by the Administrator.</w:t>
      </w:r>
    </w:p>
    <w:p>
      <w:pPr>
        <w:spacing w:after="0" w:line="3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20.3.2.Performance or Annual Incentive Awards Granted to Designated Covered Employees.</w:t>
      </w:r>
    </w:p>
    <w:p>
      <w:pPr>
        <w:spacing w:after="0" w:line="96" w:lineRule="exact"/>
        <w:rPr>
          <w:sz w:val="20"/>
          <w:szCs w:val="20"/>
          <w:color w:val="auto"/>
        </w:rPr>
      </w:pPr>
    </w:p>
    <w:p>
      <w:pPr>
        <w:ind w:left="460" w:right="380" w:firstLine="420"/>
        <w:spacing w:after="0" w:line="298" w:lineRule="auto"/>
        <w:rPr>
          <w:sz w:val="20"/>
          <w:szCs w:val="20"/>
          <w:color w:val="auto"/>
        </w:rPr>
      </w:pPr>
      <w:r>
        <w:rPr>
          <w:rFonts w:ascii="Arial" w:cs="Arial" w:eastAsia="Arial" w:hAnsi="Arial"/>
          <w:sz w:val="16"/>
          <w:szCs w:val="16"/>
          <w:color w:val="auto"/>
        </w:rPr>
        <w:t xml:space="preserve">If and to the extent that the Administrator determines that a Performance or Annual Incentive Award to be granted to a Grantee who is designated by the Administrator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w:t>
      </w:r>
      <w:r>
        <w:rPr>
          <w:rFonts w:ascii="Arial" w:cs="Arial" w:eastAsia="Arial" w:hAnsi="Arial"/>
          <w:sz w:val="16"/>
          <w:szCs w:val="16"/>
          <w:b w:val="1"/>
          <w:bCs w:val="1"/>
          <w:color w:val="auto"/>
        </w:rPr>
        <w:t>Section 20.3.2</w:t>
      </w:r>
      <w:r>
        <w:rPr>
          <w:rFonts w:ascii="Arial" w:cs="Arial" w:eastAsia="Arial" w:hAnsi="Arial"/>
          <w:sz w:val="16"/>
          <w:szCs w:val="16"/>
          <w:color w:val="auto"/>
        </w:rPr>
        <w:t>.</w:t>
      </w:r>
    </w:p>
    <w:p>
      <w:pPr>
        <w:spacing w:after="0" w:line="32" w:lineRule="exact"/>
        <w:rPr>
          <w:sz w:val="20"/>
          <w:szCs w:val="20"/>
          <w:color w:val="auto"/>
        </w:rPr>
      </w:pPr>
    </w:p>
    <w:p>
      <w:pPr>
        <w:ind w:left="1040" w:right="80" w:firstLine="389"/>
        <w:spacing w:after="0" w:line="289" w:lineRule="auto"/>
        <w:tabs>
          <w:tab w:leader="none" w:pos="1647" w:val="left"/>
        </w:tabs>
        <w:numPr>
          <w:ilvl w:val="1"/>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Goals Generally. </w:t>
      </w:r>
      <w:r>
        <w:rPr>
          <w:rFonts w:ascii="Arial" w:cs="Arial" w:eastAsia="Arial" w:hAnsi="Arial"/>
          <w:sz w:val="16"/>
          <w:szCs w:val="16"/>
          <w:color w:val="auto"/>
        </w:rPr>
        <w:t>The performance goals for such Performance or Annual Incentive Awards shall consist of one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more business criteria and a targeted level or levels of performance with respect to each of such criteria, as specified by the Administrator consistent with this </w:t>
      </w:r>
      <w:r>
        <w:rPr>
          <w:rFonts w:ascii="Arial" w:cs="Arial" w:eastAsia="Arial" w:hAnsi="Arial"/>
          <w:sz w:val="16"/>
          <w:szCs w:val="16"/>
          <w:b w:val="1"/>
          <w:bCs w:val="1"/>
          <w:color w:val="auto"/>
        </w:rPr>
        <w:t>Section 20.3.2</w:t>
      </w:r>
      <w:r>
        <w:rPr>
          <w:rFonts w:ascii="Arial" w:cs="Arial" w:eastAsia="Arial" w:hAnsi="Arial"/>
          <w:sz w:val="16"/>
          <w:szCs w:val="16"/>
          <w:color w:val="auto"/>
        </w:rPr>
        <w:t>. Performance goals shall be objective and shall otherwise meet the requirements of Code Section 162(m) and regulations thereunder including the requirement that the level or levels of performance targeted by the Administrator result in the achievement of performance goals being “substantially uncertain.” The Administrator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spacing w:after="0" w:line="37" w:lineRule="exact"/>
        <w:rPr>
          <w:rFonts w:ascii="Arial" w:cs="Arial" w:eastAsia="Arial" w:hAnsi="Arial"/>
          <w:sz w:val="16"/>
          <w:szCs w:val="16"/>
          <w:color w:val="auto"/>
        </w:rPr>
      </w:pPr>
    </w:p>
    <w:p>
      <w:pPr>
        <w:ind w:left="1040" w:firstLine="389"/>
        <w:spacing w:after="0" w:line="302" w:lineRule="auto"/>
        <w:tabs>
          <w:tab w:leader="none" w:pos="1695" w:val="left"/>
        </w:tabs>
        <w:numPr>
          <w:ilvl w:val="1"/>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Business Criteria. </w:t>
      </w:r>
      <w:r>
        <w:rPr>
          <w:rFonts w:ascii="Arial" w:cs="Arial" w:eastAsia="Arial" w:hAnsi="Arial"/>
          <w:sz w:val="15"/>
          <w:szCs w:val="15"/>
          <w:color w:val="auto"/>
        </w:rPr>
        <w:t>One or more of the following business criteria for the Trust, on a consolidated basis, and/or specified subsidiaries</w:t>
      </w:r>
      <w:r>
        <w:rPr>
          <w:rFonts w:ascii="Arial" w:cs="Arial" w:eastAsia="Arial" w:hAnsi="Arial"/>
          <w:sz w:val="15"/>
          <w:szCs w:val="15"/>
          <w:i w:val="1"/>
          <w:iCs w:val="1"/>
          <w:color w:val="auto"/>
        </w:rPr>
        <w:t xml:space="preserve"> </w:t>
      </w:r>
      <w:r>
        <w:rPr>
          <w:rFonts w:ascii="Arial" w:cs="Arial" w:eastAsia="Arial" w:hAnsi="Arial"/>
          <w:sz w:val="15"/>
          <w:szCs w:val="15"/>
          <w:color w:val="auto"/>
        </w:rPr>
        <w:t>or business units, geographic regions, or properties of the Trust (except with respect to the total shareholder return and earnings per share criteria), shall be used exclusively by the Administrator in establishing performance goals for such Performance or Annual Incentive Awards: (1) total shareholder return; (2) such total shareholder return as compared to total return (on a comparable basis) of a publicly available index such as, but not limited to, the Standard &amp; Poor’s 500 Stock Index or a REIT Index; (3) net earnings; (4) pretax profits;</w:t>
      </w:r>
    </w:p>
    <w:p>
      <w:pPr>
        <w:spacing w:after="0" w:line="1" w:lineRule="exact"/>
        <w:rPr>
          <w:rFonts w:ascii="Arial" w:cs="Arial" w:eastAsia="Arial" w:hAnsi="Arial"/>
          <w:sz w:val="15"/>
          <w:szCs w:val="15"/>
          <w:color w:val="auto"/>
        </w:rPr>
      </w:pPr>
    </w:p>
    <w:p>
      <w:pPr>
        <w:jc w:val="both"/>
        <w:ind w:left="1040" w:right="280" w:hanging="8"/>
        <w:spacing w:after="0" w:line="300" w:lineRule="auto"/>
        <w:tabs>
          <w:tab w:leader="none" w:pos="1289" w:val="left"/>
        </w:tabs>
        <w:numPr>
          <w:ilvl w:val="0"/>
          <w:numId w:val="81"/>
        </w:numPr>
        <w:rPr>
          <w:rFonts w:ascii="Arial" w:cs="Arial" w:eastAsia="Arial" w:hAnsi="Arial"/>
          <w:sz w:val="15"/>
          <w:szCs w:val="15"/>
          <w:color w:val="auto"/>
        </w:rPr>
      </w:pPr>
      <w:r>
        <w:rPr>
          <w:rFonts w:ascii="Arial" w:cs="Arial" w:eastAsia="Arial" w:hAnsi="Arial"/>
          <w:sz w:val="15"/>
          <w:szCs w:val="15"/>
          <w:color w:val="auto"/>
        </w:rPr>
        <w:t>earnings before interest expense, taxes, depreciation and amortization; (6) pretax operating earnings after interest expense and before bonuses, service fees, and extraordinary or special items; (7) operating margin; (8) earnings per share; (9) return on equity; (10) return on capital; (11) return on investment; (12) operating earnings; (13) working capital; (14) ratio of debt to shareholders’ equity; (15) revenue;</w:t>
      </w:r>
    </w:p>
    <w:p>
      <w:pPr>
        <w:spacing w:after="0" w:line="1" w:lineRule="exact"/>
        <w:rPr>
          <w:rFonts w:ascii="Arial" w:cs="Arial" w:eastAsia="Arial" w:hAnsi="Arial"/>
          <w:sz w:val="15"/>
          <w:szCs w:val="15"/>
          <w:color w:val="auto"/>
        </w:rPr>
      </w:pPr>
    </w:p>
    <w:p>
      <w:pPr>
        <w:ind w:left="1360" w:hanging="328"/>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funds from operations; (17) funds from operations per Share; (18) Share price; (19) dividends; (20) market share or market penetration;</w:t>
      </w:r>
    </w:p>
    <w:p>
      <w:pPr>
        <w:spacing w:after="0" w:line="32" w:lineRule="exact"/>
        <w:rPr>
          <w:rFonts w:ascii="Arial" w:cs="Arial" w:eastAsia="Arial" w:hAnsi="Arial"/>
          <w:sz w:val="16"/>
          <w:szCs w:val="16"/>
          <w:color w:val="auto"/>
        </w:rPr>
      </w:pPr>
    </w:p>
    <w:p>
      <w:pPr>
        <w:ind w:left="1040" w:right="20" w:hanging="8"/>
        <w:spacing w:after="0" w:line="261" w:lineRule="auto"/>
        <w:tabs>
          <w:tab w:leader="none" w:pos="137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attainment of acquisition, disposition, financing, refinancing, or capitalization goals; (22) value creation in the form of an increase in the net asset value of a real estate development or redevelopment project; and (23) attainment of leasing goals.</w:t>
      </w:r>
    </w:p>
    <w:p>
      <w:pPr>
        <w:spacing w:after="0" w:line="56" w:lineRule="exact"/>
        <w:rPr>
          <w:rFonts w:ascii="Arial" w:cs="Arial" w:eastAsia="Arial" w:hAnsi="Arial"/>
          <w:sz w:val="18"/>
          <w:szCs w:val="18"/>
          <w:color w:val="auto"/>
        </w:rPr>
      </w:pPr>
    </w:p>
    <w:p>
      <w:pPr>
        <w:ind w:left="1040" w:right="80" w:firstLine="389"/>
        <w:spacing w:after="0" w:line="318" w:lineRule="auto"/>
        <w:tabs>
          <w:tab w:leader="none" w:pos="1744" w:val="left"/>
        </w:tabs>
        <w:numPr>
          <w:ilvl w:val="1"/>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Performance Period; Timing For Establishing Performance Goals. </w:t>
      </w:r>
      <w:r>
        <w:rPr>
          <w:rFonts w:ascii="Arial" w:cs="Arial" w:eastAsia="Arial" w:hAnsi="Arial"/>
          <w:sz w:val="15"/>
          <w:szCs w:val="15"/>
          <w:color w:val="auto"/>
        </w:rPr>
        <w:t>Achievement of performance goals in respect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Awards shall be measured over a performance period of up to fifteen years and achievement of performance goals in respect of Annual Incentive Awards shall be measured over a performance period of up to one year, as specified by the Administrator. 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sectPr>
          <w:pgSz w:w="11900" w:h="16838" w:orient="portrait"/>
          <w:cols w:equalWidth="0" w:num="1">
            <w:col w:w="10960"/>
          </w:cols>
          <w:pgMar w:left="700" w:top="274" w:right="239" w:bottom="1440" w:gutter="0" w:footer="0" w:header="0"/>
        </w:sectPr>
      </w:pPr>
    </w:p>
    <w:bookmarkStart w:id="59" w:name="page60"/>
    <w:bookmarkEnd w:id="59"/>
    <w:p>
      <w:pPr>
        <w:ind w:left="1500" w:firstLine="389"/>
        <w:spacing w:after="0" w:line="332" w:lineRule="auto"/>
        <w:tabs>
          <w:tab w:leader="none" w:pos="2194"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Performance or Annual Incentive Award Pool. </w:t>
      </w:r>
      <w:r>
        <w:rPr>
          <w:rFonts w:ascii="Arial" w:cs="Arial" w:eastAsia="Arial" w:hAnsi="Arial"/>
          <w:sz w:val="16"/>
          <w:szCs w:val="16"/>
          <w:color w:val="auto"/>
        </w:rPr>
        <w:t>The Administrator may establish a Performance or Annual Incentive Award pool,</w:t>
      </w:r>
      <w:r>
        <w:rPr>
          <w:rFonts w:ascii="Arial" w:cs="Arial" w:eastAsia="Arial" w:hAnsi="Arial"/>
          <w:sz w:val="16"/>
          <w:szCs w:val="16"/>
          <w:i w:val="1"/>
          <w:iCs w:val="1"/>
          <w:color w:val="auto"/>
        </w:rPr>
        <w:t xml:space="preserve"> </w:t>
      </w:r>
      <w:r>
        <w:rPr>
          <w:rFonts w:ascii="Arial" w:cs="Arial" w:eastAsia="Arial" w:hAnsi="Arial"/>
          <w:sz w:val="16"/>
          <w:szCs w:val="16"/>
          <w:color w:val="auto"/>
        </w:rPr>
        <w:t>which shall be an unfunded pool, for purposes of measuring Trust performance in connection with Performance or Annual Incentive Awards.</w:t>
      </w:r>
    </w:p>
    <w:p>
      <w:pPr>
        <w:spacing w:after="0" w:line="4" w:lineRule="exact"/>
        <w:rPr>
          <w:rFonts w:ascii="Arial" w:cs="Arial" w:eastAsia="Arial" w:hAnsi="Arial"/>
          <w:sz w:val="16"/>
          <w:szCs w:val="16"/>
          <w:color w:val="auto"/>
        </w:rPr>
      </w:pPr>
    </w:p>
    <w:p>
      <w:pPr>
        <w:ind w:left="1500" w:right="40" w:firstLine="389"/>
        <w:spacing w:after="0" w:line="289" w:lineRule="auto"/>
        <w:tabs>
          <w:tab w:leader="none" w:pos="2146"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Performance or Annual Incentive Awards; Other Terms. </w:t>
      </w:r>
      <w:r>
        <w:rPr>
          <w:rFonts w:ascii="Arial" w:cs="Arial" w:eastAsia="Arial" w:hAnsi="Arial"/>
          <w:sz w:val="16"/>
          <w:szCs w:val="16"/>
          <w:color w:val="auto"/>
        </w:rPr>
        <w:t>Settlement of such Performance or Annual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in cash, Shares, other Awards or other property, in the discretion of the Administrator. The Administrator may, in its discretion, reduce the amount of a settlement otherwise to be made in connection with such Performance or Annual Incentive Awards. The Administrator shall specify the circumstances in which such Performance or Annual Incentive Awards shall be paid or forfeited in the event of termination of Service by the Grantee prior to the end of a performance period or settlement of Performance Awards. Notwithstanding the forgoing, no settlement of a Performance or Annual Incentive Award in respect of a Grantee who is a Covered Employee may be made unless and until the Administrator certifies in writing that the applicable performance goals and other material terms of the Award have been satisfied.</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20.3.3.Written Determinations.</w:t>
      </w:r>
    </w:p>
    <w:p>
      <w:pPr>
        <w:spacing w:after="0" w:line="96" w:lineRule="exact"/>
        <w:rPr>
          <w:sz w:val="20"/>
          <w:szCs w:val="20"/>
          <w:color w:val="auto"/>
        </w:rPr>
      </w:pPr>
    </w:p>
    <w:p>
      <w:pPr>
        <w:ind w:left="920" w:right="40" w:firstLine="420"/>
        <w:spacing w:after="0" w:line="294" w:lineRule="auto"/>
        <w:rPr>
          <w:sz w:val="20"/>
          <w:szCs w:val="20"/>
          <w:color w:val="auto"/>
        </w:rPr>
      </w:pPr>
      <w:r>
        <w:rPr>
          <w:rFonts w:ascii="Arial" w:cs="Arial" w:eastAsia="Arial" w:hAnsi="Arial"/>
          <w:sz w:val="16"/>
          <w:szCs w:val="16"/>
          <w:color w:val="auto"/>
        </w:rPr>
        <w:t>All determinations by the Administrator as to the establishment of performance goals, the amount of any Performance Award pool or potential individual Performance Awards and as to the achievement of performance goals relating to Performance Awards, and the amount of any Annual Incentive Award pool or potential individual Annual Incentive Awards and the amount of final Annual Incentive Awards, shall be made in writing in the case of any Award intended to qualify under Code Section 162(m). To the extent required to comply with Code Section 162(m), the Administrator may delegate any responsibility relating to such Performance Awards or Annual Incentive Awards.</w:t>
      </w:r>
    </w:p>
    <w:p>
      <w:pPr>
        <w:spacing w:after="0" w:line="29"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20.3.4.Status of Section 20.3.2 Awards Under Code Section 162(m).</w:t>
      </w:r>
    </w:p>
    <w:p>
      <w:pPr>
        <w:spacing w:after="0" w:line="96" w:lineRule="exact"/>
        <w:rPr>
          <w:sz w:val="20"/>
          <w:szCs w:val="20"/>
          <w:color w:val="auto"/>
        </w:rPr>
      </w:pPr>
    </w:p>
    <w:p>
      <w:pPr>
        <w:ind w:left="920" w:right="40" w:firstLine="420"/>
        <w:spacing w:after="0" w:line="287" w:lineRule="auto"/>
        <w:rPr>
          <w:sz w:val="20"/>
          <w:szCs w:val="20"/>
          <w:color w:val="auto"/>
        </w:rPr>
      </w:pPr>
      <w:r>
        <w:rPr>
          <w:rFonts w:ascii="Arial" w:cs="Arial" w:eastAsia="Arial" w:hAnsi="Arial"/>
          <w:sz w:val="16"/>
          <w:szCs w:val="16"/>
          <w:color w:val="auto"/>
        </w:rPr>
        <w:t>It is the intent of the Trust that Performance Awards and Annual Incentive Awards under Section 20.3.2 hereof granted to persons who are designated by the Administrator as likely to be Covered Employees within the meaning of Code Section 162(m) and regulations thereunder shall, if so designated by the Administrator, constitute “qualified performance-based compensation” within the meaning of Code Section 162(m) and regulations thereunder. Accordingly, the terms of Section 20.3.2, including the definitions of Covered Employee and other terms used therein, shall be interpreted in a manner consistent with Code Section 162(m) and regulations thereunder. The foregoing notwithstanding, the term Covered Employee as used herein shall mean only a person designated by the Administrator, at the time of grant of Performance Awards or an Annual Incentive Award, as likely to be a Covered Employee with respect to the fiscal years in which deductions are allowed for the Awards. If any provision of the Plan or any agreement relating to such Performance Awards or Annual Incentive Awards does not comply or is inconsistent with the requirements of Code Section 162(m) or regulations thereunder, such provision shall be construed or deemed amended to the extent necessary to conform to such requirements.</w:t>
      </w:r>
    </w:p>
    <w:p>
      <w:pPr>
        <w:spacing w:after="0" w:line="23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LIMITATIONS</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Notwithstanding any other provision of this Plan or of any other agreement, contract, or understanding heretofore or hereafter entered into by a Grantee with the Trust or any Affiliate, except (i) an agreement, contract, or understanding hereafter entered into that expressly modifies or excludes application of this paragraph or (ii) an employment or other agreement between the Trust and the Grantee that specifically provides for the payment of taxes due under Code Section 4999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Code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280G(c), any Option, Restricted Shares or Restricted Share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w:t>
      </w:r>
    </w:p>
    <w:p>
      <w:pPr>
        <w:sectPr>
          <w:pgSz w:w="11900" w:h="16838" w:orient="portrait"/>
          <w:cols w:equalWidth="0" w:num="1">
            <w:col w:w="11400"/>
          </w:cols>
          <w:pgMar w:left="240" w:top="280" w:right="259" w:bottom="1440" w:gutter="0" w:footer="0" w:header="0"/>
        </w:sectPr>
      </w:pPr>
    </w:p>
    <w:bookmarkStart w:id="60" w:name="page61"/>
    <w:bookmarkEnd w:id="60"/>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would cause any payment or benefit to the Grantee under this Plan to be considered a “parachute payment” within the meaning of Code Section 280G(b)(2) as then in effect (a “Parachute Payment”) </w:t>
      </w:r>
      <w:r>
        <w:rPr>
          <w:rFonts w:ascii="Arial" w:cs="Arial" w:eastAsia="Arial" w:hAnsi="Arial"/>
          <w:sz w:val="16"/>
          <w:szCs w:val="16"/>
          <w:i w:val="1"/>
          <w:iCs w:val="1"/>
          <w:color w:val="auto"/>
        </w:rPr>
        <w:t>and</w:t>
      </w:r>
      <w:r>
        <w:rPr>
          <w:rFonts w:ascii="Arial" w:cs="Arial" w:eastAsia="Arial" w:hAnsi="Arial"/>
          <w:sz w:val="16"/>
          <w:szCs w:val="16"/>
          <w:color w:val="auto"/>
        </w:rPr>
        <w:t xml:space="preserve"> (ii)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235" w:lineRule="exact"/>
        <w:rPr>
          <w:sz w:val="20"/>
          <w:szCs w:val="20"/>
          <w:color w:val="auto"/>
        </w:rPr>
      </w:pPr>
    </w:p>
    <w:p>
      <w:pPr>
        <w:ind w:left="460" w:right="8800" w:hanging="452"/>
        <w:spacing w:after="0" w:line="347" w:lineRule="auto"/>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22.1. General.</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 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Trust shall not be required to sell or issue such Shares unless the Administrator has received evidence satisfactory to it that the Grantee or any other individual exercising an Option may acquire such Shares pursuant to an exemption from registration under the Securities Act. Any determination in this connection by the Administrator shall be final, binding, and conclusive. The Trust may, but shall in no event be obligated to, register any securities covered hereby pursuant to the Securities Act. The Trust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22.2. Rule 16b-3.</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 the Plan or action by the Administrator does not comply with the requirements of Rule 16b-3, it shall be deemed inoperative to the extent permitted by law and deemed advisable by the Administrator, and shall not affect the validity of the Plan. In the event that Rule 16b-3 is revised or replaced, the Administrator may exercise its discretion to modify this Plan in any respect necessary to satisfy the requirements of, or to take advantage of any features of, the revised exemption or its replacement.</w:t>
      </w:r>
    </w:p>
    <w:p>
      <w:pPr>
        <w:sectPr>
          <w:pgSz w:w="11900" w:h="16838" w:orient="portrait"/>
          <w:cols w:equalWidth="0" w:num="1">
            <w:col w:w="11420"/>
          </w:cols>
          <w:pgMar w:left="240" w:top="280"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22.3. Section 409A.</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It is the intent of the Trust that all Awards that constitute “deferred compensation” within the meaning of Code Section 409A will satisfy the requirements of that section, and that all Awards that can qualify for an exemption from the definition of “deferred compensation” under that section, including but not limited to Options, Share Appreciation Rights and Restricted Shares, will do so. Accordingly, the terms of the Plan shall be interpreted in a manner consistent with Code Section 409A and regulations thereunder.</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22.4. Limitation Following a Hardship Distribution.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the extent required to comply with Treasury Regulation Section 1.401(k)-1(d)(2)(iv)(B)(4), or any amendment or successor thereto, a Grantee’s “elective and employee contributions” (within the meaning of such Treasury Regulation) under the Plan shall be suspended for a period of six months following such Grantee’s receipt of a hardship distribution made in reliance on such Treasury Regulation from any plan containing a cash or deferred arrangement under Code Section 401(k) maintained by the Trust or a related party within the provisions of subsections (b), (c), (m) or (o) of Code Section 414.</w:t>
      </w:r>
    </w:p>
    <w:p>
      <w:pPr>
        <w:spacing w:after="0" w:line="22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The Board may, at any time and from time to time, amend, suspend, or terminate the Plan as to any Shares as to which Awards have not been made;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Board shall not, without approval of the Trust’s shareholders, amend the Plan such that it does not comply with (or in a manner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does not comply with) the rules of any stock exchange or national quotation system on which securities of the Trust are listed for trading or quotation, applicable federal securities laws, or the Code (including requirements necessary to qualify Options as Incentive Share Options or qualify Awards as performance-based compensation under Code Section 162(m)). Except as permitted under this </w:t>
      </w:r>
      <w:r>
        <w:rPr>
          <w:rFonts w:ascii="Arial" w:cs="Arial" w:eastAsia="Arial" w:hAnsi="Arial"/>
          <w:sz w:val="16"/>
          <w:szCs w:val="16"/>
          <w:b w:val="1"/>
          <w:bCs w:val="1"/>
          <w:color w:val="auto"/>
        </w:rPr>
        <w:t>Section 23</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amendment, suspension, or termination of the Plan shall, without the consent of the Grantee, alter or impair rights or obligations under any Award theretofore awarded under the Plan. Furthermore, except as permitted under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hereof, no adjustment to decrease the Option Price of an outstanding Option, whether by amending the Option Price or by canceling the outstanding Option and reissuing a replacement or substitute Option having a lower Option Price or any other Award, may be made without approval of the Trust’s shareholders.</w:t>
      </w:r>
    </w:p>
    <w:p>
      <w:pPr>
        <w:spacing w:after="0" w:line="235" w:lineRule="exact"/>
        <w:rPr>
          <w:sz w:val="20"/>
          <w:szCs w:val="20"/>
          <w:color w:val="auto"/>
        </w:rPr>
      </w:pPr>
    </w:p>
    <w:p>
      <w:pPr>
        <w:ind w:left="460" w:right="7200" w:hanging="452"/>
        <w:spacing w:after="0" w:line="347" w:lineRule="auto"/>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24.1. Changes in Shares.</w:t>
      </w:r>
    </w:p>
    <w:p>
      <w:pPr>
        <w:spacing w:after="0" w:line="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the number of outstanding Shares is increased or decreased or the Shares are changed into or exchanged for a different number or kind of shares or other securities of the Trust on account of any recapitalization, reclassification, share split, reverse split, combination of shares, exchange of shares, share dividend or other distribution payable in capital shares, or other increase or decrease in such shares effected without receipt of consideration by the Trust occurring after the Effective Date, the number and kinds of shares for which grants of Options and other Awards may be made under the Plan shall be adjusted proportionately and accordingly by the Trust.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shall not change the aggregate Option Price payable with respect to shares that are subject to the unexercised portion of an Option outstanding but shall include a corresponding proportionate adjustment in the Option Price per share. The conversion of any convertible securities of the Trust shall not be treated as an increase in shares effected without receipt of consideration.</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24.2. Reorganization in Which the Trust Is the Surviving Entity and in Which No Change in Control Occurs.</w:t>
      </w:r>
    </w:p>
    <w:p>
      <w:pPr>
        <w:spacing w:after="0" w:line="9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24.3</w:t>
      </w:r>
      <w:r>
        <w:rPr>
          <w:rFonts w:ascii="Arial" w:cs="Arial" w:eastAsia="Arial" w:hAnsi="Arial"/>
          <w:sz w:val="18"/>
          <w:szCs w:val="18"/>
          <w:color w:val="auto"/>
        </w:rPr>
        <w:t xml:space="preserve"> hereof, if the Trust shall be the surviving entity in any reorganization, merger, or consolidation of the Trust with one or more other entities in which no Change in Control occurs, any Option theretofore granted pursuant to the Plan shall pertain to and apply to the securities to which a holder of the number</w:t>
      </w:r>
    </w:p>
    <w:p>
      <w:pPr>
        <w:sectPr>
          <w:pgSz w:w="11900" w:h="16838" w:orient="portrait"/>
          <w:cols w:equalWidth="0" w:num="1">
            <w:col w:w="11360"/>
          </w:cols>
          <w:pgMar w:left="240" w:top="274" w:right="299" w:bottom="1440" w:gutter="0" w:footer="0" w:header="0"/>
        </w:sectPr>
      </w:pPr>
    </w:p>
    <w:bookmarkStart w:id="62" w:name="page63"/>
    <w:bookmarkEnd w:id="6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Shares subject to such Option would have been entitled immediately following such reorganization, merger, or consolidation, with a corresponding proportionate adjustment of the Option Price per Share so that the aggregate Option Price thereafter shall be the same as the aggregate Option Price of the Shares remaining subject to the Option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24.3. Reorganization, Sale of Assets or Sale of Shares Which Involves a Change in Control.</w:t>
      </w:r>
    </w:p>
    <w:p>
      <w:pPr>
        <w:spacing w:after="0" w:line="90" w:lineRule="exact"/>
        <w:rPr>
          <w:sz w:val="20"/>
          <w:szCs w:val="20"/>
          <w:color w:val="auto"/>
        </w:rPr>
      </w:pPr>
    </w:p>
    <w:p>
      <w:pPr>
        <w:ind w:right="40" w:firstLine="464"/>
        <w:spacing w:after="0" w:line="291"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24.3(b)</w:t>
      </w:r>
      <w:r>
        <w:rPr>
          <w:rFonts w:ascii="Arial" w:cs="Arial" w:eastAsia="Arial" w:hAnsi="Arial"/>
          <w:sz w:val="16"/>
          <w:szCs w:val="16"/>
          <w:color w:val="auto"/>
        </w:rPr>
        <w:t>, upon any transaction that results in a Change in Control, (i) all outstanding Shares subject to Awards shall be deemed to have vested, and all restrictions and conditions applicable to such Shares subject to Awards shall be deemed to have lapsed, immediately prior to the occurrence of such event, and (ii) all Options outstanding hereunder shall become immediately exercisable for a period of fifteen days immediately prior to the scheduled consummation of the event. Any exercise of an Option during such fifteen-day period shall be conditioned upon the consummation of the event and shall be effective only immediately before the consummation of the event. Upon consummation of any such event, the Plan and all outstanding but unexercised Options shall terminate. The Administrator shall send written notice of an event that will result in such a termination to all individuals who hold Options not later than the time at which the Trust gives notice thereof to its shareholders.</w:t>
      </w:r>
    </w:p>
    <w:p>
      <w:pPr>
        <w:spacing w:after="0" w:line="113" w:lineRule="exact"/>
        <w:rPr>
          <w:rFonts w:ascii="Arial" w:cs="Arial" w:eastAsia="Arial" w:hAnsi="Arial"/>
          <w:sz w:val="16"/>
          <w:szCs w:val="16"/>
          <w:color w:val="auto"/>
        </w:rPr>
      </w:pPr>
    </w:p>
    <w:p>
      <w:pPr>
        <w:ind w:right="80" w:firstLine="464"/>
        <w:spacing w:after="0" w:line="301"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Section 24.3(a) </w:t>
      </w:r>
      <w:r>
        <w:rPr>
          <w:rFonts w:ascii="Arial" w:cs="Arial" w:eastAsia="Arial" w:hAnsi="Arial"/>
          <w:sz w:val="16"/>
          <w:szCs w:val="16"/>
          <w:color w:val="auto"/>
        </w:rPr>
        <w:t>shall not apply to the extent provision is made in writing in connection with a transaction described in</w:t>
      </w:r>
      <w:r>
        <w:rPr>
          <w:rFonts w:ascii="Arial" w:cs="Arial" w:eastAsia="Arial" w:hAnsi="Arial"/>
          <w:sz w:val="16"/>
          <w:szCs w:val="16"/>
          <w:b w:val="1"/>
          <w:bCs w:val="1"/>
          <w:color w:val="auto"/>
        </w:rPr>
        <w:t xml:space="preserve"> Section 24.3(a) </w:t>
      </w:r>
      <w:r>
        <w:rPr>
          <w:rFonts w:ascii="Arial" w:cs="Arial" w:eastAsia="Arial" w:hAnsi="Arial"/>
          <w:sz w:val="16"/>
          <w:szCs w:val="16"/>
          <w:color w:val="auto"/>
        </w:rPr>
        <w:t>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 of such Options and other Awards theretofore granted, or for the substitution for such Options and other Awards of new options and other Awards covering the stock of a successor entity, or a parent or subsidiary thereof, with appropriate adjustments as to the number and kinds of shares or units and exercise prices, in which event the Plan and Options theretofore granted shall continue in the manner and under the terms so provided.</w:t>
      </w:r>
    </w:p>
    <w:p>
      <w:pPr>
        <w:spacing w:after="0" w:line="103"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b w:val="1"/>
          <w:bCs w:val="1"/>
          <w:color w:val="auto"/>
        </w:rPr>
        <w:t>Section 24.3(b)</w:t>
      </w:r>
      <w:r>
        <w:rPr>
          <w:rFonts w:ascii="Arial" w:cs="Arial" w:eastAsia="Arial" w:hAnsi="Arial"/>
          <w:sz w:val="18"/>
          <w:szCs w:val="18"/>
          <w:color w:val="auto"/>
        </w:rPr>
        <w:t xml:space="preserve"> and except as otherwise provided in the Award Agreement or other agreement between the Grantee and the Trust, if a Grantee experiences an Involuntary Termination within one year following the consummation of a Change in Control, upon such Grantee’s Involuntary Termination all outstanding Shares subject to Awards held by such Grantee shall be deemed to have vested, and all restrictions and conditions applicable to such Shares subject to Awards shall be deemed to have lapsed and (ii) all Options held by such Grantee shall become immediately fully vested and exercisable to the extent the Options remain outstanding.</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24.4. Adjustments.</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 xml:space="preserve">Adjustments under this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related to Shares or securities of the Trust shall be made by the Administrator,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24.5. No Limitations on Trust.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25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w:t>
      </w:r>
    </w:p>
    <w:p>
      <w:pPr>
        <w:sectPr>
          <w:pgSz w:w="11900" w:h="16838" w:orient="portrait"/>
          <w:cols w:equalWidth="0" w:num="1">
            <w:col w:w="11400"/>
          </w:cols>
          <w:pgMar w:left="240" w:top="280" w:right="259" w:bottom="1440" w:gutter="0" w:footer="0" w:header="0"/>
        </w:sectPr>
      </w:pPr>
    </w:p>
    <w:bookmarkStart w:id="63" w:name="page64"/>
    <w:bookmarkEnd w:id="6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 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23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Neither the adoption of the Plan nor the submission of the Plan to the shareholders of the Trust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Share options otherwise than under the Plan.</w:t>
      </w:r>
    </w:p>
    <w:p>
      <w:pPr>
        <w:spacing w:after="0" w:line="22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 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elect to satisfy such obligations, in whole or in part, (i) by causing the Trust or the Affiliate to withhold Shares otherwise issuable to the Grantee or (ii) by delivering to the Trust or the Affiliate Shares already owned by the Grantee.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w:t>
      </w:r>
      <w:r>
        <w:rPr>
          <w:rFonts w:ascii="Arial" w:cs="Arial" w:eastAsia="Arial" w:hAnsi="Arial"/>
          <w:sz w:val="16"/>
          <w:szCs w:val="16"/>
          <w:b w:val="1"/>
          <w:bCs w:val="1"/>
          <w:color w:val="auto"/>
        </w:rPr>
        <w:t>Section 27</w:t>
      </w:r>
      <w:r>
        <w:rPr>
          <w:rFonts w:ascii="Arial" w:cs="Arial" w:eastAsia="Arial" w:hAnsi="Arial"/>
          <w:sz w:val="16"/>
          <w:szCs w:val="16"/>
          <w:color w:val="auto"/>
        </w:rPr>
        <w:t xml:space="preserve"> may satisfy his or her withholding obligation only with Shares that are not subject to any repurchase, forfeiture, unfulfilled vesting, or other similar requirements.</w:t>
      </w:r>
    </w:p>
    <w:p>
      <w:pPr>
        <w:spacing w:after="0" w:line="23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such Award Agreement.</w:t>
      </w:r>
    </w:p>
    <w:p>
      <w:pPr>
        <w:spacing w:after="0" w:line="24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Award granted under the Plan may contain such other terms and conditions not inconsistent with the Plan as may be determined by the Administrator, in its sole discretion.</w:t>
      </w:r>
    </w:p>
    <w:p>
      <w:pPr>
        <w:spacing w:after="0" w:line="24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GENDER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248"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ectPr>
          <w:pgSz w:w="11900" w:h="16838" w:orient="portrait"/>
          <w:cols w:equalWidth="0" w:num="1">
            <w:col w:w="11420"/>
          </w:cols>
          <w:pgMar w:left="240" w:top="280" w:right="239" w:bottom="1440" w:gutter="0" w:footer="0" w:header="0"/>
        </w:sectPr>
      </w:pPr>
    </w:p>
    <w:bookmarkStart w:id="64" w:name="page65"/>
    <w:bookmarkEnd w:id="64"/>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ectPr>
          <w:pgSz w:w="11900" w:h="16838" w:orient="portrait"/>
          <w:cols w:equalWidth="0" w:num="1">
            <w:col w:w="10960"/>
          </w:cols>
          <w:pgMar w:left="240" w:top="274" w:right="6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4"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August 1, 2007</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4" w:lineRule="exact"/>
        <w:rPr>
          <w:sz w:val="20"/>
          <w:szCs w:val="20"/>
          <w:color w:val="auto"/>
        </w:rPr>
      </w:pPr>
    </w:p>
    <w:p>
      <w:pPr>
        <w:spacing w:after="0"/>
        <w:tabs>
          <w:tab w:leader="none" w:pos="7920" w:val="left"/>
        </w:tabs>
        <w:rPr>
          <w:sz w:val="20"/>
          <w:szCs w:val="20"/>
          <w:color w:val="auto"/>
        </w:rPr>
      </w:pPr>
      <w:r>
        <w:rPr>
          <w:rFonts w:ascii="Arial" w:cs="Arial" w:eastAsia="Arial" w:hAnsi="Arial"/>
          <w:sz w:val="18"/>
          <w:szCs w:val="18"/>
          <w:color w:val="auto"/>
        </w:rPr>
        <w:t>August 1, 2007</w:t>
      </w:r>
      <w:r>
        <w:rPr>
          <w:sz w:val="20"/>
          <w:szCs w:val="20"/>
          <w:color w:val="auto"/>
        </w:rPr>
        <w:tab/>
      </w:r>
      <w:r>
        <w:rPr>
          <w:rFonts w:ascii="Arial" w:cs="Arial" w:eastAsia="Arial" w:hAnsi="Arial"/>
          <w:sz w:val="16"/>
          <w:szCs w:val="16"/>
          <w:b w:val="1"/>
          <w:bCs w:val="1"/>
          <w:color w:val="auto"/>
        </w:rPr>
        <w:t>/s/ L</w:t>
      </w:r>
      <w:r>
        <w:rPr>
          <w:rFonts w:ascii="Arial" w:cs="Arial" w:eastAsia="Arial" w:hAnsi="Arial"/>
          <w:sz w:val="13"/>
          <w:szCs w:val="13"/>
          <w:b w:val="1"/>
          <w:bCs w:val="1"/>
          <w:color w:val="auto"/>
        </w:rPr>
        <w:t>ARRY</w:t>
      </w:r>
      <w:r>
        <w:rPr>
          <w:rFonts w:ascii="Arial" w:cs="Arial" w:eastAsia="Arial" w:hAnsi="Arial"/>
          <w:sz w:val="16"/>
          <w:szCs w:val="16"/>
          <w:b w:val="1"/>
          <w:bCs w:val="1"/>
          <w:color w:val="auto"/>
        </w:rPr>
        <w:t xml:space="preserve"> E. F</w:t>
      </w:r>
      <w:r>
        <w:rPr>
          <w:rFonts w:ascii="Arial" w:cs="Arial" w:eastAsia="Arial" w:hAnsi="Arial"/>
          <w:sz w:val="13"/>
          <w:szCs w:val="13"/>
          <w:b w:val="1"/>
          <w:bCs w:val="1"/>
          <w:color w:val="auto"/>
        </w:rPr>
        <w:t>INGER</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Accounting Officer)</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9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2007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August 1, 2007</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9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June 30, 2007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920" w:val="left"/>
        </w:tabs>
        <w:rPr>
          <w:sz w:val="20"/>
          <w:szCs w:val="20"/>
          <w:color w:val="auto"/>
        </w:rPr>
      </w:pPr>
      <w:r>
        <w:rPr>
          <w:rFonts w:ascii="Arial" w:cs="Arial" w:eastAsia="Arial" w:hAnsi="Arial"/>
          <w:sz w:val="18"/>
          <w:szCs w:val="18"/>
          <w:color w:val="auto"/>
        </w:rPr>
        <w:t>August 1, 2007</w:t>
      </w:r>
      <w:r>
        <w:rPr>
          <w:sz w:val="20"/>
          <w:szCs w:val="20"/>
          <w:color w:val="auto"/>
        </w:rPr>
        <w:tab/>
      </w:r>
      <w:r>
        <w:rPr>
          <w:rFonts w:ascii="Arial" w:cs="Arial" w:eastAsia="Arial" w:hAnsi="Arial"/>
          <w:sz w:val="16"/>
          <w:szCs w:val="16"/>
          <w:b w:val="1"/>
          <w:bCs w:val="1"/>
          <w:color w:val="auto"/>
        </w:rPr>
        <w:t>/s/ L</w:t>
      </w:r>
      <w:r>
        <w:rPr>
          <w:rFonts w:ascii="Arial" w:cs="Arial" w:eastAsia="Arial" w:hAnsi="Arial"/>
          <w:sz w:val="13"/>
          <w:szCs w:val="13"/>
          <w:b w:val="1"/>
          <w:bCs w:val="1"/>
          <w:color w:val="auto"/>
        </w:rPr>
        <w:t>ARRY</w:t>
      </w:r>
      <w:r>
        <w:rPr>
          <w:rFonts w:ascii="Arial" w:cs="Arial" w:eastAsia="Arial" w:hAnsi="Arial"/>
          <w:sz w:val="16"/>
          <w:szCs w:val="16"/>
          <w:b w:val="1"/>
          <w:bCs w:val="1"/>
          <w:color w:val="auto"/>
        </w:rPr>
        <w:t xml:space="preserve"> E. F</w:t>
      </w:r>
      <w:r>
        <w:rPr>
          <w:rFonts w:ascii="Arial" w:cs="Arial" w:eastAsia="Arial" w:hAnsi="Arial"/>
          <w:sz w:val="13"/>
          <w:szCs w:val="13"/>
          <w:b w:val="1"/>
          <w:bCs w:val="1"/>
          <w:color w:val="auto"/>
        </w:rPr>
        <w:t>INGER</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1)"/>
      <w:numFmt w:val="decimal"/>
      <w:start w:val="2"/>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3"/>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lvl w:ilvl="1">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lowerRoman"/>
      <w:start w:val="2"/>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decimal"/>
      <w:start w:val="2"/>
    </w:lvl>
  </w:abstractNum>
  <w:abstractNum w:abstractNumId="53">
    <w:nsid w:val="42963E5A"/>
    <w:multiLevelType w:val="hybridMultilevel"/>
    <w:lvl w:ilvl="0">
      <w:lvlJc w:val="left"/>
      <w:lvlText w:val="(%1)"/>
      <w:numFmt w:val="lowerRoman"/>
      <w:start w:val="4"/>
    </w:lvl>
  </w:abstractNum>
  <w:abstractNum w:abstractNumId="54">
    <w:nsid w:val="A0382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5">
    <w:nsid w:val="8F2B15E"/>
    <w:multiLevelType w:val="hybridMultilevel"/>
    <w:lvl w:ilvl="0">
      <w:lvlJc w:val="left"/>
      <w:lvlText w:val="%1"/>
      <w:numFmt w:val="decimal"/>
      <w:start w:val="1"/>
    </w:lvl>
    <w:lvl w:ilvl="1">
      <w:lvlJc w:val="left"/>
      <w:lvlText w:val="(%2)"/>
      <w:numFmt w:val="lowerRoman"/>
      <w:start w:val="3"/>
    </w:lvl>
  </w:abstractNum>
  <w:abstractNum w:abstractNumId="56">
    <w:nsid w:val="1A32234B"/>
    <w:multiLevelType w:val="hybridMultilevel"/>
    <w:lvl w:ilvl="0">
      <w:lvlJc w:val="left"/>
      <w:lvlText w:val="(%1)"/>
      <w:numFmt w:val="decimal"/>
      <w:start w:val="2"/>
    </w:lvl>
    <w:lvl w:ilvl="1">
      <w:lvlJc w:val="left"/>
      <w:lvlText w:val="%2"/>
      <w:numFmt w:val="lowerRoman"/>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Letter"/>
      <w:start w:val="3"/>
    </w:lvl>
  </w:abstractNum>
  <w:abstractNum w:abstractNumId="59">
    <w:nsid w:val="4962813B"/>
    <w:multiLevelType w:val="hybridMultilevel"/>
    <w:lvl w:ilvl="0">
      <w:lvlJc w:val="left"/>
      <w:lvlText w:val="%1."/>
      <w:numFmt w:val="decimal"/>
      <w:start w:val="3"/>
    </w:lvl>
  </w:abstractNum>
  <w:abstractNum w:abstractNumId="60">
    <w:nsid w:val="60B6DF70"/>
    <w:multiLevelType w:val="hybridMultilevel"/>
    <w:lvl w:ilvl="0">
      <w:lvlJc w:val="left"/>
      <w:lvlText w:val="(%1)"/>
      <w:numFmt w:val="lowerRoman"/>
      <w:start w:val="1"/>
    </w:lvl>
  </w:abstractNum>
  <w:abstractNum w:abstractNumId="61">
    <w:nsid w:val="6A5EE64"/>
    <w:multiLevelType w:val="hybridMultilevel"/>
    <w:lvl w:ilvl="0">
      <w:lvlJc w:val="left"/>
      <w:lvlText w:val="(%1)"/>
      <w:numFmt w:val="lowerRoman"/>
      <w:start w:val="7"/>
    </w:lvl>
  </w:abstractNum>
  <w:abstractNum w:abstractNumId="62">
    <w:nsid w:val="14330624"/>
    <w:multiLevelType w:val="hybridMultilevel"/>
    <w:lvl w:ilvl="0">
      <w:lvlJc w:val="left"/>
      <w:lvlText w:val="%1."/>
      <w:numFmt w:val="decimal"/>
      <w:start w:val="4"/>
    </w:lvl>
  </w:abstractNum>
  <w:abstractNum w:abstractNumId="63">
    <w:nsid w:val="7FFFCA11"/>
    <w:multiLevelType w:val="hybridMultilevel"/>
    <w:lvl w:ilvl="0">
      <w:lvlJc w:val="left"/>
      <w:lvlText w:val="%1."/>
      <w:numFmt w:val="decimal"/>
      <w:start w:val="5"/>
    </w:lvl>
  </w:abstractNum>
  <w:abstractNum w:abstractNumId="64">
    <w:nsid w:val="1A27709E"/>
    <w:multiLevelType w:val="hybridMultilevel"/>
    <w:lvl w:ilvl="0">
      <w:lvlJc w:val="left"/>
      <w:lvlText w:val="%1."/>
      <w:numFmt w:val="decimal"/>
      <w:start w:val="6"/>
    </w:lvl>
  </w:abstractNum>
  <w:abstractNum w:abstractNumId="65">
    <w:nsid w:val="71EA1109"/>
    <w:multiLevelType w:val="hybridMultilevel"/>
    <w:lvl w:ilvl="0">
      <w:lvlJc w:val="left"/>
      <w:lvlText w:val="%1."/>
      <w:numFmt w:val="decimal"/>
      <w:start w:val="7"/>
    </w:lvl>
  </w:abstractNum>
  <w:abstractNum w:abstractNumId="66">
    <w:nsid w:val="100F59DC"/>
    <w:multiLevelType w:val="hybridMultilevel"/>
    <w:lvl w:ilvl="0">
      <w:lvlJc w:val="left"/>
      <w:lvlText w:val="(%1)"/>
      <w:numFmt w:val="lowerRoman"/>
      <w:start w:val="2"/>
    </w:lvl>
  </w:abstractNum>
  <w:abstractNum w:abstractNumId="67">
    <w:nsid w:val="7FB7E0AA"/>
    <w:multiLevelType w:val="hybridMultilevel"/>
    <w:lvl w:ilvl="0">
      <w:lvlJc w:val="left"/>
      <w:lvlText w:val="%1."/>
      <w:numFmt w:val="decimal"/>
      <w:start w:val="8"/>
    </w:lvl>
  </w:abstractNum>
  <w:abstractNum w:abstractNumId="68">
    <w:nsid w:val="6EB5BD4"/>
    <w:multiLevelType w:val="hybridMultilevel"/>
    <w:lvl w:ilvl="0">
      <w:lvlJc w:val="left"/>
      <w:lvlText w:val="%1."/>
      <w:numFmt w:val="decimal"/>
      <w:start w:val="9"/>
    </w:lvl>
  </w:abstractNum>
  <w:abstractNum w:abstractNumId="69">
    <w:nsid w:val="6F6DD9AC"/>
    <w:multiLevelType w:val="hybridMultilevel"/>
    <w:lvl w:ilvl="0">
      <w:lvlJc w:val="left"/>
      <w:lvlText w:val="%1."/>
      <w:numFmt w:val="decimal"/>
      <w:start w:val="10"/>
    </w:lvl>
  </w:abstractNum>
  <w:abstractNum w:abstractNumId="70">
    <w:nsid w:val="94211F2"/>
    <w:multiLevelType w:val="hybridMultilevel"/>
    <w:lvl w:ilvl="0">
      <w:lvlJc w:val="left"/>
      <w:lvlText w:val="%1."/>
      <w:numFmt w:val="decimal"/>
      <w:start w:val="11"/>
    </w:lvl>
  </w:abstractNum>
  <w:abstractNum w:abstractNumId="71">
    <w:nsid w:val="885E1B"/>
    <w:multiLevelType w:val="hybridMultilevel"/>
    <w:lvl w:ilvl="0">
      <w:lvlJc w:val="left"/>
      <w:lvlText w:val="%1."/>
      <w:numFmt w:val="decimal"/>
      <w:start w:val="12"/>
    </w:lvl>
  </w:abstractNum>
  <w:abstractNum w:abstractNumId="72">
    <w:nsid w:val="76272110"/>
    <w:multiLevelType w:val="hybridMultilevel"/>
    <w:lvl w:ilvl="0">
      <w:lvlJc w:val="left"/>
      <w:lvlText w:val="%1."/>
      <w:numFmt w:val="decimal"/>
      <w:start w:val="13"/>
    </w:lvl>
  </w:abstractNum>
  <w:abstractNum w:abstractNumId="73">
    <w:nsid w:val="4C04A8AF"/>
    <w:multiLevelType w:val="hybridMultilevel"/>
    <w:lvl w:ilvl="0">
      <w:lvlJc w:val="left"/>
      <w:lvlText w:val="%1."/>
      <w:numFmt w:val="decimal"/>
      <w:start w:val="14"/>
    </w:lvl>
  </w:abstractNum>
  <w:abstractNum w:abstractNumId="74">
    <w:nsid w:val="1716703B"/>
    <w:multiLevelType w:val="hybridMultilevel"/>
    <w:lvl w:ilvl="0">
      <w:lvlJc w:val="left"/>
      <w:lvlText w:val="%1."/>
      <w:numFmt w:val="decimal"/>
      <w:start w:val="15"/>
    </w:lvl>
  </w:abstractNum>
  <w:abstractNum w:abstractNumId="75">
    <w:nsid w:val="14E17E33"/>
    <w:multiLevelType w:val="hybridMultilevel"/>
    <w:lvl w:ilvl="0">
      <w:lvlJc w:val="left"/>
      <w:lvlText w:val="%1."/>
      <w:numFmt w:val="decimal"/>
      <w:start w:val="16"/>
    </w:lvl>
  </w:abstractNum>
  <w:abstractNum w:abstractNumId="76">
    <w:nsid w:val="3222E7CD"/>
    <w:multiLevelType w:val="hybridMultilevel"/>
    <w:lvl w:ilvl="0">
      <w:lvlJc w:val="left"/>
      <w:lvlText w:val="%1."/>
      <w:numFmt w:val="decimal"/>
      <w:start w:val="17"/>
    </w:lvl>
  </w:abstractNum>
  <w:abstractNum w:abstractNumId="77">
    <w:nsid w:val="74DE0EE3"/>
    <w:multiLevelType w:val="hybridMultilevel"/>
    <w:lvl w:ilvl="0">
      <w:lvlJc w:val="left"/>
      <w:lvlText w:val="%1."/>
      <w:numFmt w:val="decimal"/>
      <w:start w:val="18"/>
    </w:lvl>
  </w:abstractNum>
  <w:abstractNum w:abstractNumId="78">
    <w:nsid w:val="68EBC550"/>
    <w:multiLevelType w:val="hybridMultilevel"/>
    <w:lvl w:ilvl="0">
      <w:lvlJc w:val="left"/>
      <w:lvlText w:val="%1."/>
      <w:numFmt w:val="decimal"/>
      <w:start w:val="19"/>
    </w:lvl>
  </w:abstractNum>
  <w:abstractNum w:abstractNumId="79">
    <w:nsid w:val="2DF6D648"/>
    <w:multiLevelType w:val="hybridMultilevel"/>
    <w:lvl w:ilvl="0">
      <w:lvlJc w:val="left"/>
      <w:lvlText w:val="%1"/>
      <w:numFmt w:val="decimal"/>
      <w:start w:val="1"/>
    </w:lvl>
    <w:lvl w:ilvl="1">
      <w:lvlJc w:val="left"/>
      <w:lvlText w:val="(%2)"/>
      <w:numFmt w:val="lowerRoman"/>
      <w:start w:val="1"/>
    </w:lvl>
  </w:abstractNum>
  <w:abstractNum w:abstractNumId="80">
    <w:nsid w:val="46B7D447"/>
    <w:multiLevelType w:val="hybridMultilevel"/>
    <w:lvl w:ilvl="0">
      <w:lvlJc w:val="left"/>
      <w:lvlText w:val="(%1)"/>
      <w:numFmt w:val="decimal"/>
      <w:start w:val="5"/>
    </w:lvl>
    <w:lvl w:ilvl="1">
      <w:lvlJc w:val="left"/>
      <w:lvlText w:val="%2"/>
      <w:numFmt w:val="lowerRoman"/>
      <w:start w:val="1"/>
    </w:lvl>
  </w:abstractNum>
  <w:abstractNum w:abstractNumId="81">
    <w:nsid w:val="4A2AC315"/>
    <w:multiLevelType w:val="hybridMultilevel"/>
    <w:lvl w:ilvl="0">
      <w:lvlJc w:val="left"/>
      <w:lvlText w:val="(%1)"/>
      <w:numFmt w:val="decimal"/>
      <w:start w:val="16"/>
    </w:lvl>
    <w:lvl w:ilvl="1">
      <w:lvlJc w:val="left"/>
      <w:lvlText w:val="%2"/>
      <w:numFmt w:val="lowerRoman"/>
      <w:start w:val="1"/>
    </w:lvl>
  </w:abstractNum>
  <w:abstractNum w:abstractNumId="82">
    <w:nsid w:val="39EE015C"/>
    <w:multiLevelType w:val="hybridMultilevel"/>
    <w:lvl w:ilvl="0">
      <w:lvlJc w:val="left"/>
      <w:lvlText w:val="(%1)"/>
      <w:numFmt w:val="decimal"/>
      <w:start w:val="21"/>
    </w:lvl>
    <w:lvl w:ilvl="1">
      <w:lvlJc w:val="left"/>
      <w:lvlText w:val="(%2)"/>
      <w:numFmt w:val="lowerRoman"/>
      <w:start w:val="3"/>
    </w:lvl>
  </w:abstractNum>
  <w:abstractNum w:abstractNumId="83">
    <w:nsid w:val="57FC4FBB"/>
    <w:multiLevelType w:val="hybridMultilevel"/>
    <w:lvl w:ilvl="0">
      <w:lvlJc w:val="left"/>
      <w:lvlText w:val="(%1)"/>
      <w:numFmt w:val="lowerRoman"/>
      <w:start w:val="4"/>
    </w:lvl>
  </w:abstractNum>
  <w:abstractNum w:abstractNumId="84">
    <w:nsid w:val="CC1016F"/>
    <w:multiLevelType w:val="hybridMultilevel"/>
    <w:lvl w:ilvl="0">
      <w:lvlJc w:val="left"/>
      <w:lvlText w:val="%1."/>
      <w:numFmt w:val="decimal"/>
      <w:start w:val="21"/>
    </w:lvl>
  </w:abstractNum>
  <w:abstractNum w:abstractNumId="85">
    <w:nsid w:val="43F18422"/>
    <w:multiLevelType w:val="hybridMultilevel"/>
    <w:lvl w:ilvl="0">
      <w:lvlJc w:val="left"/>
      <w:lvlText w:val="%1."/>
      <w:numFmt w:val="decimal"/>
      <w:start w:val="22"/>
    </w:lvl>
  </w:abstractNum>
  <w:abstractNum w:abstractNumId="86">
    <w:nsid w:val="60EF0119"/>
    <w:multiLevelType w:val="hybridMultilevel"/>
    <w:lvl w:ilvl="0">
      <w:lvlJc w:val="left"/>
      <w:lvlText w:val="%1."/>
      <w:numFmt w:val="decimal"/>
      <w:start w:val="23"/>
    </w:lvl>
  </w:abstractNum>
  <w:abstractNum w:abstractNumId="87">
    <w:nsid w:val="26F324BA"/>
    <w:multiLevelType w:val="hybridMultilevel"/>
    <w:lvl w:ilvl="0">
      <w:lvlJc w:val="left"/>
      <w:lvlText w:val="%1."/>
      <w:numFmt w:val="decimal"/>
      <w:start w:val="24"/>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decimal"/>
      <w:start w:val="25"/>
    </w:lvl>
  </w:abstractNum>
  <w:abstractNum w:abstractNumId="90">
    <w:nsid w:val="7055A5F5"/>
    <w:multiLevelType w:val="hybridMultilevel"/>
    <w:lvl w:ilvl="0">
      <w:lvlJc w:val="left"/>
      <w:lvlText w:val="%1."/>
      <w:numFmt w:val="decimal"/>
      <w:start w:val="26"/>
    </w:lvl>
  </w:abstractNum>
  <w:abstractNum w:abstractNumId="91">
    <w:nsid w:val="5FB8370B"/>
    <w:multiLevelType w:val="hybridMultilevel"/>
    <w:lvl w:ilvl="0">
      <w:lvlJc w:val="left"/>
      <w:lvlText w:val="%1."/>
      <w:numFmt w:val="decimal"/>
      <w:start w:val="27"/>
    </w:lvl>
  </w:abstractNum>
  <w:abstractNum w:abstractNumId="92">
    <w:nsid w:val="50801EE1"/>
    <w:multiLevelType w:val="hybridMultilevel"/>
    <w:lvl w:ilvl="0">
      <w:lvlJc w:val="left"/>
      <w:lvlText w:val="%1."/>
      <w:numFmt w:val="decimal"/>
      <w:start w:val="28"/>
    </w:lvl>
  </w:abstractNum>
  <w:abstractNum w:abstractNumId="93">
    <w:nsid w:val="488AC1A"/>
    <w:multiLevelType w:val="hybridMultilevel"/>
    <w:lvl w:ilvl="0">
      <w:lvlJc w:val="left"/>
      <w:lvlText w:val="%1."/>
      <w:numFmt w:val="decimal"/>
      <w:start w:val="29"/>
    </w:lvl>
  </w:abstractNum>
  <w:abstractNum w:abstractNumId="94">
    <w:nsid w:val="5FB8011C"/>
    <w:multiLevelType w:val="hybridMultilevel"/>
    <w:lvl w:ilvl="0">
      <w:lvlJc w:val="left"/>
      <w:lvlText w:val="%1."/>
      <w:numFmt w:val="decimal"/>
      <w:start w:val="30"/>
    </w:lvl>
  </w:abstractNum>
  <w:abstractNum w:abstractNumId="95">
    <w:nsid w:val="6AA78F7F"/>
    <w:multiLevelType w:val="hybridMultilevel"/>
    <w:lvl w:ilvl="0">
      <w:lvlJc w:val="left"/>
      <w:lvlText w:val="%1."/>
      <w:numFmt w:val="decimal"/>
      <w:start w:val="31"/>
    </w:lvl>
  </w:abstractNum>
  <w:abstractNum w:abstractNumId="96">
    <w:nsid w:val="7672BD23"/>
    <w:multiLevelType w:val="hybridMultilevel"/>
    <w:lvl w:ilvl="0">
      <w:lvlJc w:val="left"/>
      <w:lvlText w:val="%1."/>
      <w:numFmt w:val="decimal"/>
      <w:start w:val="32"/>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2019-12-13T00:53:45Z</dcterms:created>
  <dcterms:modified xsi:type="dcterms:W3CDTF">2019-12-13T00:53:45Z</dcterms:modified>
</cp:coreProperties>
</file>