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0"/>
        <w:spacing w:after="0"/>
        <w:rPr>
          <w:sz w:val="20"/>
          <w:szCs w:val="20"/>
          <w:color w:val="auto"/>
        </w:rPr>
      </w:pPr>
      <w:r>
        <w:rPr>
          <w:rFonts w:ascii="Courier New" w:cs="Courier New" w:eastAsia="Courier New" w:hAnsi="Courier New"/>
          <w:sz w:val="18"/>
          <w:szCs w:val="18"/>
          <w:color w:val="auto"/>
        </w:rPr>
        <w:t>RULE 424(b)(5)</w:t>
      </w:r>
    </w:p>
    <w:p>
      <w:pPr>
        <w:spacing w:after="0" w:line="4"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REGISTRATION NO. 33-51029</w:t>
      </w: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PROSPECTUS SUPPLEMENT TO PROSPECTUS DATED DECEMBER 13, 1993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$25,000,000</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8% NOTES DUE APRIL 21, 2002</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Interest on the Notes is payable on April 21 and October 21 of each year, commencing October 21, 1995. The Notes are not redeemable prior to maturity. The Notes are unsecured obligations of the Trust and will rank equally with all unsecured and unsubordinated indebtedness of the Trust. The Notes will contain certain restrictions on the Trust's ability to incur additional indebtedness. See "Description of Notes--Covenants."</w:t>
      </w:r>
    </w:p>
    <w:p>
      <w:pPr>
        <w:spacing w:after="0" w:line="210" w:lineRule="exact"/>
        <w:rPr>
          <w:sz w:val="24"/>
          <w:szCs w:val="24"/>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Notes are being offered to one or more institutional investors ("Institutional Investors"). The Notes will be represented by a single Global Security (as defined herein) registered in the name of The Depository Trust Company ("DTC") or its nominee. Interests in the Global Security will be shown on, and transfers thereof will be effected only through, records maintained by DTC and its participants. Except as described in "Description of Notes--Book-Entry System," Notes in definitive form will not be issued. The Notes will trade in DTC's Same-Day Funds Settlement System until maturity, and secondary market trading activity in the Notes will therefore settle in immediately available funds. All payments of principal and interest will be made by the Trust in immediately available funds. See "Description of Notes--Same-Day Settlement and Payment."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320" w:right="1879" w:hanging="315"/>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000" w:type="dxa"/>
            <w:vAlign w:val="bottom"/>
          </w:tcPr>
          <w:p>
            <w:pPr>
              <w:jc w:val="right"/>
              <w:ind w:right="3501"/>
              <w:spacing w:after="0"/>
              <w:rPr>
                <w:sz w:val="20"/>
                <w:szCs w:val="20"/>
                <w:color w:val="auto"/>
              </w:rPr>
            </w:pPr>
            <w:r>
              <w:rPr>
                <w:rFonts w:ascii="Courier New" w:cs="Courier New" w:eastAsia="Courier New" w:hAnsi="Courier New"/>
                <w:sz w:val="18"/>
                <w:szCs w:val="18"/>
                <w:color w:val="auto"/>
              </w:rPr>
              <w:t>---------------</w:t>
            </w:r>
          </w:p>
        </w:tc>
      </w:tr>
      <w:tr>
        <w:trPr>
          <w:trHeight w:val="810"/>
        </w:trPr>
        <w:tc>
          <w:tcPr>
            <w:tcW w:w="860" w:type="dxa"/>
            <w:vAlign w:val="bottom"/>
          </w:tcPr>
          <w:p>
            <w:pPr>
              <w:spacing w:after="0"/>
              <w:rPr>
                <w:sz w:val="24"/>
                <w:szCs w:val="24"/>
                <w:color w:val="auto"/>
              </w:rPr>
            </w:pPr>
          </w:p>
        </w:tc>
        <w:tc>
          <w:tcPr>
            <w:tcW w:w="6000" w:type="dxa"/>
            <w:vAlign w:val="bottom"/>
          </w:tcPr>
          <w:p>
            <w:pPr>
              <w:jc w:val="center"/>
              <w:ind w:left="4001"/>
              <w:spacing w:after="0"/>
              <w:rPr>
                <w:sz w:val="20"/>
                <w:szCs w:val="20"/>
                <w:color w:val="auto"/>
              </w:rPr>
            </w:pPr>
            <w:r>
              <w:rPr>
                <w:rFonts w:ascii="Courier New" w:cs="Courier New" w:eastAsia="Courier New" w:hAnsi="Courier New"/>
                <w:sz w:val="18"/>
                <w:szCs w:val="18"/>
                <w:color w:val="auto"/>
                <w:w w:val="97"/>
              </w:rPr>
              <w:t>INITIAL PUBLIC</w:t>
            </w:r>
          </w:p>
        </w:tc>
      </w:tr>
      <w:tr>
        <w:trPr>
          <w:trHeight w:val="203"/>
        </w:trPr>
        <w:tc>
          <w:tcPr>
            <w:tcW w:w="860" w:type="dxa"/>
            <w:vAlign w:val="bottom"/>
          </w:tcPr>
          <w:p>
            <w:pPr>
              <w:spacing w:after="0"/>
              <w:rPr>
                <w:sz w:val="17"/>
                <w:szCs w:val="17"/>
                <w:color w:val="auto"/>
              </w:rPr>
            </w:pPr>
          </w:p>
        </w:tc>
        <w:tc>
          <w:tcPr>
            <w:tcW w:w="6000" w:type="dxa"/>
            <w:vAlign w:val="bottom"/>
          </w:tcPr>
          <w:p>
            <w:pPr>
              <w:jc w:val="center"/>
              <w:ind w:left="4021"/>
              <w:spacing w:after="0" w:line="203" w:lineRule="exact"/>
              <w:rPr>
                <w:sz w:val="20"/>
                <w:szCs w:val="20"/>
                <w:color w:val="auto"/>
              </w:rPr>
            </w:pPr>
            <w:r>
              <w:rPr>
                <w:rFonts w:ascii="Courier New" w:cs="Courier New" w:eastAsia="Courier New" w:hAnsi="Courier New"/>
                <w:sz w:val="18"/>
                <w:szCs w:val="18"/>
                <w:color w:val="auto"/>
                <w:w w:val="97"/>
              </w:rPr>
              <w:t>OFFERING PRICE AND</w:t>
            </w:r>
          </w:p>
        </w:tc>
      </w:tr>
      <w:tr>
        <w:trPr>
          <w:trHeight w:val="203"/>
        </w:trPr>
        <w:tc>
          <w:tcPr>
            <w:tcW w:w="860" w:type="dxa"/>
            <w:vAlign w:val="bottom"/>
          </w:tcPr>
          <w:p>
            <w:pPr>
              <w:spacing w:after="0"/>
              <w:rPr>
                <w:sz w:val="17"/>
                <w:szCs w:val="17"/>
                <w:color w:val="auto"/>
              </w:rPr>
            </w:pPr>
          </w:p>
        </w:tc>
        <w:tc>
          <w:tcPr>
            <w:tcW w:w="6000" w:type="dxa"/>
            <w:vAlign w:val="bottom"/>
          </w:tcPr>
          <w:p>
            <w:pPr>
              <w:ind w:left="4420"/>
              <w:spacing w:after="0" w:line="203" w:lineRule="exact"/>
              <w:rPr>
                <w:sz w:val="20"/>
                <w:szCs w:val="20"/>
                <w:color w:val="auto"/>
              </w:rPr>
            </w:pPr>
            <w:r>
              <w:rPr>
                <w:rFonts w:ascii="Courier New" w:cs="Courier New" w:eastAsia="Courier New" w:hAnsi="Courier New"/>
                <w:sz w:val="18"/>
                <w:szCs w:val="18"/>
                <w:color w:val="auto"/>
              </w:rPr>
              <w:t>PROCEEDS TO</w:t>
            </w:r>
          </w:p>
        </w:tc>
      </w:tr>
      <w:tr>
        <w:trPr>
          <w:trHeight w:val="203"/>
        </w:trPr>
        <w:tc>
          <w:tcPr>
            <w:tcW w:w="860" w:type="dxa"/>
            <w:vAlign w:val="bottom"/>
          </w:tcPr>
          <w:p>
            <w:pPr>
              <w:spacing w:after="0"/>
              <w:rPr>
                <w:sz w:val="17"/>
                <w:szCs w:val="17"/>
                <w:color w:val="auto"/>
              </w:rPr>
            </w:pPr>
          </w:p>
        </w:tc>
        <w:tc>
          <w:tcPr>
            <w:tcW w:w="6000" w:type="dxa"/>
            <w:vAlign w:val="bottom"/>
          </w:tcPr>
          <w:p>
            <w:pPr>
              <w:ind w:left="4420"/>
              <w:spacing w:after="0" w:line="203" w:lineRule="exact"/>
              <w:rPr>
                <w:sz w:val="20"/>
                <w:szCs w:val="20"/>
                <w:color w:val="auto"/>
              </w:rPr>
            </w:pPr>
            <w:r>
              <w:rPr>
                <w:rFonts w:ascii="Courier New" w:cs="Courier New" w:eastAsia="Courier New" w:hAnsi="Courier New"/>
                <w:sz w:val="18"/>
                <w:szCs w:val="18"/>
                <w:color w:val="auto"/>
              </w:rPr>
              <w:t>TRUST(1)(2)</w:t>
            </w:r>
          </w:p>
        </w:tc>
      </w:tr>
      <w:tr>
        <w:trPr>
          <w:trHeight w:val="203"/>
        </w:trPr>
        <w:tc>
          <w:tcPr>
            <w:tcW w:w="860" w:type="dxa"/>
            <w:vAlign w:val="bottom"/>
          </w:tcPr>
          <w:p>
            <w:pPr>
              <w:spacing w:after="0"/>
              <w:rPr>
                <w:sz w:val="17"/>
                <w:szCs w:val="17"/>
                <w:color w:val="auto"/>
              </w:rPr>
            </w:pPr>
          </w:p>
        </w:tc>
        <w:tc>
          <w:tcPr>
            <w:tcW w:w="6000" w:type="dxa"/>
            <w:vAlign w:val="bottom"/>
          </w:tcPr>
          <w:p>
            <w:pPr>
              <w:jc w:val="center"/>
              <w:ind w:left="4021"/>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Per Note</w:t>
            </w:r>
          </w:p>
        </w:tc>
        <w:tc>
          <w:tcPr>
            <w:tcW w:w="6000" w:type="dxa"/>
            <w:vAlign w:val="bottom"/>
          </w:tcPr>
          <w:p>
            <w:pPr>
              <w:jc w:val="right"/>
              <w:ind w:right="461"/>
              <w:spacing w:after="0"/>
              <w:rPr>
                <w:sz w:val="20"/>
                <w:szCs w:val="20"/>
                <w:color w:val="auto"/>
              </w:rPr>
            </w:pPr>
            <w:r>
              <w:rPr>
                <w:rFonts w:ascii="Courier New" w:cs="Courier New" w:eastAsia="Courier New" w:hAnsi="Courier New"/>
                <w:sz w:val="18"/>
                <w:szCs w:val="18"/>
                <w:color w:val="auto"/>
                <w:w w:val="95"/>
              </w:rPr>
              <w:t>......................................99.683%</w:t>
            </w:r>
          </w:p>
        </w:tc>
      </w:tr>
      <w:tr>
        <w:trPr>
          <w:trHeight w:val="203"/>
        </w:trPr>
        <w:tc>
          <w:tcPr>
            <w:tcW w:w="860" w:type="dxa"/>
            <w:vAlign w:val="bottom"/>
          </w:tcPr>
          <w:p>
            <w:pPr>
              <w:spacing w:after="0"/>
              <w:rPr>
                <w:sz w:val="20"/>
                <w:szCs w:val="20"/>
                <w:color w:val="auto"/>
              </w:rPr>
            </w:pPr>
            <w:r>
              <w:rPr>
                <w:rFonts w:ascii="Courier New" w:cs="Courier New" w:eastAsia="Courier New" w:hAnsi="Courier New"/>
                <w:sz w:val="4"/>
                <w:szCs w:val="4"/>
                <w:color w:val="auto"/>
                <w:w w:val="76"/>
              </w:rPr>
              <w:t>Total.........................................</w:t>
            </w:r>
          </w:p>
        </w:tc>
        <w:tc>
          <w:tcPr>
            <w:tcW w:w="6000" w:type="dxa"/>
            <w:vAlign w:val="bottom"/>
          </w:tcPr>
          <w:p>
            <w:pPr>
              <w:ind w:left="4420"/>
              <w:spacing w:after="0" w:line="203" w:lineRule="exact"/>
              <w:rPr>
                <w:sz w:val="20"/>
                <w:szCs w:val="20"/>
                <w:color w:val="auto"/>
              </w:rPr>
            </w:pPr>
            <w:r>
              <w:rPr>
                <w:rFonts w:ascii="Courier New" w:cs="Courier New" w:eastAsia="Courier New" w:hAnsi="Courier New"/>
                <w:sz w:val="18"/>
                <w:szCs w:val="18"/>
                <w:color w:val="auto"/>
              </w:rPr>
              <w:t>$24,920,750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estimated expenses of $60,000 payable by the Trust.</w:t>
      </w:r>
    </w:p>
    <w:p>
      <w:pPr>
        <w:spacing w:after="0" w:line="4"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have original issue discount ("OID") equal to the excess of the stated redemption price at maturity over the issue price, which is the price at which the Notes are sold to the Institutional Investors. Noteholders with OID are required to include OID in income over the term of the Note as it accrues.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offered hereby are offered by the Trust, as specified herein, subject to receipt and acceptance by it and subject to its right to reject any order in whole or in part. It is expected that delivery of the Notes will be ready in book-entry form only through the facilities of DTC in New York, New York on or about April 21, 1995, against payment therefor in immediately available funds.</w:t>
      </w: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2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The date of this Prospectus Supplement is April 14, 1995.</w:t>
      </w:r>
    </w:p>
    <w:p>
      <w:pPr>
        <w:sectPr>
          <w:pgSz w:w="11900" w:h="16838" w:orient="portrait"/>
          <w:cols w:equalWidth="0" w:num="1">
            <w:col w:w="9059"/>
          </w:cols>
          <w:pgMar w:left="140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740"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Founded in 1962, the Trust is a self-administered real estate investment trust that manages, leases and supervises renovation of its properties. At December 31, 1994, the Trust owned 52 retail properties, primarily community and neighborhood shopping centers, one retail building, and one apartment complex. The shopping center portfolio has approximately 11.2 million rentable square feet and 1,500 leases. At December 31, 1994, the occupancy rate of the core shopping center portfolio (which excludes centers acquired in the previous twelve months and centers under redevelopment) was 95%. Including all shopping centers owned at December 31, 1994, the occupancy rate was 95%.</w:t>
      </w:r>
    </w:p>
    <w:p>
      <w:pPr>
        <w:spacing w:after="0" w:line="216" w:lineRule="exact"/>
        <w:rPr>
          <w:sz w:val="20"/>
          <w:szCs w:val="20"/>
          <w:color w:val="auto"/>
        </w:rPr>
      </w:pPr>
    </w:p>
    <w:p>
      <w:pPr>
        <w:ind w:right="3260"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840" w:firstLine="211"/>
        <w:spacing w:after="0" w:line="238" w:lineRule="auto"/>
        <w:rPr>
          <w:sz w:val="20"/>
          <w:szCs w:val="20"/>
          <w:color w:val="auto"/>
        </w:rPr>
      </w:pPr>
      <w:r>
        <w:rPr>
          <w:rFonts w:ascii="Courier New" w:cs="Courier New" w:eastAsia="Courier New" w:hAnsi="Courier New"/>
          <w:sz w:val="18"/>
          <w:szCs w:val="18"/>
          <w:color w:val="auto"/>
        </w:rPr>
        <w:t>On January 19, 1995, the Trust issued $100 million of 8 7/8% Senior Notes due January 15, 2000, netting proceeds of $99.2 million. The Trust intends to continue its acquisition and redevelopment activities in 1995. Acquisitions are targeted for the Trust's core major metropolitan markets of New York/New Jersey, Philadelphia and Baltimore/Washington, D.C. as well as the Chicago, Illinois and Boston, Massachusetts markets. In addition, the Trust is targeting for acquisition retail buildings in densely developed urban and suburban areas and is also pursuing site acquisitions in its core markets to permit the Trust to develop new shopping centers. In April 1995, the Trust purchased a retail building in Greenwich, Connecticut for approximately $13.0 million and acquired 7 retail buildings in West Hartford, Connecticut for approximately $15.2 million in cash.</w:t>
      </w:r>
    </w:p>
    <w:p>
      <w:pPr>
        <w:spacing w:after="0" w:line="201"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740" w:firstLine="211"/>
        <w:spacing w:after="0" w:line="279" w:lineRule="auto"/>
        <w:rPr>
          <w:sz w:val="20"/>
          <w:szCs w:val="20"/>
          <w:color w:val="auto"/>
        </w:rPr>
      </w:pPr>
      <w:r>
        <w:rPr>
          <w:rFonts w:ascii="Courier New" w:cs="Courier New" w:eastAsia="Courier New" w:hAnsi="Courier New"/>
          <w:sz w:val="16"/>
          <w:szCs w:val="16"/>
          <w:color w:val="auto"/>
        </w:rPr>
        <w:t>The net proceeds to the Trust from the sale of the Notes offered hereby, are estimated to be $24,860,750. The Trust intends to use the majority of the proceeds to repay debt, principally the Trust's revolving credit facilities.</w:t>
      </w:r>
    </w:p>
    <w:p>
      <w:pPr>
        <w:spacing w:after="0" w:line="173"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94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YEARS ENDED DECEMBER 31,</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1990</w:t>
            </w:r>
          </w:p>
        </w:tc>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1991</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rPr>
              <w:t>1992</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rPr>
              <w:t>1993</w:t>
            </w:r>
          </w:p>
        </w:tc>
        <w:tc>
          <w:tcPr>
            <w:tcW w:w="1620" w:type="dxa"/>
            <w:vAlign w:val="bottom"/>
          </w:tcPr>
          <w:p>
            <w:pPr>
              <w:ind w:left="1100"/>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1.13X</w:t>
            </w:r>
          </w:p>
        </w:tc>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1.11X</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rPr>
              <w:t>1.20X</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rPr>
              <w:t>1.50X</w:t>
            </w:r>
          </w:p>
        </w:tc>
        <w:tc>
          <w:tcPr>
            <w:tcW w:w="1620" w:type="dxa"/>
            <w:vAlign w:val="bottom"/>
          </w:tcPr>
          <w:p>
            <w:pPr>
              <w:ind w:left="1100"/>
              <w:spacing w:after="0"/>
              <w:rPr>
                <w:sz w:val="20"/>
                <w:szCs w:val="20"/>
                <w:color w:val="auto"/>
              </w:rPr>
            </w:pPr>
            <w:r>
              <w:rPr>
                <w:rFonts w:ascii="Courier New" w:cs="Courier New" w:eastAsia="Courier New" w:hAnsi="Courier New"/>
                <w:sz w:val="18"/>
                <w:szCs w:val="18"/>
                <w:color w:val="auto"/>
                <w:w w:val="92"/>
              </w:rPr>
              <w:t>1.61X</w:t>
            </w:r>
          </w:p>
        </w:tc>
      </w:tr>
    </w:tbl>
    <w:p>
      <w:pPr>
        <w:spacing w:after="0" w:line="200" w:lineRule="exact"/>
        <w:rPr>
          <w:sz w:val="20"/>
          <w:szCs w:val="20"/>
          <w:color w:val="auto"/>
        </w:rPr>
      </w:pPr>
    </w:p>
    <w:p>
      <w:pPr>
        <w:spacing w:after="0" w:line="209" w:lineRule="exact"/>
        <w:rPr>
          <w:sz w:val="20"/>
          <w:szCs w:val="20"/>
          <w:color w:val="auto"/>
        </w:rPr>
      </w:pPr>
    </w:p>
    <w:p>
      <w:pPr>
        <w:ind w:right="2840"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960"/>
          </w:cols>
          <w:pgMar w:left="240" w:top="717" w:right="699"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following description of the particular terms of the Notes offered hereby (referred to in the accompanying Prospectus as the "Debt Securities") supplements, and to the extent inconsistent therewith replaces, the description of the general terms and provisions of Debt Securities set forth in the Prospectus, to which description reference is hereby made. The following statements relating to the Notes and the Senior Indenture are summaries of provisions contained therein and do not purport to be complete. Such statements are qualified by reference to the provisions of the Notes and the Senior Indenture, including the definitions therein of certain terms. The Senior Indenture is an exhibit to the registration statement of which the Prospectus accompanying this Prospectus Supplement is a part. Capitalized terms not otherwise defined herein shall have the meanings given to them in the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8% Notes due April 21, 2002 (the "Notes") will be limited to $25,000,000 aggregate principal amount and will mature on April 21, 2002. The Notes will not be redeemable prior to maturity. The Notes will be unsecured and unsubordinated obligations of the Trust and will rank equally with other unsecured and unsubordinated indebtedness of the Trust.</w:t>
      </w:r>
    </w:p>
    <w:p>
      <w:pPr>
        <w:spacing w:after="0" w:line="209"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The Notes will only be issued in fully registered book-entry form without coupons in denominations of $1,000 and integral multiples thereof, except under the limited circumstances described below under "--Book-Entry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bear interest at the rate set forth on the cover page of this Prospectus Supplement from April 21, 1995, payable semi-annually on April 21 and October 21 of each year, beginning October 21, 1995 (each, an "Interest Payment Date"), to the person in whose name a Note (or any predecessor Note) is registered at the close of business on the April 1 or October 1, as the case may be, next preceding such Interest Payment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Limitations on Incurrence of Debt. The Notes will provide that the Trust will not, and will not permit any Subsidiary to, incur any Debt (as defined below) if, immediately after giving effect to the incurrence of such Debt and the application of the proceeds thereof, the aggregate principal amount of all outstanding Debt of the Trust and its Subsidiaries on a consolidated basis determined in accordance with generally accepted accounting principles is greater than 65% of the sum of (without 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addition to the foregoing limitation on the incurrence of Debt, the Notes will provide that the Trust will not, and will not permit any Subsidiary to, incur any Debt secured by any mortgage, lien, charge, pledge, encumbrance or security interest of any kind upon any of the property of the Trust or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any Subsidiary if, immediately after giving effect to the incurrence of such Debt and the application of the proceeds thereof, the aggregate principal amount of all outstanding Debt of the Trust and its Subsidiaries on a consolidated basis which is secured by any mortgage, lien, charge, pledge, 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214"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w:t>
      </w:r>
    </w:p>
    <w:p>
      <w:pPr>
        <w:spacing w:after="0" w:line="188" w:lineRule="exact"/>
        <w:rPr>
          <w:sz w:val="20"/>
          <w:szCs w:val="20"/>
          <w:color w:val="auto"/>
        </w:rPr>
      </w:pPr>
    </w:p>
    <w:p>
      <w:pPr>
        <w:ind w:right="1999" w:firstLine="8"/>
        <w:spacing w:after="0" w:line="238"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Furthermore, the Notes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440" w:gutter="0" w:footer="0" w:header="0"/>
        </w:sectPr>
      </w:pPr>
    </w:p>
    <w:bookmarkStart w:id="5" w:name="page6"/>
    <w:bookmarkEnd w:id="5"/>
    <w:p>
      <w:pPr>
        <w:ind w:left="22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"Acquired Debt" means Debt (or Senior Debt, as the case may be) of a Person</w:t>
      </w:r>
    </w:p>
    <w:p>
      <w:pPr>
        <w:spacing w:after="0" w:line="21" w:lineRule="exact"/>
        <w:rPr>
          <w:sz w:val="20"/>
          <w:szCs w:val="20"/>
          <w:color w:val="auto"/>
        </w:rPr>
      </w:pPr>
    </w:p>
    <w:p>
      <w:pPr>
        <w:ind w:right="20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at the time such Person becomes a Subsidiary or (ii)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"Annual Senior Debt Service Charge" as of any date means the maximum amount which is payable in any period for interest on, and original issue discount of, Senior Debt of the Trust and its Subsidiaries.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18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w:t>
      </w:r>
    </w:p>
    <w:p>
      <w:pPr>
        <w:spacing w:after="0" w:line="1" w:lineRule="exact"/>
        <w:rPr>
          <w:sz w:val="20"/>
          <w:szCs w:val="20"/>
          <w:color w:val="auto"/>
        </w:rPr>
      </w:pPr>
    </w:p>
    <w:p>
      <w:pPr>
        <w:ind w:right="1999" w:firstLine="8"/>
        <w:spacing w:after="0" w:line="269"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 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17" w:right="1440" w:bottom="1440" w:gutter="0" w:footer="0" w:header="0"/>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exchangeable or exercisable for Debt or Disqualified Stock or (iii) is redeemable at the option of the holder thereof, in whole or in part, in each case on or prior to the Stated Maturity of the Notes.</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Trust.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Trust and its Subsidiaries on such date, before depreciation and amortization determined on a consolidated basis in accordance with generally accepted accounting principles.</w:t>
      </w:r>
    </w:p>
    <w:p>
      <w:pPr>
        <w:spacing w:after="0" w:line="209"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See "Description of Debt Securities--Certain Covenants" in the Prospectus for a description of additional covenants applicable to the Trust.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provisions of Article 14 of the Senior Indenture relating to defeasance and covenant defeasance, which are described in the accompanying Prospectus, will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represented by a single global security (the "Global Security") and registered in the name of DTC or its nominee. Upon the issuance of the Global Security, DTC or its nominee will credit, on its book-entry registration and transfer system, the respective principal amounts of the Notes represented by the Global Security to the accounts designated by the Trust. Ownership of beneficial interests in the Global Security will be limited to institutions that have accounts with DTC or its nominee ("Participants") and to persons that may hold interests through Participants. Ownership of beneficial interests in the Global Security will be shown only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the Global Security.</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 provision of the Senior Indenture or the Notes, the Global Security may not be exchanged in whole or in part for Notes registered, and no transfer of the Global Security in whole or in part may be registered, in the name of any Person other than DTC or any nominee of DTC unless (i) DTC has notified the Trust that it is unwilling or unable to continue as depositary for the Global Security or has ceased to be qualified to act as such as required by the Senior Indenture or (ii) there shall have occurred and be continuing an Event of Default with respect to the Notes. All Notes issued in exchange for the Global Security or any portion thereof will be registered in such names as DTC may direct.</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long as DTC or its nominee is the registered holder and owner of the Global Security, DTC or such nominee, as the case may be, will be considered the sole owner and holder of the Notes for all purposes of such Notes and for all purposes under the Senior Indenture. Except in the limited circumstances referred to above, owners of beneficial interests in the Global Security will not be entitled to have the Notes registered in their names, will not receive or be entitled to receive physical delivery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7" w:name="page8"/>
    <w:bookmarkEnd w:id="7"/>
    <w:p>
      <w:pPr>
        <w:ind w:right="2099"/>
        <w:spacing w:after="0" w:line="237" w:lineRule="auto"/>
        <w:rPr>
          <w:sz w:val="20"/>
          <w:szCs w:val="20"/>
          <w:color w:val="auto"/>
        </w:rPr>
      </w:pPr>
      <w:r>
        <w:rPr>
          <w:rFonts w:ascii="Courier New" w:cs="Courier New" w:eastAsia="Courier New" w:hAnsi="Courier New"/>
          <w:sz w:val="18"/>
          <w:szCs w:val="18"/>
          <w:color w:val="auto"/>
        </w:rPr>
        <w:t>of certificated Notes in definitive form and will not be considered to be the owners or holders of any Notes under the Senior Indenture or the Notes. Payment of principal of, and interest and premium, if any, on the Notes will be made to DTC or its nominee, as the case may be, as the registered owner or holder of the Global Security.</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Payments, transfers, exchanges and other matters relating to beneficial interests in the Global Security may be subject to various policies and procedures adopted by DTC from time to time. Neither the Trust nor the Trustee will have any responsibility or liability for any aspect of the records relating to, or payments made on account of, beneficial ownership interests in the Global Security for any Notes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Security owning through such Participants.</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is based on information furnished by DTC:</w:t>
      </w:r>
    </w:p>
    <w:p>
      <w:pPr>
        <w:spacing w:after="0" w:line="207" w:lineRule="exact"/>
        <w:rPr>
          <w:sz w:val="20"/>
          <w:szCs w:val="20"/>
          <w:color w:val="auto"/>
        </w:rPr>
      </w:pPr>
    </w:p>
    <w:p>
      <w:pPr>
        <w:ind w:left="220" w:right="2099" w:firstLine="211"/>
        <w:spacing w:after="0" w:line="238"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rules applicable to DTC and its Participants are on file with the Securities and Exchange Commission.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SAME-DAY SETTLEMENT AND PAYMENT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Settlement for the Notes will be made by the Institutional Investors in immediately available funds. All payments of principal and interest will be made by the Trust in immediately available funds, so long as DTC continues to make its Same-Day Funds Settlement System available to 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Secondary trading in long-term notes and debentures of corporate issuers is generally settled in clearinghouse or next-day funds. In contrast, the Notes will trade in DTC's Same-Day Funds Settlement System, and secondary market trading activity in the Notes will therefore be required by DTC to settle in immediately available funds. No assurance can be given as to the effect, if any, of settlement in immediately available funds on trading activity in the Notes.</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Trust proposes to offer the Notes directly to the Institutional Investors at the initial public offering price set forth on the cover page of this Prospectus Supplement.</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Notes are a new issue of securities with no established trading market. No assurance can be given as to the liquidity of the trading market for the Notes.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$300,000,000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$300,000,000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any initial public offering price; (ii) in the case of Preferred Shares, the specific title and stated value, any dividend, liquidation, redemption, conversion, voting and other rights, and any initial public offering price; and (iii) in the case of Common Shares, any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 CONTRARY IS UNLAWFUL.</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December 13, 1993.</w:t>
      </w:r>
    </w:p>
    <w:p>
      <w:pPr>
        <w:sectPr>
          <w:pgSz w:w="11900" w:h="16838" w:orient="portrait"/>
          <w:cols w:equalWidth="0" w:num="1">
            <w:col w:w="10219"/>
          </w:cols>
          <w:pgMar w:left="240" w:top="919" w:right="1440" w:bottom="767" w:gutter="0" w:footer="0" w:header="0"/>
        </w:sectPr>
      </w:pPr>
    </w:p>
    <w:bookmarkStart w:id="9" w:name="page10"/>
    <w:bookmarkEnd w:id="9"/>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Director-Corporate Communications, Federal Realty Investment Trust, 4800 Hampden Lane, Bethesda, Maryland 20814 (telephone 301/652-3360).</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739" w:firstLine="209"/>
        <w:spacing w:after="0" w:line="235" w:lineRule="auto"/>
        <w:tabs>
          <w:tab w:leader="none" w:pos="74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1992.</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June 30, and September 30, 1993.</w:t>
      </w:r>
    </w:p>
    <w:p>
      <w:pPr>
        <w:spacing w:after="0" w:line="202"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 on Form 8-K dated September 24, 1993.</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Founded in 1962, the Trust is a self-administered real estate investment trust ("REIT") that manages, leases and supervises renovation of its properties. At December 13, 1993, the Trust owned 45 community and neighborhood shopping centers, one enclosed mall, and one apartment complex. The shopping center portfolio has approximately 10.1 million rentable square feet and 1,400 tenants. At September 30, 1993, the occupancy rate of the shopping centers, excluding centers acquired or sold in the previous twelve months, was 95.5%.</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eleven states with approximately 77% of the Trust's rental income for the nine months ended September 30,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Trust's management believes that now is an opportune time to expand the Trust's portfolio of properties. Management's belief is based on several factors, including tight real estate credit conditions and years of excess in real estate construction and financing. In its view, many property owners are in the market to sell properties, often as a result of the owners' financial distress or pressure from their real estate lenders. Consequently, in 1992 and to-date in 1993 the Trust raised $164.7 million of equity, issued $75 million of convertible subordinated debt, prepaid $89.1 million of higher coupon debt and established $70 million of unsecured bank credit facilities in order to position itself to acquire additional properties. Thus far in 1993, the Trust has acquired five shopping centers containing 1.1 million square feet for $77.1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continues to seek to acquire community and neighborhood shopping centers similar to those in its portfolio. The Trust is currently negotiating the purchase of several shopping centers. While there can be no assurance, the Trust anticipates that it will acquire additional shopping centers in the next six months.</w:t>
      </w: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June 1993, Standard &amp; Poor's raised the ratings on the Trust's convertible subordinated debentures from BBB- to BBB reflecting the Trust's significantly improved capital structure and the continued strong performance of its shopping center portfolio. Ratings were withdrawn on the Trust's senior notes due to their redemption in May 1993, but the implied senior rating was raised to BBB+. In September 1993, Moody's Investors Service also upgraded the rating of the Trust's convertible subordinated debt to Baa2 from Ba1.</w:t>
      </w:r>
    </w:p>
    <w:p>
      <w:pPr>
        <w:spacing w:after="0" w:line="188"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Trust has made 124 consecutive quarterly distributions and has increased its distribution rate for each of the last 26 years. The Trust believes this is the longest record of annual distribution increases in the REIT industry. The current annual indicated distribution rate is $1.56 per share.</w:t>
      </w:r>
    </w:p>
    <w:p>
      <w:pPr>
        <w:spacing w:after="0" w:line="182"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564"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NINE MONTHS</w:t>
            </w:r>
          </w:p>
        </w:tc>
      </w:tr>
      <w:tr>
        <w:trPr>
          <w:trHeight w:val="203"/>
        </w:trPr>
        <w:tc>
          <w:tcPr>
            <w:tcW w:w="1040" w:type="dxa"/>
            <w:vAlign w:val="bottom"/>
          </w:tcPr>
          <w:p>
            <w:pPr>
              <w:spacing w:after="0"/>
              <w:rPr>
                <w:sz w:val="17"/>
                <w:szCs w:val="17"/>
                <w:color w:val="auto"/>
              </w:rPr>
            </w:pPr>
          </w:p>
        </w:tc>
        <w:tc>
          <w:tcPr>
            <w:tcW w:w="34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3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 SEPTEMBER 30,</w:t>
            </w:r>
          </w:p>
        </w:tc>
      </w:tr>
      <w:tr>
        <w:trPr>
          <w:trHeight w:val="203"/>
        </w:trPr>
        <w:tc>
          <w:tcPr>
            <w:tcW w:w="1940" w:type="dxa"/>
            <w:vAlign w:val="bottom"/>
            <w:gridSpan w:val="2"/>
          </w:tcPr>
          <w:p>
            <w:pPr>
              <w:spacing w:after="0"/>
              <w:rPr>
                <w:sz w:val="20"/>
                <w:szCs w:val="20"/>
                <w:color w:val="auto"/>
              </w:rPr>
            </w:pPr>
            <w:r>
              <w:rPr>
                <w:rFonts w:ascii="Courier New" w:cs="Courier New" w:eastAsia="Courier New" w:hAnsi="Courier New"/>
                <w:sz w:val="8"/>
                <w:szCs w:val="8"/>
                <w:color w:val="auto"/>
                <w:w w:val="78"/>
              </w:rPr>
              <w:t>---------------------------------------------------</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1988</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1989</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1990</w:t>
            </w:r>
          </w:p>
        </w:tc>
        <w:tc>
          <w:tcPr>
            <w:tcW w:w="1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1991</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1992</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1.20X</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1.14X</w:t>
            </w:r>
          </w:p>
        </w:tc>
        <w:tc>
          <w:tcPr>
            <w:tcW w:w="1260" w:type="dxa"/>
            <w:vAlign w:val="bottom"/>
          </w:tcPr>
          <w:p>
            <w:pPr>
              <w:ind w:left="380"/>
              <w:spacing w:after="0"/>
              <w:rPr>
                <w:sz w:val="20"/>
                <w:szCs w:val="20"/>
                <w:color w:val="auto"/>
              </w:rPr>
            </w:pPr>
            <w:r>
              <w:rPr>
                <w:rFonts w:ascii="Courier New" w:cs="Courier New" w:eastAsia="Courier New" w:hAnsi="Courier New"/>
                <w:sz w:val="18"/>
                <w:szCs w:val="18"/>
                <w:color w:val="auto"/>
              </w:rPr>
              <w:t>1.13X</w:t>
            </w:r>
          </w:p>
        </w:tc>
        <w:tc>
          <w:tcPr>
            <w:tcW w:w="1280" w:type="dxa"/>
            <w:vAlign w:val="bottom"/>
          </w:tcPr>
          <w:p>
            <w:pPr>
              <w:ind w:left="380"/>
              <w:spacing w:after="0"/>
              <w:rPr>
                <w:sz w:val="20"/>
                <w:szCs w:val="20"/>
                <w:color w:val="auto"/>
              </w:rPr>
            </w:pPr>
            <w:r>
              <w:rPr>
                <w:rFonts w:ascii="Courier New" w:cs="Courier New" w:eastAsia="Courier New" w:hAnsi="Courier New"/>
                <w:sz w:val="18"/>
                <w:szCs w:val="18"/>
                <w:color w:val="auto"/>
              </w:rPr>
              <w:t>1.11X</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1.20X</w:t>
            </w:r>
          </w:p>
        </w:tc>
        <w:tc>
          <w:tcPr>
            <w:tcW w:w="1680" w:type="dxa"/>
            <w:vAlign w:val="bottom"/>
          </w:tcPr>
          <w:p>
            <w:pPr>
              <w:ind w:left="360"/>
              <w:spacing w:after="0"/>
              <w:rPr>
                <w:sz w:val="20"/>
                <w:szCs w:val="20"/>
                <w:color w:val="auto"/>
              </w:rPr>
            </w:pPr>
            <w:r>
              <w:rPr>
                <w:rFonts w:ascii="Courier New" w:cs="Courier New" w:eastAsia="Courier New" w:hAnsi="Courier New"/>
                <w:sz w:val="18"/>
                <w:szCs w:val="18"/>
                <w:color w:val="auto"/>
              </w:rPr>
              <w:t>1.19X</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rPr>
              <w:t>1.46X</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to be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767"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series of Debt Securities being offered for the specific terms thereof, including:</w:t>
      </w:r>
    </w:p>
    <w:p>
      <w:pPr>
        <w:spacing w:after="0" w:line="208" w:lineRule="exact"/>
        <w:rPr>
          <w:sz w:val="20"/>
          <w:szCs w:val="20"/>
          <w:color w:val="auto"/>
        </w:rPr>
      </w:pPr>
    </w:p>
    <w:p>
      <w:pPr>
        <w:ind w:left="220" w:right="2319" w:firstLine="315"/>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13" w:name="page14"/>
    <w:bookmarkEnd w:id="13"/>
    <w:p>
      <w:pPr>
        <w:ind w:left="220" w:right="2099" w:firstLine="209"/>
        <w:spacing w:after="0" w:line="237"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1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393"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767"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Maintenance of</w:t>
            </w:r>
          </w:p>
        </w:tc>
        <w:tc>
          <w:tcPr>
            <w:tcW w:w="1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Properties.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Trust will</w:t>
            </w:r>
          </w:p>
        </w:tc>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cause all of</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its material</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properties used or</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useful in</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conduct of</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business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 the business of any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Subsidiary to be</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maintained and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kept in good</w:t>
            </w:r>
          </w:p>
        </w:tc>
        <w:tc>
          <w:tcPr>
            <w:tcW w:w="37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condition, repair and working</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order and supplied</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with all necessary equipment</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will cause to be made all</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necessary repairs,</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renewals,</w:t>
            </w:r>
          </w:p>
        </w:tc>
        <w:tc>
          <w:tcPr>
            <w:tcW w:w="53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replacements, betterments and improvements</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thereof, all as in</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judgment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the Trust</w:t>
            </w:r>
          </w:p>
        </w:tc>
        <w:tc>
          <w:tcPr>
            <w:tcW w:w="37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may be necessary so that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 carried</w:t>
            </w:r>
          </w:p>
        </w:tc>
        <w:tc>
          <w:tcPr>
            <w:tcW w:w="29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on in connection therewith</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 properly and advantageously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conducted at all</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times (Section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1005 of each</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Indenture).</w:t>
            </w:r>
          </w:p>
        </w:tc>
        <w:tc>
          <w:tcPr>
            <w:tcW w:w="2380" w:type="dxa"/>
            <w:vAlign w:val="bottom"/>
          </w:tcPr>
          <w:p>
            <w:pPr>
              <w:spacing w:after="0"/>
              <w:rPr>
                <w:sz w:val="17"/>
                <w:szCs w:val="17"/>
                <w:color w:val="auto"/>
              </w:rPr>
            </w:pPr>
          </w:p>
        </w:tc>
      </w:tr>
    </w:tbl>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564" w:gutter="0" w:footer="0" w:header="0"/>
        </w:sectPr>
      </w:pPr>
    </w:p>
    <w:bookmarkStart w:id="16" w:name="page17"/>
    <w:bookmarkEnd w:id="16"/>
    <w:p>
      <w:pPr>
        <w:ind w:right="1879"/>
        <w:spacing w:after="0" w:line="269" w:lineRule="auto"/>
        <w:rPr>
          <w:sz w:val="20"/>
          <w:szCs w:val="20"/>
          <w:color w:val="auto"/>
        </w:rPr>
      </w:pPr>
      <w:r>
        <w:rPr>
          <w:rFonts w:ascii="Courier New" w:cs="Courier New" w:eastAsia="Courier New" w:hAnsi="Courier New"/>
          <w:sz w:val="16"/>
          <w:szCs w:val="16"/>
          <w:color w:val="auto"/>
        </w:rPr>
        <w:t>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39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w:t>
      </w:r>
    </w:p>
    <w:p>
      <w:pPr>
        <w:spacing w:after="0" w:line="389" w:lineRule="exact"/>
        <w:rPr>
          <w:sz w:val="20"/>
          <w:szCs w:val="20"/>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17" w:name="page18"/>
    <w:bookmarkEnd w:id="17"/>
    <w:p>
      <w:pPr>
        <w:ind w:right="1879"/>
        <w:spacing w:after="0" w:line="271" w:lineRule="auto"/>
        <w:rPr>
          <w:sz w:val="20"/>
          <w:szCs w:val="20"/>
          <w:color w:val="auto"/>
        </w:rPr>
      </w:pPr>
      <w:r>
        <w:rPr>
          <w:rFonts w:ascii="Courier New" w:cs="Courier New" w:eastAsia="Courier New" w:hAnsi="Courier New"/>
          <w:sz w:val="16"/>
          <w:szCs w:val="16"/>
          <w:color w:val="auto"/>
        </w:rPr>
        <w:t>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18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 (ii) to add to the covenants of the Trust for the benefit of the Holders of all or any series of Debt Securities or to surrender any right or power conferred upon the Trust in such Indenture; (iii) to add Events of Default for the benefit</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8" w:name="page19"/>
    <w:bookmarkEnd w:id="18"/>
    <w:p>
      <w:pPr>
        <w:ind w:right="1879"/>
        <w:spacing w:after="0" w:line="238" w:lineRule="auto"/>
        <w:rPr>
          <w:sz w:val="20"/>
          <w:szCs w:val="20"/>
          <w:color w:val="auto"/>
        </w:rPr>
      </w:pPr>
      <w:r>
        <w:rPr>
          <w:rFonts w:ascii="Courier New" w:cs="Courier New" w:eastAsia="Courier New" w:hAnsi="Courier New"/>
          <w:sz w:val="18"/>
          <w:szCs w:val="18"/>
          <w:color w:val="auto"/>
        </w:rPr>
        <w:t>of the Holders of all or any series of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 (x) 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39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564" w:gutter="0" w:footer="0" w:header="0"/>
        </w:sectPr>
      </w:pPr>
    </w:p>
    <w:bookmarkStart w:id="19" w:name="page20"/>
    <w:bookmarkEnd w:id="19"/>
    <w:p>
      <w:pPr>
        <w:ind w:right="2739"/>
        <w:spacing w:after="0" w:line="235" w:lineRule="auto"/>
        <w:rPr>
          <w:sz w:val="20"/>
          <w:szCs w:val="20"/>
          <w:color w:val="auto"/>
        </w:rPr>
      </w:pPr>
      <w:r>
        <w:rPr>
          <w:rFonts w:ascii="Courier New" w:cs="Courier New" w:eastAsia="Courier New" w:hAnsi="Courier New"/>
          <w:sz w:val="18"/>
          <w:szCs w:val="18"/>
          <w:color w:val="auto"/>
        </w:rPr>
        <w:t>principal amount of the Outstanding Debt Securities of such series will constitute a quorum (Section 1504 of each Indenture).</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 (a) 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 (d) 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 (f) any binding commitment of the Trust to fund any real estate investment or to fund any investment in any entity making such real estate investment, in each case other than (1) any such indebtedness, obligation or liability referred to in clauses</w:t>
      </w:r>
    </w:p>
    <w:p>
      <w:pPr>
        <w:spacing w:after="0" w:line="193" w:lineRule="exact"/>
        <w:rPr>
          <w:sz w:val="20"/>
          <w:szCs w:val="20"/>
          <w:color w:val="auto"/>
        </w:rPr>
      </w:pPr>
    </w:p>
    <w:p>
      <w:pPr>
        <w:ind w:right="187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(f) above as to which, in the instrument creating or evidencing the same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w:t>
      </w:r>
    </w:p>
    <w:p>
      <w:pPr>
        <w:spacing w:after="0" w:line="8"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the Subordinated Securities (Section 101 of the Subordinated Indenture). At September 30, 1993, Senior Debt aggregated approximately $300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59"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14"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United States federal income tax law occurring after the date of the Indenture (Section 1404 of each Indenture).</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767" w:gutter="0" w:footer="0" w:header="0"/>
        </w:sectPr>
      </w:pPr>
    </w:p>
    <w:bookmarkStart w:id="21" w:name="page22"/>
    <w:bookmarkEnd w:id="21"/>
    <w:p>
      <w:pPr>
        <w:ind w:right="187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00" w:lineRule="exact"/>
        <w:rPr>
          <w:sz w:val="20"/>
          <w:szCs w:val="20"/>
          <w:color w:val="auto"/>
        </w:rPr>
      </w:pPr>
    </w:p>
    <w:p>
      <w:pPr>
        <w:spacing w:after="0" w:line="393"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 (g) 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2099"/>
        <w:spacing w:after="0" w:line="237" w:lineRule="auto"/>
        <w:rPr>
          <w:sz w:val="20"/>
          <w:szCs w:val="20"/>
          <w:color w:val="auto"/>
        </w:rPr>
      </w:pPr>
      <w:r>
        <w:rPr>
          <w:rFonts w:ascii="Courier New" w:cs="Courier New" w:eastAsia="Courier New" w:hAnsi="Courier New"/>
          <w:sz w:val="18"/>
          <w:szCs w:val="18"/>
          <w:color w:val="auto"/>
        </w:rPr>
        <w:t>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Trust is authorized to issue an unlimited number of preferred shares (the "Preferred Shares") of which no Preferred Shares were outstanding at December 13, 1993.</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Subject to the limitations prescribed by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189"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w:t>
      </w:r>
    </w:p>
    <w:p>
      <w:pPr>
        <w:sectPr>
          <w:pgSz w:w="11900" w:h="16838" w:orient="portrait"/>
          <w:cols w:equalWidth="0" w:num="1">
            <w:col w:w="10219"/>
          </w:cols>
          <w:pgMar w:left="240" w:top="722" w:right="1440" w:bottom="0" w:gutter="0" w:footer="0" w:header="0"/>
        </w:sectPr>
      </w:pPr>
    </w:p>
    <w:bookmarkStart w:id="23" w:name="page24"/>
    <w:bookmarkEnd w:id="23"/>
    <w:p>
      <w:pPr>
        <w:ind w:right="2319"/>
        <w:spacing w:after="0" w:line="235" w:lineRule="auto"/>
        <w:rPr>
          <w:sz w:val="20"/>
          <w:szCs w:val="20"/>
          <w:color w:val="auto"/>
        </w:rPr>
      </w:pPr>
      <w:r>
        <w:rPr>
          <w:rFonts w:ascii="Courier New" w:cs="Courier New" w:eastAsia="Courier New" w:hAnsi="Courier New"/>
          <w:sz w:val="18"/>
          <w:szCs w:val="18"/>
          <w:color w:val="auto"/>
        </w:rPr>
        <w:t>on transfer, in each case as may be appropriate to preserve the status of the Trust as a REIT.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999"/>
          </w:cols>
          <w:pgMar w:left="460" w:top="14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w:t>
      </w:r>
    </w:p>
    <w:p>
      <w:pPr>
        <w:spacing w:after="0" w:line="1" w:lineRule="exact"/>
        <w:rPr>
          <w:sz w:val="20"/>
          <w:szCs w:val="20"/>
          <w:color w:val="auto"/>
        </w:rPr>
      </w:pPr>
    </w:p>
    <w:p>
      <w:pPr>
        <w:ind w:right="2099" w:firstLine="8"/>
        <w:spacing w:after="0" w:line="237"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all equity securities issued by the Trust the terms of which specifically provide that such equity securities rank senior to the Preferred Shares. The term "equity securities" does not include convertible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w:t>
      </w:r>
    </w:p>
    <w:p>
      <w:pPr>
        <w:spacing w:after="0" w:line="1" w:lineRule="exact"/>
        <w:rPr>
          <w:sz w:val="20"/>
          <w:szCs w:val="20"/>
          <w:color w:val="auto"/>
        </w:rPr>
      </w:pPr>
    </w:p>
    <w:p>
      <w:pPr>
        <w:ind w:right="1879" w:firstLine="8"/>
        <w:spacing w:after="0" w:line="238"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970" w:gutter="0" w:footer="0" w:header="0"/>
        </w:sectPr>
      </w:pPr>
    </w:p>
    <w:bookmarkStart w:id="25" w:name="page26"/>
    <w:bookmarkEnd w:id="25"/>
    <w:p>
      <w:pPr>
        <w:ind w:right="1879"/>
        <w:spacing w:after="0" w:line="238" w:lineRule="auto"/>
        <w:rPr>
          <w:sz w:val="20"/>
          <w:szCs w:val="20"/>
          <w:color w:val="auto"/>
        </w:rPr>
      </w:pPr>
      <w:r>
        <w:rPr>
          <w:rFonts w:ascii="Courier New" w:cs="Courier New" w:eastAsia="Courier New" w:hAnsi="Courier New"/>
          <w:sz w:val="18"/>
          <w:szCs w:val="18"/>
          <w:color w:val="auto"/>
        </w:rPr>
        <w:t>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09"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w:t>
      </w:r>
    </w:p>
    <w:p>
      <w:pPr>
        <w:spacing w:after="0" w:line="1" w:lineRule="exact"/>
        <w:rPr>
          <w:sz w:val="20"/>
          <w:szCs w:val="20"/>
          <w:color w:val="auto"/>
        </w:rPr>
      </w:pPr>
    </w:p>
    <w:p>
      <w:pPr>
        <w:ind w:right="1879" w:firstLine="8"/>
        <w:spacing w:after="0" w:line="238"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4"/>
              </w:rPr>
              <w:t>Notice of</w:t>
            </w:r>
          </w:p>
        </w:tc>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redemption will be mailed at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least 30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days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but not more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than 60</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days before</w:t>
            </w:r>
          </w:p>
        </w:tc>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the redemption date to each holder of</w:t>
            </w:r>
          </w:p>
        </w:tc>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record of Preferred Shares of</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series</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redeemed at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address</w:t>
            </w:r>
          </w:p>
        </w:tc>
        <w:tc>
          <w:tcPr>
            <w:tcW w:w="4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shown on the share transfer books of</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Trust.</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notice shall</w:t>
            </w:r>
          </w:p>
        </w:tc>
        <w:tc>
          <w:tcPr>
            <w:tcW w:w="2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state: (i) the redemption</w:t>
            </w:r>
          </w:p>
        </w:tc>
        <w:tc>
          <w:tcPr>
            <w:tcW w:w="2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date; (ii) the number of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5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series of the Preferred Shares to be redeemed; (iii)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redemption</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(iv)</w:t>
            </w:r>
          </w:p>
        </w:tc>
        <w:tc>
          <w:tcPr>
            <w:tcW w:w="4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the place or places where certificates for</w:t>
            </w: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such Preferred Shares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are to</w:t>
            </w:r>
          </w:p>
        </w:tc>
        <w:tc>
          <w:tcPr>
            <w:tcW w:w="3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be surrendered for payment of the</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redemption price; (v) that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on the</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shares to be redeemed</w:t>
            </w:r>
          </w:p>
        </w:tc>
        <w:tc>
          <w:tcPr>
            <w:tcW w:w="53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will cease to accrue on such redemption date; and</w:t>
            </w:r>
          </w:p>
        </w:tc>
      </w:tr>
    </w:tbl>
    <w:p>
      <w:pPr>
        <w:spacing w:after="0" w:line="4" w:lineRule="exact"/>
        <w:rPr>
          <w:sz w:val="20"/>
          <w:szCs w:val="20"/>
          <w:color w:val="auto"/>
        </w:rPr>
      </w:pPr>
    </w:p>
    <w:p>
      <w:pPr>
        <w:ind w:right="18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 (x) 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As discussed below under "Description of Common Shares--Shareholder Liability," the Declaration of Trust provides that no shareholder, including holders of Preferred Shares, shall be personally liable for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0" w:gutter="0" w:footer="0" w:header="0"/>
        </w:sectPr>
      </w:pPr>
    </w:p>
    <w:bookmarkStart w:id="28" w:name="page29"/>
    <w:bookmarkEnd w:id="28"/>
    <w:p>
      <w:pPr>
        <w:ind w:right="1879"/>
        <w:spacing w:after="0" w:line="270" w:lineRule="auto"/>
        <w:rPr>
          <w:sz w:val="20"/>
          <w:szCs w:val="20"/>
          <w:color w:val="auto"/>
        </w:rPr>
      </w:pPr>
      <w:r>
        <w:rPr>
          <w:rFonts w:ascii="Courier New" w:cs="Courier New" w:eastAsia="Courier New" w:hAnsi="Courier New"/>
          <w:sz w:val="16"/>
          <w:szCs w:val="16"/>
          <w:color w:val="auto"/>
        </w:rPr>
        <w:t>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("REIT")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w:t>
      </w:r>
    </w:p>
    <w:p>
      <w:pPr>
        <w:spacing w:after="0" w:line="2" w:lineRule="exact"/>
        <w:rPr>
          <w:sz w:val="20"/>
          <w:szCs w:val="20"/>
          <w:color w:val="auto"/>
        </w:rPr>
      </w:pPr>
    </w:p>
    <w:p>
      <w:pPr>
        <w:ind w:right="1879" w:firstLine="8"/>
        <w:spacing w:after="0" w:line="270"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767" w:gutter="0" w:footer="0" w:header="0"/>
        </w:sectPr>
      </w:pPr>
    </w:p>
    <w:bookmarkStart w:id="30" w:name="page31"/>
    <w:bookmarkEnd w:id="30"/>
    <w:p>
      <w:pPr>
        <w:ind w:right="1879"/>
        <w:spacing w:after="0" w:line="271" w:lineRule="auto"/>
        <w:rPr>
          <w:sz w:val="20"/>
          <w:szCs w:val="20"/>
          <w:color w:val="auto"/>
        </w:rPr>
      </w:pPr>
      <w:r>
        <w:rPr>
          <w:rFonts w:ascii="Courier New" w:cs="Courier New" w:eastAsia="Courier New" w:hAnsi="Courier New"/>
          <w:sz w:val="16"/>
          <w:szCs w:val="16"/>
          <w:color w:val="auto"/>
        </w:rPr>
        <w:t>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Trust in the ordinary course of business.</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1" w:name="page32"/>
    <w:bookmarkEnd w:id="31"/>
    <w:p>
      <w:pPr>
        <w:ind w:right="1999"/>
        <w:spacing w:after="0" w:line="275" w:lineRule="auto"/>
        <w:rPr>
          <w:sz w:val="20"/>
          <w:szCs w:val="20"/>
          <w:color w:val="auto"/>
        </w:rPr>
      </w:pPr>
      <w:r>
        <w:rPr>
          <w:rFonts w:ascii="Courier New" w:cs="Courier New" w:eastAsia="Courier New" w:hAnsi="Courier New"/>
          <w:sz w:val="16"/>
          <w:szCs w:val="16"/>
          <w:color w:val="auto"/>
        </w:rPr>
        <w:t>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77"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1992 and 1991 and for each of the years in the three year period ended December 31, 1992 incorporated herein by reference have been incorporated herein in reliance on the reports dated February 18, 1993, of Grant Thornton, independent certified public accountants, also incorporated by reference herein, and upon the authority of said firm as experts in accounting and auditing. The statement of revenue and certain expenses of Crossroads Shopping Center, included in the Trust's Current Report on Form 8-K, dated September 24, 1993, incorporated by reference herein, has been incorporated herein in reliance on the report dated August 27, 1993, of Coopers &amp; Lybrand, independent certified public accountants, also incorporated by reference herein, and upon the authority of said firm as experts in accounting and auditing. The historical summaries of gross income and direct operating expenses of certain properties included in the Trust's Current Report on Form 8-K, dated September 24, 1993, incorporated by reference herein, have been incorporated herein in reliance on the reports dated September 9, 1993, of Stoy, Malone &amp; Company, P.C., independent certified public accountants, also incorporated by reference herein, and upon the authority of said firm as experts in accounting and auditing.</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2" w:name="page33"/>
    <w:bookmarkEnd w:id="32"/>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TRUST SINCE THE DATE HEREOF OR THEREOF OR THAT THE INFORMATION CONTAINED HEREIN OR THEREIN IS COR-RECT AS OF ANY TIME SUBSEQUENT TO THE DATE OF SUCH INFORMATION.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jc w:val="right"/>
              <w:ind w:right="319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r>
        <w:trPr>
          <w:trHeight w:val="405"/>
        </w:trPr>
        <w:tc>
          <w:tcPr>
            <w:tcW w:w="802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405"/>
        </w:trPr>
        <w:tc>
          <w:tcPr>
            <w:tcW w:w="8020" w:type="dxa"/>
            <w:vAlign w:val="bottom"/>
          </w:tcPr>
          <w:p>
            <w:pPr>
              <w:ind w:left="3060"/>
              <w:spacing w:after="0"/>
              <w:rPr>
                <w:sz w:val="20"/>
                <w:szCs w:val="20"/>
                <w:color w:val="auto"/>
              </w:rPr>
            </w:pPr>
            <w:r>
              <w:rPr>
                <w:rFonts w:ascii="Courier New" w:cs="Courier New" w:eastAsia="Courier New" w:hAnsi="Courier New"/>
                <w:sz w:val="18"/>
                <w:szCs w:val="18"/>
                <w:color w:val="auto"/>
              </w:rPr>
              <w:t>PROSPECTUS SUPPLEMENT</w:t>
            </w:r>
          </w:p>
        </w:tc>
        <w:tc>
          <w:tcPr>
            <w:tcW w:w="420" w:type="dxa"/>
            <w:vAlign w:val="bottom"/>
          </w:tcPr>
          <w:p>
            <w:pPr>
              <w:spacing w:after="0"/>
              <w:rPr>
                <w:sz w:val="24"/>
                <w:szCs w:val="24"/>
                <w:color w:val="auto"/>
              </w:rPr>
            </w:pPr>
          </w:p>
        </w:tc>
      </w:tr>
      <w:tr>
        <w:trPr>
          <w:trHeight w:val="203"/>
        </w:trPr>
        <w:tc>
          <w:tcPr>
            <w:tcW w:w="80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 of Earnings to Fixed Charges.........................................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Notes.......................................................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802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PROSPECTUS</w:t>
            </w:r>
          </w:p>
        </w:tc>
        <w:tc>
          <w:tcPr>
            <w:tcW w:w="420" w:type="dxa"/>
            <w:vAlign w:val="bottom"/>
          </w:tcPr>
          <w:p>
            <w:pPr>
              <w:spacing w:after="0"/>
              <w:rPr>
                <w:sz w:val="17"/>
                <w:szCs w:val="17"/>
                <w:color w:val="auto"/>
              </w:rPr>
            </w:pP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Available Information.......................................................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Incorporation of Certain Documents by Reference.............................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Trust...................................................................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Ratios of Earnings to Fixed Charges.........................................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Debt Securities..............................................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Preferred 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Common 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Opinions..............................................................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$25,000,000</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8% NOTES DUE APRIL 21, 2002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April 14, 1995</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Roman"/>
      <w:start w:val="2"/>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lowerRoman"/>
      <w:start w:val="10"/>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3"/>
    </w:lvl>
  </w:abstractNum>
  <w:abstractNum w:abstractNumId="12">
    <w:nsid w:val="6B68079A"/>
    <w:multiLevelType w:val="hybridMultilevel"/>
    <w:lvl w:ilvl="0">
      <w:lvlJc w:val="left"/>
      <w:lvlText w:val="(%1)"/>
      <w:numFmt w:val="lowerRoman"/>
      <w:start w:val="2"/>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lowerRoman"/>
      <w:start w:val="6"/>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2019-12-13T00:53:20Z</dcterms:created>
  <dcterms:modified xsi:type="dcterms:W3CDTF">2019-12-13T00:53:20Z</dcterms:modified>
</cp:coreProperties>
</file>